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2F2C0" w14:textId="77777777" w:rsidR="00040C3A" w:rsidRPr="00386E47" w:rsidRDefault="00D306D1" w:rsidP="00627C9F">
      <w:pPr>
        <w:jc w:val="both"/>
        <w:rPr>
          <w:rFonts w:asciiTheme="majorHAnsi" w:hAnsiTheme="majorHAnsi" w:cs="Univers"/>
          <w:b/>
          <w:bCs/>
          <w:sz w:val="22"/>
          <w:szCs w:val="22"/>
          <w:lang w:val="es-ES_tradnl"/>
        </w:rPr>
      </w:pPr>
      <w:r w:rsidRPr="00386E47">
        <w:rPr>
          <w:rFonts w:asciiTheme="majorHAnsi" w:hAnsiTheme="majorHAnsi"/>
          <w:noProof/>
          <w:sz w:val="22"/>
          <w:szCs w:val="22"/>
          <w:lang w:val="en-US" w:eastAsia="en-US"/>
        </w:rPr>
        <mc:AlternateContent>
          <mc:Choice Requires="wps">
            <w:drawing>
              <wp:anchor distT="0" distB="0" distL="114300" distR="114300" simplePos="0" relativeHeight="251661311" behindDoc="0" locked="0" layoutInCell="1" allowOverlap="1" wp14:anchorId="31B3CBEC" wp14:editId="59A2EA6F">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BB9080"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386E47">
        <w:rPr>
          <w:rFonts w:asciiTheme="majorHAnsi" w:hAnsiTheme="majorHAnsi"/>
          <w:noProof/>
          <w:sz w:val="22"/>
          <w:szCs w:val="22"/>
          <w:lang w:val="en-US" w:eastAsia="en-US"/>
        </w:rPr>
        <mc:AlternateContent>
          <mc:Choice Requires="wps">
            <w:drawing>
              <wp:anchor distT="0" distB="0" distL="114300" distR="114300" simplePos="0" relativeHeight="251673600" behindDoc="0" locked="0" layoutInCell="1" allowOverlap="1" wp14:anchorId="5A088C06" wp14:editId="14F0AB02">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2A049C" w14:textId="77777777" w:rsidR="005B3F8C" w:rsidRDefault="005B3F8C" w:rsidP="00AE5488">
                            <w:r>
                              <w:rPr>
                                <w:noProof/>
                                <w:lang w:val="en-US" w:eastAsia="en-US"/>
                              </w:rPr>
                              <w:drawing>
                                <wp:inline distT="0" distB="0" distL="0" distR="0" wp14:anchorId="731FF1DD" wp14:editId="2B8E8F17">
                                  <wp:extent cx="2647666" cy="509676"/>
                                  <wp:effectExtent l="0" t="0" r="635" b="5080"/>
                                  <wp:docPr id="2" name="Picture 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088C06"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62A049C" w14:textId="77777777" w:rsidR="005B3F8C" w:rsidRDefault="005B3F8C" w:rsidP="00AE5488">
                      <w:r>
                        <w:rPr>
                          <w:noProof/>
                          <w:lang w:val="en-US" w:eastAsia="en-US"/>
                        </w:rPr>
                        <w:drawing>
                          <wp:inline distT="0" distB="0" distL="0" distR="0" wp14:anchorId="731FF1DD" wp14:editId="2B8E8F17">
                            <wp:extent cx="2647666" cy="509676"/>
                            <wp:effectExtent l="0" t="0" r="635" b="5080"/>
                            <wp:docPr id="2" name="Picture 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14:paraId="0607707E" w14:textId="77777777" w:rsidR="00040C3A" w:rsidRPr="00386E47" w:rsidRDefault="006D2761" w:rsidP="00040C3A">
      <w:pPr>
        <w:tabs>
          <w:tab w:val="center" w:pos="5400"/>
        </w:tabs>
        <w:suppressAutoHyphens/>
        <w:jc w:val="both"/>
        <w:rPr>
          <w:rFonts w:asciiTheme="majorHAnsi" w:hAnsiTheme="majorHAnsi"/>
          <w:sz w:val="22"/>
          <w:szCs w:val="22"/>
          <w:lang w:val="en-US"/>
        </w:rPr>
      </w:pPr>
      <w:r w:rsidRPr="00386E47">
        <w:rPr>
          <w:rFonts w:asciiTheme="majorHAnsi" w:hAnsiTheme="majorHAnsi"/>
          <w:sz w:val="22"/>
          <w:szCs w:val="22"/>
          <w:lang w:val="en-US"/>
        </w:rPr>
        <w:t>dllll</w:t>
      </w:r>
    </w:p>
    <w:p w14:paraId="667342D9" w14:textId="77777777" w:rsidR="00040C3A" w:rsidRPr="00386E47" w:rsidRDefault="00040C3A" w:rsidP="00040C3A">
      <w:pPr>
        <w:tabs>
          <w:tab w:val="center" w:pos="5400"/>
        </w:tabs>
        <w:suppressAutoHyphens/>
        <w:jc w:val="both"/>
        <w:rPr>
          <w:rFonts w:asciiTheme="majorHAnsi" w:hAnsiTheme="majorHAnsi"/>
          <w:sz w:val="22"/>
          <w:szCs w:val="22"/>
          <w:lang w:val="en-US"/>
        </w:rPr>
      </w:pPr>
    </w:p>
    <w:p w14:paraId="6ED87E0F" w14:textId="77777777" w:rsidR="005128E4" w:rsidRPr="00386E47" w:rsidRDefault="005128E4" w:rsidP="00040C3A">
      <w:pPr>
        <w:tabs>
          <w:tab w:val="center" w:pos="5400"/>
        </w:tabs>
        <w:suppressAutoHyphens/>
        <w:rPr>
          <w:rFonts w:asciiTheme="majorHAnsi" w:hAnsiTheme="majorHAnsi"/>
          <w:sz w:val="22"/>
          <w:szCs w:val="22"/>
          <w:lang w:val="en-US"/>
        </w:rPr>
      </w:pPr>
    </w:p>
    <w:p w14:paraId="0268EFA0" w14:textId="77777777" w:rsidR="005128E4" w:rsidRPr="00386E47" w:rsidRDefault="005128E4" w:rsidP="00040C3A">
      <w:pPr>
        <w:tabs>
          <w:tab w:val="center" w:pos="5400"/>
        </w:tabs>
        <w:suppressAutoHyphens/>
        <w:rPr>
          <w:rFonts w:asciiTheme="majorHAnsi" w:hAnsiTheme="majorHAnsi"/>
          <w:sz w:val="22"/>
          <w:szCs w:val="22"/>
          <w:lang w:val="en-US"/>
        </w:rPr>
      </w:pPr>
    </w:p>
    <w:p w14:paraId="0EBD8F71" w14:textId="77777777" w:rsidR="005128E4" w:rsidRPr="00386E47" w:rsidRDefault="005128E4" w:rsidP="00040C3A">
      <w:pPr>
        <w:tabs>
          <w:tab w:val="center" w:pos="5400"/>
        </w:tabs>
        <w:suppressAutoHyphens/>
        <w:rPr>
          <w:rFonts w:asciiTheme="majorHAnsi" w:hAnsiTheme="majorHAnsi"/>
          <w:sz w:val="22"/>
          <w:szCs w:val="22"/>
          <w:lang w:val="en-US"/>
        </w:rPr>
      </w:pPr>
    </w:p>
    <w:p w14:paraId="19348C04" w14:textId="77777777" w:rsidR="00040C3A" w:rsidRPr="00386E47" w:rsidRDefault="00040C3A" w:rsidP="005128E4">
      <w:pPr>
        <w:tabs>
          <w:tab w:val="center" w:pos="5400"/>
        </w:tabs>
        <w:suppressAutoHyphens/>
        <w:jc w:val="center"/>
        <w:rPr>
          <w:rFonts w:asciiTheme="majorHAnsi" w:hAnsiTheme="majorHAnsi"/>
          <w:sz w:val="22"/>
          <w:szCs w:val="22"/>
          <w:lang w:val="en-US"/>
        </w:rPr>
      </w:pPr>
    </w:p>
    <w:p w14:paraId="0FEC3525" w14:textId="77777777" w:rsidR="00040C3A" w:rsidRPr="00386E47" w:rsidRDefault="00040C3A" w:rsidP="005128E4">
      <w:pPr>
        <w:tabs>
          <w:tab w:val="center" w:pos="5400"/>
        </w:tabs>
        <w:suppressAutoHyphens/>
        <w:jc w:val="center"/>
        <w:rPr>
          <w:rFonts w:asciiTheme="majorHAnsi" w:hAnsiTheme="majorHAnsi"/>
          <w:sz w:val="22"/>
          <w:szCs w:val="22"/>
          <w:lang w:val="en-US"/>
        </w:rPr>
      </w:pPr>
    </w:p>
    <w:p w14:paraId="73BF8F0D" w14:textId="77777777" w:rsidR="005B52B0" w:rsidRPr="00386E47" w:rsidRDefault="005B52B0" w:rsidP="005128E4">
      <w:pPr>
        <w:tabs>
          <w:tab w:val="center" w:pos="5400"/>
        </w:tabs>
        <w:suppressAutoHyphens/>
        <w:jc w:val="center"/>
        <w:rPr>
          <w:rFonts w:asciiTheme="majorHAnsi" w:hAnsiTheme="majorHAnsi"/>
          <w:sz w:val="22"/>
          <w:szCs w:val="22"/>
          <w:lang w:val="en-US"/>
        </w:rPr>
      </w:pPr>
    </w:p>
    <w:p w14:paraId="16DFD1EC" w14:textId="77777777" w:rsidR="005B52B0" w:rsidRPr="00386E47" w:rsidRDefault="005B52B0" w:rsidP="005128E4">
      <w:pPr>
        <w:tabs>
          <w:tab w:val="center" w:pos="5400"/>
        </w:tabs>
        <w:suppressAutoHyphens/>
        <w:jc w:val="center"/>
        <w:rPr>
          <w:rFonts w:asciiTheme="majorHAnsi" w:hAnsiTheme="majorHAnsi"/>
          <w:sz w:val="22"/>
          <w:szCs w:val="22"/>
          <w:lang w:val="en-US"/>
        </w:rPr>
      </w:pPr>
    </w:p>
    <w:p w14:paraId="2385094D" w14:textId="77777777" w:rsidR="005B52B0" w:rsidRPr="00386E47" w:rsidRDefault="005B52B0" w:rsidP="005128E4">
      <w:pPr>
        <w:tabs>
          <w:tab w:val="center" w:pos="5400"/>
        </w:tabs>
        <w:suppressAutoHyphens/>
        <w:jc w:val="center"/>
        <w:rPr>
          <w:rFonts w:asciiTheme="majorHAnsi" w:hAnsiTheme="majorHAnsi"/>
          <w:sz w:val="22"/>
          <w:szCs w:val="22"/>
          <w:lang w:val="en-US"/>
        </w:rPr>
      </w:pPr>
    </w:p>
    <w:p w14:paraId="41C29C26" w14:textId="77777777" w:rsidR="00040C3A" w:rsidRPr="00386E47" w:rsidRDefault="00040C3A" w:rsidP="00040C3A">
      <w:pPr>
        <w:tabs>
          <w:tab w:val="center" w:pos="5400"/>
        </w:tabs>
        <w:suppressAutoHyphens/>
        <w:jc w:val="center"/>
        <w:rPr>
          <w:rFonts w:asciiTheme="majorHAnsi" w:hAnsiTheme="majorHAnsi"/>
          <w:sz w:val="22"/>
          <w:szCs w:val="22"/>
          <w:lang w:val="en-US"/>
        </w:rPr>
      </w:pPr>
    </w:p>
    <w:p w14:paraId="61ED3B17" w14:textId="77777777" w:rsidR="00040C3A" w:rsidRPr="00386E47" w:rsidRDefault="00040C3A" w:rsidP="00040C3A">
      <w:pPr>
        <w:tabs>
          <w:tab w:val="center" w:pos="5400"/>
        </w:tabs>
        <w:suppressAutoHyphens/>
        <w:jc w:val="center"/>
        <w:rPr>
          <w:rFonts w:asciiTheme="majorHAnsi" w:hAnsiTheme="majorHAnsi"/>
          <w:sz w:val="22"/>
          <w:szCs w:val="22"/>
          <w:lang w:val="en-US"/>
        </w:rPr>
      </w:pPr>
    </w:p>
    <w:p w14:paraId="6500C0AA" w14:textId="77777777" w:rsidR="00040C3A" w:rsidRPr="00386E47" w:rsidRDefault="003D3BC2" w:rsidP="00040C3A">
      <w:pPr>
        <w:tabs>
          <w:tab w:val="center" w:pos="5400"/>
        </w:tabs>
        <w:suppressAutoHyphens/>
        <w:jc w:val="center"/>
        <w:rPr>
          <w:rFonts w:asciiTheme="majorHAnsi" w:hAnsiTheme="majorHAnsi"/>
          <w:sz w:val="22"/>
          <w:szCs w:val="22"/>
          <w:lang w:val="en-US"/>
        </w:rPr>
      </w:pPr>
      <w:r w:rsidRPr="00386E47">
        <w:rPr>
          <w:rFonts w:asciiTheme="majorHAnsi" w:hAnsiTheme="majorHAnsi"/>
          <w:noProof/>
          <w:sz w:val="22"/>
          <w:szCs w:val="22"/>
          <w:lang w:val="en-US" w:eastAsia="en-US"/>
        </w:rPr>
        <mc:AlternateContent>
          <mc:Choice Requires="wps">
            <w:drawing>
              <wp:anchor distT="0" distB="0" distL="114300" distR="114300" simplePos="0" relativeHeight="251669504" behindDoc="0" locked="0" layoutInCell="1" allowOverlap="1" wp14:anchorId="6FDD239F" wp14:editId="11AC77EF">
                <wp:simplePos x="0" y="0"/>
                <wp:positionH relativeFrom="column">
                  <wp:posOffset>1352550</wp:posOffset>
                </wp:positionH>
                <wp:positionV relativeFrom="paragraph">
                  <wp:posOffset>109220</wp:posOffset>
                </wp:positionV>
                <wp:extent cx="4441190" cy="23717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371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05AE350" w14:textId="77777777" w:rsidR="005B3F8C" w:rsidRPr="004E2649" w:rsidRDefault="005B3F8C"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187</w:t>
                            </w:r>
                            <w:r w:rsidRPr="004E2649">
                              <w:rPr>
                                <w:rFonts w:asciiTheme="majorHAnsi" w:hAnsiTheme="majorHAnsi" w:cs="Arial"/>
                                <w:b/>
                                <w:bCs/>
                                <w:color w:val="0D0D0D" w:themeColor="text1" w:themeTint="F2"/>
                                <w:sz w:val="36"/>
                                <w:szCs w:val="22"/>
                                <w:lang w:val="es-ES_tradnl"/>
                              </w:rPr>
                              <w:t>/</w:t>
                            </w:r>
                            <w:r>
                              <w:rPr>
                                <w:rFonts w:asciiTheme="majorHAnsi" w:hAnsiTheme="majorHAnsi" w:cs="Arial"/>
                                <w:b/>
                                <w:bCs/>
                                <w:color w:val="0D0D0D" w:themeColor="text1" w:themeTint="F2"/>
                                <w:sz w:val="36"/>
                                <w:szCs w:val="22"/>
                                <w:lang w:val="es-ES_tradnl"/>
                              </w:rPr>
                              <w:t>20</w:t>
                            </w:r>
                          </w:p>
                          <w:p w14:paraId="19CF4FB4" w14:textId="77777777" w:rsidR="005B3F8C" w:rsidRPr="004E2649" w:rsidRDefault="005B3F8C"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CASO </w:t>
                            </w:r>
                            <w:r>
                              <w:rPr>
                                <w:rFonts w:asciiTheme="majorHAnsi" w:hAnsiTheme="majorHAnsi" w:cs="Arial"/>
                                <w:b/>
                                <w:color w:val="0D0D0D" w:themeColor="text1" w:themeTint="F2"/>
                                <w:sz w:val="36"/>
                                <w:szCs w:val="22"/>
                                <w:lang w:val="es-ES_tradnl"/>
                              </w:rPr>
                              <w:t>12.204</w:t>
                            </w:r>
                          </w:p>
                          <w:p w14:paraId="4131657C" w14:textId="77777777" w:rsidR="005B3F8C" w:rsidRPr="0010736F" w:rsidRDefault="005B3F8C" w:rsidP="0006550A">
                            <w:pPr>
                              <w:spacing w:line="276" w:lineRule="auto"/>
                              <w:jc w:val="both"/>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ADMISIBILIDAD </w:t>
                            </w:r>
                            <w:r>
                              <w:rPr>
                                <w:rFonts w:asciiTheme="majorHAnsi" w:hAnsiTheme="majorHAnsi" w:cs="Arial"/>
                                <w:color w:val="0D0D0D" w:themeColor="text1" w:themeTint="F2"/>
                                <w:szCs w:val="22"/>
                                <w:lang w:val="es-ES_tradnl"/>
                              </w:rPr>
                              <w:t>Y FONDO</w:t>
                            </w:r>
                          </w:p>
                          <w:p w14:paraId="1F0F2FA0" w14:textId="77777777" w:rsidR="005B3F8C" w:rsidRPr="0010736F" w:rsidRDefault="005B3F8C" w:rsidP="0006550A">
                            <w:pPr>
                              <w:spacing w:line="276" w:lineRule="auto"/>
                              <w:jc w:val="both"/>
                              <w:rPr>
                                <w:rFonts w:asciiTheme="majorHAnsi" w:hAnsiTheme="majorHAnsi" w:cs="Arial"/>
                                <w:color w:val="0D0D0D" w:themeColor="text1" w:themeTint="F2"/>
                                <w:szCs w:val="22"/>
                                <w:lang w:val="es-ES_tradnl"/>
                              </w:rPr>
                            </w:pPr>
                            <w:bookmarkStart w:id="0" w:name="_ftnref1"/>
                          </w:p>
                          <w:p w14:paraId="24A2BDFB" w14:textId="77777777" w:rsidR="005B3F8C" w:rsidRDefault="005B3F8C" w:rsidP="0006550A">
                            <w:pPr>
                              <w:spacing w:line="276" w:lineRule="auto"/>
                              <w:jc w:val="both"/>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ASOCIACI</w:t>
                            </w:r>
                            <w:r>
                              <w:rPr>
                                <w:rFonts w:asciiTheme="majorHAnsi" w:hAnsiTheme="majorHAnsi" w:cs="Arial"/>
                                <w:color w:val="0D0D0D" w:themeColor="text1" w:themeTint="F2"/>
                                <w:szCs w:val="22"/>
                                <w:lang w:val="es-US"/>
                              </w:rPr>
                              <w:t>Ó</w:t>
                            </w:r>
                            <w:r>
                              <w:rPr>
                                <w:rFonts w:asciiTheme="majorHAnsi" w:hAnsiTheme="majorHAnsi" w:cs="Arial"/>
                                <w:color w:val="0D0D0D" w:themeColor="text1" w:themeTint="F2"/>
                                <w:szCs w:val="22"/>
                                <w:lang w:val="es-ES_tradnl"/>
                              </w:rPr>
                              <w:t>N CIVIL MEMORIA ACTIVA</w:t>
                            </w:r>
                          </w:p>
                          <w:p w14:paraId="125F0A26" w14:textId="77777777" w:rsidR="005B3F8C" w:rsidRDefault="005B3F8C" w:rsidP="0006550A">
                            <w:pPr>
                              <w:spacing w:line="276" w:lineRule="auto"/>
                              <w:jc w:val="both"/>
                              <w:rPr>
                                <w:rFonts w:asciiTheme="majorHAnsi" w:hAnsiTheme="majorHAnsi" w:cs="Arial"/>
                                <w:color w:val="0D0D0D" w:themeColor="text1" w:themeTint="F2"/>
                                <w:szCs w:val="22"/>
                                <w:lang w:val="es-AR"/>
                              </w:rPr>
                            </w:pPr>
                            <w:r w:rsidRPr="009F70EA">
                              <w:rPr>
                                <w:rFonts w:asciiTheme="majorHAnsi" w:hAnsiTheme="majorHAnsi" w:cs="Arial"/>
                                <w:color w:val="0D0D0D" w:themeColor="text1" w:themeTint="F2"/>
                                <w:szCs w:val="22"/>
                                <w:lang w:val="es-AR"/>
                              </w:rPr>
                              <w:t>(</w:t>
                            </w:r>
                            <w:r>
                              <w:rPr>
                                <w:rFonts w:asciiTheme="majorHAnsi" w:hAnsiTheme="majorHAnsi" w:cs="Arial"/>
                                <w:color w:val="0D0D0D" w:themeColor="text1" w:themeTint="F2"/>
                                <w:szCs w:val="22"/>
                                <w:lang w:val="es-AR"/>
                              </w:rPr>
                              <w:t>VÍCTIMAS Y FAMILIARES DE LAS VÍC</w:t>
                            </w:r>
                            <w:r w:rsidRPr="009F70EA">
                              <w:rPr>
                                <w:rFonts w:asciiTheme="majorHAnsi" w:hAnsiTheme="majorHAnsi" w:cs="Arial"/>
                                <w:color w:val="0D0D0D" w:themeColor="text1" w:themeTint="F2"/>
                                <w:szCs w:val="22"/>
                                <w:lang w:val="es-AR"/>
                              </w:rPr>
                              <w:t>TIMAS DEL ATENTADO TERRORISTA DEL 18 DE JULIO D</w:t>
                            </w:r>
                            <w:r>
                              <w:rPr>
                                <w:rFonts w:asciiTheme="majorHAnsi" w:hAnsiTheme="majorHAnsi" w:cs="Arial"/>
                                <w:color w:val="0D0D0D" w:themeColor="text1" w:themeTint="F2"/>
                                <w:szCs w:val="22"/>
                                <w:lang w:val="es-AR"/>
                              </w:rPr>
                              <w:t>E 1994 A LA SEDE DE LA ASOCIACIÓ</w:t>
                            </w:r>
                            <w:r w:rsidRPr="009F70EA">
                              <w:rPr>
                                <w:rFonts w:asciiTheme="majorHAnsi" w:hAnsiTheme="majorHAnsi" w:cs="Arial"/>
                                <w:color w:val="0D0D0D" w:themeColor="text1" w:themeTint="F2"/>
                                <w:szCs w:val="22"/>
                                <w:lang w:val="es-AR"/>
                              </w:rPr>
                              <w:t>N MUTUAL ISRAELITA-ARGENTINA</w:t>
                            </w:r>
                            <w:r>
                              <w:rPr>
                                <w:rFonts w:asciiTheme="majorHAnsi" w:hAnsiTheme="majorHAnsi" w:cs="Arial"/>
                                <w:color w:val="0D0D0D" w:themeColor="text1" w:themeTint="F2"/>
                                <w:szCs w:val="22"/>
                                <w:lang w:val="es-AR"/>
                              </w:rPr>
                              <w:t xml:space="preserve">) </w:t>
                            </w:r>
                          </w:p>
                          <w:p w14:paraId="6314FD9D" w14:textId="77777777" w:rsidR="005B3F8C" w:rsidRPr="009F70EA" w:rsidRDefault="005B3F8C" w:rsidP="0006550A">
                            <w:pPr>
                              <w:spacing w:line="276" w:lineRule="auto"/>
                              <w:jc w:val="both"/>
                              <w:rPr>
                                <w:rFonts w:asciiTheme="majorHAnsi" w:hAnsiTheme="majorHAnsi" w:cs="Arial"/>
                                <w:color w:val="0D0D0D" w:themeColor="text1" w:themeTint="F2"/>
                                <w:szCs w:val="22"/>
                                <w:lang w:val="es-AR"/>
                              </w:rPr>
                            </w:pPr>
                          </w:p>
                          <w:bookmarkEnd w:id="0"/>
                          <w:p w14:paraId="37525783" w14:textId="77777777" w:rsidR="005B3F8C" w:rsidRPr="0010736F" w:rsidRDefault="005B3F8C" w:rsidP="0006550A">
                            <w:pPr>
                              <w:spacing w:line="276" w:lineRule="auto"/>
                              <w:jc w:val="both"/>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ARGENTINA</w:t>
                            </w:r>
                          </w:p>
                          <w:p w14:paraId="6CF41082" w14:textId="77777777" w:rsidR="005B3F8C" w:rsidRPr="00AE5488" w:rsidRDefault="005B3F8C"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DD239F" id="Text Box 5" o:spid="_x0000_s1027" type="#_x0000_t202" style="position:absolute;left:0;text-align:left;margin-left:106.5pt;margin-top:8.6pt;width:349.7pt;height:186.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" filled="f" stroked="f" strokeweight=".5pt">
                <v:textbox>
                  <w:txbxContent>
                    <w:p w14:paraId="605AE350" w14:textId="77777777" w:rsidR="005B3F8C" w:rsidRPr="004E2649" w:rsidRDefault="005B3F8C"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187</w:t>
                      </w:r>
                      <w:r w:rsidRPr="004E2649">
                        <w:rPr>
                          <w:rFonts w:asciiTheme="majorHAnsi" w:hAnsiTheme="majorHAnsi" w:cs="Arial"/>
                          <w:b/>
                          <w:bCs/>
                          <w:color w:val="0D0D0D" w:themeColor="text1" w:themeTint="F2"/>
                          <w:sz w:val="36"/>
                          <w:szCs w:val="22"/>
                          <w:lang w:val="es-ES_tradnl"/>
                        </w:rPr>
                        <w:t>/</w:t>
                      </w:r>
                      <w:r>
                        <w:rPr>
                          <w:rFonts w:asciiTheme="majorHAnsi" w:hAnsiTheme="majorHAnsi" w:cs="Arial"/>
                          <w:b/>
                          <w:bCs/>
                          <w:color w:val="0D0D0D" w:themeColor="text1" w:themeTint="F2"/>
                          <w:sz w:val="36"/>
                          <w:szCs w:val="22"/>
                          <w:lang w:val="es-ES_tradnl"/>
                        </w:rPr>
                        <w:t>20</w:t>
                      </w:r>
                    </w:p>
                    <w:p w14:paraId="19CF4FB4" w14:textId="77777777" w:rsidR="005B3F8C" w:rsidRPr="004E2649" w:rsidRDefault="005B3F8C"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CASO </w:t>
                      </w:r>
                      <w:r>
                        <w:rPr>
                          <w:rFonts w:asciiTheme="majorHAnsi" w:hAnsiTheme="majorHAnsi" w:cs="Arial"/>
                          <w:b/>
                          <w:color w:val="0D0D0D" w:themeColor="text1" w:themeTint="F2"/>
                          <w:sz w:val="36"/>
                          <w:szCs w:val="22"/>
                          <w:lang w:val="es-ES_tradnl"/>
                        </w:rPr>
                        <w:t>12.204</w:t>
                      </w:r>
                    </w:p>
                    <w:p w14:paraId="4131657C" w14:textId="77777777" w:rsidR="005B3F8C" w:rsidRPr="0010736F" w:rsidRDefault="005B3F8C" w:rsidP="0006550A">
                      <w:pPr>
                        <w:spacing w:line="276" w:lineRule="auto"/>
                        <w:jc w:val="both"/>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ADMISIBILIDAD </w:t>
                      </w:r>
                      <w:r>
                        <w:rPr>
                          <w:rFonts w:asciiTheme="majorHAnsi" w:hAnsiTheme="majorHAnsi" w:cs="Arial"/>
                          <w:color w:val="0D0D0D" w:themeColor="text1" w:themeTint="F2"/>
                          <w:szCs w:val="22"/>
                          <w:lang w:val="es-ES_tradnl"/>
                        </w:rPr>
                        <w:t>Y FONDO</w:t>
                      </w:r>
                    </w:p>
                    <w:p w14:paraId="1F0F2FA0" w14:textId="77777777" w:rsidR="005B3F8C" w:rsidRPr="0010736F" w:rsidRDefault="005B3F8C" w:rsidP="0006550A">
                      <w:pPr>
                        <w:spacing w:line="276" w:lineRule="auto"/>
                        <w:jc w:val="both"/>
                        <w:rPr>
                          <w:rFonts w:asciiTheme="majorHAnsi" w:hAnsiTheme="majorHAnsi" w:cs="Arial"/>
                          <w:color w:val="0D0D0D" w:themeColor="text1" w:themeTint="F2"/>
                          <w:szCs w:val="22"/>
                          <w:lang w:val="es-ES_tradnl"/>
                        </w:rPr>
                      </w:pPr>
                      <w:bookmarkStart w:id="1" w:name="_ftnref1"/>
                    </w:p>
                    <w:p w14:paraId="24A2BDFB" w14:textId="77777777" w:rsidR="005B3F8C" w:rsidRDefault="005B3F8C" w:rsidP="0006550A">
                      <w:pPr>
                        <w:spacing w:line="276" w:lineRule="auto"/>
                        <w:jc w:val="both"/>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ASOCIACI</w:t>
                      </w:r>
                      <w:r>
                        <w:rPr>
                          <w:rFonts w:asciiTheme="majorHAnsi" w:hAnsiTheme="majorHAnsi" w:cs="Arial"/>
                          <w:color w:val="0D0D0D" w:themeColor="text1" w:themeTint="F2"/>
                          <w:szCs w:val="22"/>
                          <w:lang w:val="es-US"/>
                        </w:rPr>
                        <w:t>Ó</w:t>
                      </w:r>
                      <w:r>
                        <w:rPr>
                          <w:rFonts w:asciiTheme="majorHAnsi" w:hAnsiTheme="majorHAnsi" w:cs="Arial"/>
                          <w:color w:val="0D0D0D" w:themeColor="text1" w:themeTint="F2"/>
                          <w:szCs w:val="22"/>
                          <w:lang w:val="es-ES_tradnl"/>
                        </w:rPr>
                        <w:t>N CIVIL MEMORIA ACTIVA</w:t>
                      </w:r>
                    </w:p>
                    <w:p w14:paraId="125F0A26" w14:textId="77777777" w:rsidR="005B3F8C" w:rsidRDefault="005B3F8C" w:rsidP="0006550A">
                      <w:pPr>
                        <w:spacing w:line="276" w:lineRule="auto"/>
                        <w:jc w:val="both"/>
                        <w:rPr>
                          <w:rFonts w:asciiTheme="majorHAnsi" w:hAnsiTheme="majorHAnsi" w:cs="Arial"/>
                          <w:color w:val="0D0D0D" w:themeColor="text1" w:themeTint="F2"/>
                          <w:szCs w:val="22"/>
                          <w:lang w:val="es-AR"/>
                        </w:rPr>
                      </w:pPr>
                      <w:r w:rsidRPr="009F70EA">
                        <w:rPr>
                          <w:rFonts w:asciiTheme="majorHAnsi" w:hAnsiTheme="majorHAnsi" w:cs="Arial"/>
                          <w:color w:val="0D0D0D" w:themeColor="text1" w:themeTint="F2"/>
                          <w:szCs w:val="22"/>
                          <w:lang w:val="es-AR"/>
                        </w:rPr>
                        <w:t>(</w:t>
                      </w:r>
                      <w:r>
                        <w:rPr>
                          <w:rFonts w:asciiTheme="majorHAnsi" w:hAnsiTheme="majorHAnsi" w:cs="Arial"/>
                          <w:color w:val="0D0D0D" w:themeColor="text1" w:themeTint="F2"/>
                          <w:szCs w:val="22"/>
                          <w:lang w:val="es-AR"/>
                        </w:rPr>
                        <w:t>VÍCTIMAS Y FAMILIARES DE LAS VÍC</w:t>
                      </w:r>
                      <w:r w:rsidRPr="009F70EA">
                        <w:rPr>
                          <w:rFonts w:asciiTheme="majorHAnsi" w:hAnsiTheme="majorHAnsi" w:cs="Arial"/>
                          <w:color w:val="0D0D0D" w:themeColor="text1" w:themeTint="F2"/>
                          <w:szCs w:val="22"/>
                          <w:lang w:val="es-AR"/>
                        </w:rPr>
                        <w:t>TIMAS DEL ATENTADO TERRORISTA DEL 18 DE JULIO D</w:t>
                      </w:r>
                      <w:r>
                        <w:rPr>
                          <w:rFonts w:asciiTheme="majorHAnsi" w:hAnsiTheme="majorHAnsi" w:cs="Arial"/>
                          <w:color w:val="0D0D0D" w:themeColor="text1" w:themeTint="F2"/>
                          <w:szCs w:val="22"/>
                          <w:lang w:val="es-AR"/>
                        </w:rPr>
                        <w:t>E 1994 A LA SEDE DE LA ASOCIACIÓ</w:t>
                      </w:r>
                      <w:r w:rsidRPr="009F70EA">
                        <w:rPr>
                          <w:rFonts w:asciiTheme="majorHAnsi" w:hAnsiTheme="majorHAnsi" w:cs="Arial"/>
                          <w:color w:val="0D0D0D" w:themeColor="text1" w:themeTint="F2"/>
                          <w:szCs w:val="22"/>
                          <w:lang w:val="es-AR"/>
                        </w:rPr>
                        <w:t>N MUTUAL ISRAELITA-ARGENTINA</w:t>
                      </w:r>
                      <w:r>
                        <w:rPr>
                          <w:rFonts w:asciiTheme="majorHAnsi" w:hAnsiTheme="majorHAnsi" w:cs="Arial"/>
                          <w:color w:val="0D0D0D" w:themeColor="text1" w:themeTint="F2"/>
                          <w:szCs w:val="22"/>
                          <w:lang w:val="es-AR"/>
                        </w:rPr>
                        <w:t xml:space="preserve">) </w:t>
                      </w:r>
                    </w:p>
                    <w:p w14:paraId="6314FD9D" w14:textId="77777777" w:rsidR="005B3F8C" w:rsidRPr="009F70EA" w:rsidRDefault="005B3F8C" w:rsidP="0006550A">
                      <w:pPr>
                        <w:spacing w:line="276" w:lineRule="auto"/>
                        <w:jc w:val="both"/>
                        <w:rPr>
                          <w:rFonts w:asciiTheme="majorHAnsi" w:hAnsiTheme="majorHAnsi" w:cs="Arial"/>
                          <w:color w:val="0D0D0D" w:themeColor="text1" w:themeTint="F2"/>
                          <w:szCs w:val="22"/>
                          <w:lang w:val="es-AR"/>
                        </w:rPr>
                      </w:pPr>
                    </w:p>
                    <w:bookmarkEnd w:id="1"/>
                    <w:p w14:paraId="37525783" w14:textId="77777777" w:rsidR="005B3F8C" w:rsidRPr="0010736F" w:rsidRDefault="005B3F8C" w:rsidP="0006550A">
                      <w:pPr>
                        <w:spacing w:line="276" w:lineRule="auto"/>
                        <w:jc w:val="both"/>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ARGENTINA</w:t>
                      </w:r>
                    </w:p>
                    <w:p w14:paraId="6CF41082" w14:textId="77777777" w:rsidR="005B3F8C" w:rsidRPr="00AE5488" w:rsidRDefault="005B3F8C" w:rsidP="007A5817">
                      <w:pPr>
                        <w:rPr>
                          <w:color w:val="0D0D0D" w:themeColor="text1" w:themeTint="F2"/>
                          <w:lang w:val="es-ES_tradnl"/>
                        </w:rPr>
                      </w:pPr>
                    </w:p>
                  </w:txbxContent>
                </v:textbox>
              </v:shape>
            </w:pict>
          </mc:Fallback>
        </mc:AlternateContent>
      </w:r>
      <w:r w:rsidR="004E2649" w:rsidRPr="00386E47">
        <w:rPr>
          <w:rFonts w:asciiTheme="majorHAnsi" w:hAnsiTheme="majorHAnsi"/>
          <w:noProof/>
          <w:sz w:val="22"/>
          <w:szCs w:val="22"/>
          <w:lang w:val="en-US" w:eastAsia="en-US"/>
        </w:rPr>
        <mc:AlternateContent>
          <mc:Choice Requires="wps">
            <w:drawing>
              <wp:anchor distT="0" distB="0" distL="114300" distR="114300" simplePos="0" relativeHeight="251671552" behindDoc="0" locked="0" layoutInCell="1" allowOverlap="1" wp14:anchorId="2081D854" wp14:editId="3054D373">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060B1F3" w14:textId="77777777" w:rsidR="005B3F8C" w:rsidRPr="004E2649" w:rsidRDefault="005B3F8C"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OEA/Ser.L/V/II.176</w:t>
                            </w:r>
                          </w:p>
                          <w:p w14:paraId="4897BB9A" w14:textId="77777777" w:rsidR="005B3F8C" w:rsidRPr="004E2649" w:rsidRDefault="005B3F8C"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200</w:t>
                            </w:r>
                          </w:p>
                          <w:p w14:paraId="0004D466" w14:textId="77777777" w:rsidR="005B3F8C" w:rsidRPr="00644B93" w:rsidRDefault="005B3F8C" w:rsidP="007A5817">
                            <w:pPr>
                              <w:spacing w:line="276" w:lineRule="auto"/>
                              <w:jc w:val="right"/>
                              <w:rPr>
                                <w:rFonts w:asciiTheme="minorHAnsi" w:hAnsiTheme="minorHAnsi"/>
                                <w:color w:val="FFFFFF" w:themeColor="background1"/>
                                <w:sz w:val="22"/>
                                <w:lang w:val="es-AR"/>
                              </w:rPr>
                            </w:pPr>
                            <w:r w:rsidRPr="00644B93">
                              <w:rPr>
                                <w:rFonts w:asciiTheme="minorHAnsi" w:hAnsiTheme="minorHAnsi"/>
                                <w:color w:val="FFFFFF" w:themeColor="background1"/>
                                <w:sz w:val="22"/>
                                <w:lang w:val="es-AR"/>
                              </w:rPr>
                              <w:t>14 de julio de 2020</w:t>
                            </w:r>
                          </w:p>
                          <w:p w14:paraId="5454EB2D" w14:textId="77777777" w:rsidR="005B3F8C" w:rsidRPr="00384A58" w:rsidRDefault="005B3F8C" w:rsidP="007A5817">
                            <w:pPr>
                              <w:spacing w:line="276" w:lineRule="auto"/>
                              <w:jc w:val="right"/>
                              <w:rPr>
                                <w:rFonts w:asciiTheme="minorHAnsi" w:hAnsiTheme="minorHAnsi"/>
                                <w:color w:val="FFFFFF" w:themeColor="background1"/>
                                <w:sz w:val="22"/>
                                <w:lang w:val="es-AR"/>
                              </w:rPr>
                            </w:pPr>
                            <w:r w:rsidRPr="00384A58">
                              <w:rPr>
                                <w:rFonts w:asciiTheme="minorHAnsi" w:hAnsiTheme="minorHAnsi"/>
                                <w:color w:val="FFFFFF" w:themeColor="background1"/>
                                <w:sz w:val="22"/>
                                <w:lang w:val="es-AR"/>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81D854"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7060B1F3" w14:textId="77777777" w:rsidR="005B3F8C" w:rsidRPr="004E2649" w:rsidRDefault="005B3F8C"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OEA/Ser.L/V/II.176</w:t>
                      </w:r>
                    </w:p>
                    <w:p w14:paraId="4897BB9A" w14:textId="77777777" w:rsidR="005B3F8C" w:rsidRPr="004E2649" w:rsidRDefault="005B3F8C"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200</w:t>
                      </w:r>
                    </w:p>
                    <w:p w14:paraId="0004D466" w14:textId="77777777" w:rsidR="005B3F8C" w:rsidRPr="00644B93" w:rsidRDefault="005B3F8C" w:rsidP="007A5817">
                      <w:pPr>
                        <w:spacing w:line="276" w:lineRule="auto"/>
                        <w:jc w:val="right"/>
                        <w:rPr>
                          <w:rFonts w:asciiTheme="minorHAnsi" w:hAnsiTheme="minorHAnsi"/>
                          <w:color w:val="FFFFFF" w:themeColor="background1"/>
                          <w:sz w:val="22"/>
                          <w:lang w:val="es-AR"/>
                        </w:rPr>
                      </w:pPr>
                      <w:r w:rsidRPr="00644B93">
                        <w:rPr>
                          <w:rFonts w:asciiTheme="minorHAnsi" w:hAnsiTheme="minorHAnsi"/>
                          <w:color w:val="FFFFFF" w:themeColor="background1"/>
                          <w:sz w:val="22"/>
                          <w:lang w:val="es-AR"/>
                        </w:rPr>
                        <w:t>14 de julio de 2020</w:t>
                      </w:r>
                    </w:p>
                    <w:p w14:paraId="5454EB2D" w14:textId="77777777" w:rsidR="005B3F8C" w:rsidRPr="00384A58" w:rsidRDefault="005B3F8C" w:rsidP="007A5817">
                      <w:pPr>
                        <w:spacing w:line="276" w:lineRule="auto"/>
                        <w:jc w:val="right"/>
                        <w:rPr>
                          <w:rFonts w:asciiTheme="minorHAnsi" w:hAnsiTheme="minorHAnsi"/>
                          <w:color w:val="FFFFFF" w:themeColor="background1"/>
                          <w:sz w:val="22"/>
                          <w:lang w:val="es-AR"/>
                        </w:rPr>
                      </w:pPr>
                      <w:r w:rsidRPr="00384A58">
                        <w:rPr>
                          <w:rFonts w:asciiTheme="minorHAnsi" w:hAnsiTheme="minorHAnsi"/>
                          <w:color w:val="FFFFFF" w:themeColor="background1"/>
                          <w:sz w:val="22"/>
                          <w:lang w:val="es-AR"/>
                        </w:rPr>
                        <w:t>Original: español</w:t>
                      </w:r>
                    </w:p>
                  </w:txbxContent>
                </v:textbox>
              </v:shape>
            </w:pict>
          </mc:Fallback>
        </mc:AlternateContent>
      </w:r>
    </w:p>
    <w:p w14:paraId="68EC1565" w14:textId="77777777" w:rsidR="00040C3A" w:rsidRPr="00386E47" w:rsidRDefault="00040C3A" w:rsidP="00040C3A">
      <w:pPr>
        <w:tabs>
          <w:tab w:val="center" w:pos="5400"/>
        </w:tabs>
        <w:suppressAutoHyphens/>
        <w:jc w:val="center"/>
        <w:rPr>
          <w:rFonts w:asciiTheme="majorHAnsi" w:hAnsiTheme="majorHAnsi"/>
          <w:sz w:val="22"/>
          <w:szCs w:val="22"/>
          <w:lang w:val="en-US"/>
        </w:rPr>
      </w:pPr>
    </w:p>
    <w:p w14:paraId="43FDA326" w14:textId="77777777" w:rsidR="00040C3A" w:rsidRPr="00386E47" w:rsidRDefault="00040C3A" w:rsidP="00040C3A">
      <w:pPr>
        <w:tabs>
          <w:tab w:val="center" w:pos="5400"/>
        </w:tabs>
        <w:suppressAutoHyphens/>
        <w:jc w:val="center"/>
        <w:rPr>
          <w:rFonts w:asciiTheme="majorHAnsi" w:hAnsiTheme="majorHAnsi"/>
          <w:sz w:val="22"/>
          <w:szCs w:val="22"/>
          <w:lang w:val="en-US"/>
        </w:rPr>
      </w:pPr>
    </w:p>
    <w:p w14:paraId="7468D260" w14:textId="77777777" w:rsidR="00040C3A" w:rsidRPr="00386E47" w:rsidRDefault="00040C3A" w:rsidP="00040C3A">
      <w:pPr>
        <w:tabs>
          <w:tab w:val="center" w:pos="5400"/>
        </w:tabs>
        <w:suppressAutoHyphens/>
        <w:jc w:val="center"/>
        <w:rPr>
          <w:rFonts w:asciiTheme="majorHAnsi" w:hAnsiTheme="majorHAnsi" w:cs="Arial"/>
          <w:sz w:val="22"/>
          <w:szCs w:val="22"/>
          <w:lang w:val="en-US"/>
        </w:rPr>
      </w:pPr>
    </w:p>
    <w:p w14:paraId="745BAA74" w14:textId="77777777" w:rsidR="00040C3A" w:rsidRPr="00386E47" w:rsidRDefault="00040C3A" w:rsidP="00040C3A">
      <w:pPr>
        <w:tabs>
          <w:tab w:val="center" w:pos="5400"/>
        </w:tabs>
        <w:suppressAutoHyphens/>
        <w:jc w:val="center"/>
        <w:rPr>
          <w:rFonts w:asciiTheme="majorHAnsi" w:hAnsiTheme="majorHAnsi"/>
          <w:sz w:val="22"/>
          <w:szCs w:val="22"/>
          <w:lang w:val="en-US"/>
        </w:rPr>
      </w:pPr>
    </w:p>
    <w:p w14:paraId="7BA70E76" w14:textId="77777777" w:rsidR="00040C3A" w:rsidRPr="00386E47" w:rsidRDefault="00040C3A" w:rsidP="00040C3A">
      <w:pPr>
        <w:tabs>
          <w:tab w:val="center" w:pos="5400"/>
        </w:tabs>
        <w:suppressAutoHyphens/>
        <w:jc w:val="center"/>
        <w:rPr>
          <w:rFonts w:asciiTheme="majorHAnsi" w:hAnsiTheme="majorHAnsi"/>
          <w:sz w:val="22"/>
          <w:szCs w:val="22"/>
          <w:lang w:val="en-US"/>
        </w:rPr>
      </w:pPr>
    </w:p>
    <w:p w14:paraId="52E2BB7A" w14:textId="77777777" w:rsidR="00040C3A" w:rsidRPr="00386E47" w:rsidRDefault="00040C3A" w:rsidP="00040C3A">
      <w:pPr>
        <w:tabs>
          <w:tab w:val="center" w:pos="5400"/>
        </w:tabs>
        <w:suppressAutoHyphens/>
        <w:jc w:val="center"/>
        <w:rPr>
          <w:rFonts w:asciiTheme="majorHAnsi" w:hAnsiTheme="majorHAnsi"/>
          <w:sz w:val="22"/>
          <w:szCs w:val="22"/>
          <w:lang w:val="en-US"/>
        </w:rPr>
      </w:pPr>
    </w:p>
    <w:p w14:paraId="5F3F25D7" w14:textId="77777777" w:rsidR="00040C3A" w:rsidRPr="00386E47" w:rsidRDefault="00040C3A" w:rsidP="00040C3A">
      <w:pPr>
        <w:tabs>
          <w:tab w:val="center" w:pos="5400"/>
        </w:tabs>
        <w:suppressAutoHyphens/>
        <w:jc w:val="center"/>
        <w:rPr>
          <w:rFonts w:asciiTheme="majorHAnsi" w:hAnsiTheme="majorHAnsi"/>
          <w:sz w:val="22"/>
          <w:szCs w:val="22"/>
          <w:lang w:val="en-US"/>
        </w:rPr>
      </w:pPr>
    </w:p>
    <w:p w14:paraId="149B7FE0" w14:textId="77777777" w:rsidR="005128E4" w:rsidRPr="00386E47" w:rsidRDefault="005128E4" w:rsidP="00040C3A">
      <w:pPr>
        <w:tabs>
          <w:tab w:val="center" w:pos="5400"/>
        </w:tabs>
        <w:suppressAutoHyphens/>
        <w:jc w:val="center"/>
        <w:rPr>
          <w:rFonts w:asciiTheme="majorHAnsi" w:hAnsiTheme="majorHAnsi"/>
          <w:sz w:val="22"/>
          <w:szCs w:val="22"/>
          <w:lang w:val="en-US"/>
        </w:rPr>
      </w:pPr>
    </w:p>
    <w:p w14:paraId="2C8574E4" w14:textId="77777777" w:rsidR="00040C3A" w:rsidRPr="00386E47" w:rsidRDefault="00040C3A" w:rsidP="00040C3A">
      <w:pPr>
        <w:tabs>
          <w:tab w:val="center" w:pos="5400"/>
        </w:tabs>
        <w:suppressAutoHyphens/>
        <w:jc w:val="center"/>
        <w:rPr>
          <w:rFonts w:asciiTheme="majorHAnsi" w:hAnsiTheme="majorHAnsi"/>
          <w:sz w:val="22"/>
          <w:szCs w:val="22"/>
          <w:lang w:val="en-US"/>
        </w:rPr>
      </w:pPr>
    </w:p>
    <w:p w14:paraId="16E2115E" w14:textId="77777777" w:rsidR="005128E4" w:rsidRPr="00386E47" w:rsidRDefault="005128E4" w:rsidP="00040C3A">
      <w:pPr>
        <w:tabs>
          <w:tab w:val="center" w:pos="5400"/>
        </w:tabs>
        <w:suppressAutoHyphens/>
        <w:jc w:val="center"/>
        <w:rPr>
          <w:rFonts w:asciiTheme="majorHAnsi" w:hAnsiTheme="majorHAnsi"/>
          <w:sz w:val="22"/>
          <w:szCs w:val="22"/>
          <w:lang w:val="en-US"/>
        </w:rPr>
      </w:pPr>
    </w:p>
    <w:p w14:paraId="79C10203" w14:textId="77777777" w:rsidR="005128E4" w:rsidRPr="00386E47" w:rsidRDefault="005128E4" w:rsidP="00040C3A">
      <w:pPr>
        <w:tabs>
          <w:tab w:val="center" w:pos="5400"/>
        </w:tabs>
        <w:suppressAutoHyphens/>
        <w:jc w:val="center"/>
        <w:rPr>
          <w:rFonts w:asciiTheme="majorHAnsi" w:hAnsiTheme="majorHAnsi"/>
          <w:sz w:val="22"/>
          <w:szCs w:val="22"/>
          <w:lang w:val="en-US"/>
        </w:rPr>
      </w:pPr>
    </w:p>
    <w:p w14:paraId="7C771623" w14:textId="77777777" w:rsidR="005128E4" w:rsidRPr="00386E47" w:rsidRDefault="005128E4" w:rsidP="00040C3A">
      <w:pPr>
        <w:tabs>
          <w:tab w:val="center" w:pos="5400"/>
        </w:tabs>
        <w:suppressAutoHyphens/>
        <w:jc w:val="center"/>
        <w:rPr>
          <w:rFonts w:asciiTheme="majorHAnsi" w:hAnsiTheme="majorHAnsi"/>
          <w:sz w:val="22"/>
          <w:szCs w:val="22"/>
          <w:lang w:val="en-US"/>
        </w:rPr>
      </w:pPr>
    </w:p>
    <w:p w14:paraId="7F993007" w14:textId="77777777" w:rsidR="00040C3A" w:rsidRPr="00386E47" w:rsidRDefault="00040C3A" w:rsidP="00040C3A">
      <w:pPr>
        <w:tabs>
          <w:tab w:val="center" w:pos="5400"/>
        </w:tabs>
        <w:suppressAutoHyphens/>
        <w:jc w:val="center"/>
        <w:rPr>
          <w:rFonts w:asciiTheme="majorHAnsi" w:hAnsiTheme="majorHAnsi"/>
          <w:sz w:val="22"/>
          <w:szCs w:val="22"/>
          <w:lang w:val="en-US"/>
        </w:rPr>
      </w:pPr>
    </w:p>
    <w:p w14:paraId="32D46B5D" w14:textId="77777777" w:rsidR="00040C3A" w:rsidRPr="00386E47" w:rsidRDefault="00040C3A" w:rsidP="00040C3A">
      <w:pPr>
        <w:tabs>
          <w:tab w:val="center" w:pos="5400"/>
        </w:tabs>
        <w:suppressAutoHyphens/>
        <w:jc w:val="center"/>
        <w:rPr>
          <w:rFonts w:asciiTheme="majorHAnsi" w:hAnsiTheme="majorHAnsi"/>
          <w:sz w:val="22"/>
          <w:szCs w:val="22"/>
          <w:lang w:val="en-US"/>
        </w:rPr>
      </w:pPr>
    </w:p>
    <w:p w14:paraId="1A279B24" w14:textId="77777777" w:rsidR="00A50FCF" w:rsidRPr="00386E47" w:rsidRDefault="00A50FCF" w:rsidP="00040C3A">
      <w:pPr>
        <w:tabs>
          <w:tab w:val="center" w:pos="5400"/>
        </w:tabs>
        <w:suppressAutoHyphens/>
        <w:jc w:val="center"/>
        <w:rPr>
          <w:rFonts w:asciiTheme="majorHAnsi" w:hAnsiTheme="majorHAnsi"/>
          <w:sz w:val="18"/>
          <w:szCs w:val="22"/>
          <w:lang w:val="en-US"/>
        </w:rPr>
      </w:pPr>
    </w:p>
    <w:p w14:paraId="7C776B12" w14:textId="77777777" w:rsidR="00A50FCF" w:rsidRPr="00386E47" w:rsidRDefault="00A50FCF" w:rsidP="00040C3A">
      <w:pPr>
        <w:tabs>
          <w:tab w:val="center" w:pos="5400"/>
        </w:tabs>
        <w:suppressAutoHyphens/>
        <w:jc w:val="center"/>
        <w:rPr>
          <w:rFonts w:asciiTheme="majorHAnsi" w:hAnsiTheme="majorHAnsi"/>
          <w:sz w:val="18"/>
          <w:szCs w:val="22"/>
          <w:lang w:val="en-US"/>
        </w:rPr>
      </w:pPr>
    </w:p>
    <w:p w14:paraId="0C539E2F" w14:textId="77777777" w:rsidR="00A50FCF" w:rsidRPr="00386E47" w:rsidRDefault="00A50FCF" w:rsidP="00040C3A">
      <w:pPr>
        <w:tabs>
          <w:tab w:val="center" w:pos="5400"/>
        </w:tabs>
        <w:suppressAutoHyphens/>
        <w:jc w:val="center"/>
        <w:rPr>
          <w:rFonts w:asciiTheme="majorHAnsi" w:hAnsiTheme="majorHAnsi"/>
          <w:sz w:val="18"/>
          <w:szCs w:val="22"/>
          <w:lang w:val="en-US"/>
        </w:rPr>
      </w:pPr>
    </w:p>
    <w:p w14:paraId="7EE8224C" w14:textId="77777777" w:rsidR="00A50FCF" w:rsidRPr="00386E47" w:rsidRDefault="00A50FCF" w:rsidP="00040C3A">
      <w:pPr>
        <w:tabs>
          <w:tab w:val="center" w:pos="5400"/>
        </w:tabs>
        <w:suppressAutoHyphens/>
        <w:jc w:val="center"/>
        <w:rPr>
          <w:rFonts w:asciiTheme="majorHAnsi" w:hAnsiTheme="majorHAnsi"/>
          <w:sz w:val="18"/>
          <w:szCs w:val="22"/>
          <w:lang w:val="en-US"/>
        </w:rPr>
      </w:pPr>
    </w:p>
    <w:p w14:paraId="2A78CAC7" w14:textId="77777777" w:rsidR="00A50FCF" w:rsidRPr="00386E47" w:rsidRDefault="00A50FCF" w:rsidP="00040C3A">
      <w:pPr>
        <w:tabs>
          <w:tab w:val="center" w:pos="5400"/>
        </w:tabs>
        <w:suppressAutoHyphens/>
        <w:jc w:val="center"/>
        <w:rPr>
          <w:rFonts w:asciiTheme="majorHAnsi" w:hAnsiTheme="majorHAnsi"/>
          <w:sz w:val="18"/>
          <w:szCs w:val="22"/>
          <w:lang w:val="en-US"/>
        </w:rPr>
      </w:pPr>
    </w:p>
    <w:p w14:paraId="7707EFDC" w14:textId="77777777" w:rsidR="00A50FCF" w:rsidRPr="00386E47" w:rsidRDefault="00A50FCF" w:rsidP="00040C3A">
      <w:pPr>
        <w:tabs>
          <w:tab w:val="center" w:pos="5400"/>
        </w:tabs>
        <w:suppressAutoHyphens/>
        <w:jc w:val="center"/>
        <w:rPr>
          <w:rFonts w:asciiTheme="majorHAnsi" w:hAnsiTheme="majorHAnsi"/>
          <w:sz w:val="18"/>
          <w:szCs w:val="22"/>
          <w:lang w:val="en-US"/>
        </w:rPr>
      </w:pPr>
    </w:p>
    <w:p w14:paraId="0689B446" w14:textId="77777777" w:rsidR="00A50FCF" w:rsidRPr="00386E47" w:rsidRDefault="00A50FCF" w:rsidP="00040C3A">
      <w:pPr>
        <w:tabs>
          <w:tab w:val="center" w:pos="5400"/>
        </w:tabs>
        <w:suppressAutoHyphens/>
        <w:jc w:val="center"/>
        <w:rPr>
          <w:rFonts w:asciiTheme="majorHAnsi" w:hAnsiTheme="majorHAnsi"/>
          <w:sz w:val="18"/>
          <w:szCs w:val="22"/>
          <w:lang w:val="en-US"/>
        </w:rPr>
      </w:pPr>
    </w:p>
    <w:p w14:paraId="6BD5A3E4" w14:textId="77777777" w:rsidR="00A50FCF" w:rsidRPr="00386E47" w:rsidRDefault="00A50FCF" w:rsidP="00040C3A">
      <w:pPr>
        <w:tabs>
          <w:tab w:val="center" w:pos="5400"/>
        </w:tabs>
        <w:suppressAutoHyphens/>
        <w:jc w:val="center"/>
        <w:rPr>
          <w:rFonts w:asciiTheme="majorHAnsi" w:hAnsiTheme="majorHAnsi"/>
          <w:sz w:val="18"/>
          <w:szCs w:val="22"/>
          <w:lang w:val="en-US"/>
        </w:rPr>
      </w:pPr>
    </w:p>
    <w:p w14:paraId="7DFD4016" w14:textId="77777777" w:rsidR="00A50FCF" w:rsidRPr="00386E47" w:rsidRDefault="00A50FCF" w:rsidP="00040C3A">
      <w:pPr>
        <w:tabs>
          <w:tab w:val="center" w:pos="5400"/>
        </w:tabs>
        <w:suppressAutoHyphens/>
        <w:jc w:val="center"/>
        <w:rPr>
          <w:rFonts w:asciiTheme="majorHAnsi" w:hAnsiTheme="majorHAnsi"/>
          <w:sz w:val="18"/>
          <w:szCs w:val="22"/>
          <w:lang w:val="en-US"/>
        </w:rPr>
      </w:pPr>
    </w:p>
    <w:p w14:paraId="7790794F" w14:textId="77777777" w:rsidR="00A50FCF" w:rsidRPr="00386E47" w:rsidRDefault="00A50FCF" w:rsidP="00040C3A">
      <w:pPr>
        <w:tabs>
          <w:tab w:val="center" w:pos="5400"/>
        </w:tabs>
        <w:suppressAutoHyphens/>
        <w:jc w:val="center"/>
        <w:rPr>
          <w:rFonts w:asciiTheme="majorHAnsi" w:hAnsiTheme="majorHAnsi"/>
          <w:sz w:val="18"/>
          <w:szCs w:val="22"/>
          <w:lang w:val="en-US"/>
        </w:rPr>
      </w:pPr>
    </w:p>
    <w:p w14:paraId="7C8ACC7F" w14:textId="77777777" w:rsidR="00A50FCF" w:rsidRPr="00386E47" w:rsidRDefault="00A50FCF" w:rsidP="00040C3A">
      <w:pPr>
        <w:tabs>
          <w:tab w:val="center" w:pos="5400"/>
        </w:tabs>
        <w:suppressAutoHyphens/>
        <w:jc w:val="center"/>
        <w:rPr>
          <w:rFonts w:asciiTheme="majorHAnsi" w:hAnsiTheme="majorHAnsi"/>
          <w:sz w:val="18"/>
          <w:szCs w:val="22"/>
          <w:lang w:val="en-US"/>
        </w:rPr>
      </w:pPr>
    </w:p>
    <w:p w14:paraId="73D42DA1" w14:textId="77777777" w:rsidR="00A50FCF" w:rsidRPr="00386E47" w:rsidRDefault="00A50FCF" w:rsidP="00040C3A">
      <w:pPr>
        <w:tabs>
          <w:tab w:val="center" w:pos="5400"/>
        </w:tabs>
        <w:suppressAutoHyphens/>
        <w:jc w:val="center"/>
        <w:rPr>
          <w:rFonts w:asciiTheme="majorHAnsi" w:hAnsiTheme="majorHAnsi"/>
          <w:sz w:val="18"/>
          <w:szCs w:val="22"/>
          <w:lang w:val="en-US"/>
        </w:rPr>
      </w:pPr>
    </w:p>
    <w:p w14:paraId="2DE75F51" w14:textId="77777777" w:rsidR="00A50FCF" w:rsidRPr="00386E47" w:rsidRDefault="00A50FCF" w:rsidP="00040C3A">
      <w:pPr>
        <w:tabs>
          <w:tab w:val="center" w:pos="5400"/>
        </w:tabs>
        <w:suppressAutoHyphens/>
        <w:jc w:val="center"/>
        <w:rPr>
          <w:rFonts w:asciiTheme="majorHAnsi" w:hAnsiTheme="majorHAnsi"/>
          <w:sz w:val="18"/>
          <w:szCs w:val="22"/>
          <w:lang w:val="en-US"/>
        </w:rPr>
      </w:pPr>
    </w:p>
    <w:p w14:paraId="20407A93" w14:textId="77777777" w:rsidR="00A50FCF" w:rsidRPr="00386E47" w:rsidRDefault="00A50FCF" w:rsidP="00040C3A">
      <w:pPr>
        <w:tabs>
          <w:tab w:val="center" w:pos="5400"/>
        </w:tabs>
        <w:suppressAutoHyphens/>
        <w:jc w:val="center"/>
        <w:rPr>
          <w:rFonts w:asciiTheme="majorHAnsi" w:hAnsiTheme="majorHAnsi"/>
          <w:sz w:val="18"/>
          <w:szCs w:val="22"/>
          <w:lang w:val="en-US"/>
        </w:rPr>
      </w:pPr>
    </w:p>
    <w:p w14:paraId="64AB0C34" w14:textId="77777777" w:rsidR="00A50FCF" w:rsidRPr="00386E47" w:rsidRDefault="0090270B" w:rsidP="00040C3A">
      <w:pPr>
        <w:tabs>
          <w:tab w:val="center" w:pos="5400"/>
        </w:tabs>
        <w:suppressAutoHyphens/>
        <w:jc w:val="center"/>
        <w:rPr>
          <w:rFonts w:asciiTheme="majorHAnsi" w:hAnsiTheme="majorHAnsi"/>
          <w:sz w:val="18"/>
          <w:szCs w:val="22"/>
          <w:lang w:val="en-US"/>
        </w:rPr>
      </w:pPr>
      <w:r w:rsidRPr="00386E47">
        <w:rPr>
          <w:rFonts w:asciiTheme="majorHAnsi" w:hAnsiTheme="majorHAnsi"/>
          <w:noProof/>
          <w:sz w:val="22"/>
          <w:szCs w:val="22"/>
          <w:lang w:val="en-US" w:eastAsia="en-US"/>
        </w:rPr>
        <mc:AlternateContent>
          <mc:Choice Requires="wps">
            <w:drawing>
              <wp:anchor distT="0" distB="0" distL="114300" distR="114300" simplePos="0" relativeHeight="251670528" behindDoc="0" locked="0" layoutInCell="1" allowOverlap="1" wp14:anchorId="4140C0D0" wp14:editId="6C31C3D3">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0A8AAE" w14:textId="77777777" w:rsidR="005B3F8C" w:rsidRPr="00890650" w:rsidRDefault="005B3F8C" w:rsidP="00247403">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Aprobado por la Comisión en su sesión N</w:t>
                            </w:r>
                            <w:r>
                              <w:rPr>
                                <w:rFonts w:asciiTheme="majorHAnsi" w:hAnsiTheme="majorHAnsi"/>
                                <w:color w:val="0D0D0D" w:themeColor="text1" w:themeTint="F2"/>
                                <w:sz w:val="18"/>
                                <w:szCs w:val="20"/>
                                <w:lang w:val="es-ES"/>
                              </w:rPr>
                              <w:t>o. 2179 celebrada el 14</w:t>
                            </w:r>
                            <w:r w:rsidRPr="00890650">
                              <w:rPr>
                                <w:rFonts w:asciiTheme="majorHAnsi" w:hAnsiTheme="majorHAnsi"/>
                                <w:color w:val="0D0D0D" w:themeColor="text1" w:themeTint="F2"/>
                                <w:sz w:val="18"/>
                                <w:szCs w:val="20"/>
                                <w:lang w:val="es-ES"/>
                              </w:rPr>
                              <w:t xml:space="preserve"> de </w:t>
                            </w:r>
                            <w:r>
                              <w:rPr>
                                <w:rFonts w:asciiTheme="majorHAnsi" w:hAnsiTheme="majorHAnsi"/>
                                <w:color w:val="0D0D0D" w:themeColor="text1" w:themeTint="F2"/>
                                <w:sz w:val="18"/>
                                <w:szCs w:val="20"/>
                                <w:lang w:val="es-ES"/>
                              </w:rPr>
                              <w:t xml:space="preserve">julio </w:t>
                            </w:r>
                            <w:r w:rsidRPr="00890650">
                              <w:rPr>
                                <w:rFonts w:asciiTheme="majorHAnsi" w:hAnsiTheme="majorHAnsi"/>
                                <w:color w:val="0D0D0D" w:themeColor="text1" w:themeTint="F2"/>
                                <w:sz w:val="18"/>
                                <w:szCs w:val="20"/>
                                <w:lang w:val="es-ES"/>
                              </w:rPr>
                              <w:t>de 20</w:t>
                            </w:r>
                            <w:r>
                              <w:rPr>
                                <w:rFonts w:asciiTheme="majorHAnsi" w:hAnsiTheme="majorHAnsi"/>
                                <w:color w:val="0D0D0D" w:themeColor="text1" w:themeTint="F2"/>
                                <w:sz w:val="18"/>
                                <w:szCs w:val="20"/>
                                <w:lang w:val="es-ES"/>
                              </w:rPr>
                              <w:t>20</w:t>
                            </w:r>
                            <w:r w:rsidRPr="00890650">
                              <w:rPr>
                                <w:rFonts w:asciiTheme="majorHAnsi" w:hAnsiTheme="majorHAnsi"/>
                                <w:color w:val="0D0D0D" w:themeColor="text1" w:themeTint="F2"/>
                                <w:sz w:val="18"/>
                                <w:szCs w:val="20"/>
                                <w:lang w:val="es-ES"/>
                              </w:rPr>
                              <w:br/>
                            </w:r>
                            <w:r>
                              <w:rPr>
                                <w:rFonts w:asciiTheme="majorHAnsi" w:hAnsiTheme="majorHAnsi" w:cs="Univers"/>
                                <w:color w:val="0D0D0D" w:themeColor="text1" w:themeTint="F2"/>
                                <w:sz w:val="18"/>
                                <w:szCs w:val="20"/>
                                <w:lang w:val="es-ES"/>
                              </w:rPr>
                              <w:t xml:space="preserve">176 </w:t>
                            </w:r>
                            <w:r>
                              <w:rPr>
                                <w:rFonts w:asciiTheme="majorHAnsi" w:hAnsiTheme="majorHAnsi" w:cs="Univers"/>
                                <w:color w:val="0D0D0D" w:themeColor="text1" w:themeTint="F2"/>
                                <w:sz w:val="18"/>
                                <w:szCs w:val="20"/>
                                <w:lang w:val="es-ES_tradnl"/>
                              </w:rPr>
                              <w:t>Período Ordinario de S</w:t>
                            </w:r>
                            <w:r w:rsidRPr="00890650">
                              <w:rPr>
                                <w:rFonts w:asciiTheme="majorHAnsi" w:hAnsiTheme="majorHAnsi" w:cs="Univers"/>
                                <w:color w:val="0D0D0D" w:themeColor="text1" w:themeTint="F2"/>
                                <w:sz w:val="18"/>
                                <w:szCs w:val="20"/>
                                <w:lang w:val="es-ES_tradnl"/>
                              </w:rPr>
                              <w:t>esiones</w:t>
                            </w:r>
                          </w:p>
                          <w:p w14:paraId="0A76FC8C" w14:textId="77777777" w:rsidR="005B3F8C" w:rsidRPr="00890650" w:rsidRDefault="005B3F8C" w:rsidP="00DD3D86">
                            <w:pPr>
                              <w:tabs>
                                <w:tab w:val="center" w:pos="5400"/>
                              </w:tabs>
                              <w:suppressAutoHyphens/>
                              <w:spacing w:before="60"/>
                              <w:rPr>
                                <w:rFonts w:asciiTheme="majorHAnsi" w:hAnsiTheme="majorHAnsi"/>
                                <w:color w:val="0D0D0D" w:themeColor="text1" w:themeTint="F2"/>
                                <w:sz w:val="18"/>
                                <w:szCs w:val="22"/>
                                <w:lang w:val="es-ES"/>
                              </w:rPr>
                            </w:pPr>
                          </w:p>
                          <w:p w14:paraId="11C33757" w14:textId="77777777" w:rsidR="005B3F8C" w:rsidRPr="007A5817" w:rsidRDefault="005B3F8C" w:rsidP="00247403">
                            <w:pPr>
                              <w:tabs>
                                <w:tab w:val="center" w:pos="5400"/>
                              </w:tabs>
                              <w:suppressAutoHyphens/>
                              <w:spacing w:before="60"/>
                              <w:rPr>
                                <w:rFonts w:asciiTheme="minorHAnsi" w:hAnsiTheme="minorHAnsi" w:cs="Univers"/>
                                <w:color w:val="0D0D0D" w:themeColor="text1" w:themeTint="F2"/>
                                <w:sz w:val="20"/>
                                <w:szCs w:val="20"/>
                                <w:lang w:val="es-ES"/>
                              </w:rPr>
                            </w:pPr>
                          </w:p>
                          <w:p w14:paraId="092ECC17" w14:textId="77777777" w:rsidR="005B3F8C" w:rsidRPr="00167A34" w:rsidRDefault="005B3F8C"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40C0D0"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170A8AAE" w14:textId="77777777" w:rsidR="005B3F8C" w:rsidRPr="00890650" w:rsidRDefault="005B3F8C" w:rsidP="00247403">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Aprobado por la Comisión en su sesión N</w:t>
                      </w:r>
                      <w:r>
                        <w:rPr>
                          <w:rFonts w:asciiTheme="majorHAnsi" w:hAnsiTheme="majorHAnsi"/>
                          <w:color w:val="0D0D0D" w:themeColor="text1" w:themeTint="F2"/>
                          <w:sz w:val="18"/>
                          <w:szCs w:val="20"/>
                          <w:lang w:val="es-ES"/>
                        </w:rPr>
                        <w:t>o. 2179 celebrada el 14</w:t>
                      </w:r>
                      <w:r w:rsidRPr="00890650">
                        <w:rPr>
                          <w:rFonts w:asciiTheme="majorHAnsi" w:hAnsiTheme="majorHAnsi"/>
                          <w:color w:val="0D0D0D" w:themeColor="text1" w:themeTint="F2"/>
                          <w:sz w:val="18"/>
                          <w:szCs w:val="20"/>
                          <w:lang w:val="es-ES"/>
                        </w:rPr>
                        <w:t xml:space="preserve"> de </w:t>
                      </w:r>
                      <w:r>
                        <w:rPr>
                          <w:rFonts w:asciiTheme="majorHAnsi" w:hAnsiTheme="majorHAnsi"/>
                          <w:color w:val="0D0D0D" w:themeColor="text1" w:themeTint="F2"/>
                          <w:sz w:val="18"/>
                          <w:szCs w:val="20"/>
                          <w:lang w:val="es-ES"/>
                        </w:rPr>
                        <w:t xml:space="preserve">julio </w:t>
                      </w:r>
                      <w:r w:rsidRPr="00890650">
                        <w:rPr>
                          <w:rFonts w:asciiTheme="majorHAnsi" w:hAnsiTheme="majorHAnsi"/>
                          <w:color w:val="0D0D0D" w:themeColor="text1" w:themeTint="F2"/>
                          <w:sz w:val="18"/>
                          <w:szCs w:val="20"/>
                          <w:lang w:val="es-ES"/>
                        </w:rPr>
                        <w:t>de 20</w:t>
                      </w:r>
                      <w:r>
                        <w:rPr>
                          <w:rFonts w:asciiTheme="majorHAnsi" w:hAnsiTheme="majorHAnsi"/>
                          <w:color w:val="0D0D0D" w:themeColor="text1" w:themeTint="F2"/>
                          <w:sz w:val="18"/>
                          <w:szCs w:val="20"/>
                          <w:lang w:val="es-ES"/>
                        </w:rPr>
                        <w:t>20</w:t>
                      </w:r>
                      <w:r w:rsidRPr="00890650">
                        <w:rPr>
                          <w:rFonts w:asciiTheme="majorHAnsi" w:hAnsiTheme="majorHAnsi"/>
                          <w:color w:val="0D0D0D" w:themeColor="text1" w:themeTint="F2"/>
                          <w:sz w:val="18"/>
                          <w:szCs w:val="20"/>
                          <w:lang w:val="es-ES"/>
                        </w:rPr>
                        <w:br/>
                      </w:r>
                      <w:r>
                        <w:rPr>
                          <w:rFonts w:asciiTheme="majorHAnsi" w:hAnsiTheme="majorHAnsi" w:cs="Univers"/>
                          <w:color w:val="0D0D0D" w:themeColor="text1" w:themeTint="F2"/>
                          <w:sz w:val="18"/>
                          <w:szCs w:val="20"/>
                          <w:lang w:val="es-ES"/>
                        </w:rPr>
                        <w:t xml:space="preserve">176 </w:t>
                      </w:r>
                      <w:r>
                        <w:rPr>
                          <w:rFonts w:asciiTheme="majorHAnsi" w:hAnsiTheme="majorHAnsi" w:cs="Univers"/>
                          <w:color w:val="0D0D0D" w:themeColor="text1" w:themeTint="F2"/>
                          <w:sz w:val="18"/>
                          <w:szCs w:val="20"/>
                          <w:lang w:val="es-ES_tradnl"/>
                        </w:rPr>
                        <w:t>Período Ordinario de S</w:t>
                      </w:r>
                      <w:r w:rsidRPr="00890650">
                        <w:rPr>
                          <w:rFonts w:asciiTheme="majorHAnsi" w:hAnsiTheme="majorHAnsi" w:cs="Univers"/>
                          <w:color w:val="0D0D0D" w:themeColor="text1" w:themeTint="F2"/>
                          <w:sz w:val="18"/>
                          <w:szCs w:val="20"/>
                          <w:lang w:val="es-ES_tradnl"/>
                        </w:rPr>
                        <w:t>esiones</w:t>
                      </w:r>
                    </w:p>
                    <w:p w14:paraId="0A76FC8C" w14:textId="77777777" w:rsidR="005B3F8C" w:rsidRPr="00890650" w:rsidRDefault="005B3F8C" w:rsidP="00DD3D86">
                      <w:pPr>
                        <w:tabs>
                          <w:tab w:val="center" w:pos="5400"/>
                        </w:tabs>
                        <w:suppressAutoHyphens/>
                        <w:spacing w:before="60"/>
                        <w:rPr>
                          <w:rFonts w:asciiTheme="majorHAnsi" w:hAnsiTheme="majorHAnsi"/>
                          <w:color w:val="0D0D0D" w:themeColor="text1" w:themeTint="F2"/>
                          <w:sz w:val="18"/>
                          <w:szCs w:val="22"/>
                          <w:lang w:val="es-ES"/>
                        </w:rPr>
                      </w:pPr>
                    </w:p>
                    <w:p w14:paraId="11C33757" w14:textId="77777777" w:rsidR="005B3F8C" w:rsidRPr="007A5817" w:rsidRDefault="005B3F8C" w:rsidP="00247403">
                      <w:pPr>
                        <w:tabs>
                          <w:tab w:val="center" w:pos="5400"/>
                        </w:tabs>
                        <w:suppressAutoHyphens/>
                        <w:spacing w:before="60"/>
                        <w:rPr>
                          <w:rFonts w:asciiTheme="minorHAnsi" w:hAnsiTheme="minorHAnsi" w:cs="Univers"/>
                          <w:color w:val="0D0D0D" w:themeColor="text1" w:themeTint="F2"/>
                          <w:sz w:val="20"/>
                          <w:szCs w:val="20"/>
                          <w:lang w:val="es-ES"/>
                        </w:rPr>
                      </w:pPr>
                    </w:p>
                    <w:p w14:paraId="092ECC17" w14:textId="77777777" w:rsidR="005B3F8C" w:rsidRPr="00167A34" w:rsidRDefault="005B3F8C"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1000694" w14:textId="77777777" w:rsidR="00A50FCF" w:rsidRPr="00386E47" w:rsidRDefault="00A50FCF" w:rsidP="00040C3A">
      <w:pPr>
        <w:tabs>
          <w:tab w:val="center" w:pos="5400"/>
        </w:tabs>
        <w:suppressAutoHyphens/>
        <w:jc w:val="center"/>
        <w:rPr>
          <w:rFonts w:asciiTheme="majorHAnsi" w:hAnsiTheme="majorHAnsi"/>
          <w:sz w:val="18"/>
          <w:szCs w:val="22"/>
          <w:lang w:val="en-US"/>
        </w:rPr>
      </w:pPr>
    </w:p>
    <w:p w14:paraId="49090D85" w14:textId="77777777" w:rsidR="00A50FCF" w:rsidRPr="00386E47" w:rsidRDefault="00A50FCF" w:rsidP="00040C3A">
      <w:pPr>
        <w:tabs>
          <w:tab w:val="center" w:pos="5400"/>
        </w:tabs>
        <w:suppressAutoHyphens/>
        <w:jc w:val="center"/>
        <w:rPr>
          <w:rFonts w:asciiTheme="majorHAnsi" w:hAnsiTheme="majorHAnsi"/>
          <w:sz w:val="18"/>
          <w:szCs w:val="22"/>
          <w:lang w:val="en-US"/>
        </w:rPr>
      </w:pPr>
    </w:p>
    <w:p w14:paraId="7B58722B" w14:textId="77777777" w:rsidR="00A50FCF" w:rsidRPr="00386E47" w:rsidRDefault="00A50FCF" w:rsidP="00040C3A">
      <w:pPr>
        <w:tabs>
          <w:tab w:val="center" w:pos="5400"/>
        </w:tabs>
        <w:suppressAutoHyphens/>
        <w:jc w:val="center"/>
        <w:rPr>
          <w:rFonts w:asciiTheme="majorHAnsi" w:hAnsiTheme="majorHAnsi"/>
          <w:sz w:val="18"/>
          <w:szCs w:val="22"/>
          <w:lang w:val="en-US"/>
        </w:rPr>
      </w:pPr>
    </w:p>
    <w:p w14:paraId="0B20C712" w14:textId="77777777" w:rsidR="00A50FCF" w:rsidRPr="00386E47" w:rsidRDefault="00A50FCF" w:rsidP="00040C3A">
      <w:pPr>
        <w:tabs>
          <w:tab w:val="center" w:pos="5400"/>
        </w:tabs>
        <w:suppressAutoHyphens/>
        <w:jc w:val="center"/>
        <w:rPr>
          <w:rFonts w:asciiTheme="majorHAnsi" w:hAnsiTheme="majorHAnsi"/>
          <w:sz w:val="18"/>
          <w:szCs w:val="22"/>
          <w:lang w:val="en-US"/>
        </w:rPr>
      </w:pPr>
    </w:p>
    <w:p w14:paraId="0381C34D" w14:textId="77777777" w:rsidR="00A50FCF" w:rsidRPr="00386E47" w:rsidRDefault="0090270B" w:rsidP="00040C3A">
      <w:pPr>
        <w:tabs>
          <w:tab w:val="center" w:pos="5400"/>
        </w:tabs>
        <w:suppressAutoHyphens/>
        <w:jc w:val="center"/>
        <w:rPr>
          <w:rFonts w:asciiTheme="majorHAnsi" w:hAnsiTheme="majorHAnsi"/>
          <w:sz w:val="18"/>
          <w:szCs w:val="22"/>
          <w:lang w:val="en-US"/>
        </w:rPr>
      </w:pPr>
      <w:r w:rsidRPr="00386E47">
        <w:rPr>
          <w:rFonts w:asciiTheme="majorHAnsi" w:hAnsiTheme="majorHAnsi"/>
          <w:noProof/>
          <w:sz w:val="18"/>
          <w:szCs w:val="22"/>
          <w:lang w:val="en-US" w:eastAsia="en-US"/>
        </w:rPr>
        <mc:AlternateContent>
          <mc:Choice Requires="wps">
            <w:drawing>
              <wp:anchor distT="0" distB="0" distL="114300" distR="114300" simplePos="0" relativeHeight="251678720" behindDoc="0" locked="0" layoutInCell="1" allowOverlap="1" wp14:anchorId="4C3274CE" wp14:editId="46B7E61E">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86072B" w14:textId="77777777" w:rsidR="005B3F8C" w:rsidRPr="005055B9" w:rsidRDefault="005B3F8C" w:rsidP="00113F73">
                            <w:pPr>
                              <w:spacing w:line="276" w:lineRule="auto"/>
                              <w:rPr>
                                <w:rFonts w:asciiTheme="majorHAnsi" w:hAnsiTheme="majorHAnsi"/>
                                <w:color w:val="595959" w:themeColor="text1" w:themeTint="A6"/>
                                <w:sz w:val="18"/>
                                <w:szCs w:val="18"/>
                                <w:lang w:val="es-ES"/>
                              </w:rPr>
                            </w:pPr>
                            <w:r w:rsidRPr="00A311A0">
                              <w:rPr>
                                <w:rFonts w:asciiTheme="majorHAnsi" w:hAnsiTheme="majorHAnsi"/>
                                <w:b/>
                                <w:color w:val="595959" w:themeColor="text1" w:themeTint="A6"/>
                                <w:sz w:val="18"/>
                                <w:szCs w:val="18"/>
                                <w:lang w:val="pt-BR"/>
                              </w:rPr>
                              <w:t>Citar como:</w:t>
                            </w:r>
                            <w:r w:rsidRPr="00A311A0">
                              <w:rPr>
                                <w:rFonts w:asciiTheme="majorHAnsi" w:hAnsiTheme="majorHAnsi"/>
                                <w:color w:val="595959" w:themeColor="text1" w:themeTint="A6"/>
                                <w:sz w:val="18"/>
                                <w:szCs w:val="18"/>
                                <w:lang w:val="pt-BR"/>
                              </w:rPr>
                              <w:t xml:space="preserve"> CIDH. Informe No. </w:t>
                            </w:r>
                            <w:r w:rsidRPr="001F5F81">
                              <w:rPr>
                                <w:rFonts w:asciiTheme="majorHAnsi" w:hAnsiTheme="majorHAnsi"/>
                                <w:color w:val="595959" w:themeColor="text1" w:themeTint="A6"/>
                                <w:sz w:val="18"/>
                                <w:szCs w:val="18"/>
                                <w:lang w:val="pt-BR"/>
                              </w:rPr>
                              <w:t xml:space="preserve">187/20. </w:t>
                            </w:r>
                            <w:r w:rsidRPr="005055B9">
                              <w:rPr>
                                <w:rFonts w:asciiTheme="majorHAnsi" w:hAnsiTheme="majorHAnsi"/>
                                <w:color w:val="595959" w:themeColor="text1" w:themeTint="A6"/>
                                <w:sz w:val="18"/>
                                <w:szCs w:val="18"/>
                                <w:lang w:val="es-ES"/>
                              </w:rPr>
                              <w:t>Caso 12.204. Admisibilidad y Fondo. Asociación Civ</w:t>
                            </w:r>
                            <w:r>
                              <w:rPr>
                                <w:rFonts w:asciiTheme="majorHAnsi" w:hAnsiTheme="majorHAnsi"/>
                                <w:color w:val="595959" w:themeColor="text1" w:themeTint="A6"/>
                                <w:sz w:val="18"/>
                                <w:szCs w:val="18"/>
                                <w:lang w:val="es-ES"/>
                              </w:rPr>
                              <w:t>il Memoria Activa. Argentina. 14 de julio</w:t>
                            </w:r>
                            <w:r w:rsidRPr="005055B9">
                              <w:rPr>
                                <w:rFonts w:asciiTheme="majorHAnsi" w:hAnsiTheme="majorHAnsi"/>
                                <w:color w:val="595959" w:themeColor="text1" w:themeTint="A6"/>
                                <w:sz w:val="18"/>
                                <w:szCs w:val="18"/>
                                <w:lang w:val="es-ES"/>
                              </w:rPr>
                              <w:t xml:space="preserve"> de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3274CE"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4D86072B" w14:textId="77777777" w:rsidR="005B3F8C" w:rsidRPr="005055B9" w:rsidRDefault="005B3F8C" w:rsidP="00113F73">
                      <w:pPr>
                        <w:spacing w:line="276" w:lineRule="auto"/>
                        <w:rPr>
                          <w:rFonts w:asciiTheme="majorHAnsi" w:hAnsiTheme="majorHAnsi"/>
                          <w:color w:val="595959" w:themeColor="text1" w:themeTint="A6"/>
                          <w:sz w:val="18"/>
                          <w:szCs w:val="18"/>
                          <w:lang w:val="es-ES"/>
                        </w:rPr>
                      </w:pPr>
                      <w:r w:rsidRPr="00A311A0">
                        <w:rPr>
                          <w:rFonts w:asciiTheme="majorHAnsi" w:hAnsiTheme="majorHAnsi"/>
                          <w:b/>
                          <w:color w:val="595959" w:themeColor="text1" w:themeTint="A6"/>
                          <w:sz w:val="18"/>
                          <w:szCs w:val="18"/>
                          <w:lang w:val="pt-BR"/>
                        </w:rPr>
                        <w:t>Citar como:</w:t>
                      </w:r>
                      <w:r w:rsidRPr="00A311A0">
                        <w:rPr>
                          <w:rFonts w:asciiTheme="majorHAnsi" w:hAnsiTheme="majorHAnsi"/>
                          <w:color w:val="595959" w:themeColor="text1" w:themeTint="A6"/>
                          <w:sz w:val="18"/>
                          <w:szCs w:val="18"/>
                          <w:lang w:val="pt-BR"/>
                        </w:rPr>
                        <w:t xml:space="preserve"> CIDH. Informe No. </w:t>
                      </w:r>
                      <w:r w:rsidRPr="001F5F81">
                        <w:rPr>
                          <w:rFonts w:asciiTheme="majorHAnsi" w:hAnsiTheme="majorHAnsi"/>
                          <w:color w:val="595959" w:themeColor="text1" w:themeTint="A6"/>
                          <w:sz w:val="18"/>
                          <w:szCs w:val="18"/>
                          <w:lang w:val="pt-BR"/>
                        </w:rPr>
                        <w:t xml:space="preserve">187/20. </w:t>
                      </w:r>
                      <w:r w:rsidRPr="005055B9">
                        <w:rPr>
                          <w:rFonts w:asciiTheme="majorHAnsi" w:hAnsiTheme="majorHAnsi"/>
                          <w:color w:val="595959" w:themeColor="text1" w:themeTint="A6"/>
                          <w:sz w:val="18"/>
                          <w:szCs w:val="18"/>
                          <w:lang w:val="es-ES"/>
                        </w:rPr>
                        <w:t>Caso 12.204. Admisibilidad y Fondo. Asociación Civ</w:t>
                      </w:r>
                      <w:r>
                        <w:rPr>
                          <w:rFonts w:asciiTheme="majorHAnsi" w:hAnsiTheme="majorHAnsi"/>
                          <w:color w:val="595959" w:themeColor="text1" w:themeTint="A6"/>
                          <w:sz w:val="18"/>
                          <w:szCs w:val="18"/>
                          <w:lang w:val="es-ES"/>
                        </w:rPr>
                        <w:t>il Memoria Activa. Argentina. 14 de julio</w:t>
                      </w:r>
                      <w:r w:rsidRPr="005055B9">
                        <w:rPr>
                          <w:rFonts w:asciiTheme="majorHAnsi" w:hAnsiTheme="majorHAnsi"/>
                          <w:color w:val="595959" w:themeColor="text1" w:themeTint="A6"/>
                          <w:sz w:val="18"/>
                          <w:szCs w:val="18"/>
                          <w:lang w:val="es-ES"/>
                        </w:rPr>
                        <w:t xml:space="preserve"> de 2020</w:t>
                      </w:r>
                    </w:p>
                  </w:txbxContent>
                </v:textbox>
              </v:shape>
            </w:pict>
          </mc:Fallback>
        </mc:AlternateContent>
      </w:r>
    </w:p>
    <w:p w14:paraId="242E1892" w14:textId="77777777" w:rsidR="00A50FCF" w:rsidRPr="00386E47" w:rsidRDefault="00A50FCF" w:rsidP="00040C3A">
      <w:pPr>
        <w:tabs>
          <w:tab w:val="center" w:pos="5400"/>
        </w:tabs>
        <w:suppressAutoHyphens/>
        <w:jc w:val="center"/>
        <w:rPr>
          <w:rFonts w:asciiTheme="majorHAnsi" w:hAnsiTheme="majorHAnsi"/>
          <w:sz w:val="18"/>
          <w:szCs w:val="22"/>
          <w:lang w:val="en-US"/>
        </w:rPr>
      </w:pPr>
    </w:p>
    <w:p w14:paraId="17716A57" w14:textId="77777777" w:rsidR="0090270B" w:rsidRPr="00386E47" w:rsidRDefault="00D306D1" w:rsidP="005516A1">
      <w:pPr>
        <w:tabs>
          <w:tab w:val="center" w:pos="5400"/>
        </w:tabs>
        <w:suppressAutoHyphens/>
        <w:jc w:val="center"/>
        <w:rPr>
          <w:rFonts w:asciiTheme="majorHAnsi" w:hAnsiTheme="majorHAnsi"/>
          <w:b/>
          <w:sz w:val="20"/>
          <w:lang w:val="en-US"/>
        </w:rPr>
      </w:pPr>
      <w:r w:rsidRPr="00386E47">
        <w:rPr>
          <w:rFonts w:asciiTheme="majorHAnsi" w:hAnsiTheme="majorHAnsi"/>
          <w:noProof/>
          <w:sz w:val="18"/>
          <w:szCs w:val="22"/>
          <w:lang w:val="en-US" w:eastAsia="en-US"/>
        </w:rPr>
        <mc:AlternateContent>
          <mc:Choice Requires="wps">
            <w:drawing>
              <wp:anchor distT="0" distB="0" distL="114300" distR="114300" simplePos="0" relativeHeight="251680768" behindDoc="0" locked="0" layoutInCell="1" allowOverlap="1" wp14:anchorId="1803DA3A" wp14:editId="66D7A7ED">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69AA5D" w14:textId="77777777" w:rsidR="005B3F8C" w:rsidRPr="00D72DC6" w:rsidRDefault="005B3F8C" w:rsidP="00F02AD1">
                            <w:pPr>
                              <w:rPr>
                                <w:color w:val="FFFFFF" w:themeColor="background1"/>
                                <w14:textFill>
                                  <w14:noFill/>
                                </w14:textFill>
                              </w:rPr>
                            </w:pPr>
                            <w:r w:rsidRPr="00D72DC6">
                              <w:rPr>
                                <w:noProof/>
                                <w:color w:val="FFFFFF" w:themeColor="background1"/>
                                <w:lang w:val="en-US" w:eastAsia="en-US"/>
                                <w14:textFill>
                                  <w14:noFill/>
                                </w14:textFill>
                              </w:rPr>
                              <w:drawing>
                                <wp:inline distT="0" distB="0" distL="0" distR="0" wp14:anchorId="17143D19" wp14:editId="7E78B674">
                                  <wp:extent cx="1338942" cy="390525"/>
                                  <wp:effectExtent l="0" t="0" r="0" b="0"/>
                                  <wp:docPr id="3" name="Picture 3"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03DA3A"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5A69AA5D" w14:textId="77777777" w:rsidR="005B3F8C" w:rsidRPr="00D72DC6" w:rsidRDefault="005B3F8C" w:rsidP="00F02AD1">
                      <w:pPr>
                        <w:rPr>
                          <w:color w:val="FFFFFF" w:themeColor="background1"/>
                          <w14:textFill>
                            <w14:noFill/>
                          </w14:textFill>
                        </w:rPr>
                      </w:pPr>
                      <w:r w:rsidRPr="00D72DC6">
                        <w:rPr>
                          <w:noProof/>
                          <w:color w:val="FFFFFF" w:themeColor="background1"/>
                          <w:lang w:val="en-US" w:eastAsia="en-US"/>
                          <w14:textFill>
                            <w14:noFill/>
                          </w14:textFill>
                        </w:rPr>
                        <w:drawing>
                          <wp:inline distT="0" distB="0" distL="0" distR="0" wp14:anchorId="17143D19" wp14:editId="7E78B674">
                            <wp:extent cx="1338942" cy="390525"/>
                            <wp:effectExtent l="0" t="0" r="0" b="0"/>
                            <wp:docPr id="3" name="Picture 3"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386E47">
        <w:rPr>
          <w:rFonts w:asciiTheme="majorHAnsi" w:hAnsiTheme="majorHAnsi"/>
          <w:noProof/>
          <w:sz w:val="22"/>
          <w:szCs w:val="22"/>
          <w:lang w:val="en-US" w:eastAsia="en-US"/>
        </w:rPr>
        <mc:AlternateContent>
          <mc:Choice Requires="wps">
            <w:drawing>
              <wp:anchor distT="0" distB="0" distL="114300" distR="114300" simplePos="0" relativeHeight="251682816" behindDoc="0" locked="0" layoutInCell="1" allowOverlap="1" wp14:anchorId="7A522C86" wp14:editId="3D83136E">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817B89" w14:textId="77777777" w:rsidR="005B3F8C" w:rsidRPr="004B7EB6" w:rsidRDefault="005B3F8C"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522C86"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44817B89" w14:textId="77777777" w:rsidR="005B3F8C" w:rsidRPr="004B7EB6" w:rsidRDefault="005B3F8C"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75094226" w14:textId="77777777" w:rsidR="0070697F" w:rsidRPr="00386E47" w:rsidRDefault="0070697F" w:rsidP="003F1B50">
      <w:pPr>
        <w:tabs>
          <w:tab w:val="center" w:pos="5400"/>
        </w:tabs>
        <w:suppressAutoHyphens/>
        <w:rPr>
          <w:rFonts w:asciiTheme="majorHAnsi" w:hAnsiTheme="majorHAnsi"/>
          <w:b/>
          <w:sz w:val="20"/>
          <w:lang w:val="en-US"/>
        </w:rPr>
        <w:sectPr w:rsidR="0070697F" w:rsidRPr="00386E47" w:rsidSect="00C054DF">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p>
    <w:p w14:paraId="7F3BB4FF" w14:textId="77777777" w:rsidR="00722C9F" w:rsidRPr="00386E47" w:rsidRDefault="00722C9F" w:rsidP="003F1B50">
      <w:pPr>
        <w:tabs>
          <w:tab w:val="center" w:pos="5400"/>
        </w:tabs>
        <w:suppressAutoHyphens/>
        <w:spacing w:line="276" w:lineRule="auto"/>
        <w:rPr>
          <w:rFonts w:asciiTheme="majorHAnsi" w:hAnsiTheme="majorHAnsi"/>
          <w:sz w:val="18"/>
          <w:szCs w:val="20"/>
          <w:lang w:val="en-US"/>
        </w:rPr>
      </w:pPr>
    </w:p>
    <w:p w14:paraId="309B8AF5" w14:textId="77777777" w:rsidR="00722C9F" w:rsidRPr="00386E47" w:rsidRDefault="00722C9F" w:rsidP="00722C9F">
      <w:pPr>
        <w:tabs>
          <w:tab w:val="center" w:pos="5400"/>
        </w:tabs>
        <w:suppressAutoHyphens/>
        <w:spacing w:line="276" w:lineRule="auto"/>
        <w:jc w:val="center"/>
        <w:rPr>
          <w:rFonts w:asciiTheme="majorHAnsi" w:hAnsiTheme="majorHAnsi"/>
          <w:b/>
          <w:sz w:val="28"/>
          <w:szCs w:val="20"/>
          <w:lang w:val="en-US"/>
        </w:rPr>
      </w:pPr>
      <w:r w:rsidRPr="00386E47">
        <w:rPr>
          <w:rFonts w:asciiTheme="majorHAnsi" w:hAnsiTheme="majorHAnsi"/>
          <w:b/>
          <w:szCs w:val="20"/>
          <w:lang w:val="en-US"/>
        </w:rPr>
        <w:t>ÍNDICE</w:t>
      </w:r>
    </w:p>
    <w:sdt>
      <w:sdtPr>
        <w:rPr>
          <w:rFonts w:ascii="Times New Roman" w:eastAsia="Arial Unicode MS" w:hAnsi="Times New Roman" w:cs="Times New Roman"/>
          <w:color w:val="auto"/>
          <w:sz w:val="24"/>
          <w:szCs w:val="24"/>
          <w:lang w:val="en-GB" w:eastAsia="en-GB"/>
        </w:rPr>
        <w:id w:val="1791786801"/>
        <w:docPartObj>
          <w:docPartGallery w:val="Table of Contents"/>
          <w:docPartUnique/>
        </w:docPartObj>
      </w:sdtPr>
      <w:sdtEndPr>
        <w:rPr>
          <w:rFonts w:asciiTheme="majorHAnsi" w:hAnsiTheme="majorHAnsi"/>
          <w:b/>
          <w:bCs/>
          <w:noProof/>
          <w:sz w:val="20"/>
          <w:szCs w:val="20"/>
        </w:rPr>
      </w:sdtEndPr>
      <w:sdtContent>
        <w:p w14:paraId="5A2E9745" w14:textId="77777777" w:rsidR="00F744D9" w:rsidRPr="00386E47" w:rsidRDefault="00F744D9" w:rsidP="005B3F8C">
          <w:pPr>
            <w:pStyle w:val="TOCHeading"/>
            <w:spacing w:before="0" w:line="240" w:lineRule="auto"/>
            <w:ind w:right="707"/>
            <w:jc w:val="both"/>
            <w:rPr>
              <w:sz w:val="20"/>
              <w:szCs w:val="20"/>
            </w:rPr>
          </w:pPr>
        </w:p>
        <w:p w14:paraId="486E09BB" w14:textId="2C65F310" w:rsidR="003F1B50" w:rsidRPr="00386E47" w:rsidRDefault="00F744D9" w:rsidP="005B3F8C">
          <w:pPr>
            <w:pStyle w:val="TOC1"/>
            <w:spacing w:after="0"/>
            <w:rPr>
              <w:rFonts w:eastAsiaTheme="minorEastAsia" w:cstheme="minorBidi"/>
              <w:bdr w:val="none" w:sz="0" w:space="0" w:color="auto"/>
            </w:rPr>
          </w:pPr>
          <w:r w:rsidRPr="00386E47">
            <w:fldChar w:fldCharType="begin"/>
          </w:r>
          <w:r w:rsidRPr="00386E47">
            <w:instrText xml:space="preserve"> TOC \o "1-3" \h \z \u </w:instrText>
          </w:r>
          <w:r w:rsidRPr="00386E47">
            <w:fldChar w:fldCharType="separate"/>
          </w:r>
          <w:hyperlink w:anchor="_Toc51252180" w:history="1">
            <w:r w:rsidR="003F1B50" w:rsidRPr="00386E47">
              <w:rPr>
                <w:rStyle w:val="Hyperlink"/>
                <w:rFonts w:asciiTheme="majorHAnsi" w:hAnsiTheme="majorHAnsi"/>
              </w:rPr>
              <w:t>I.</w:t>
            </w:r>
            <w:r w:rsidR="003F1B50" w:rsidRPr="00386E47">
              <w:rPr>
                <w:rFonts w:eastAsiaTheme="minorEastAsia" w:cstheme="minorBidi"/>
                <w:bdr w:val="none" w:sz="0" w:space="0" w:color="auto"/>
              </w:rPr>
              <w:tab/>
            </w:r>
            <w:r w:rsidR="003F1B50" w:rsidRPr="00386E47">
              <w:rPr>
                <w:rStyle w:val="Hyperlink"/>
                <w:rFonts w:asciiTheme="majorHAnsi" w:hAnsiTheme="majorHAnsi"/>
              </w:rPr>
              <w:t>INTRODUCCIÓN</w:t>
            </w:r>
            <w:r w:rsidR="003F1B50" w:rsidRPr="00386E47">
              <w:rPr>
                <w:webHidden/>
              </w:rPr>
              <w:tab/>
            </w:r>
            <w:r w:rsidR="003F1B50" w:rsidRPr="00386E47">
              <w:rPr>
                <w:webHidden/>
              </w:rPr>
              <w:fldChar w:fldCharType="begin"/>
            </w:r>
            <w:r w:rsidR="003F1B50" w:rsidRPr="00386E47">
              <w:rPr>
                <w:webHidden/>
              </w:rPr>
              <w:instrText xml:space="preserve"> PAGEREF _Toc51252180 \h </w:instrText>
            </w:r>
            <w:r w:rsidR="003F1B50" w:rsidRPr="00386E47">
              <w:rPr>
                <w:webHidden/>
              </w:rPr>
            </w:r>
            <w:r w:rsidR="003F1B50" w:rsidRPr="00386E47">
              <w:rPr>
                <w:webHidden/>
              </w:rPr>
              <w:fldChar w:fldCharType="separate"/>
            </w:r>
            <w:r w:rsidR="00E72266">
              <w:rPr>
                <w:webHidden/>
              </w:rPr>
              <w:t>2</w:t>
            </w:r>
            <w:r w:rsidR="003F1B50" w:rsidRPr="00386E47">
              <w:rPr>
                <w:webHidden/>
              </w:rPr>
              <w:fldChar w:fldCharType="end"/>
            </w:r>
          </w:hyperlink>
        </w:p>
        <w:p w14:paraId="407838B4" w14:textId="20D2C276" w:rsidR="003F1B50" w:rsidRPr="00386E47" w:rsidRDefault="00E72266" w:rsidP="005B3F8C">
          <w:pPr>
            <w:pStyle w:val="TOC1"/>
            <w:spacing w:after="0"/>
            <w:rPr>
              <w:rFonts w:eastAsiaTheme="minorEastAsia" w:cstheme="minorBidi"/>
              <w:bdr w:val="none" w:sz="0" w:space="0" w:color="auto"/>
            </w:rPr>
          </w:pPr>
          <w:hyperlink w:anchor="_Toc51252181" w:history="1">
            <w:r w:rsidR="003F1B50" w:rsidRPr="00386E47">
              <w:rPr>
                <w:rStyle w:val="Hyperlink"/>
                <w:rFonts w:asciiTheme="majorHAnsi" w:hAnsiTheme="majorHAnsi"/>
                <w:lang w:val="es-VE"/>
              </w:rPr>
              <w:t>II.</w:t>
            </w:r>
            <w:r w:rsidR="003F1B50" w:rsidRPr="00386E47">
              <w:rPr>
                <w:rFonts w:eastAsiaTheme="minorEastAsia" w:cstheme="minorBidi"/>
                <w:bdr w:val="none" w:sz="0" w:space="0" w:color="auto"/>
              </w:rPr>
              <w:tab/>
            </w:r>
            <w:r w:rsidR="003F1B50" w:rsidRPr="00386E47">
              <w:rPr>
                <w:rStyle w:val="Hyperlink"/>
                <w:rFonts w:asciiTheme="majorHAnsi" w:hAnsiTheme="majorHAnsi"/>
              </w:rPr>
              <w:t>TRÁMITE DE LA PETICIÓN</w:t>
            </w:r>
            <w:r w:rsidR="003F1B50" w:rsidRPr="00386E47">
              <w:rPr>
                <w:webHidden/>
              </w:rPr>
              <w:tab/>
            </w:r>
            <w:r w:rsidR="003F1B50" w:rsidRPr="00386E47">
              <w:rPr>
                <w:webHidden/>
              </w:rPr>
              <w:fldChar w:fldCharType="begin"/>
            </w:r>
            <w:r w:rsidR="003F1B50" w:rsidRPr="00386E47">
              <w:rPr>
                <w:webHidden/>
              </w:rPr>
              <w:instrText xml:space="preserve"> PAGEREF _Toc51252181 \h </w:instrText>
            </w:r>
            <w:r w:rsidR="003F1B50" w:rsidRPr="00386E47">
              <w:rPr>
                <w:webHidden/>
              </w:rPr>
            </w:r>
            <w:r w:rsidR="003F1B50" w:rsidRPr="00386E47">
              <w:rPr>
                <w:webHidden/>
              </w:rPr>
              <w:fldChar w:fldCharType="separate"/>
            </w:r>
            <w:r>
              <w:rPr>
                <w:webHidden/>
              </w:rPr>
              <w:t>2</w:t>
            </w:r>
            <w:r w:rsidR="003F1B50" w:rsidRPr="00386E47">
              <w:rPr>
                <w:webHidden/>
              </w:rPr>
              <w:fldChar w:fldCharType="end"/>
            </w:r>
          </w:hyperlink>
        </w:p>
        <w:p w14:paraId="5F242F33" w14:textId="18CABAF3" w:rsidR="003F1B50" w:rsidRPr="00386E47" w:rsidRDefault="00E72266" w:rsidP="005B3F8C">
          <w:pPr>
            <w:pStyle w:val="TOC1"/>
            <w:spacing w:after="0"/>
            <w:rPr>
              <w:rFonts w:eastAsiaTheme="minorEastAsia" w:cstheme="minorBidi"/>
              <w:bdr w:val="none" w:sz="0" w:space="0" w:color="auto"/>
            </w:rPr>
          </w:pPr>
          <w:hyperlink w:anchor="_Toc51252182" w:history="1">
            <w:r w:rsidR="003F1B50" w:rsidRPr="00386E47">
              <w:rPr>
                <w:rStyle w:val="Hyperlink"/>
                <w:rFonts w:asciiTheme="majorHAnsi" w:hAnsiTheme="majorHAnsi"/>
              </w:rPr>
              <w:t>III.</w:t>
            </w:r>
            <w:r w:rsidR="003F1B50" w:rsidRPr="00386E47">
              <w:rPr>
                <w:rFonts w:eastAsiaTheme="minorEastAsia" w:cstheme="minorBidi"/>
                <w:bdr w:val="none" w:sz="0" w:space="0" w:color="auto"/>
              </w:rPr>
              <w:tab/>
            </w:r>
            <w:r w:rsidR="003F1B50" w:rsidRPr="00386E47">
              <w:rPr>
                <w:rStyle w:val="Hyperlink"/>
                <w:rFonts w:asciiTheme="majorHAnsi" w:hAnsiTheme="majorHAnsi"/>
              </w:rPr>
              <w:t>POSICIONES DE LAS PARTES</w:t>
            </w:r>
            <w:r w:rsidR="003F1B50" w:rsidRPr="00386E47">
              <w:rPr>
                <w:webHidden/>
              </w:rPr>
              <w:tab/>
            </w:r>
            <w:r w:rsidR="003F1B50" w:rsidRPr="00386E47">
              <w:rPr>
                <w:webHidden/>
              </w:rPr>
              <w:fldChar w:fldCharType="begin"/>
            </w:r>
            <w:r w:rsidR="003F1B50" w:rsidRPr="00386E47">
              <w:rPr>
                <w:webHidden/>
              </w:rPr>
              <w:instrText xml:space="preserve"> PAGEREF _Toc51252182 \h </w:instrText>
            </w:r>
            <w:r w:rsidR="003F1B50" w:rsidRPr="00386E47">
              <w:rPr>
                <w:webHidden/>
              </w:rPr>
            </w:r>
            <w:r w:rsidR="003F1B50" w:rsidRPr="00386E47">
              <w:rPr>
                <w:webHidden/>
              </w:rPr>
              <w:fldChar w:fldCharType="separate"/>
            </w:r>
            <w:r>
              <w:rPr>
                <w:webHidden/>
              </w:rPr>
              <w:t>3</w:t>
            </w:r>
            <w:r w:rsidR="003F1B50" w:rsidRPr="00386E47">
              <w:rPr>
                <w:webHidden/>
              </w:rPr>
              <w:fldChar w:fldCharType="end"/>
            </w:r>
          </w:hyperlink>
        </w:p>
        <w:p w14:paraId="0A33A141" w14:textId="2E1B18CE" w:rsidR="003F1B50" w:rsidRPr="00386E47" w:rsidRDefault="00E72266" w:rsidP="005B3F8C">
          <w:pPr>
            <w:pStyle w:val="TOC2"/>
            <w:tabs>
              <w:tab w:val="clear" w:pos="8931"/>
              <w:tab w:val="left" w:pos="8910"/>
            </w:tabs>
            <w:spacing w:line="240" w:lineRule="auto"/>
            <w:ind w:right="707"/>
            <w:rPr>
              <w:rFonts w:asciiTheme="majorHAnsi" w:eastAsiaTheme="minorEastAsia" w:hAnsiTheme="majorHAnsi" w:cstheme="minorBidi"/>
              <w:noProof/>
              <w:sz w:val="20"/>
              <w:szCs w:val="20"/>
              <w:bdr w:val="none" w:sz="0" w:space="0" w:color="auto"/>
            </w:rPr>
          </w:pPr>
          <w:hyperlink w:anchor="_Toc51252183" w:history="1">
            <w:r w:rsidR="003F1B50" w:rsidRPr="00386E47">
              <w:rPr>
                <w:rStyle w:val="Hyperlink"/>
                <w:rFonts w:asciiTheme="majorHAnsi" w:hAnsiTheme="majorHAnsi"/>
                <w:noProof/>
                <w:sz w:val="20"/>
                <w:szCs w:val="20"/>
              </w:rPr>
              <w:t>A.</w:t>
            </w:r>
            <w:r w:rsidR="003F1B50" w:rsidRPr="00386E47">
              <w:rPr>
                <w:rFonts w:asciiTheme="majorHAnsi" w:eastAsiaTheme="minorEastAsia" w:hAnsiTheme="majorHAnsi" w:cstheme="minorBidi"/>
                <w:noProof/>
                <w:sz w:val="20"/>
                <w:szCs w:val="20"/>
                <w:bdr w:val="none" w:sz="0" w:space="0" w:color="auto"/>
              </w:rPr>
              <w:tab/>
            </w:r>
            <w:r w:rsidR="003F1B50" w:rsidRPr="00386E47">
              <w:rPr>
                <w:rStyle w:val="Hyperlink"/>
                <w:rFonts w:asciiTheme="majorHAnsi" w:hAnsiTheme="majorHAnsi"/>
                <w:noProof/>
                <w:sz w:val="20"/>
                <w:szCs w:val="20"/>
              </w:rPr>
              <w:t>Parte peticionaria</w:t>
            </w:r>
            <w:r w:rsidR="003F1B50" w:rsidRPr="00386E47">
              <w:rPr>
                <w:rFonts w:asciiTheme="majorHAnsi" w:hAnsiTheme="majorHAnsi"/>
                <w:noProof/>
                <w:webHidden/>
                <w:sz w:val="20"/>
                <w:szCs w:val="20"/>
              </w:rPr>
              <w:tab/>
            </w:r>
            <w:r w:rsidR="003F1B50" w:rsidRPr="00386E47">
              <w:rPr>
                <w:rFonts w:asciiTheme="majorHAnsi" w:hAnsiTheme="majorHAnsi"/>
                <w:noProof/>
                <w:webHidden/>
                <w:sz w:val="20"/>
                <w:szCs w:val="20"/>
              </w:rPr>
              <w:fldChar w:fldCharType="begin"/>
            </w:r>
            <w:r w:rsidR="003F1B50" w:rsidRPr="00386E47">
              <w:rPr>
                <w:rFonts w:asciiTheme="majorHAnsi" w:hAnsiTheme="majorHAnsi"/>
                <w:noProof/>
                <w:webHidden/>
                <w:sz w:val="20"/>
                <w:szCs w:val="20"/>
              </w:rPr>
              <w:instrText xml:space="preserve"> PAGEREF _Toc51252183 \h </w:instrText>
            </w:r>
            <w:r w:rsidR="003F1B50" w:rsidRPr="00386E47">
              <w:rPr>
                <w:rFonts w:asciiTheme="majorHAnsi" w:hAnsiTheme="majorHAnsi"/>
                <w:noProof/>
                <w:webHidden/>
                <w:sz w:val="20"/>
                <w:szCs w:val="20"/>
              </w:rPr>
            </w:r>
            <w:r w:rsidR="003F1B50" w:rsidRPr="00386E47">
              <w:rPr>
                <w:rFonts w:asciiTheme="majorHAnsi" w:hAnsiTheme="majorHAnsi"/>
                <w:noProof/>
                <w:webHidden/>
                <w:sz w:val="20"/>
                <w:szCs w:val="20"/>
              </w:rPr>
              <w:fldChar w:fldCharType="separate"/>
            </w:r>
            <w:r>
              <w:rPr>
                <w:rFonts w:asciiTheme="majorHAnsi" w:hAnsiTheme="majorHAnsi"/>
                <w:noProof/>
                <w:webHidden/>
                <w:sz w:val="20"/>
                <w:szCs w:val="20"/>
              </w:rPr>
              <w:t>3</w:t>
            </w:r>
            <w:r w:rsidR="003F1B50" w:rsidRPr="00386E47">
              <w:rPr>
                <w:rFonts w:asciiTheme="majorHAnsi" w:hAnsiTheme="majorHAnsi"/>
                <w:noProof/>
                <w:webHidden/>
                <w:sz w:val="20"/>
                <w:szCs w:val="20"/>
              </w:rPr>
              <w:fldChar w:fldCharType="end"/>
            </w:r>
          </w:hyperlink>
        </w:p>
        <w:p w14:paraId="79BDF966" w14:textId="115105CD" w:rsidR="005B3F8C" w:rsidRPr="00386E47" w:rsidRDefault="00E72266" w:rsidP="005B3F8C">
          <w:pPr>
            <w:pStyle w:val="TOC2"/>
            <w:tabs>
              <w:tab w:val="clear" w:pos="8931"/>
              <w:tab w:val="left" w:pos="8910"/>
            </w:tabs>
            <w:spacing w:line="240" w:lineRule="auto"/>
            <w:ind w:right="707"/>
            <w:rPr>
              <w:rFonts w:asciiTheme="majorHAnsi" w:hAnsiTheme="majorHAnsi"/>
              <w:noProof/>
              <w:sz w:val="20"/>
              <w:szCs w:val="20"/>
              <w:u w:val="single"/>
            </w:rPr>
          </w:pPr>
          <w:hyperlink w:anchor="_Toc51252184" w:history="1">
            <w:r w:rsidR="003F1B50" w:rsidRPr="00386E47">
              <w:rPr>
                <w:rStyle w:val="Hyperlink"/>
                <w:rFonts w:asciiTheme="majorHAnsi" w:hAnsiTheme="majorHAnsi"/>
                <w:noProof/>
                <w:sz w:val="20"/>
                <w:szCs w:val="20"/>
              </w:rPr>
              <w:t>B.</w:t>
            </w:r>
            <w:r w:rsidR="003F1B50" w:rsidRPr="00386E47">
              <w:rPr>
                <w:rFonts w:asciiTheme="majorHAnsi" w:eastAsiaTheme="minorEastAsia" w:hAnsiTheme="majorHAnsi" w:cstheme="minorBidi"/>
                <w:noProof/>
                <w:sz w:val="20"/>
                <w:szCs w:val="20"/>
                <w:bdr w:val="none" w:sz="0" w:space="0" w:color="auto"/>
              </w:rPr>
              <w:tab/>
            </w:r>
            <w:r w:rsidR="003F1B50" w:rsidRPr="00386E47">
              <w:rPr>
                <w:rStyle w:val="Hyperlink"/>
                <w:rFonts w:asciiTheme="majorHAnsi" w:hAnsiTheme="majorHAnsi"/>
                <w:noProof/>
                <w:sz w:val="20"/>
                <w:szCs w:val="20"/>
              </w:rPr>
              <w:t>El Estado argentino</w:t>
            </w:r>
            <w:r w:rsidR="003F1B50" w:rsidRPr="00386E47">
              <w:rPr>
                <w:rFonts w:asciiTheme="majorHAnsi" w:hAnsiTheme="majorHAnsi"/>
                <w:noProof/>
                <w:webHidden/>
                <w:sz w:val="20"/>
                <w:szCs w:val="20"/>
              </w:rPr>
              <w:tab/>
            </w:r>
            <w:r w:rsidR="003F1B50" w:rsidRPr="00386E47">
              <w:rPr>
                <w:rFonts w:asciiTheme="majorHAnsi" w:hAnsiTheme="majorHAnsi"/>
                <w:noProof/>
                <w:webHidden/>
                <w:sz w:val="20"/>
                <w:szCs w:val="20"/>
              </w:rPr>
              <w:fldChar w:fldCharType="begin"/>
            </w:r>
            <w:r w:rsidR="003F1B50" w:rsidRPr="00386E47">
              <w:rPr>
                <w:rFonts w:asciiTheme="majorHAnsi" w:hAnsiTheme="majorHAnsi"/>
                <w:noProof/>
                <w:webHidden/>
                <w:sz w:val="20"/>
                <w:szCs w:val="20"/>
              </w:rPr>
              <w:instrText xml:space="preserve"> PAGEREF _Toc51252184 \h </w:instrText>
            </w:r>
            <w:r w:rsidR="003F1B50" w:rsidRPr="00386E47">
              <w:rPr>
                <w:rFonts w:asciiTheme="majorHAnsi" w:hAnsiTheme="majorHAnsi"/>
                <w:noProof/>
                <w:webHidden/>
                <w:sz w:val="20"/>
                <w:szCs w:val="20"/>
              </w:rPr>
            </w:r>
            <w:r w:rsidR="003F1B50" w:rsidRPr="00386E47">
              <w:rPr>
                <w:rFonts w:asciiTheme="majorHAnsi" w:hAnsiTheme="majorHAnsi"/>
                <w:noProof/>
                <w:webHidden/>
                <w:sz w:val="20"/>
                <w:szCs w:val="20"/>
              </w:rPr>
              <w:fldChar w:fldCharType="separate"/>
            </w:r>
            <w:r>
              <w:rPr>
                <w:rFonts w:asciiTheme="majorHAnsi" w:hAnsiTheme="majorHAnsi"/>
                <w:noProof/>
                <w:webHidden/>
                <w:sz w:val="20"/>
                <w:szCs w:val="20"/>
              </w:rPr>
              <w:t>5</w:t>
            </w:r>
            <w:r w:rsidR="003F1B50" w:rsidRPr="00386E47">
              <w:rPr>
                <w:rFonts w:asciiTheme="majorHAnsi" w:hAnsiTheme="majorHAnsi"/>
                <w:noProof/>
                <w:webHidden/>
                <w:sz w:val="20"/>
                <w:szCs w:val="20"/>
              </w:rPr>
              <w:fldChar w:fldCharType="end"/>
            </w:r>
          </w:hyperlink>
        </w:p>
        <w:p w14:paraId="0815C681" w14:textId="1204327C" w:rsidR="003F1B50" w:rsidRPr="00386E47" w:rsidRDefault="00E72266" w:rsidP="005B3F8C">
          <w:pPr>
            <w:pStyle w:val="TOC1"/>
            <w:spacing w:after="0"/>
            <w:rPr>
              <w:rFonts w:eastAsiaTheme="minorEastAsia" w:cstheme="minorBidi"/>
              <w:bdr w:val="none" w:sz="0" w:space="0" w:color="auto"/>
            </w:rPr>
          </w:pPr>
          <w:hyperlink w:anchor="_Toc51252185" w:history="1">
            <w:r w:rsidR="003F1B50" w:rsidRPr="00386E47">
              <w:rPr>
                <w:rStyle w:val="Hyperlink"/>
                <w:rFonts w:asciiTheme="majorHAnsi" w:hAnsiTheme="majorHAnsi"/>
              </w:rPr>
              <w:t>IV.</w:t>
            </w:r>
            <w:r w:rsidR="003F1B50" w:rsidRPr="00386E47">
              <w:rPr>
                <w:rFonts w:eastAsiaTheme="minorEastAsia" w:cstheme="minorBidi"/>
                <w:bdr w:val="none" w:sz="0" w:space="0" w:color="auto"/>
              </w:rPr>
              <w:tab/>
            </w:r>
            <w:r w:rsidR="003F1B50" w:rsidRPr="00386E47">
              <w:rPr>
                <w:rStyle w:val="Hyperlink"/>
                <w:rFonts w:asciiTheme="majorHAnsi" w:hAnsiTheme="majorHAnsi"/>
              </w:rPr>
              <w:t>CONSIDERACIONES SOBRE EL RECONOCIMIENTO DE RESPONSABILIDAD DEL ESTADO ARGENTINO</w:t>
            </w:r>
            <w:r w:rsidR="003F1B50" w:rsidRPr="00386E47">
              <w:rPr>
                <w:webHidden/>
              </w:rPr>
              <w:tab/>
            </w:r>
            <w:r w:rsidR="003F1B50" w:rsidRPr="00386E47">
              <w:rPr>
                <w:webHidden/>
              </w:rPr>
              <w:fldChar w:fldCharType="begin"/>
            </w:r>
            <w:r w:rsidR="003F1B50" w:rsidRPr="00386E47">
              <w:rPr>
                <w:webHidden/>
              </w:rPr>
              <w:instrText xml:space="preserve"> PAGEREF _Toc51252185 \h </w:instrText>
            </w:r>
            <w:r w:rsidR="003F1B50" w:rsidRPr="00386E47">
              <w:rPr>
                <w:webHidden/>
              </w:rPr>
            </w:r>
            <w:r w:rsidR="003F1B50" w:rsidRPr="00386E47">
              <w:rPr>
                <w:webHidden/>
              </w:rPr>
              <w:fldChar w:fldCharType="separate"/>
            </w:r>
            <w:r>
              <w:rPr>
                <w:webHidden/>
              </w:rPr>
              <w:t>6</w:t>
            </w:r>
            <w:r w:rsidR="003F1B50" w:rsidRPr="00386E47">
              <w:rPr>
                <w:webHidden/>
              </w:rPr>
              <w:fldChar w:fldCharType="end"/>
            </w:r>
          </w:hyperlink>
        </w:p>
        <w:p w14:paraId="466CED7F" w14:textId="27494602" w:rsidR="003F1B50" w:rsidRPr="00386E47" w:rsidRDefault="00E72266" w:rsidP="005B3F8C">
          <w:pPr>
            <w:pStyle w:val="TOC1"/>
            <w:spacing w:after="0"/>
            <w:rPr>
              <w:rFonts w:eastAsiaTheme="minorEastAsia" w:cstheme="minorBidi"/>
              <w:bdr w:val="none" w:sz="0" w:space="0" w:color="auto"/>
            </w:rPr>
          </w:pPr>
          <w:hyperlink w:anchor="_Toc51252186" w:history="1">
            <w:r w:rsidR="003F1B50" w:rsidRPr="00386E47">
              <w:rPr>
                <w:rStyle w:val="Hyperlink"/>
                <w:rFonts w:asciiTheme="majorHAnsi" w:hAnsiTheme="majorHAnsi"/>
              </w:rPr>
              <w:t>V.</w:t>
            </w:r>
            <w:r w:rsidR="003F1B50" w:rsidRPr="00386E47">
              <w:rPr>
                <w:rFonts w:eastAsiaTheme="minorEastAsia" w:cstheme="minorBidi"/>
                <w:bdr w:val="none" w:sz="0" w:space="0" w:color="auto"/>
              </w:rPr>
              <w:tab/>
            </w:r>
            <w:r w:rsidR="003F1B50" w:rsidRPr="00386E47">
              <w:rPr>
                <w:rStyle w:val="Hyperlink"/>
                <w:rFonts w:asciiTheme="majorHAnsi" w:hAnsiTheme="majorHAnsi"/>
              </w:rPr>
              <w:t>ANALISIS DE COMPETENCIA Y ADMISIBILIDAD</w:t>
            </w:r>
            <w:r w:rsidR="003F1B50" w:rsidRPr="00386E47">
              <w:rPr>
                <w:webHidden/>
              </w:rPr>
              <w:tab/>
            </w:r>
            <w:r w:rsidR="003F1B50" w:rsidRPr="00386E47">
              <w:rPr>
                <w:webHidden/>
              </w:rPr>
              <w:fldChar w:fldCharType="begin"/>
            </w:r>
            <w:r w:rsidR="003F1B50" w:rsidRPr="00386E47">
              <w:rPr>
                <w:webHidden/>
              </w:rPr>
              <w:instrText xml:space="preserve"> PAGEREF _Toc51252186 \h </w:instrText>
            </w:r>
            <w:r w:rsidR="003F1B50" w:rsidRPr="00386E47">
              <w:rPr>
                <w:webHidden/>
              </w:rPr>
            </w:r>
            <w:r w:rsidR="003F1B50" w:rsidRPr="00386E47">
              <w:rPr>
                <w:webHidden/>
              </w:rPr>
              <w:fldChar w:fldCharType="separate"/>
            </w:r>
            <w:r>
              <w:rPr>
                <w:webHidden/>
              </w:rPr>
              <w:t>8</w:t>
            </w:r>
            <w:r w:rsidR="003F1B50" w:rsidRPr="00386E47">
              <w:rPr>
                <w:webHidden/>
              </w:rPr>
              <w:fldChar w:fldCharType="end"/>
            </w:r>
          </w:hyperlink>
        </w:p>
        <w:p w14:paraId="5BE00889" w14:textId="0A483871" w:rsidR="003F1B50" w:rsidRPr="00386E47" w:rsidRDefault="00E72266" w:rsidP="005B3F8C">
          <w:pPr>
            <w:pStyle w:val="TOC2"/>
            <w:tabs>
              <w:tab w:val="clear" w:pos="8931"/>
              <w:tab w:val="left" w:pos="8910"/>
            </w:tabs>
            <w:spacing w:line="240" w:lineRule="auto"/>
            <w:ind w:right="707"/>
            <w:rPr>
              <w:rFonts w:asciiTheme="majorHAnsi" w:eastAsiaTheme="minorEastAsia" w:hAnsiTheme="majorHAnsi" w:cstheme="minorBidi"/>
              <w:noProof/>
              <w:sz w:val="20"/>
              <w:szCs w:val="20"/>
              <w:bdr w:val="none" w:sz="0" w:space="0" w:color="auto"/>
            </w:rPr>
          </w:pPr>
          <w:hyperlink w:anchor="_Toc51252187" w:history="1">
            <w:r w:rsidR="003F1B50" w:rsidRPr="00386E47">
              <w:rPr>
                <w:rStyle w:val="Hyperlink"/>
                <w:rFonts w:asciiTheme="majorHAnsi" w:hAnsiTheme="majorHAnsi"/>
                <w:noProof/>
                <w:sz w:val="20"/>
                <w:szCs w:val="20"/>
              </w:rPr>
              <w:t>A.</w:t>
            </w:r>
            <w:r w:rsidR="003F1B50" w:rsidRPr="00386E47">
              <w:rPr>
                <w:rFonts w:asciiTheme="majorHAnsi" w:eastAsiaTheme="minorEastAsia" w:hAnsiTheme="majorHAnsi" w:cstheme="minorBidi"/>
                <w:noProof/>
                <w:sz w:val="20"/>
                <w:szCs w:val="20"/>
                <w:bdr w:val="none" w:sz="0" w:space="0" w:color="auto"/>
              </w:rPr>
              <w:tab/>
            </w:r>
            <w:r w:rsidR="003F1B50" w:rsidRPr="00386E47">
              <w:rPr>
                <w:rStyle w:val="Hyperlink"/>
                <w:rFonts w:asciiTheme="majorHAnsi" w:hAnsiTheme="majorHAnsi"/>
                <w:noProof/>
                <w:sz w:val="20"/>
                <w:szCs w:val="20"/>
              </w:rPr>
              <w:t>Competencia, duplicidad de procedimiento y cosa juzgada internacional.</w:t>
            </w:r>
            <w:r w:rsidR="003F1B50" w:rsidRPr="00386E47">
              <w:rPr>
                <w:rFonts w:asciiTheme="majorHAnsi" w:hAnsiTheme="majorHAnsi"/>
                <w:noProof/>
                <w:webHidden/>
                <w:sz w:val="20"/>
                <w:szCs w:val="20"/>
              </w:rPr>
              <w:tab/>
            </w:r>
            <w:r w:rsidR="003F1B50" w:rsidRPr="00386E47">
              <w:rPr>
                <w:rFonts w:asciiTheme="majorHAnsi" w:hAnsiTheme="majorHAnsi"/>
                <w:noProof/>
                <w:webHidden/>
                <w:sz w:val="20"/>
                <w:szCs w:val="20"/>
              </w:rPr>
              <w:fldChar w:fldCharType="begin"/>
            </w:r>
            <w:r w:rsidR="003F1B50" w:rsidRPr="00386E47">
              <w:rPr>
                <w:rFonts w:asciiTheme="majorHAnsi" w:hAnsiTheme="majorHAnsi"/>
                <w:noProof/>
                <w:webHidden/>
                <w:sz w:val="20"/>
                <w:szCs w:val="20"/>
              </w:rPr>
              <w:instrText xml:space="preserve"> PAGEREF _Toc51252187 \h </w:instrText>
            </w:r>
            <w:r w:rsidR="003F1B50" w:rsidRPr="00386E47">
              <w:rPr>
                <w:rFonts w:asciiTheme="majorHAnsi" w:hAnsiTheme="majorHAnsi"/>
                <w:noProof/>
                <w:webHidden/>
                <w:sz w:val="20"/>
                <w:szCs w:val="20"/>
              </w:rPr>
            </w:r>
            <w:r w:rsidR="003F1B50" w:rsidRPr="00386E47">
              <w:rPr>
                <w:rFonts w:asciiTheme="majorHAnsi" w:hAnsiTheme="majorHAnsi"/>
                <w:noProof/>
                <w:webHidden/>
                <w:sz w:val="20"/>
                <w:szCs w:val="20"/>
              </w:rPr>
              <w:fldChar w:fldCharType="separate"/>
            </w:r>
            <w:r>
              <w:rPr>
                <w:rFonts w:asciiTheme="majorHAnsi" w:hAnsiTheme="majorHAnsi"/>
                <w:noProof/>
                <w:webHidden/>
                <w:sz w:val="20"/>
                <w:szCs w:val="20"/>
              </w:rPr>
              <w:t>8</w:t>
            </w:r>
            <w:r w:rsidR="003F1B50" w:rsidRPr="00386E47">
              <w:rPr>
                <w:rFonts w:asciiTheme="majorHAnsi" w:hAnsiTheme="majorHAnsi"/>
                <w:noProof/>
                <w:webHidden/>
                <w:sz w:val="20"/>
                <w:szCs w:val="20"/>
              </w:rPr>
              <w:fldChar w:fldCharType="end"/>
            </w:r>
          </w:hyperlink>
        </w:p>
        <w:p w14:paraId="3CB46316" w14:textId="08A64B94" w:rsidR="003F1B50" w:rsidRPr="00386E47" w:rsidRDefault="00E72266" w:rsidP="005B3F8C">
          <w:pPr>
            <w:pStyle w:val="TOC2"/>
            <w:tabs>
              <w:tab w:val="clear" w:pos="8931"/>
              <w:tab w:val="left" w:pos="8910"/>
            </w:tabs>
            <w:spacing w:line="240" w:lineRule="auto"/>
            <w:ind w:right="707"/>
            <w:rPr>
              <w:rFonts w:asciiTheme="majorHAnsi" w:eastAsiaTheme="minorEastAsia" w:hAnsiTheme="majorHAnsi" w:cstheme="minorBidi"/>
              <w:noProof/>
              <w:sz w:val="20"/>
              <w:szCs w:val="20"/>
              <w:bdr w:val="none" w:sz="0" w:space="0" w:color="auto"/>
            </w:rPr>
          </w:pPr>
          <w:hyperlink w:anchor="_Toc51252188" w:history="1">
            <w:r w:rsidR="003F1B50" w:rsidRPr="00386E47">
              <w:rPr>
                <w:rStyle w:val="Hyperlink"/>
                <w:rFonts w:asciiTheme="majorHAnsi" w:hAnsiTheme="majorHAnsi"/>
                <w:noProof/>
                <w:sz w:val="20"/>
                <w:szCs w:val="20"/>
              </w:rPr>
              <w:t>B.</w:t>
            </w:r>
            <w:r w:rsidR="003F1B50" w:rsidRPr="00386E47">
              <w:rPr>
                <w:rFonts w:asciiTheme="majorHAnsi" w:eastAsiaTheme="minorEastAsia" w:hAnsiTheme="majorHAnsi" w:cstheme="minorBidi"/>
                <w:noProof/>
                <w:sz w:val="20"/>
                <w:szCs w:val="20"/>
                <w:bdr w:val="none" w:sz="0" w:space="0" w:color="auto"/>
              </w:rPr>
              <w:tab/>
            </w:r>
            <w:r w:rsidR="003F1B50" w:rsidRPr="00386E47">
              <w:rPr>
                <w:rStyle w:val="Hyperlink"/>
                <w:rFonts w:asciiTheme="majorHAnsi" w:hAnsiTheme="majorHAnsi"/>
                <w:noProof/>
                <w:sz w:val="20"/>
                <w:szCs w:val="20"/>
              </w:rPr>
              <w:t>Agotamiento de los recursos internos y plazo de presentación.</w:t>
            </w:r>
            <w:r w:rsidR="003F1B50" w:rsidRPr="00386E47">
              <w:rPr>
                <w:rFonts w:asciiTheme="majorHAnsi" w:hAnsiTheme="majorHAnsi"/>
                <w:noProof/>
                <w:webHidden/>
                <w:sz w:val="20"/>
                <w:szCs w:val="20"/>
              </w:rPr>
              <w:tab/>
            </w:r>
            <w:r w:rsidR="003F1B50" w:rsidRPr="00386E47">
              <w:rPr>
                <w:rFonts w:asciiTheme="majorHAnsi" w:hAnsiTheme="majorHAnsi"/>
                <w:noProof/>
                <w:webHidden/>
                <w:sz w:val="20"/>
                <w:szCs w:val="20"/>
              </w:rPr>
              <w:fldChar w:fldCharType="begin"/>
            </w:r>
            <w:r w:rsidR="003F1B50" w:rsidRPr="00386E47">
              <w:rPr>
                <w:rFonts w:asciiTheme="majorHAnsi" w:hAnsiTheme="majorHAnsi"/>
                <w:noProof/>
                <w:webHidden/>
                <w:sz w:val="20"/>
                <w:szCs w:val="20"/>
              </w:rPr>
              <w:instrText xml:space="preserve"> PAGEREF _Toc51252188 \h </w:instrText>
            </w:r>
            <w:r w:rsidR="003F1B50" w:rsidRPr="00386E47">
              <w:rPr>
                <w:rFonts w:asciiTheme="majorHAnsi" w:hAnsiTheme="majorHAnsi"/>
                <w:noProof/>
                <w:webHidden/>
                <w:sz w:val="20"/>
                <w:szCs w:val="20"/>
              </w:rPr>
            </w:r>
            <w:r w:rsidR="003F1B50" w:rsidRPr="00386E47">
              <w:rPr>
                <w:rFonts w:asciiTheme="majorHAnsi" w:hAnsiTheme="majorHAnsi"/>
                <w:noProof/>
                <w:webHidden/>
                <w:sz w:val="20"/>
                <w:szCs w:val="20"/>
              </w:rPr>
              <w:fldChar w:fldCharType="separate"/>
            </w:r>
            <w:r>
              <w:rPr>
                <w:rFonts w:asciiTheme="majorHAnsi" w:hAnsiTheme="majorHAnsi"/>
                <w:noProof/>
                <w:webHidden/>
                <w:sz w:val="20"/>
                <w:szCs w:val="20"/>
              </w:rPr>
              <w:t>8</w:t>
            </w:r>
            <w:r w:rsidR="003F1B50" w:rsidRPr="00386E47">
              <w:rPr>
                <w:rFonts w:asciiTheme="majorHAnsi" w:hAnsiTheme="majorHAnsi"/>
                <w:noProof/>
                <w:webHidden/>
                <w:sz w:val="20"/>
                <w:szCs w:val="20"/>
              </w:rPr>
              <w:fldChar w:fldCharType="end"/>
            </w:r>
          </w:hyperlink>
        </w:p>
        <w:p w14:paraId="6F4A0B5F" w14:textId="299BF63F" w:rsidR="003F1B50" w:rsidRPr="00386E47" w:rsidRDefault="00E72266" w:rsidP="005B3F8C">
          <w:pPr>
            <w:pStyle w:val="TOC2"/>
            <w:tabs>
              <w:tab w:val="clear" w:pos="8931"/>
              <w:tab w:val="left" w:pos="8910"/>
            </w:tabs>
            <w:spacing w:line="240" w:lineRule="auto"/>
            <w:ind w:right="707"/>
            <w:rPr>
              <w:rFonts w:asciiTheme="majorHAnsi" w:eastAsiaTheme="minorEastAsia" w:hAnsiTheme="majorHAnsi" w:cstheme="minorBidi"/>
              <w:noProof/>
              <w:sz w:val="20"/>
              <w:szCs w:val="20"/>
              <w:bdr w:val="none" w:sz="0" w:space="0" w:color="auto"/>
            </w:rPr>
          </w:pPr>
          <w:hyperlink w:anchor="_Toc51252189" w:history="1">
            <w:r w:rsidR="003F1B50" w:rsidRPr="00386E47">
              <w:rPr>
                <w:rStyle w:val="Hyperlink"/>
                <w:rFonts w:asciiTheme="majorHAnsi" w:hAnsiTheme="majorHAnsi"/>
                <w:noProof/>
                <w:sz w:val="20"/>
                <w:szCs w:val="20"/>
              </w:rPr>
              <w:t>C.</w:t>
            </w:r>
            <w:r w:rsidR="003F1B50" w:rsidRPr="00386E47">
              <w:rPr>
                <w:rFonts w:asciiTheme="majorHAnsi" w:eastAsiaTheme="minorEastAsia" w:hAnsiTheme="majorHAnsi" w:cstheme="minorBidi"/>
                <w:noProof/>
                <w:sz w:val="20"/>
                <w:szCs w:val="20"/>
                <w:bdr w:val="none" w:sz="0" w:space="0" w:color="auto"/>
              </w:rPr>
              <w:tab/>
            </w:r>
            <w:r w:rsidR="003F1B50" w:rsidRPr="00386E47">
              <w:rPr>
                <w:rStyle w:val="Hyperlink"/>
                <w:rFonts w:asciiTheme="majorHAnsi" w:hAnsiTheme="majorHAnsi"/>
                <w:noProof/>
                <w:sz w:val="20"/>
                <w:szCs w:val="20"/>
              </w:rPr>
              <w:t>Caracterización de los hechos alegados.</w:t>
            </w:r>
            <w:r w:rsidR="003F1B50" w:rsidRPr="00386E47">
              <w:rPr>
                <w:rFonts w:asciiTheme="majorHAnsi" w:hAnsiTheme="majorHAnsi"/>
                <w:noProof/>
                <w:webHidden/>
                <w:sz w:val="20"/>
                <w:szCs w:val="20"/>
              </w:rPr>
              <w:tab/>
            </w:r>
            <w:r w:rsidR="003F1B50" w:rsidRPr="00386E47">
              <w:rPr>
                <w:rFonts w:asciiTheme="majorHAnsi" w:hAnsiTheme="majorHAnsi"/>
                <w:noProof/>
                <w:webHidden/>
                <w:sz w:val="20"/>
                <w:szCs w:val="20"/>
              </w:rPr>
              <w:fldChar w:fldCharType="begin"/>
            </w:r>
            <w:r w:rsidR="003F1B50" w:rsidRPr="00386E47">
              <w:rPr>
                <w:rFonts w:asciiTheme="majorHAnsi" w:hAnsiTheme="majorHAnsi"/>
                <w:noProof/>
                <w:webHidden/>
                <w:sz w:val="20"/>
                <w:szCs w:val="20"/>
              </w:rPr>
              <w:instrText xml:space="preserve"> PAGEREF _Toc51252189 \h </w:instrText>
            </w:r>
            <w:r w:rsidR="003F1B50" w:rsidRPr="00386E47">
              <w:rPr>
                <w:rFonts w:asciiTheme="majorHAnsi" w:hAnsiTheme="majorHAnsi"/>
                <w:noProof/>
                <w:webHidden/>
                <w:sz w:val="20"/>
                <w:szCs w:val="20"/>
              </w:rPr>
            </w:r>
            <w:r w:rsidR="003F1B50" w:rsidRPr="00386E47">
              <w:rPr>
                <w:rFonts w:asciiTheme="majorHAnsi" w:hAnsiTheme="majorHAnsi"/>
                <w:noProof/>
                <w:webHidden/>
                <w:sz w:val="20"/>
                <w:szCs w:val="20"/>
              </w:rPr>
              <w:fldChar w:fldCharType="separate"/>
            </w:r>
            <w:r>
              <w:rPr>
                <w:rFonts w:asciiTheme="majorHAnsi" w:hAnsiTheme="majorHAnsi"/>
                <w:noProof/>
                <w:webHidden/>
                <w:sz w:val="20"/>
                <w:szCs w:val="20"/>
              </w:rPr>
              <w:t>9</w:t>
            </w:r>
            <w:r w:rsidR="003F1B50" w:rsidRPr="00386E47">
              <w:rPr>
                <w:rFonts w:asciiTheme="majorHAnsi" w:hAnsiTheme="majorHAnsi"/>
                <w:noProof/>
                <w:webHidden/>
                <w:sz w:val="20"/>
                <w:szCs w:val="20"/>
              </w:rPr>
              <w:fldChar w:fldCharType="end"/>
            </w:r>
          </w:hyperlink>
        </w:p>
        <w:p w14:paraId="06A32730" w14:textId="1B94B624" w:rsidR="003F1B50" w:rsidRPr="00386E47" w:rsidRDefault="00E72266" w:rsidP="005B3F8C">
          <w:pPr>
            <w:pStyle w:val="TOC1"/>
            <w:spacing w:after="0"/>
            <w:rPr>
              <w:rFonts w:eastAsiaTheme="minorEastAsia" w:cstheme="minorBidi"/>
              <w:bdr w:val="none" w:sz="0" w:space="0" w:color="auto"/>
            </w:rPr>
          </w:pPr>
          <w:hyperlink w:anchor="_Toc51252190" w:history="1">
            <w:r w:rsidR="003F1B50" w:rsidRPr="00386E47">
              <w:rPr>
                <w:rStyle w:val="Hyperlink"/>
                <w:rFonts w:asciiTheme="majorHAnsi" w:hAnsiTheme="majorHAnsi"/>
              </w:rPr>
              <w:t>VI.</w:t>
            </w:r>
            <w:r w:rsidR="003F1B50" w:rsidRPr="00386E47">
              <w:rPr>
                <w:rFonts w:eastAsiaTheme="minorEastAsia" w:cstheme="minorBidi"/>
                <w:bdr w:val="none" w:sz="0" w:space="0" w:color="auto"/>
              </w:rPr>
              <w:tab/>
            </w:r>
            <w:r w:rsidR="003F1B50" w:rsidRPr="00386E47">
              <w:rPr>
                <w:rStyle w:val="Hyperlink"/>
                <w:rFonts w:asciiTheme="majorHAnsi" w:hAnsiTheme="majorHAnsi"/>
              </w:rPr>
              <w:t>CONSIDERACIONES SOBRE EL FONDO</w:t>
            </w:r>
            <w:r w:rsidR="003F1B50" w:rsidRPr="00386E47">
              <w:rPr>
                <w:webHidden/>
              </w:rPr>
              <w:tab/>
            </w:r>
            <w:r w:rsidR="003F1B50" w:rsidRPr="00386E47">
              <w:rPr>
                <w:webHidden/>
              </w:rPr>
              <w:fldChar w:fldCharType="begin"/>
            </w:r>
            <w:r w:rsidR="003F1B50" w:rsidRPr="00386E47">
              <w:rPr>
                <w:webHidden/>
              </w:rPr>
              <w:instrText xml:space="preserve"> PAGEREF _Toc51252190 \h </w:instrText>
            </w:r>
            <w:r w:rsidR="003F1B50" w:rsidRPr="00386E47">
              <w:rPr>
                <w:webHidden/>
              </w:rPr>
            </w:r>
            <w:r w:rsidR="003F1B50" w:rsidRPr="00386E47">
              <w:rPr>
                <w:webHidden/>
              </w:rPr>
              <w:fldChar w:fldCharType="separate"/>
            </w:r>
            <w:r>
              <w:rPr>
                <w:webHidden/>
              </w:rPr>
              <w:t>9</w:t>
            </w:r>
            <w:r w:rsidR="003F1B50" w:rsidRPr="00386E47">
              <w:rPr>
                <w:webHidden/>
              </w:rPr>
              <w:fldChar w:fldCharType="end"/>
            </w:r>
          </w:hyperlink>
        </w:p>
        <w:p w14:paraId="3C2310AA" w14:textId="5EC15C19" w:rsidR="003F1B50" w:rsidRPr="00386E47" w:rsidRDefault="00E72266" w:rsidP="005B3F8C">
          <w:pPr>
            <w:pStyle w:val="TOC2"/>
            <w:tabs>
              <w:tab w:val="clear" w:pos="8931"/>
              <w:tab w:val="left" w:pos="8910"/>
            </w:tabs>
            <w:spacing w:line="240" w:lineRule="auto"/>
            <w:ind w:right="707"/>
            <w:rPr>
              <w:rFonts w:asciiTheme="majorHAnsi" w:eastAsiaTheme="minorEastAsia" w:hAnsiTheme="majorHAnsi" w:cstheme="minorBidi"/>
              <w:noProof/>
              <w:sz w:val="20"/>
              <w:szCs w:val="20"/>
              <w:bdr w:val="none" w:sz="0" w:space="0" w:color="auto"/>
            </w:rPr>
          </w:pPr>
          <w:hyperlink w:anchor="_Toc51252191" w:history="1">
            <w:r w:rsidR="003F1B50" w:rsidRPr="00386E47">
              <w:rPr>
                <w:rStyle w:val="Hyperlink"/>
                <w:rFonts w:asciiTheme="majorHAnsi" w:hAnsiTheme="majorHAnsi"/>
                <w:noProof/>
                <w:sz w:val="20"/>
                <w:szCs w:val="20"/>
              </w:rPr>
              <w:t>A.</w:t>
            </w:r>
            <w:r w:rsidR="003F1B50" w:rsidRPr="00386E47">
              <w:rPr>
                <w:rFonts w:asciiTheme="majorHAnsi" w:eastAsiaTheme="minorEastAsia" w:hAnsiTheme="majorHAnsi" w:cstheme="minorBidi"/>
                <w:noProof/>
                <w:sz w:val="20"/>
                <w:szCs w:val="20"/>
                <w:bdr w:val="none" w:sz="0" w:space="0" w:color="auto"/>
              </w:rPr>
              <w:tab/>
            </w:r>
            <w:r w:rsidR="003F1B50" w:rsidRPr="00386E47">
              <w:rPr>
                <w:rStyle w:val="Hyperlink"/>
                <w:rFonts w:asciiTheme="majorHAnsi" w:hAnsiTheme="majorHAnsi"/>
                <w:noProof/>
                <w:sz w:val="20"/>
                <w:szCs w:val="20"/>
              </w:rPr>
              <w:t>Determinaciones Globales de Hecho</w:t>
            </w:r>
            <w:r w:rsidR="003F1B50" w:rsidRPr="00386E47">
              <w:rPr>
                <w:rFonts w:asciiTheme="majorHAnsi" w:hAnsiTheme="majorHAnsi"/>
                <w:noProof/>
                <w:webHidden/>
                <w:sz w:val="20"/>
                <w:szCs w:val="20"/>
              </w:rPr>
              <w:tab/>
            </w:r>
            <w:r w:rsidR="003F1B50" w:rsidRPr="00386E47">
              <w:rPr>
                <w:rFonts w:asciiTheme="majorHAnsi" w:hAnsiTheme="majorHAnsi"/>
                <w:noProof/>
                <w:webHidden/>
                <w:sz w:val="20"/>
                <w:szCs w:val="20"/>
              </w:rPr>
              <w:fldChar w:fldCharType="begin"/>
            </w:r>
            <w:r w:rsidR="003F1B50" w:rsidRPr="00386E47">
              <w:rPr>
                <w:rFonts w:asciiTheme="majorHAnsi" w:hAnsiTheme="majorHAnsi"/>
                <w:noProof/>
                <w:webHidden/>
                <w:sz w:val="20"/>
                <w:szCs w:val="20"/>
              </w:rPr>
              <w:instrText xml:space="preserve"> PAGEREF _Toc51252191 \h </w:instrText>
            </w:r>
            <w:r w:rsidR="003F1B50" w:rsidRPr="00386E47">
              <w:rPr>
                <w:rFonts w:asciiTheme="majorHAnsi" w:hAnsiTheme="majorHAnsi"/>
                <w:noProof/>
                <w:webHidden/>
                <w:sz w:val="20"/>
                <w:szCs w:val="20"/>
              </w:rPr>
            </w:r>
            <w:r w:rsidR="003F1B50" w:rsidRPr="00386E47">
              <w:rPr>
                <w:rFonts w:asciiTheme="majorHAnsi" w:hAnsiTheme="majorHAnsi"/>
                <w:noProof/>
                <w:webHidden/>
                <w:sz w:val="20"/>
                <w:szCs w:val="20"/>
              </w:rPr>
              <w:fldChar w:fldCharType="separate"/>
            </w:r>
            <w:r>
              <w:rPr>
                <w:rFonts w:asciiTheme="majorHAnsi" w:hAnsiTheme="majorHAnsi"/>
                <w:noProof/>
                <w:webHidden/>
                <w:sz w:val="20"/>
                <w:szCs w:val="20"/>
              </w:rPr>
              <w:t>9</w:t>
            </w:r>
            <w:r w:rsidR="003F1B50" w:rsidRPr="00386E47">
              <w:rPr>
                <w:rFonts w:asciiTheme="majorHAnsi" w:hAnsiTheme="majorHAnsi"/>
                <w:noProof/>
                <w:webHidden/>
                <w:sz w:val="20"/>
                <w:szCs w:val="20"/>
              </w:rPr>
              <w:fldChar w:fldCharType="end"/>
            </w:r>
          </w:hyperlink>
        </w:p>
        <w:p w14:paraId="28431463" w14:textId="33FD06F5" w:rsidR="003F1B50" w:rsidRPr="00386E47" w:rsidRDefault="00E72266" w:rsidP="005B3F8C">
          <w:pPr>
            <w:pStyle w:val="TOC3"/>
            <w:tabs>
              <w:tab w:val="left" w:pos="8910"/>
            </w:tabs>
            <w:spacing w:after="0"/>
            <w:ind w:right="707"/>
            <w:rPr>
              <w:rFonts w:asciiTheme="majorHAnsi" w:eastAsiaTheme="minorEastAsia" w:hAnsiTheme="majorHAnsi" w:cstheme="minorBidi"/>
              <w:noProof/>
              <w:sz w:val="20"/>
              <w:szCs w:val="20"/>
              <w:bdr w:val="none" w:sz="0" w:space="0" w:color="auto"/>
            </w:rPr>
          </w:pPr>
          <w:hyperlink w:anchor="_Toc51252192" w:history="1">
            <w:r w:rsidR="003F1B50" w:rsidRPr="00386E47">
              <w:rPr>
                <w:rStyle w:val="Hyperlink"/>
                <w:rFonts w:asciiTheme="majorHAnsi" w:hAnsiTheme="majorHAnsi"/>
                <w:noProof/>
                <w:sz w:val="20"/>
                <w:szCs w:val="20"/>
              </w:rPr>
              <w:t>1.</w:t>
            </w:r>
            <w:r w:rsidR="003F1B50" w:rsidRPr="00386E47">
              <w:rPr>
                <w:rFonts w:asciiTheme="majorHAnsi" w:eastAsiaTheme="minorEastAsia" w:hAnsiTheme="majorHAnsi" w:cstheme="minorBidi"/>
                <w:noProof/>
                <w:sz w:val="20"/>
                <w:szCs w:val="20"/>
                <w:bdr w:val="none" w:sz="0" w:space="0" w:color="auto"/>
              </w:rPr>
              <w:tab/>
            </w:r>
            <w:r w:rsidR="003F1B50" w:rsidRPr="00386E47">
              <w:rPr>
                <w:rStyle w:val="Hyperlink"/>
                <w:rFonts w:asciiTheme="majorHAnsi" w:hAnsiTheme="majorHAnsi"/>
                <w:noProof/>
                <w:sz w:val="20"/>
                <w:szCs w:val="20"/>
              </w:rPr>
              <w:t>El atentado a la sede de la Asociación Mutual Israelita Argentina y la investigación encabezada por el Juzgado en lo Criminal y Correccional Federal Nro. 9 de la Capital Federal.</w:t>
            </w:r>
            <w:r w:rsidR="003F1B50" w:rsidRPr="00386E47">
              <w:rPr>
                <w:rFonts w:asciiTheme="majorHAnsi" w:hAnsiTheme="majorHAnsi"/>
                <w:noProof/>
                <w:webHidden/>
                <w:sz w:val="20"/>
                <w:szCs w:val="20"/>
              </w:rPr>
              <w:tab/>
            </w:r>
            <w:r w:rsidR="003F1B50" w:rsidRPr="00386E47">
              <w:rPr>
                <w:rFonts w:asciiTheme="majorHAnsi" w:hAnsiTheme="majorHAnsi"/>
                <w:noProof/>
                <w:webHidden/>
                <w:sz w:val="20"/>
                <w:szCs w:val="20"/>
              </w:rPr>
              <w:fldChar w:fldCharType="begin"/>
            </w:r>
            <w:r w:rsidR="003F1B50" w:rsidRPr="00386E47">
              <w:rPr>
                <w:rFonts w:asciiTheme="majorHAnsi" w:hAnsiTheme="majorHAnsi"/>
                <w:noProof/>
                <w:webHidden/>
                <w:sz w:val="20"/>
                <w:szCs w:val="20"/>
              </w:rPr>
              <w:instrText xml:space="preserve"> PAGEREF _Toc51252192 \h </w:instrText>
            </w:r>
            <w:r w:rsidR="003F1B50" w:rsidRPr="00386E47">
              <w:rPr>
                <w:rFonts w:asciiTheme="majorHAnsi" w:hAnsiTheme="majorHAnsi"/>
                <w:noProof/>
                <w:webHidden/>
                <w:sz w:val="20"/>
                <w:szCs w:val="20"/>
              </w:rPr>
            </w:r>
            <w:r w:rsidR="003F1B50" w:rsidRPr="00386E47">
              <w:rPr>
                <w:rFonts w:asciiTheme="majorHAnsi" w:hAnsiTheme="majorHAnsi"/>
                <w:noProof/>
                <w:webHidden/>
                <w:sz w:val="20"/>
                <w:szCs w:val="20"/>
              </w:rPr>
              <w:fldChar w:fldCharType="separate"/>
            </w:r>
            <w:r>
              <w:rPr>
                <w:rFonts w:asciiTheme="majorHAnsi" w:hAnsiTheme="majorHAnsi"/>
                <w:noProof/>
                <w:webHidden/>
                <w:sz w:val="20"/>
                <w:szCs w:val="20"/>
              </w:rPr>
              <w:t>9</w:t>
            </w:r>
            <w:r w:rsidR="003F1B50" w:rsidRPr="00386E47">
              <w:rPr>
                <w:rFonts w:asciiTheme="majorHAnsi" w:hAnsiTheme="majorHAnsi"/>
                <w:noProof/>
                <w:webHidden/>
                <w:sz w:val="20"/>
                <w:szCs w:val="20"/>
              </w:rPr>
              <w:fldChar w:fldCharType="end"/>
            </w:r>
          </w:hyperlink>
        </w:p>
        <w:p w14:paraId="3071F082" w14:textId="6CF1A0D1" w:rsidR="003F1B50" w:rsidRPr="00386E47" w:rsidRDefault="00E72266" w:rsidP="005B3F8C">
          <w:pPr>
            <w:pStyle w:val="TOC3"/>
            <w:tabs>
              <w:tab w:val="left" w:pos="8910"/>
            </w:tabs>
            <w:spacing w:after="0"/>
            <w:ind w:right="707"/>
            <w:rPr>
              <w:rFonts w:asciiTheme="majorHAnsi" w:eastAsiaTheme="minorEastAsia" w:hAnsiTheme="majorHAnsi" w:cstheme="minorBidi"/>
              <w:noProof/>
              <w:sz w:val="20"/>
              <w:szCs w:val="20"/>
              <w:bdr w:val="none" w:sz="0" w:space="0" w:color="auto"/>
            </w:rPr>
          </w:pPr>
          <w:hyperlink w:anchor="_Toc51252193" w:history="1">
            <w:r w:rsidR="003F1B50" w:rsidRPr="00386E47">
              <w:rPr>
                <w:rStyle w:val="Hyperlink"/>
                <w:rFonts w:asciiTheme="majorHAnsi" w:hAnsiTheme="majorHAnsi"/>
                <w:noProof/>
                <w:sz w:val="20"/>
                <w:szCs w:val="20"/>
              </w:rPr>
              <w:t>2.</w:t>
            </w:r>
            <w:r w:rsidR="003F1B50" w:rsidRPr="00386E47">
              <w:rPr>
                <w:rFonts w:asciiTheme="majorHAnsi" w:eastAsiaTheme="minorEastAsia" w:hAnsiTheme="majorHAnsi" w:cstheme="minorBidi"/>
                <w:noProof/>
                <w:sz w:val="20"/>
                <w:szCs w:val="20"/>
                <w:bdr w:val="none" w:sz="0" w:space="0" w:color="auto"/>
              </w:rPr>
              <w:tab/>
            </w:r>
            <w:r w:rsidR="003F1B50" w:rsidRPr="00386E47">
              <w:rPr>
                <w:rStyle w:val="Hyperlink"/>
                <w:rFonts w:asciiTheme="majorHAnsi" w:hAnsiTheme="majorHAnsi"/>
                <w:noProof/>
                <w:sz w:val="20"/>
                <w:szCs w:val="20"/>
              </w:rPr>
              <w:t>La investigación delegada en la Unidad Fiscal de Investigación al Atentado a la Sede de la AMIA por el Juzgado en lo Criminal y Correccional Federal Nro. 6 de la Capital Federal</w:t>
            </w:r>
            <w:r w:rsidR="003F1B50" w:rsidRPr="00386E47">
              <w:rPr>
                <w:rFonts w:asciiTheme="majorHAnsi" w:hAnsiTheme="majorHAnsi"/>
                <w:noProof/>
                <w:webHidden/>
                <w:sz w:val="20"/>
                <w:szCs w:val="20"/>
              </w:rPr>
              <w:tab/>
            </w:r>
            <w:r w:rsidR="003F1B50" w:rsidRPr="00386E47">
              <w:rPr>
                <w:rFonts w:asciiTheme="majorHAnsi" w:hAnsiTheme="majorHAnsi"/>
                <w:noProof/>
                <w:webHidden/>
                <w:sz w:val="20"/>
                <w:szCs w:val="20"/>
              </w:rPr>
              <w:fldChar w:fldCharType="begin"/>
            </w:r>
            <w:r w:rsidR="003F1B50" w:rsidRPr="00386E47">
              <w:rPr>
                <w:rFonts w:asciiTheme="majorHAnsi" w:hAnsiTheme="majorHAnsi"/>
                <w:noProof/>
                <w:webHidden/>
                <w:sz w:val="20"/>
                <w:szCs w:val="20"/>
              </w:rPr>
              <w:instrText xml:space="preserve"> PAGEREF _Toc51252193 \h </w:instrText>
            </w:r>
            <w:r w:rsidR="003F1B50" w:rsidRPr="00386E47">
              <w:rPr>
                <w:rFonts w:asciiTheme="majorHAnsi" w:hAnsiTheme="majorHAnsi"/>
                <w:noProof/>
                <w:webHidden/>
                <w:sz w:val="20"/>
                <w:szCs w:val="20"/>
              </w:rPr>
            </w:r>
            <w:r w:rsidR="003F1B50" w:rsidRPr="00386E47">
              <w:rPr>
                <w:rFonts w:asciiTheme="majorHAnsi" w:hAnsiTheme="majorHAnsi"/>
                <w:noProof/>
                <w:webHidden/>
                <w:sz w:val="20"/>
                <w:szCs w:val="20"/>
              </w:rPr>
              <w:fldChar w:fldCharType="separate"/>
            </w:r>
            <w:r>
              <w:rPr>
                <w:rFonts w:asciiTheme="majorHAnsi" w:hAnsiTheme="majorHAnsi"/>
                <w:noProof/>
                <w:webHidden/>
                <w:sz w:val="20"/>
                <w:szCs w:val="20"/>
              </w:rPr>
              <w:t>12</w:t>
            </w:r>
            <w:r w:rsidR="003F1B50" w:rsidRPr="00386E47">
              <w:rPr>
                <w:rFonts w:asciiTheme="majorHAnsi" w:hAnsiTheme="majorHAnsi"/>
                <w:noProof/>
                <w:webHidden/>
                <w:sz w:val="20"/>
                <w:szCs w:val="20"/>
              </w:rPr>
              <w:fldChar w:fldCharType="end"/>
            </w:r>
          </w:hyperlink>
        </w:p>
        <w:p w14:paraId="1E247D33" w14:textId="57F252FB" w:rsidR="003F1B50" w:rsidRPr="00386E47" w:rsidRDefault="00E72266" w:rsidP="005B3F8C">
          <w:pPr>
            <w:pStyle w:val="TOC3"/>
            <w:tabs>
              <w:tab w:val="left" w:pos="8910"/>
            </w:tabs>
            <w:spacing w:after="0"/>
            <w:ind w:right="707"/>
            <w:rPr>
              <w:rFonts w:asciiTheme="majorHAnsi" w:eastAsiaTheme="minorEastAsia" w:hAnsiTheme="majorHAnsi" w:cstheme="minorBidi"/>
              <w:noProof/>
              <w:sz w:val="20"/>
              <w:szCs w:val="20"/>
              <w:bdr w:val="none" w:sz="0" w:space="0" w:color="auto"/>
            </w:rPr>
          </w:pPr>
          <w:hyperlink w:anchor="_Toc51252194" w:history="1">
            <w:r w:rsidR="003F1B50" w:rsidRPr="00386E47">
              <w:rPr>
                <w:rStyle w:val="Hyperlink"/>
                <w:rFonts w:asciiTheme="majorHAnsi" w:hAnsiTheme="majorHAnsi"/>
                <w:noProof/>
                <w:sz w:val="20"/>
                <w:szCs w:val="20"/>
              </w:rPr>
              <w:t>3.</w:t>
            </w:r>
            <w:r w:rsidR="003F1B50" w:rsidRPr="00386E47">
              <w:rPr>
                <w:rFonts w:asciiTheme="majorHAnsi" w:eastAsiaTheme="minorEastAsia" w:hAnsiTheme="majorHAnsi" w:cstheme="minorBidi"/>
                <w:noProof/>
                <w:sz w:val="20"/>
                <w:szCs w:val="20"/>
                <w:bdr w:val="none" w:sz="0" w:space="0" w:color="auto"/>
              </w:rPr>
              <w:tab/>
            </w:r>
            <w:r w:rsidR="003F1B50" w:rsidRPr="00386E47">
              <w:rPr>
                <w:rStyle w:val="Hyperlink"/>
                <w:rFonts w:asciiTheme="majorHAnsi" w:hAnsiTheme="majorHAnsi"/>
                <w:noProof/>
                <w:sz w:val="20"/>
                <w:szCs w:val="20"/>
              </w:rPr>
              <w:t>Los procesos por el encubrimiento del atentado</w:t>
            </w:r>
            <w:r w:rsidR="003F1B50" w:rsidRPr="00386E47">
              <w:rPr>
                <w:rFonts w:asciiTheme="majorHAnsi" w:hAnsiTheme="majorHAnsi"/>
                <w:noProof/>
                <w:webHidden/>
                <w:sz w:val="20"/>
                <w:szCs w:val="20"/>
              </w:rPr>
              <w:tab/>
            </w:r>
            <w:r w:rsidR="003F1B50" w:rsidRPr="00386E47">
              <w:rPr>
                <w:rFonts w:asciiTheme="majorHAnsi" w:hAnsiTheme="majorHAnsi"/>
                <w:noProof/>
                <w:webHidden/>
                <w:sz w:val="20"/>
                <w:szCs w:val="20"/>
              </w:rPr>
              <w:fldChar w:fldCharType="begin"/>
            </w:r>
            <w:r w:rsidR="003F1B50" w:rsidRPr="00386E47">
              <w:rPr>
                <w:rFonts w:asciiTheme="majorHAnsi" w:hAnsiTheme="majorHAnsi"/>
                <w:noProof/>
                <w:webHidden/>
                <w:sz w:val="20"/>
                <w:szCs w:val="20"/>
              </w:rPr>
              <w:instrText xml:space="preserve"> PAGEREF _Toc51252194 \h </w:instrText>
            </w:r>
            <w:r w:rsidR="003F1B50" w:rsidRPr="00386E47">
              <w:rPr>
                <w:rFonts w:asciiTheme="majorHAnsi" w:hAnsiTheme="majorHAnsi"/>
                <w:noProof/>
                <w:webHidden/>
                <w:sz w:val="20"/>
                <w:szCs w:val="20"/>
              </w:rPr>
            </w:r>
            <w:r w:rsidR="003F1B50" w:rsidRPr="00386E47">
              <w:rPr>
                <w:rFonts w:asciiTheme="majorHAnsi" w:hAnsiTheme="majorHAnsi"/>
                <w:noProof/>
                <w:webHidden/>
                <w:sz w:val="20"/>
                <w:szCs w:val="20"/>
              </w:rPr>
              <w:fldChar w:fldCharType="separate"/>
            </w:r>
            <w:r>
              <w:rPr>
                <w:rFonts w:asciiTheme="majorHAnsi" w:hAnsiTheme="majorHAnsi"/>
                <w:noProof/>
                <w:webHidden/>
                <w:sz w:val="20"/>
                <w:szCs w:val="20"/>
              </w:rPr>
              <w:t>14</w:t>
            </w:r>
            <w:r w:rsidR="003F1B50" w:rsidRPr="00386E47">
              <w:rPr>
                <w:rFonts w:asciiTheme="majorHAnsi" w:hAnsiTheme="majorHAnsi"/>
                <w:noProof/>
                <w:webHidden/>
                <w:sz w:val="20"/>
                <w:szCs w:val="20"/>
              </w:rPr>
              <w:fldChar w:fldCharType="end"/>
            </w:r>
          </w:hyperlink>
        </w:p>
        <w:p w14:paraId="78E3DC6C" w14:textId="1C776DBE" w:rsidR="003F1B50" w:rsidRPr="00386E47" w:rsidRDefault="00E72266" w:rsidP="005B3F8C">
          <w:pPr>
            <w:pStyle w:val="TOC2"/>
            <w:tabs>
              <w:tab w:val="clear" w:pos="8931"/>
              <w:tab w:val="left" w:pos="8910"/>
            </w:tabs>
            <w:spacing w:line="240" w:lineRule="auto"/>
            <w:ind w:right="707"/>
            <w:rPr>
              <w:rFonts w:asciiTheme="majorHAnsi" w:eastAsiaTheme="minorEastAsia" w:hAnsiTheme="majorHAnsi" w:cstheme="minorBidi"/>
              <w:noProof/>
              <w:sz w:val="20"/>
              <w:szCs w:val="20"/>
              <w:bdr w:val="none" w:sz="0" w:space="0" w:color="auto"/>
            </w:rPr>
          </w:pPr>
          <w:hyperlink w:anchor="_Toc51252195" w:history="1">
            <w:r w:rsidR="003F1B50" w:rsidRPr="00386E47">
              <w:rPr>
                <w:rStyle w:val="Hyperlink"/>
                <w:rFonts w:asciiTheme="majorHAnsi" w:hAnsiTheme="majorHAnsi"/>
                <w:noProof/>
                <w:sz w:val="20"/>
                <w:szCs w:val="20"/>
              </w:rPr>
              <w:t>B.</w:t>
            </w:r>
            <w:r w:rsidR="003F1B50" w:rsidRPr="00386E47">
              <w:rPr>
                <w:rFonts w:asciiTheme="majorHAnsi" w:eastAsiaTheme="minorEastAsia" w:hAnsiTheme="majorHAnsi" w:cstheme="minorBidi"/>
                <w:noProof/>
                <w:sz w:val="20"/>
                <w:szCs w:val="20"/>
                <w:bdr w:val="none" w:sz="0" w:space="0" w:color="auto"/>
              </w:rPr>
              <w:tab/>
            </w:r>
            <w:r w:rsidR="003F1B50" w:rsidRPr="00386E47">
              <w:rPr>
                <w:rStyle w:val="Hyperlink"/>
                <w:rFonts w:asciiTheme="majorHAnsi" w:hAnsiTheme="majorHAnsi"/>
                <w:noProof/>
                <w:sz w:val="20"/>
                <w:szCs w:val="20"/>
              </w:rPr>
              <w:t>Derechos a la vida, a la integridad personal y derecho a la igualdad (artículos 4.1, 5.1 y 24) en relación con los artículos 1.1 de la Convención.</w:t>
            </w:r>
            <w:r w:rsidR="003F1B50" w:rsidRPr="00386E47">
              <w:rPr>
                <w:rFonts w:asciiTheme="majorHAnsi" w:hAnsiTheme="majorHAnsi"/>
                <w:noProof/>
                <w:webHidden/>
                <w:sz w:val="20"/>
                <w:szCs w:val="20"/>
              </w:rPr>
              <w:tab/>
            </w:r>
            <w:r w:rsidR="003F1B50" w:rsidRPr="00386E47">
              <w:rPr>
                <w:rFonts w:asciiTheme="majorHAnsi" w:hAnsiTheme="majorHAnsi"/>
                <w:noProof/>
                <w:webHidden/>
                <w:sz w:val="20"/>
                <w:szCs w:val="20"/>
              </w:rPr>
              <w:fldChar w:fldCharType="begin"/>
            </w:r>
            <w:r w:rsidR="003F1B50" w:rsidRPr="00386E47">
              <w:rPr>
                <w:rFonts w:asciiTheme="majorHAnsi" w:hAnsiTheme="majorHAnsi"/>
                <w:noProof/>
                <w:webHidden/>
                <w:sz w:val="20"/>
                <w:szCs w:val="20"/>
              </w:rPr>
              <w:instrText xml:space="preserve"> PAGEREF _Toc51252195 \h </w:instrText>
            </w:r>
            <w:r w:rsidR="003F1B50" w:rsidRPr="00386E47">
              <w:rPr>
                <w:rFonts w:asciiTheme="majorHAnsi" w:hAnsiTheme="majorHAnsi"/>
                <w:noProof/>
                <w:webHidden/>
                <w:sz w:val="20"/>
                <w:szCs w:val="20"/>
              </w:rPr>
            </w:r>
            <w:r w:rsidR="003F1B50" w:rsidRPr="00386E47">
              <w:rPr>
                <w:rFonts w:asciiTheme="majorHAnsi" w:hAnsiTheme="majorHAnsi"/>
                <w:noProof/>
                <w:webHidden/>
                <w:sz w:val="20"/>
                <w:szCs w:val="20"/>
              </w:rPr>
              <w:fldChar w:fldCharType="separate"/>
            </w:r>
            <w:r>
              <w:rPr>
                <w:rFonts w:asciiTheme="majorHAnsi" w:hAnsiTheme="majorHAnsi"/>
                <w:noProof/>
                <w:webHidden/>
                <w:sz w:val="20"/>
                <w:szCs w:val="20"/>
              </w:rPr>
              <w:t>15</w:t>
            </w:r>
            <w:r w:rsidR="003F1B50" w:rsidRPr="00386E47">
              <w:rPr>
                <w:rFonts w:asciiTheme="majorHAnsi" w:hAnsiTheme="majorHAnsi"/>
                <w:noProof/>
                <w:webHidden/>
                <w:sz w:val="20"/>
                <w:szCs w:val="20"/>
              </w:rPr>
              <w:fldChar w:fldCharType="end"/>
            </w:r>
          </w:hyperlink>
        </w:p>
        <w:p w14:paraId="588C25B3" w14:textId="6E506BDE" w:rsidR="003F1B50" w:rsidRPr="00386E47" w:rsidRDefault="00E72266" w:rsidP="005B3F8C">
          <w:pPr>
            <w:pStyle w:val="TOC3"/>
            <w:tabs>
              <w:tab w:val="left" w:pos="8910"/>
            </w:tabs>
            <w:spacing w:after="0"/>
            <w:ind w:right="707"/>
            <w:rPr>
              <w:rFonts w:asciiTheme="majorHAnsi" w:eastAsiaTheme="minorEastAsia" w:hAnsiTheme="majorHAnsi" w:cstheme="minorBidi"/>
              <w:noProof/>
              <w:sz w:val="20"/>
              <w:szCs w:val="20"/>
              <w:bdr w:val="none" w:sz="0" w:space="0" w:color="auto"/>
            </w:rPr>
          </w:pPr>
          <w:hyperlink w:anchor="_Toc51252196" w:history="1">
            <w:r w:rsidR="003F1B50" w:rsidRPr="00386E47">
              <w:rPr>
                <w:rStyle w:val="Hyperlink"/>
                <w:rFonts w:asciiTheme="majorHAnsi" w:hAnsiTheme="majorHAnsi"/>
                <w:noProof/>
                <w:sz w:val="20"/>
                <w:szCs w:val="20"/>
              </w:rPr>
              <w:t>1.</w:t>
            </w:r>
            <w:r w:rsidR="003F1B50" w:rsidRPr="00386E47">
              <w:rPr>
                <w:rFonts w:asciiTheme="majorHAnsi" w:eastAsiaTheme="minorEastAsia" w:hAnsiTheme="majorHAnsi" w:cstheme="minorBidi"/>
                <w:noProof/>
                <w:sz w:val="20"/>
                <w:szCs w:val="20"/>
                <w:bdr w:val="none" w:sz="0" w:space="0" w:color="auto"/>
              </w:rPr>
              <w:tab/>
            </w:r>
            <w:r w:rsidR="003F1B50" w:rsidRPr="00386E47">
              <w:rPr>
                <w:rStyle w:val="Hyperlink"/>
                <w:rFonts w:asciiTheme="majorHAnsi" w:hAnsiTheme="majorHAnsi"/>
                <w:noProof/>
                <w:sz w:val="20"/>
                <w:szCs w:val="20"/>
              </w:rPr>
              <w:t>Hechos específicos relacionados con la prevención del atentado</w:t>
            </w:r>
            <w:r w:rsidR="003F1B50" w:rsidRPr="00386E47">
              <w:rPr>
                <w:rFonts w:asciiTheme="majorHAnsi" w:hAnsiTheme="majorHAnsi"/>
                <w:noProof/>
                <w:webHidden/>
                <w:sz w:val="20"/>
                <w:szCs w:val="20"/>
              </w:rPr>
              <w:tab/>
            </w:r>
            <w:r w:rsidR="003F1B50" w:rsidRPr="00386E47">
              <w:rPr>
                <w:rFonts w:asciiTheme="majorHAnsi" w:hAnsiTheme="majorHAnsi"/>
                <w:noProof/>
                <w:webHidden/>
                <w:sz w:val="20"/>
                <w:szCs w:val="20"/>
              </w:rPr>
              <w:fldChar w:fldCharType="begin"/>
            </w:r>
            <w:r w:rsidR="003F1B50" w:rsidRPr="00386E47">
              <w:rPr>
                <w:rFonts w:asciiTheme="majorHAnsi" w:hAnsiTheme="majorHAnsi"/>
                <w:noProof/>
                <w:webHidden/>
                <w:sz w:val="20"/>
                <w:szCs w:val="20"/>
              </w:rPr>
              <w:instrText xml:space="preserve"> PAGEREF _Toc51252196 \h </w:instrText>
            </w:r>
            <w:r w:rsidR="003F1B50" w:rsidRPr="00386E47">
              <w:rPr>
                <w:rFonts w:asciiTheme="majorHAnsi" w:hAnsiTheme="majorHAnsi"/>
                <w:noProof/>
                <w:webHidden/>
                <w:sz w:val="20"/>
                <w:szCs w:val="20"/>
              </w:rPr>
            </w:r>
            <w:r w:rsidR="003F1B50" w:rsidRPr="00386E47">
              <w:rPr>
                <w:rFonts w:asciiTheme="majorHAnsi" w:hAnsiTheme="majorHAnsi"/>
                <w:noProof/>
                <w:webHidden/>
                <w:sz w:val="20"/>
                <w:szCs w:val="20"/>
              </w:rPr>
              <w:fldChar w:fldCharType="separate"/>
            </w:r>
            <w:r>
              <w:rPr>
                <w:rFonts w:asciiTheme="majorHAnsi" w:hAnsiTheme="majorHAnsi"/>
                <w:noProof/>
                <w:webHidden/>
                <w:sz w:val="20"/>
                <w:szCs w:val="20"/>
              </w:rPr>
              <w:t>21</w:t>
            </w:r>
            <w:r w:rsidR="003F1B50" w:rsidRPr="00386E47">
              <w:rPr>
                <w:rFonts w:asciiTheme="majorHAnsi" w:hAnsiTheme="majorHAnsi"/>
                <w:noProof/>
                <w:webHidden/>
                <w:sz w:val="20"/>
                <w:szCs w:val="20"/>
              </w:rPr>
              <w:fldChar w:fldCharType="end"/>
            </w:r>
          </w:hyperlink>
        </w:p>
        <w:p w14:paraId="138F37A5" w14:textId="27D2EF91" w:rsidR="003F1B50" w:rsidRPr="00386E47" w:rsidRDefault="00E72266" w:rsidP="005B3F8C">
          <w:pPr>
            <w:pStyle w:val="TOC3"/>
            <w:tabs>
              <w:tab w:val="left" w:pos="8910"/>
            </w:tabs>
            <w:spacing w:after="0"/>
            <w:ind w:right="707"/>
            <w:rPr>
              <w:rFonts w:asciiTheme="majorHAnsi" w:eastAsiaTheme="minorEastAsia" w:hAnsiTheme="majorHAnsi" w:cstheme="minorBidi"/>
              <w:noProof/>
              <w:sz w:val="20"/>
              <w:szCs w:val="20"/>
              <w:bdr w:val="none" w:sz="0" w:space="0" w:color="auto"/>
            </w:rPr>
          </w:pPr>
          <w:hyperlink w:anchor="_Toc51252197" w:history="1">
            <w:r w:rsidR="003F1B50" w:rsidRPr="00386E47">
              <w:rPr>
                <w:rStyle w:val="Hyperlink"/>
                <w:rFonts w:asciiTheme="majorHAnsi" w:hAnsiTheme="majorHAnsi"/>
                <w:noProof/>
                <w:sz w:val="20"/>
                <w:szCs w:val="20"/>
              </w:rPr>
              <w:t>2.</w:t>
            </w:r>
            <w:r w:rsidR="003F1B50" w:rsidRPr="00386E47">
              <w:rPr>
                <w:rFonts w:asciiTheme="majorHAnsi" w:eastAsiaTheme="minorEastAsia" w:hAnsiTheme="majorHAnsi" w:cstheme="minorBidi"/>
                <w:noProof/>
                <w:sz w:val="20"/>
                <w:szCs w:val="20"/>
                <w:bdr w:val="none" w:sz="0" w:space="0" w:color="auto"/>
              </w:rPr>
              <w:tab/>
            </w:r>
            <w:r w:rsidR="003F1B50" w:rsidRPr="00386E47">
              <w:rPr>
                <w:rStyle w:val="Hyperlink"/>
                <w:rFonts w:asciiTheme="majorHAnsi" w:hAnsiTheme="majorHAnsi"/>
                <w:noProof/>
                <w:sz w:val="20"/>
                <w:szCs w:val="20"/>
              </w:rPr>
              <w:t>Consideraciones de la Comisión en relación con los derechos a la vida e integridad personal en el caso concreto</w:t>
            </w:r>
            <w:r w:rsidR="003F1B50" w:rsidRPr="00386E47">
              <w:rPr>
                <w:rFonts w:asciiTheme="majorHAnsi" w:hAnsiTheme="majorHAnsi"/>
                <w:noProof/>
                <w:webHidden/>
                <w:sz w:val="20"/>
                <w:szCs w:val="20"/>
              </w:rPr>
              <w:tab/>
            </w:r>
            <w:r w:rsidR="003F1B50" w:rsidRPr="00386E47">
              <w:rPr>
                <w:rFonts w:asciiTheme="majorHAnsi" w:hAnsiTheme="majorHAnsi"/>
                <w:noProof/>
                <w:webHidden/>
                <w:sz w:val="20"/>
                <w:szCs w:val="20"/>
              </w:rPr>
              <w:fldChar w:fldCharType="begin"/>
            </w:r>
            <w:r w:rsidR="003F1B50" w:rsidRPr="00386E47">
              <w:rPr>
                <w:rFonts w:asciiTheme="majorHAnsi" w:hAnsiTheme="majorHAnsi"/>
                <w:noProof/>
                <w:webHidden/>
                <w:sz w:val="20"/>
                <w:szCs w:val="20"/>
              </w:rPr>
              <w:instrText xml:space="preserve"> PAGEREF _Toc51252197 \h </w:instrText>
            </w:r>
            <w:r w:rsidR="003F1B50" w:rsidRPr="00386E47">
              <w:rPr>
                <w:rFonts w:asciiTheme="majorHAnsi" w:hAnsiTheme="majorHAnsi"/>
                <w:noProof/>
                <w:webHidden/>
                <w:sz w:val="20"/>
                <w:szCs w:val="20"/>
              </w:rPr>
            </w:r>
            <w:r w:rsidR="003F1B50" w:rsidRPr="00386E47">
              <w:rPr>
                <w:rFonts w:asciiTheme="majorHAnsi" w:hAnsiTheme="majorHAnsi"/>
                <w:noProof/>
                <w:webHidden/>
                <w:sz w:val="20"/>
                <w:szCs w:val="20"/>
              </w:rPr>
              <w:fldChar w:fldCharType="separate"/>
            </w:r>
            <w:r>
              <w:rPr>
                <w:rFonts w:asciiTheme="majorHAnsi" w:hAnsiTheme="majorHAnsi"/>
                <w:noProof/>
                <w:webHidden/>
                <w:sz w:val="20"/>
                <w:szCs w:val="20"/>
              </w:rPr>
              <w:t>22</w:t>
            </w:r>
            <w:r w:rsidR="003F1B50" w:rsidRPr="00386E47">
              <w:rPr>
                <w:rFonts w:asciiTheme="majorHAnsi" w:hAnsiTheme="majorHAnsi"/>
                <w:noProof/>
                <w:webHidden/>
                <w:sz w:val="20"/>
                <w:szCs w:val="20"/>
              </w:rPr>
              <w:fldChar w:fldCharType="end"/>
            </w:r>
          </w:hyperlink>
        </w:p>
        <w:p w14:paraId="785672D4" w14:textId="644F5773" w:rsidR="003F1B50" w:rsidRPr="00386E47" w:rsidRDefault="00E72266" w:rsidP="005B3F8C">
          <w:pPr>
            <w:pStyle w:val="TOC3"/>
            <w:tabs>
              <w:tab w:val="left" w:pos="8910"/>
            </w:tabs>
            <w:spacing w:after="0"/>
            <w:ind w:right="707"/>
            <w:rPr>
              <w:rFonts w:asciiTheme="majorHAnsi" w:eastAsiaTheme="minorEastAsia" w:hAnsiTheme="majorHAnsi" w:cstheme="minorBidi"/>
              <w:noProof/>
              <w:sz w:val="20"/>
              <w:szCs w:val="20"/>
              <w:bdr w:val="none" w:sz="0" w:space="0" w:color="auto"/>
            </w:rPr>
          </w:pPr>
          <w:hyperlink w:anchor="_Toc51252198" w:history="1">
            <w:r w:rsidR="003F1B50" w:rsidRPr="00386E47">
              <w:rPr>
                <w:rStyle w:val="Hyperlink"/>
                <w:rFonts w:asciiTheme="majorHAnsi" w:hAnsiTheme="majorHAnsi"/>
                <w:noProof/>
                <w:sz w:val="20"/>
                <w:szCs w:val="20"/>
              </w:rPr>
              <w:t>3.</w:t>
            </w:r>
            <w:r w:rsidR="003F1B50" w:rsidRPr="00386E47">
              <w:rPr>
                <w:rFonts w:asciiTheme="majorHAnsi" w:eastAsiaTheme="minorEastAsia" w:hAnsiTheme="majorHAnsi" w:cstheme="minorBidi"/>
                <w:noProof/>
                <w:sz w:val="20"/>
                <w:szCs w:val="20"/>
                <w:bdr w:val="none" w:sz="0" w:space="0" w:color="auto"/>
              </w:rPr>
              <w:tab/>
            </w:r>
            <w:r w:rsidR="003F1B50" w:rsidRPr="00386E47">
              <w:rPr>
                <w:rStyle w:val="Hyperlink"/>
                <w:rFonts w:asciiTheme="majorHAnsi" w:hAnsiTheme="majorHAnsi"/>
                <w:noProof/>
                <w:sz w:val="20"/>
                <w:szCs w:val="20"/>
              </w:rPr>
              <w:t>Consideraciones de la Comisión en relación con el derecho a la igualdad y no discriminación en el caso concreto</w:t>
            </w:r>
            <w:r w:rsidR="003F1B50" w:rsidRPr="00386E47">
              <w:rPr>
                <w:rFonts w:asciiTheme="majorHAnsi" w:hAnsiTheme="majorHAnsi"/>
                <w:noProof/>
                <w:webHidden/>
                <w:sz w:val="20"/>
                <w:szCs w:val="20"/>
              </w:rPr>
              <w:tab/>
            </w:r>
            <w:r w:rsidR="003F1B50" w:rsidRPr="00386E47">
              <w:rPr>
                <w:rFonts w:asciiTheme="majorHAnsi" w:hAnsiTheme="majorHAnsi"/>
                <w:noProof/>
                <w:webHidden/>
                <w:sz w:val="20"/>
                <w:szCs w:val="20"/>
              </w:rPr>
              <w:fldChar w:fldCharType="begin"/>
            </w:r>
            <w:r w:rsidR="003F1B50" w:rsidRPr="00386E47">
              <w:rPr>
                <w:rFonts w:asciiTheme="majorHAnsi" w:hAnsiTheme="majorHAnsi"/>
                <w:noProof/>
                <w:webHidden/>
                <w:sz w:val="20"/>
                <w:szCs w:val="20"/>
              </w:rPr>
              <w:instrText xml:space="preserve"> PAGEREF _Toc51252198 \h </w:instrText>
            </w:r>
            <w:r w:rsidR="003F1B50" w:rsidRPr="00386E47">
              <w:rPr>
                <w:rFonts w:asciiTheme="majorHAnsi" w:hAnsiTheme="majorHAnsi"/>
                <w:noProof/>
                <w:webHidden/>
                <w:sz w:val="20"/>
                <w:szCs w:val="20"/>
              </w:rPr>
            </w:r>
            <w:r w:rsidR="003F1B50" w:rsidRPr="00386E47">
              <w:rPr>
                <w:rFonts w:asciiTheme="majorHAnsi" w:hAnsiTheme="majorHAnsi"/>
                <w:noProof/>
                <w:webHidden/>
                <w:sz w:val="20"/>
                <w:szCs w:val="20"/>
              </w:rPr>
              <w:fldChar w:fldCharType="separate"/>
            </w:r>
            <w:r>
              <w:rPr>
                <w:rFonts w:asciiTheme="majorHAnsi" w:hAnsiTheme="majorHAnsi"/>
                <w:noProof/>
                <w:webHidden/>
                <w:sz w:val="20"/>
                <w:szCs w:val="20"/>
              </w:rPr>
              <w:t>26</w:t>
            </w:r>
            <w:r w:rsidR="003F1B50" w:rsidRPr="00386E47">
              <w:rPr>
                <w:rFonts w:asciiTheme="majorHAnsi" w:hAnsiTheme="majorHAnsi"/>
                <w:noProof/>
                <w:webHidden/>
                <w:sz w:val="20"/>
                <w:szCs w:val="20"/>
              </w:rPr>
              <w:fldChar w:fldCharType="end"/>
            </w:r>
          </w:hyperlink>
        </w:p>
        <w:p w14:paraId="27803092" w14:textId="2BE4417E" w:rsidR="003F1B50" w:rsidRPr="00386E47" w:rsidRDefault="00E72266" w:rsidP="005B3F8C">
          <w:pPr>
            <w:pStyle w:val="TOC2"/>
            <w:tabs>
              <w:tab w:val="clear" w:pos="8931"/>
              <w:tab w:val="left" w:pos="8910"/>
            </w:tabs>
            <w:spacing w:line="240" w:lineRule="auto"/>
            <w:ind w:right="707"/>
            <w:rPr>
              <w:rFonts w:asciiTheme="majorHAnsi" w:eastAsiaTheme="minorEastAsia" w:hAnsiTheme="majorHAnsi" w:cstheme="minorBidi"/>
              <w:noProof/>
              <w:sz w:val="20"/>
              <w:szCs w:val="20"/>
              <w:bdr w:val="none" w:sz="0" w:space="0" w:color="auto"/>
            </w:rPr>
          </w:pPr>
          <w:hyperlink w:anchor="_Toc51252199" w:history="1">
            <w:r w:rsidR="003F1B50" w:rsidRPr="00386E47">
              <w:rPr>
                <w:rStyle w:val="Hyperlink"/>
                <w:rFonts w:asciiTheme="majorHAnsi" w:hAnsiTheme="majorHAnsi"/>
                <w:noProof/>
                <w:sz w:val="20"/>
                <w:szCs w:val="20"/>
              </w:rPr>
              <w:t>C.</w:t>
            </w:r>
            <w:r w:rsidR="003F1B50" w:rsidRPr="00386E47">
              <w:rPr>
                <w:rFonts w:asciiTheme="majorHAnsi" w:eastAsiaTheme="minorEastAsia" w:hAnsiTheme="majorHAnsi" w:cstheme="minorBidi"/>
                <w:noProof/>
                <w:sz w:val="20"/>
                <w:szCs w:val="20"/>
                <w:bdr w:val="none" w:sz="0" w:space="0" w:color="auto"/>
              </w:rPr>
              <w:tab/>
            </w:r>
            <w:r w:rsidR="003F1B50" w:rsidRPr="00386E47">
              <w:rPr>
                <w:rStyle w:val="Hyperlink"/>
                <w:rFonts w:asciiTheme="majorHAnsi" w:hAnsiTheme="majorHAnsi"/>
                <w:noProof/>
                <w:sz w:val="20"/>
                <w:szCs w:val="20"/>
              </w:rPr>
              <w:t>Derechos a las garantías judiciales y a la protección Judicial (artículos 8.1. y 25 de la Convención) en relación con la obligación de respetar los derechos humanos (artículos 1.1 de la Convención)</w:t>
            </w:r>
            <w:r w:rsidR="003F1B50" w:rsidRPr="00386E47">
              <w:rPr>
                <w:rFonts w:asciiTheme="majorHAnsi" w:hAnsiTheme="majorHAnsi"/>
                <w:noProof/>
                <w:webHidden/>
                <w:sz w:val="20"/>
                <w:szCs w:val="20"/>
              </w:rPr>
              <w:tab/>
            </w:r>
            <w:r w:rsidR="003F1B50" w:rsidRPr="00386E47">
              <w:rPr>
                <w:rFonts w:asciiTheme="majorHAnsi" w:hAnsiTheme="majorHAnsi"/>
                <w:noProof/>
                <w:webHidden/>
                <w:sz w:val="20"/>
                <w:szCs w:val="20"/>
              </w:rPr>
              <w:fldChar w:fldCharType="begin"/>
            </w:r>
            <w:r w:rsidR="003F1B50" w:rsidRPr="00386E47">
              <w:rPr>
                <w:rFonts w:asciiTheme="majorHAnsi" w:hAnsiTheme="majorHAnsi"/>
                <w:noProof/>
                <w:webHidden/>
                <w:sz w:val="20"/>
                <w:szCs w:val="20"/>
              </w:rPr>
              <w:instrText xml:space="preserve"> PAGEREF _Toc51252199 \h </w:instrText>
            </w:r>
            <w:r w:rsidR="003F1B50" w:rsidRPr="00386E47">
              <w:rPr>
                <w:rFonts w:asciiTheme="majorHAnsi" w:hAnsiTheme="majorHAnsi"/>
                <w:noProof/>
                <w:webHidden/>
                <w:sz w:val="20"/>
                <w:szCs w:val="20"/>
              </w:rPr>
            </w:r>
            <w:r w:rsidR="003F1B50" w:rsidRPr="00386E47">
              <w:rPr>
                <w:rFonts w:asciiTheme="majorHAnsi" w:hAnsiTheme="majorHAnsi"/>
                <w:noProof/>
                <w:webHidden/>
                <w:sz w:val="20"/>
                <w:szCs w:val="20"/>
              </w:rPr>
              <w:fldChar w:fldCharType="separate"/>
            </w:r>
            <w:r>
              <w:rPr>
                <w:rFonts w:asciiTheme="majorHAnsi" w:hAnsiTheme="majorHAnsi"/>
                <w:noProof/>
                <w:webHidden/>
                <w:sz w:val="20"/>
                <w:szCs w:val="20"/>
              </w:rPr>
              <w:t>27</w:t>
            </w:r>
            <w:r w:rsidR="003F1B50" w:rsidRPr="00386E47">
              <w:rPr>
                <w:rFonts w:asciiTheme="majorHAnsi" w:hAnsiTheme="majorHAnsi"/>
                <w:noProof/>
                <w:webHidden/>
                <w:sz w:val="20"/>
                <w:szCs w:val="20"/>
              </w:rPr>
              <w:fldChar w:fldCharType="end"/>
            </w:r>
          </w:hyperlink>
        </w:p>
        <w:p w14:paraId="7BD406C2" w14:textId="22F503FB" w:rsidR="003F1B50" w:rsidRPr="00386E47" w:rsidRDefault="00E72266" w:rsidP="005B3F8C">
          <w:pPr>
            <w:pStyle w:val="TOC3"/>
            <w:tabs>
              <w:tab w:val="left" w:pos="8910"/>
            </w:tabs>
            <w:spacing w:after="0"/>
            <w:ind w:right="707"/>
            <w:rPr>
              <w:rFonts w:asciiTheme="majorHAnsi" w:eastAsiaTheme="minorEastAsia" w:hAnsiTheme="majorHAnsi" w:cstheme="minorBidi"/>
              <w:noProof/>
              <w:sz w:val="20"/>
              <w:szCs w:val="20"/>
              <w:bdr w:val="none" w:sz="0" w:space="0" w:color="auto"/>
            </w:rPr>
          </w:pPr>
          <w:hyperlink w:anchor="_Toc51252200" w:history="1">
            <w:r w:rsidR="003F1B50" w:rsidRPr="00386E47">
              <w:rPr>
                <w:rStyle w:val="Hyperlink"/>
                <w:rFonts w:asciiTheme="majorHAnsi" w:hAnsiTheme="majorHAnsi"/>
                <w:noProof/>
                <w:sz w:val="20"/>
                <w:szCs w:val="20"/>
              </w:rPr>
              <w:t>1.</w:t>
            </w:r>
            <w:r w:rsidR="003F1B50" w:rsidRPr="00386E47">
              <w:rPr>
                <w:rFonts w:asciiTheme="majorHAnsi" w:eastAsiaTheme="minorEastAsia" w:hAnsiTheme="majorHAnsi" w:cstheme="minorBidi"/>
                <w:noProof/>
                <w:sz w:val="20"/>
                <w:szCs w:val="20"/>
                <w:bdr w:val="none" w:sz="0" w:space="0" w:color="auto"/>
              </w:rPr>
              <w:tab/>
            </w:r>
            <w:r w:rsidR="003F1B50" w:rsidRPr="00386E47">
              <w:rPr>
                <w:rStyle w:val="Hyperlink"/>
                <w:rFonts w:asciiTheme="majorHAnsi" w:hAnsiTheme="majorHAnsi"/>
                <w:noProof/>
                <w:sz w:val="20"/>
                <w:szCs w:val="20"/>
              </w:rPr>
              <w:t>Respecto de la debida diligencia en las investigaciones seguidas en el presente caso</w:t>
            </w:r>
            <w:r w:rsidR="003F1B50" w:rsidRPr="00386E47">
              <w:rPr>
                <w:rFonts w:asciiTheme="majorHAnsi" w:hAnsiTheme="majorHAnsi"/>
                <w:noProof/>
                <w:webHidden/>
                <w:sz w:val="20"/>
                <w:szCs w:val="20"/>
              </w:rPr>
              <w:tab/>
            </w:r>
            <w:r w:rsidR="003F1B50" w:rsidRPr="00386E47">
              <w:rPr>
                <w:rFonts w:asciiTheme="majorHAnsi" w:hAnsiTheme="majorHAnsi"/>
                <w:noProof/>
                <w:webHidden/>
                <w:sz w:val="20"/>
                <w:szCs w:val="20"/>
              </w:rPr>
              <w:fldChar w:fldCharType="begin"/>
            </w:r>
            <w:r w:rsidR="003F1B50" w:rsidRPr="00386E47">
              <w:rPr>
                <w:rFonts w:asciiTheme="majorHAnsi" w:hAnsiTheme="majorHAnsi"/>
                <w:noProof/>
                <w:webHidden/>
                <w:sz w:val="20"/>
                <w:szCs w:val="20"/>
              </w:rPr>
              <w:instrText xml:space="preserve"> PAGEREF _Toc51252200 \h </w:instrText>
            </w:r>
            <w:r w:rsidR="003F1B50" w:rsidRPr="00386E47">
              <w:rPr>
                <w:rFonts w:asciiTheme="majorHAnsi" w:hAnsiTheme="majorHAnsi"/>
                <w:noProof/>
                <w:webHidden/>
                <w:sz w:val="20"/>
                <w:szCs w:val="20"/>
              </w:rPr>
            </w:r>
            <w:r w:rsidR="003F1B50" w:rsidRPr="00386E47">
              <w:rPr>
                <w:rFonts w:asciiTheme="majorHAnsi" w:hAnsiTheme="majorHAnsi"/>
                <w:noProof/>
                <w:webHidden/>
                <w:sz w:val="20"/>
                <w:szCs w:val="20"/>
              </w:rPr>
              <w:fldChar w:fldCharType="separate"/>
            </w:r>
            <w:r>
              <w:rPr>
                <w:rFonts w:asciiTheme="majorHAnsi" w:hAnsiTheme="majorHAnsi"/>
                <w:noProof/>
                <w:webHidden/>
                <w:sz w:val="20"/>
                <w:szCs w:val="20"/>
              </w:rPr>
              <w:t>31</w:t>
            </w:r>
            <w:r w:rsidR="003F1B50" w:rsidRPr="00386E47">
              <w:rPr>
                <w:rFonts w:asciiTheme="majorHAnsi" w:hAnsiTheme="majorHAnsi"/>
                <w:noProof/>
                <w:webHidden/>
                <w:sz w:val="20"/>
                <w:szCs w:val="20"/>
              </w:rPr>
              <w:fldChar w:fldCharType="end"/>
            </w:r>
          </w:hyperlink>
        </w:p>
        <w:p w14:paraId="101449C0" w14:textId="06DDD054" w:rsidR="003F1B50" w:rsidRPr="00386E47" w:rsidRDefault="00E72266" w:rsidP="005B3F8C">
          <w:pPr>
            <w:pStyle w:val="TOC3"/>
            <w:tabs>
              <w:tab w:val="left" w:pos="8910"/>
            </w:tabs>
            <w:spacing w:after="0"/>
            <w:ind w:right="707"/>
            <w:rPr>
              <w:rFonts w:asciiTheme="majorHAnsi" w:eastAsiaTheme="minorEastAsia" w:hAnsiTheme="majorHAnsi" w:cstheme="minorBidi"/>
              <w:noProof/>
              <w:sz w:val="20"/>
              <w:szCs w:val="20"/>
              <w:bdr w:val="none" w:sz="0" w:space="0" w:color="auto"/>
            </w:rPr>
          </w:pPr>
          <w:hyperlink w:anchor="_Toc51252201" w:history="1">
            <w:r w:rsidR="003F1B50" w:rsidRPr="00386E47">
              <w:rPr>
                <w:rStyle w:val="Hyperlink"/>
                <w:rFonts w:asciiTheme="majorHAnsi" w:hAnsiTheme="majorHAnsi"/>
                <w:noProof/>
                <w:sz w:val="20"/>
                <w:szCs w:val="20"/>
                <w:lang w:val="es-ES"/>
              </w:rPr>
              <w:t>2.</w:t>
            </w:r>
            <w:r w:rsidR="003F1B50" w:rsidRPr="00386E47">
              <w:rPr>
                <w:rFonts w:asciiTheme="majorHAnsi" w:eastAsiaTheme="minorEastAsia" w:hAnsiTheme="majorHAnsi" w:cstheme="minorBidi"/>
                <w:noProof/>
                <w:sz w:val="20"/>
                <w:szCs w:val="20"/>
                <w:bdr w:val="none" w:sz="0" w:space="0" w:color="auto"/>
              </w:rPr>
              <w:tab/>
            </w:r>
            <w:r w:rsidR="003F1B50" w:rsidRPr="00386E47">
              <w:rPr>
                <w:rStyle w:val="Hyperlink"/>
                <w:rFonts w:asciiTheme="majorHAnsi" w:hAnsiTheme="majorHAnsi"/>
                <w:noProof/>
                <w:sz w:val="20"/>
                <w:szCs w:val="20"/>
                <w:lang w:val="es-ES"/>
              </w:rPr>
              <w:t>Respecto del plazo razonable y el derecho a la verdad</w:t>
            </w:r>
            <w:r w:rsidR="003F1B50" w:rsidRPr="00386E47">
              <w:rPr>
                <w:rFonts w:asciiTheme="majorHAnsi" w:hAnsiTheme="majorHAnsi"/>
                <w:noProof/>
                <w:webHidden/>
                <w:sz w:val="20"/>
                <w:szCs w:val="20"/>
              </w:rPr>
              <w:tab/>
            </w:r>
            <w:r w:rsidR="003F1B50" w:rsidRPr="00386E47">
              <w:rPr>
                <w:rFonts w:asciiTheme="majorHAnsi" w:hAnsiTheme="majorHAnsi"/>
                <w:noProof/>
                <w:webHidden/>
                <w:sz w:val="20"/>
                <w:szCs w:val="20"/>
              </w:rPr>
              <w:fldChar w:fldCharType="begin"/>
            </w:r>
            <w:r w:rsidR="003F1B50" w:rsidRPr="00386E47">
              <w:rPr>
                <w:rFonts w:asciiTheme="majorHAnsi" w:hAnsiTheme="majorHAnsi"/>
                <w:noProof/>
                <w:webHidden/>
                <w:sz w:val="20"/>
                <w:szCs w:val="20"/>
              </w:rPr>
              <w:instrText xml:space="preserve"> PAGEREF _Toc51252201 \h </w:instrText>
            </w:r>
            <w:r w:rsidR="003F1B50" w:rsidRPr="00386E47">
              <w:rPr>
                <w:rFonts w:asciiTheme="majorHAnsi" w:hAnsiTheme="majorHAnsi"/>
                <w:noProof/>
                <w:webHidden/>
                <w:sz w:val="20"/>
                <w:szCs w:val="20"/>
              </w:rPr>
            </w:r>
            <w:r w:rsidR="003F1B50" w:rsidRPr="00386E47">
              <w:rPr>
                <w:rFonts w:asciiTheme="majorHAnsi" w:hAnsiTheme="majorHAnsi"/>
                <w:noProof/>
                <w:webHidden/>
                <w:sz w:val="20"/>
                <w:szCs w:val="20"/>
              </w:rPr>
              <w:fldChar w:fldCharType="separate"/>
            </w:r>
            <w:r>
              <w:rPr>
                <w:rFonts w:asciiTheme="majorHAnsi" w:hAnsiTheme="majorHAnsi"/>
                <w:noProof/>
                <w:webHidden/>
                <w:sz w:val="20"/>
                <w:szCs w:val="20"/>
              </w:rPr>
              <w:t>57</w:t>
            </w:r>
            <w:r w:rsidR="003F1B50" w:rsidRPr="00386E47">
              <w:rPr>
                <w:rFonts w:asciiTheme="majorHAnsi" w:hAnsiTheme="majorHAnsi"/>
                <w:noProof/>
                <w:webHidden/>
                <w:sz w:val="20"/>
                <w:szCs w:val="20"/>
              </w:rPr>
              <w:fldChar w:fldCharType="end"/>
            </w:r>
          </w:hyperlink>
        </w:p>
        <w:p w14:paraId="755DF53B" w14:textId="0C1BA980" w:rsidR="003F1B50" w:rsidRPr="00386E47" w:rsidRDefault="00E72266" w:rsidP="005B3F8C">
          <w:pPr>
            <w:pStyle w:val="TOC2"/>
            <w:tabs>
              <w:tab w:val="clear" w:pos="8931"/>
              <w:tab w:val="left" w:pos="8910"/>
            </w:tabs>
            <w:spacing w:line="240" w:lineRule="auto"/>
            <w:ind w:right="707"/>
            <w:rPr>
              <w:rFonts w:asciiTheme="majorHAnsi" w:eastAsiaTheme="minorEastAsia" w:hAnsiTheme="majorHAnsi" w:cstheme="minorBidi"/>
              <w:noProof/>
              <w:sz w:val="20"/>
              <w:szCs w:val="20"/>
              <w:bdr w:val="none" w:sz="0" w:space="0" w:color="auto"/>
            </w:rPr>
          </w:pPr>
          <w:hyperlink w:anchor="_Toc51252202" w:history="1">
            <w:r w:rsidR="003F1B50" w:rsidRPr="00386E47">
              <w:rPr>
                <w:rStyle w:val="Hyperlink"/>
                <w:rFonts w:asciiTheme="majorHAnsi" w:hAnsiTheme="majorHAnsi"/>
                <w:noProof/>
                <w:sz w:val="20"/>
                <w:szCs w:val="20"/>
              </w:rPr>
              <w:t>D.</w:t>
            </w:r>
            <w:r w:rsidR="003F1B50" w:rsidRPr="00386E47">
              <w:rPr>
                <w:rFonts w:asciiTheme="majorHAnsi" w:eastAsiaTheme="minorEastAsia" w:hAnsiTheme="majorHAnsi" w:cstheme="minorBidi"/>
                <w:noProof/>
                <w:sz w:val="20"/>
                <w:szCs w:val="20"/>
                <w:bdr w:val="none" w:sz="0" w:space="0" w:color="auto"/>
              </w:rPr>
              <w:tab/>
            </w:r>
            <w:r w:rsidR="003F1B50" w:rsidRPr="00386E47">
              <w:rPr>
                <w:rStyle w:val="Hyperlink"/>
                <w:rFonts w:asciiTheme="majorHAnsi" w:hAnsiTheme="majorHAnsi"/>
                <w:noProof/>
                <w:sz w:val="20"/>
                <w:szCs w:val="20"/>
              </w:rPr>
              <w:t>Derechos de Acceso a la Información (artículos 13, 1.1 y 2 de la Convención) y a la Protección Judicial (artículo 25 de la Convención Americana)</w:t>
            </w:r>
            <w:r w:rsidR="003F1B50" w:rsidRPr="00386E47">
              <w:rPr>
                <w:rFonts w:asciiTheme="majorHAnsi" w:hAnsiTheme="majorHAnsi"/>
                <w:noProof/>
                <w:webHidden/>
                <w:sz w:val="20"/>
                <w:szCs w:val="20"/>
              </w:rPr>
              <w:tab/>
            </w:r>
            <w:r w:rsidR="003F1B50" w:rsidRPr="00386E47">
              <w:rPr>
                <w:rFonts w:asciiTheme="majorHAnsi" w:hAnsiTheme="majorHAnsi"/>
                <w:noProof/>
                <w:webHidden/>
                <w:sz w:val="20"/>
                <w:szCs w:val="20"/>
              </w:rPr>
              <w:fldChar w:fldCharType="begin"/>
            </w:r>
            <w:r w:rsidR="003F1B50" w:rsidRPr="00386E47">
              <w:rPr>
                <w:rFonts w:asciiTheme="majorHAnsi" w:hAnsiTheme="majorHAnsi"/>
                <w:noProof/>
                <w:webHidden/>
                <w:sz w:val="20"/>
                <w:szCs w:val="20"/>
              </w:rPr>
              <w:instrText xml:space="preserve"> PAGEREF _Toc51252202 \h </w:instrText>
            </w:r>
            <w:r w:rsidR="003F1B50" w:rsidRPr="00386E47">
              <w:rPr>
                <w:rFonts w:asciiTheme="majorHAnsi" w:hAnsiTheme="majorHAnsi"/>
                <w:noProof/>
                <w:webHidden/>
                <w:sz w:val="20"/>
                <w:szCs w:val="20"/>
              </w:rPr>
            </w:r>
            <w:r w:rsidR="003F1B50" w:rsidRPr="00386E47">
              <w:rPr>
                <w:rFonts w:asciiTheme="majorHAnsi" w:hAnsiTheme="majorHAnsi"/>
                <w:noProof/>
                <w:webHidden/>
                <w:sz w:val="20"/>
                <w:szCs w:val="20"/>
              </w:rPr>
              <w:fldChar w:fldCharType="separate"/>
            </w:r>
            <w:r>
              <w:rPr>
                <w:rFonts w:asciiTheme="majorHAnsi" w:hAnsiTheme="majorHAnsi"/>
                <w:noProof/>
                <w:webHidden/>
                <w:sz w:val="20"/>
                <w:szCs w:val="20"/>
              </w:rPr>
              <w:t>58</w:t>
            </w:r>
            <w:r w:rsidR="003F1B50" w:rsidRPr="00386E47">
              <w:rPr>
                <w:rFonts w:asciiTheme="majorHAnsi" w:hAnsiTheme="majorHAnsi"/>
                <w:noProof/>
                <w:webHidden/>
                <w:sz w:val="20"/>
                <w:szCs w:val="20"/>
              </w:rPr>
              <w:fldChar w:fldCharType="end"/>
            </w:r>
          </w:hyperlink>
        </w:p>
        <w:p w14:paraId="3095D843" w14:textId="349B82A6" w:rsidR="003F1B50" w:rsidRPr="00386E47" w:rsidRDefault="00E72266" w:rsidP="005B3F8C">
          <w:pPr>
            <w:pStyle w:val="TOC3"/>
            <w:tabs>
              <w:tab w:val="left" w:pos="8910"/>
            </w:tabs>
            <w:spacing w:after="0"/>
            <w:ind w:right="707"/>
            <w:rPr>
              <w:rFonts w:asciiTheme="majorHAnsi" w:eastAsiaTheme="minorEastAsia" w:hAnsiTheme="majorHAnsi" w:cstheme="minorBidi"/>
              <w:noProof/>
              <w:sz w:val="20"/>
              <w:szCs w:val="20"/>
              <w:bdr w:val="none" w:sz="0" w:space="0" w:color="auto"/>
            </w:rPr>
          </w:pPr>
          <w:hyperlink w:anchor="_Toc51252203" w:history="1">
            <w:r w:rsidR="003F1B50" w:rsidRPr="00386E47">
              <w:rPr>
                <w:rStyle w:val="Hyperlink"/>
                <w:rFonts w:asciiTheme="majorHAnsi" w:hAnsiTheme="majorHAnsi"/>
                <w:noProof/>
                <w:sz w:val="20"/>
                <w:szCs w:val="20"/>
              </w:rPr>
              <w:t>1.</w:t>
            </w:r>
            <w:r w:rsidR="003F1B50" w:rsidRPr="00386E47">
              <w:rPr>
                <w:rFonts w:asciiTheme="majorHAnsi" w:eastAsiaTheme="minorEastAsia" w:hAnsiTheme="majorHAnsi" w:cstheme="minorBidi"/>
                <w:noProof/>
                <w:sz w:val="20"/>
                <w:szCs w:val="20"/>
                <w:bdr w:val="none" w:sz="0" w:space="0" w:color="auto"/>
              </w:rPr>
              <w:tab/>
            </w:r>
            <w:r w:rsidR="003F1B50" w:rsidRPr="00386E47">
              <w:rPr>
                <w:rStyle w:val="Hyperlink"/>
                <w:rFonts w:asciiTheme="majorHAnsi" w:hAnsiTheme="majorHAnsi"/>
                <w:noProof/>
                <w:sz w:val="20"/>
                <w:szCs w:val="20"/>
              </w:rPr>
              <w:t>Sobre la cuestión de la información clasificada en poder de la Secretaria de Inteligencia del Estado, sus organismos sucesores y la UFI-AMIA</w:t>
            </w:r>
            <w:r w:rsidR="003F1B50" w:rsidRPr="00386E47">
              <w:rPr>
                <w:rFonts w:asciiTheme="majorHAnsi" w:hAnsiTheme="majorHAnsi"/>
                <w:noProof/>
                <w:webHidden/>
                <w:sz w:val="20"/>
                <w:szCs w:val="20"/>
              </w:rPr>
              <w:tab/>
            </w:r>
            <w:r w:rsidR="003F1B50" w:rsidRPr="00386E47">
              <w:rPr>
                <w:rFonts w:asciiTheme="majorHAnsi" w:hAnsiTheme="majorHAnsi"/>
                <w:noProof/>
                <w:webHidden/>
                <w:sz w:val="20"/>
                <w:szCs w:val="20"/>
              </w:rPr>
              <w:fldChar w:fldCharType="begin"/>
            </w:r>
            <w:r w:rsidR="003F1B50" w:rsidRPr="00386E47">
              <w:rPr>
                <w:rFonts w:asciiTheme="majorHAnsi" w:hAnsiTheme="majorHAnsi"/>
                <w:noProof/>
                <w:webHidden/>
                <w:sz w:val="20"/>
                <w:szCs w:val="20"/>
              </w:rPr>
              <w:instrText xml:space="preserve"> PAGEREF _Toc51252203 \h </w:instrText>
            </w:r>
            <w:r w:rsidR="003F1B50" w:rsidRPr="00386E47">
              <w:rPr>
                <w:rFonts w:asciiTheme="majorHAnsi" w:hAnsiTheme="majorHAnsi"/>
                <w:noProof/>
                <w:webHidden/>
                <w:sz w:val="20"/>
                <w:szCs w:val="20"/>
              </w:rPr>
            </w:r>
            <w:r w:rsidR="003F1B50" w:rsidRPr="00386E47">
              <w:rPr>
                <w:rFonts w:asciiTheme="majorHAnsi" w:hAnsiTheme="majorHAnsi"/>
                <w:noProof/>
                <w:webHidden/>
                <w:sz w:val="20"/>
                <w:szCs w:val="20"/>
              </w:rPr>
              <w:fldChar w:fldCharType="separate"/>
            </w:r>
            <w:r>
              <w:rPr>
                <w:rFonts w:asciiTheme="majorHAnsi" w:hAnsiTheme="majorHAnsi"/>
                <w:noProof/>
                <w:webHidden/>
                <w:sz w:val="20"/>
                <w:szCs w:val="20"/>
              </w:rPr>
              <w:t>61</w:t>
            </w:r>
            <w:r w:rsidR="003F1B50" w:rsidRPr="00386E47">
              <w:rPr>
                <w:rFonts w:asciiTheme="majorHAnsi" w:hAnsiTheme="majorHAnsi"/>
                <w:noProof/>
                <w:webHidden/>
                <w:sz w:val="20"/>
                <w:szCs w:val="20"/>
              </w:rPr>
              <w:fldChar w:fldCharType="end"/>
            </w:r>
          </w:hyperlink>
        </w:p>
        <w:p w14:paraId="7F9657AE" w14:textId="2CF47B6D" w:rsidR="003F1B50" w:rsidRPr="00386E47" w:rsidRDefault="00E72266" w:rsidP="005B3F8C">
          <w:pPr>
            <w:pStyle w:val="TOC3"/>
            <w:tabs>
              <w:tab w:val="left" w:pos="8910"/>
            </w:tabs>
            <w:spacing w:after="0"/>
            <w:ind w:right="707"/>
            <w:rPr>
              <w:rFonts w:asciiTheme="majorHAnsi" w:eastAsiaTheme="minorEastAsia" w:hAnsiTheme="majorHAnsi" w:cstheme="minorBidi"/>
              <w:noProof/>
              <w:sz w:val="20"/>
              <w:szCs w:val="20"/>
              <w:bdr w:val="none" w:sz="0" w:space="0" w:color="auto"/>
            </w:rPr>
          </w:pPr>
          <w:hyperlink w:anchor="_Toc51252204" w:history="1">
            <w:r w:rsidR="003F1B50" w:rsidRPr="00386E47">
              <w:rPr>
                <w:rStyle w:val="Hyperlink"/>
                <w:rFonts w:asciiTheme="majorHAnsi" w:hAnsiTheme="majorHAnsi"/>
                <w:noProof/>
                <w:sz w:val="20"/>
                <w:szCs w:val="20"/>
              </w:rPr>
              <w:t>2.</w:t>
            </w:r>
            <w:r w:rsidR="003F1B50" w:rsidRPr="00386E47">
              <w:rPr>
                <w:rFonts w:asciiTheme="majorHAnsi" w:eastAsiaTheme="minorEastAsia" w:hAnsiTheme="majorHAnsi" w:cstheme="minorBidi"/>
                <w:noProof/>
                <w:sz w:val="20"/>
                <w:szCs w:val="20"/>
                <w:bdr w:val="none" w:sz="0" w:space="0" w:color="auto"/>
              </w:rPr>
              <w:tab/>
            </w:r>
            <w:r w:rsidR="003F1B50" w:rsidRPr="00386E47">
              <w:rPr>
                <w:rStyle w:val="Hyperlink"/>
                <w:rFonts w:asciiTheme="majorHAnsi" w:hAnsiTheme="majorHAnsi"/>
                <w:noProof/>
                <w:sz w:val="20"/>
                <w:szCs w:val="20"/>
              </w:rPr>
              <w:t>Sobre la cuestión de las condiciones de preservación de los fondos documentales y la accesibilidad de la información desclasificada</w:t>
            </w:r>
            <w:r w:rsidR="003F1B50" w:rsidRPr="00386E47">
              <w:rPr>
                <w:rFonts w:asciiTheme="majorHAnsi" w:hAnsiTheme="majorHAnsi"/>
                <w:noProof/>
                <w:webHidden/>
                <w:sz w:val="20"/>
                <w:szCs w:val="20"/>
              </w:rPr>
              <w:tab/>
            </w:r>
            <w:r w:rsidR="003F1B50" w:rsidRPr="00386E47">
              <w:rPr>
                <w:rFonts w:asciiTheme="majorHAnsi" w:hAnsiTheme="majorHAnsi"/>
                <w:noProof/>
                <w:webHidden/>
                <w:sz w:val="20"/>
                <w:szCs w:val="20"/>
              </w:rPr>
              <w:fldChar w:fldCharType="begin"/>
            </w:r>
            <w:r w:rsidR="003F1B50" w:rsidRPr="00386E47">
              <w:rPr>
                <w:rFonts w:asciiTheme="majorHAnsi" w:hAnsiTheme="majorHAnsi"/>
                <w:noProof/>
                <w:webHidden/>
                <w:sz w:val="20"/>
                <w:szCs w:val="20"/>
              </w:rPr>
              <w:instrText xml:space="preserve"> PAGEREF _Toc51252204 \h </w:instrText>
            </w:r>
            <w:r w:rsidR="003F1B50" w:rsidRPr="00386E47">
              <w:rPr>
                <w:rFonts w:asciiTheme="majorHAnsi" w:hAnsiTheme="majorHAnsi"/>
                <w:noProof/>
                <w:webHidden/>
                <w:sz w:val="20"/>
                <w:szCs w:val="20"/>
              </w:rPr>
            </w:r>
            <w:r w:rsidR="003F1B50" w:rsidRPr="00386E47">
              <w:rPr>
                <w:rFonts w:asciiTheme="majorHAnsi" w:hAnsiTheme="majorHAnsi"/>
                <w:noProof/>
                <w:webHidden/>
                <w:sz w:val="20"/>
                <w:szCs w:val="20"/>
              </w:rPr>
              <w:fldChar w:fldCharType="separate"/>
            </w:r>
            <w:r>
              <w:rPr>
                <w:rFonts w:asciiTheme="majorHAnsi" w:hAnsiTheme="majorHAnsi"/>
                <w:noProof/>
                <w:webHidden/>
                <w:sz w:val="20"/>
                <w:szCs w:val="20"/>
              </w:rPr>
              <w:t>63</w:t>
            </w:r>
            <w:r w:rsidR="003F1B50" w:rsidRPr="00386E47">
              <w:rPr>
                <w:rFonts w:asciiTheme="majorHAnsi" w:hAnsiTheme="majorHAnsi"/>
                <w:noProof/>
                <w:webHidden/>
                <w:sz w:val="20"/>
                <w:szCs w:val="20"/>
              </w:rPr>
              <w:fldChar w:fldCharType="end"/>
            </w:r>
          </w:hyperlink>
        </w:p>
        <w:p w14:paraId="45AEAA24" w14:textId="5536B13E" w:rsidR="005B3F8C" w:rsidRPr="00386E47" w:rsidRDefault="00E72266" w:rsidP="005B3F8C">
          <w:pPr>
            <w:pStyle w:val="TOC2"/>
            <w:tabs>
              <w:tab w:val="clear" w:pos="8931"/>
              <w:tab w:val="left" w:pos="8910"/>
            </w:tabs>
            <w:spacing w:line="240" w:lineRule="auto"/>
            <w:ind w:right="707"/>
            <w:rPr>
              <w:rFonts w:asciiTheme="majorHAnsi" w:hAnsiTheme="majorHAnsi"/>
              <w:noProof/>
              <w:sz w:val="20"/>
              <w:szCs w:val="20"/>
              <w:u w:val="single"/>
            </w:rPr>
          </w:pPr>
          <w:hyperlink w:anchor="_Toc51252205" w:history="1">
            <w:r w:rsidR="003F1B50" w:rsidRPr="00386E47">
              <w:rPr>
                <w:rStyle w:val="Hyperlink"/>
                <w:rFonts w:asciiTheme="majorHAnsi" w:hAnsiTheme="majorHAnsi"/>
                <w:noProof/>
                <w:sz w:val="20"/>
                <w:szCs w:val="20"/>
              </w:rPr>
              <w:t>E.</w:t>
            </w:r>
            <w:r w:rsidR="003F1B50" w:rsidRPr="00386E47">
              <w:rPr>
                <w:rFonts w:asciiTheme="majorHAnsi" w:eastAsiaTheme="minorEastAsia" w:hAnsiTheme="majorHAnsi" w:cstheme="minorBidi"/>
                <w:noProof/>
                <w:sz w:val="20"/>
                <w:szCs w:val="20"/>
                <w:bdr w:val="none" w:sz="0" w:space="0" w:color="auto"/>
              </w:rPr>
              <w:tab/>
            </w:r>
            <w:r w:rsidR="003F1B50" w:rsidRPr="00386E47">
              <w:rPr>
                <w:rStyle w:val="Hyperlink"/>
                <w:rFonts w:asciiTheme="majorHAnsi" w:hAnsiTheme="majorHAnsi"/>
                <w:noProof/>
                <w:sz w:val="20"/>
                <w:szCs w:val="20"/>
              </w:rPr>
              <w:t>Derecho a la integridad personal en cuanto a los familiares y determinación de victimas (Artículo 5 de la Convención Americana).</w:t>
            </w:r>
            <w:r w:rsidR="003F1B50" w:rsidRPr="00386E47">
              <w:rPr>
                <w:rFonts w:asciiTheme="majorHAnsi" w:hAnsiTheme="majorHAnsi"/>
                <w:noProof/>
                <w:webHidden/>
                <w:sz w:val="20"/>
                <w:szCs w:val="20"/>
              </w:rPr>
              <w:tab/>
            </w:r>
            <w:r w:rsidR="003F1B50" w:rsidRPr="00386E47">
              <w:rPr>
                <w:rFonts w:asciiTheme="majorHAnsi" w:hAnsiTheme="majorHAnsi"/>
                <w:noProof/>
                <w:webHidden/>
                <w:sz w:val="20"/>
                <w:szCs w:val="20"/>
              </w:rPr>
              <w:fldChar w:fldCharType="begin"/>
            </w:r>
            <w:r w:rsidR="003F1B50" w:rsidRPr="00386E47">
              <w:rPr>
                <w:rFonts w:asciiTheme="majorHAnsi" w:hAnsiTheme="majorHAnsi"/>
                <w:noProof/>
                <w:webHidden/>
                <w:sz w:val="20"/>
                <w:szCs w:val="20"/>
              </w:rPr>
              <w:instrText xml:space="preserve"> PAGEREF _Toc51252205 \h </w:instrText>
            </w:r>
            <w:r w:rsidR="003F1B50" w:rsidRPr="00386E47">
              <w:rPr>
                <w:rFonts w:asciiTheme="majorHAnsi" w:hAnsiTheme="majorHAnsi"/>
                <w:noProof/>
                <w:webHidden/>
                <w:sz w:val="20"/>
                <w:szCs w:val="20"/>
              </w:rPr>
            </w:r>
            <w:r w:rsidR="003F1B50" w:rsidRPr="00386E47">
              <w:rPr>
                <w:rFonts w:asciiTheme="majorHAnsi" w:hAnsiTheme="majorHAnsi"/>
                <w:noProof/>
                <w:webHidden/>
                <w:sz w:val="20"/>
                <w:szCs w:val="20"/>
              </w:rPr>
              <w:fldChar w:fldCharType="separate"/>
            </w:r>
            <w:r>
              <w:rPr>
                <w:rFonts w:asciiTheme="majorHAnsi" w:hAnsiTheme="majorHAnsi"/>
                <w:noProof/>
                <w:webHidden/>
                <w:sz w:val="20"/>
                <w:szCs w:val="20"/>
              </w:rPr>
              <w:t>64</w:t>
            </w:r>
            <w:r w:rsidR="003F1B50" w:rsidRPr="00386E47">
              <w:rPr>
                <w:rFonts w:asciiTheme="majorHAnsi" w:hAnsiTheme="majorHAnsi"/>
                <w:noProof/>
                <w:webHidden/>
                <w:sz w:val="20"/>
                <w:szCs w:val="20"/>
              </w:rPr>
              <w:fldChar w:fldCharType="end"/>
            </w:r>
          </w:hyperlink>
        </w:p>
        <w:p w14:paraId="58C211B3" w14:textId="1685A725" w:rsidR="003F1B50" w:rsidRPr="00386E47" w:rsidRDefault="00E72266" w:rsidP="005B3F8C">
          <w:pPr>
            <w:pStyle w:val="TOC1"/>
            <w:spacing w:after="0"/>
            <w:rPr>
              <w:rFonts w:eastAsiaTheme="minorEastAsia" w:cstheme="minorBidi"/>
              <w:bdr w:val="none" w:sz="0" w:space="0" w:color="auto"/>
            </w:rPr>
          </w:pPr>
          <w:hyperlink w:anchor="_Toc51252206" w:history="1">
            <w:r w:rsidR="003F1B50" w:rsidRPr="00386E47">
              <w:rPr>
                <w:rStyle w:val="Hyperlink"/>
                <w:rFonts w:asciiTheme="majorHAnsi" w:hAnsiTheme="majorHAnsi"/>
              </w:rPr>
              <w:t>VII.</w:t>
            </w:r>
            <w:r w:rsidR="003F1B50" w:rsidRPr="00386E47">
              <w:rPr>
                <w:rFonts w:eastAsiaTheme="minorEastAsia" w:cstheme="minorBidi"/>
                <w:bdr w:val="none" w:sz="0" w:space="0" w:color="auto"/>
              </w:rPr>
              <w:tab/>
            </w:r>
            <w:r w:rsidR="003F1B50" w:rsidRPr="00386E47">
              <w:rPr>
                <w:rStyle w:val="Hyperlink"/>
                <w:rFonts w:asciiTheme="majorHAnsi" w:hAnsiTheme="majorHAnsi"/>
              </w:rPr>
              <w:t>CONCLUSIONES Y RECOMENDACIONES</w:t>
            </w:r>
            <w:r w:rsidR="003F1B50" w:rsidRPr="00386E47">
              <w:rPr>
                <w:webHidden/>
              </w:rPr>
              <w:tab/>
            </w:r>
            <w:r w:rsidR="003F1B50" w:rsidRPr="00386E47">
              <w:rPr>
                <w:webHidden/>
              </w:rPr>
              <w:fldChar w:fldCharType="begin"/>
            </w:r>
            <w:r w:rsidR="003F1B50" w:rsidRPr="00386E47">
              <w:rPr>
                <w:webHidden/>
              </w:rPr>
              <w:instrText xml:space="preserve"> PAGEREF _Toc51252206 \h </w:instrText>
            </w:r>
            <w:r w:rsidR="003F1B50" w:rsidRPr="00386E47">
              <w:rPr>
                <w:webHidden/>
              </w:rPr>
            </w:r>
            <w:r w:rsidR="003F1B50" w:rsidRPr="00386E47">
              <w:rPr>
                <w:webHidden/>
              </w:rPr>
              <w:fldChar w:fldCharType="separate"/>
            </w:r>
            <w:r>
              <w:rPr>
                <w:webHidden/>
              </w:rPr>
              <w:t>66</w:t>
            </w:r>
            <w:r w:rsidR="003F1B50" w:rsidRPr="00386E47">
              <w:rPr>
                <w:webHidden/>
              </w:rPr>
              <w:fldChar w:fldCharType="end"/>
            </w:r>
          </w:hyperlink>
        </w:p>
        <w:p w14:paraId="282DEC13" w14:textId="77777777" w:rsidR="00F744D9" w:rsidRPr="00386E47" w:rsidRDefault="00F744D9" w:rsidP="005B3F8C">
          <w:pPr>
            <w:tabs>
              <w:tab w:val="left" w:pos="8910"/>
            </w:tabs>
            <w:ind w:right="707"/>
            <w:jc w:val="both"/>
            <w:rPr>
              <w:rFonts w:asciiTheme="majorHAnsi" w:hAnsiTheme="majorHAnsi"/>
              <w:sz w:val="20"/>
              <w:szCs w:val="20"/>
            </w:rPr>
          </w:pPr>
          <w:r w:rsidRPr="00386E47">
            <w:rPr>
              <w:rFonts w:asciiTheme="majorHAnsi" w:hAnsiTheme="majorHAnsi"/>
              <w:b/>
              <w:bCs/>
              <w:noProof/>
              <w:sz w:val="20"/>
              <w:szCs w:val="20"/>
            </w:rPr>
            <w:fldChar w:fldCharType="end"/>
          </w:r>
        </w:p>
      </w:sdtContent>
    </w:sdt>
    <w:p w14:paraId="04C66BE6" w14:textId="77777777" w:rsidR="000B23D0" w:rsidRPr="00386E47" w:rsidRDefault="000B23D0">
      <w:pPr>
        <w:pBdr>
          <w:top w:val="nil"/>
          <w:left w:val="nil"/>
          <w:bottom w:val="nil"/>
          <w:right w:val="nil"/>
          <w:between w:val="nil"/>
          <w:bar w:val="nil"/>
        </w:pBdr>
        <w:rPr>
          <w:rFonts w:asciiTheme="majorHAnsi" w:hAnsiTheme="majorHAnsi"/>
          <w:sz w:val="20"/>
          <w:szCs w:val="20"/>
          <w:lang w:val="es-ES_tradnl"/>
        </w:rPr>
      </w:pPr>
      <w:r w:rsidRPr="00386E47">
        <w:rPr>
          <w:rFonts w:asciiTheme="majorHAnsi" w:hAnsiTheme="majorHAnsi"/>
          <w:sz w:val="20"/>
          <w:szCs w:val="20"/>
          <w:lang w:val="es-ES_tradnl"/>
        </w:rPr>
        <w:br w:type="page"/>
      </w:r>
    </w:p>
    <w:p w14:paraId="4B26059C" w14:textId="77777777" w:rsidR="00722C9F" w:rsidRPr="00386E47" w:rsidRDefault="00722C9F">
      <w:pPr>
        <w:rPr>
          <w:rFonts w:asciiTheme="majorHAnsi" w:hAnsiTheme="majorHAnsi" w:cs="Calibri"/>
          <w:sz w:val="20"/>
          <w:szCs w:val="20"/>
          <w:lang w:val="es-ES"/>
        </w:rPr>
      </w:pPr>
    </w:p>
    <w:p w14:paraId="0CB20E36" w14:textId="77777777" w:rsidR="00722C9F" w:rsidRPr="00386E47" w:rsidRDefault="0006550A" w:rsidP="00722C9F">
      <w:pPr>
        <w:tabs>
          <w:tab w:val="center" w:pos="5400"/>
        </w:tabs>
        <w:suppressAutoHyphens/>
        <w:spacing w:line="276" w:lineRule="auto"/>
        <w:jc w:val="center"/>
        <w:rPr>
          <w:rFonts w:asciiTheme="majorHAnsi" w:hAnsiTheme="majorHAnsi"/>
          <w:b/>
          <w:sz w:val="18"/>
          <w:szCs w:val="20"/>
          <w:lang w:val="es-ES_tradnl"/>
        </w:rPr>
      </w:pPr>
      <w:r w:rsidRPr="00386E47">
        <w:rPr>
          <w:rFonts w:asciiTheme="majorHAnsi" w:hAnsiTheme="majorHAnsi"/>
          <w:b/>
          <w:sz w:val="18"/>
          <w:szCs w:val="20"/>
          <w:lang w:val="es-ES_tradnl"/>
        </w:rPr>
        <w:t>INFORME No. 187</w:t>
      </w:r>
      <w:r w:rsidR="00722C9F" w:rsidRPr="00386E47">
        <w:rPr>
          <w:rFonts w:asciiTheme="majorHAnsi" w:hAnsiTheme="majorHAnsi"/>
          <w:b/>
          <w:sz w:val="18"/>
          <w:szCs w:val="20"/>
          <w:lang w:val="es-ES_tradnl"/>
        </w:rPr>
        <w:t>/</w:t>
      </w:r>
      <w:r w:rsidR="00CA2516" w:rsidRPr="00386E47">
        <w:rPr>
          <w:rFonts w:asciiTheme="majorHAnsi" w:hAnsiTheme="majorHAnsi"/>
          <w:b/>
          <w:sz w:val="18"/>
          <w:szCs w:val="20"/>
          <w:lang w:val="es-ES_tradnl"/>
        </w:rPr>
        <w:t>20</w:t>
      </w:r>
    </w:p>
    <w:p w14:paraId="25D7ED9C" w14:textId="77777777" w:rsidR="00722C9F" w:rsidRPr="00386E47" w:rsidRDefault="00722C9F" w:rsidP="00722C9F">
      <w:pPr>
        <w:tabs>
          <w:tab w:val="center" w:pos="5400"/>
        </w:tabs>
        <w:suppressAutoHyphens/>
        <w:spacing w:line="276" w:lineRule="auto"/>
        <w:jc w:val="center"/>
        <w:rPr>
          <w:rFonts w:asciiTheme="majorHAnsi" w:hAnsiTheme="majorHAnsi"/>
          <w:b/>
          <w:sz w:val="18"/>
          <w:szCs w:val="20"/>
          <w:lang w:val="es-ES_tradnl"/>
        </w:rPr>
      </w:pPr>
      <w:r w:rsidRPr="00386E47">
        <w:rPr>
          <w:rFonts w:asciiTheme="majorHAnsi" w:hAnsiTheme="majorHAnsi"/>
          <w:b/>
          <w:sz w:val="18"/>
          <w:szCs w:val="20"/>
          <w:lang w:val="es-ES_tradnl"/>
        </w:rPr>
        <w:t xml:space="preserve">CASO </w:t>
      </w:r>
      <w:r w:rsidR="00CA2516" w:rsidRPr="00386E47">
        <w:rPr>
          <w:rFonts w:asciiTheme="majorHAnsi" w:hAnsiTheme="majorHAnsi"/>
          <w:b/>
          <w:sz w:val="18"/>
          <w:szCs w:val="20"/>
          <w:lang w:val="es-ES_tradnl"/>
        </w:rPr>
        <w:t>12.204</w:t>
      </w:r>
    </w:p>
    <w:p w14:paraId="67C331CB" w14:textId="77777777" w:rsidR="00722C9F" w:rsidRPr="00386E47" w:rsidRDefault="00722C9F" w:rsidP="00722C9F">
      <w:pPr>
        <w:tabs>
          <w:tab w:val="center" w:pos="5400"/>
        </w:tabs>
        <w:suppressAutoHyphens/>
        <w:spacing w:line="276" w:lineRule="auto"/>
        <w:jc w:val="center"/>
        <w:rPr>
          <w:rFonts w:asciiTheme="majorHAnsi" w:hAnsiTheme="majorHAnsi"/>
          <w:sz w:val="18"/>
          <w:szCs w:val="20"/>
          <w:lang w:val="es-ES_tradnl"/>
        </w:rPr>
      </w:pPr>
      <w:r w:rsidRPr="00386E47">
        <w:rPr>
          <w:rFonts w:asciiTheme="majorHAnsi" w:hAnsiTheme="majorHAnsi"/>
          <w:sz w:val="18"/>
          <w:szCs w:val="20"/>
          <w:lang w:val="es-ES_tradnl"/>
        </w:rPr>
        <w:t xml:space="preserve">INFORME DE ADMISIBILIDAD </w:t>
      </w:r>
      <w:r w:rsidR="00CA2516" w:rsidRPr="00386E47">
        <w:rPr>
          <w:rFonts w:asciiTheme="majorHAnsi" w:hAnsiTheme="majorHAnsi"/>
          <w:sz w:val="18"/>
          <w:szCs w:val="20"/>
          <w:lang w:val="es-ES_tradnl"/>
        </w:rPr>
        <w:t>Y FONDO</w:t>
      </w:r>
    </w:p>
    <w:p w14:paraId="465A1475" w14:textId="77777777" w:rsidR="00722C9F" w:rsidRPr="00386E47" w:rsidRDefault="00CA2516" w:rsidP="00722C9F">
      <w:pPr>
        <w:tabs>
          <w:tab w:val="center" w:pos="5400"/>
        </w:tabs>
        <w:suppressAutoHyphens/>
        <w:spacing w:line="276" w:lineRule="auto"/>
        <w:jc w:val="center"/>
        <w:rPr>
          <w:rFonts w:asciiTheme="majorHAnsi" w:hAnsiTheme="majorHAnsi"/>
          <w:sz w:val="18"/>
          <w:szCs w:val="20"/>
          <w:lang w:val="es-ES_tradnl"/>
        </w:rPr>
      </w:pPr>
      <w:r w:rsidRPr="00386E47">
        <w:rPr>
          <w:rFonts w:asciiTheme="majorHAnsi" w:hAnsiTheme="majorHAnsi"/>
          <w:sz w:val="18"/>
          <w:szCs w:val="20"/>
          <w:lang w:val="es-ES_tradnl"/>
        </w:rPr>
        <w:t>ASOCIACI</w:t>
      </w:r>
      <w:r w:rsidR="00C87214" w:rsidRPr="00386E47">
        <w:rPr>
          <w:rFonts w:asciiTheme="majorHAnsi" w:hAnsiTheme="majorHAnsi"/>
          <w:sz w:val="18"/>
          <w:szCs w:val="20"/>
          <w:lang w:val="es-US"/>
        </w:rPr>
        <w:t>Ó</w:t>
      </w:r>
      <w:r w:rsidRPr="00386E47">
        <w:rPr>
          <w:rFonts w:asciiTheme="majorHAnsi" w:hAnsiTheme="majorHAnsi"/>
          <w:sz w:val="18"/>
          <w:szCs w:val="20"/>
          <w:lang w:val="es-ES_tradnl"/>
        </w:rPr>
        <w:t xml:space="preserve">N CIVIL MEMORIA ACTIVA </w:t>
      </w:r>
    </w:p>
    <w:p w14:paraId="08CFB2EF" w14:textId="77777777" w:rsidR="00722C9F" w:rsidRPr="00386E47" w:rsidRDefault="00CA2516" w:rsidP="00722C9F">
      <w:pPr>
        <w:tabs>
          <w:tab w:val="center" w:pos="5400"/>
        </w:tabs>
        <w:suppressAutoHyphens/>
        <w:spacing w:line="276" w:lineRule="auto"/>
        <w:jc w:val="center"/>
        <w:rPr>
          <w:rFonts w:asciiTheme="majorHAnsi" w:hAnsiTheme="majorHAnsi"/>
          <w:sz w:val="18"/>
          <w:szCs w:val="20"/>
          <w:lang w:val="es-ES_tradnl"/>
        </w:rPr>
      </w:pPr>
      <w:r w:rsidRPr="00386E47">
        <w:rPr>
          <w:rFonts w:asciiTheme="majorHAnsi" w:hAnsiTheme="majorHAnsi"/>
          <w:sz w:val="18"/>
          <w:szCs w:val="20"/>
          <w:lang w:val="es-ES_tradnl"/>
        </w:rPr>
        <w:t>ARGENTINA</w:t>
      </w:r>
    </w:p>
    <w:p w14:paraId="231039EA" w14:textId="77777777" w:rsidR="00722C9F" w:rsidRPr="00386E47" w:rsidRDefault="0006550A" w:rsidP="00722C9F">
      <w:pPr>
        <w:tabs>
          <w:tab w:val="center" w:pos="5400"/>
        </w:tabs>
        <w:suppressAutoHyphens/>
        <w:spacing w:line="276" w:lineRule="auto"/>
        <w:jc w:val="center"/>
        <w:rPr>
          <w:rFonts w:asciiTheme="majorHAnsi" w:hAnsiTheme="majorHAnsi"/>
          <w:sz w:val="18"/>
          <w:szCs w:val="20"/>
          <w:lang w:val="es-ES_tradnl"/>
        </w:rPr>
      </w:pPr>
      <w:r w:rsidRPr="00386E47">
        <w:rPr>
          <w:rFonts w:asciiTheme="majorHAnsi" w:hAnsiTheme="majorHAnsi"/>
          <w:sz w:val="18"/>
          <w:szCs w:val="20"/>
          <w:lang w:val="es-ES_tradnl"/>
        </w:rPr>
        <w:t>14 de julio de 2020</w:t>
      </w:r>
    </w:p>
    <w:p w14:paraId="408A9D99" w14:textId="77777777" w:rsidR="00D27EA6" w:rsidRPr="00386E47" w:rsidRDefault="00D27EA6" w:rsidP="00722C9F">
      <w:pPr>
        <w:tabs>
          <w:tab w:val="center" w:pos="5400"/>
        </w:tabs>
        <w:suppressAutoHyphens/>
        <w:spacing w:line="276" w:lineRule="auto"/>
        <w:jc w:val="center"/>
        <w:rPr>
          <w:rFonts w:asciiTheme="majorHAnsi" w:hAnsiTheme="majorHAnsi"/>
          <w:sz w:val="18"/>
          <w:szCs w:val="20"/>
          <w:lang w:val="es-ES_tradnl"/>
        </w:rPr>
      </w:pPr>
    </w:p>
    <w:p w14:paraId="20CCDD63" w14:textId="77777777" w:rsidR="00D27EA6" w:rsidRPr="00386E47" w:rsidRDefault="00D27EA6" w:rsidP="00722C9F">
      <w:pPr>
        <w:tabs>
          <w:tab w:val="center" w:pos="5400"/>
        </w:tabs>
        <w:suppressAutoHyphens/>
        <w:spacing w:line="276" w:lineRule="auto"/>
        <w:jc w:val="center"/>
        <w:rPr>
          <w:rFonts w:asciiTheme="majorHAnsi" w:hAnsiTheme="majorHAnsi"/>
          <w:sz w:val="18"/>
          <w:szCs w:val="20"/>
          <w:lang w:val="es-ES_tradnl"/>
        </w:rPr>
      </w:pPr>
    </w:p>
    <w:p w14:paraId="6E55DA88" w14:textId="77777777" w:rsidR="00CA2516" w:rsidRPr="00386E47" w:rsidRDefault="009F70EA" w:rsidP="009F70EA">
      <w:pPr>
        <w:pStyle w:val="Heading1"/>
        <w:rPr>
          <w:rFonts w:asciiTheme="majorHAnsi" w:hAnsiTheme="majorHAnsi"/>
        </w:rPr>
      </w:pPr>
      <w:bookmarkStart w:id="2" w:name="_Toc51252180"/>
      <w:r w:rsidRPr="00386E47">
        <w:rPr>
          <w:rFonts w:asciiTheme="majorHAnsi" w:hAnsiTheme="majorHAnsi"/>
        </w:rPr>
        <w:t>INTRODUCCIÓN</w:t>
      </w:r>
      <w:bookmarkEnd w:id="2"/>
    </w:p>
    <w:p w14:paraId="6EAD7CC1" w14:textId="77777777" w:rsidR="009F70EA" w:rsidRPr="00386E47" w:rsidRDefault="009F70EA" w:rsidP="00997162">
      <w:pPr>
        <w:tabs>
          <w:tab w:val="left" w:pos="426"/>
        </w:tabs>
        <w:ind w:left="567"/>
        <w:contextualSpacing/>
        <w:jc w:val="both"/>
        <w:rPr>
          <w:rFonts w:asciiTheme="majorHAnsi" w:eastAsia="Calibri" w:hAnsiTheme="majorHAnsi"/>
          <w:b/>
          <w:sz w:val="20"/>
          <w:szCs w:val="20"/>
          <w:lang w:val="es-US"/>
        </w:rPr>
      </w:pPr>
    </w:p>
    <w:p w14:paraId="1097E0F1" w14:textId="77777777" w:rsidR="00F85B68" w:rsidRPr="00386E47" w:rsidRDefault="009F70EA" w:rsidP="003A5860">
      <w:pPr>
        <w:numPr>
          <w:ilvl w:val="0"/>
          <w:numId w:val="55"/>
        </w:numPr>
        <w:tabs>
          <w:tab w:val="left" w:pos="567"/>
        </w:tabs>
        <w:ind w:left="0" w:firstLine="0"/>
        <w:jc w:val="both"/>
        <w:rPr>
          <w:rFonts w:asciiTheme="majorHAnsi" w:eastAsia="Calibri" w:hAnsiTheme="majorHAnsi"/>
          <w:sz w:val="20"/>
          <w:szCs w:val="20"/>
          <w:lang w:val="es-VE"/>
        </w:rPr>
      </w:pPr>
      <w:r w:rsidRPr="00386E47">
        <w:rPr>
          <w:rFonts w:asciiTheme="majorHAnsi" w:eastAsia="Calibri" w:hAnsiTheme="majorHAnsi"/>
          <w:sz w:val="20"/>
          <w:szCs w:val="20"/>
          <w:lang w:val="es-AR"/>
        </w:rPr>
        <w:t xml:space="preserve">El 16 de julio de 1999, </w:t>
      </w:r>
      <w:r w:rsidRPr="00386E47">
        <w:rPr>
          <w:rFonts w:asciiTheme="majorHAnsi" w:eastAsia="Calibri" w:hAnsiTheme="majorHAnsi"/>
          <w:sz w:val="20"/>
          <w:szCs w:val="20"/>
          <w:lang w:val="es-VE"/>
        </w:rPr>
        <w:t xml:space="preserve">la Comisión Interamericana de Derechos Humanos </w:t>
      </w:r>
      <w:r w:rsidR="00EE721A" w:rsidRPr="00386E47">
        <w:rPr>
          <w:rFonts w:asciiTheme="majorHAnsi" w:eastAsia="Calibri" w:hAnsiTheme="majorHAnsi"/>
          <w:sz w:val="20"/>
          <w:szCs w:val="20"/>
          <w:lang w:val="es-VE"/>
        </w:rPr>
        <w:t>(en</w:t>
      </w:r>
      <w:r w:rsidR="00CA2516" w:rsidRPr="00386E47">
        <w:rPr>
          <w:rFonts w:asciiTheme="majorHAnsi" w:eastAsia="Calibri" w:hAnsiTheme="majorHAnsi"/>
          <w:sz w:val="20"/>
          <w:szCs w:val="20"/>
          <w:lang w:val="es-VE"/>
        </w:rPr>
        <w:t xml:space="preserve"> adelante </w:t>
      </w:r>
      <w:r w:rsidRPr="00386E47">
        <w:rPr>
          <w:rFonts w:asciiTheme="majorHAnsi" w:eastAsia="Calibri" w:hAnsiTheme="majorHAnsi"/>
          <w:sz w:val="20"/>
          <w:szCs w:val="20"/>
          <w:lang w:val="es-VE"/>
        </w:rPr>
        <w:t xml:space="preserve">“la Comisión Interamericana”, “la Comisión” o “la CIDH”) recibió una petición </w:t>
      </w:r>
      <w:r w:rsidR="00CA2516" w:rsidRPr="00386E47">
        <w:rPr>
          <w:rFonts w:asciiTheme="majorHAnsi" w:eastAsia="Calibri" w:hAnsiTheme="majorHAnsi"/>
          <w:sz w:val="20"/>
          <w:szCs w:val="20"/>
          <w:lang w:val="es-VE"/>
        </w:rPr>
        <w:t xml:space="preserve">suscripta </w:t>
      </w:r>
      <w:r w:rsidRPr="00386E47">
        <w:rPr>
          <w:rFonts w:asciiTheme="majorHAnsi" w:eastAsia="Calibri" w:hAnsiTheme="majorHAnsi"/>
          <w:sz w:val="20"/>
          <w:szCs w:val="20"/>
          <w:lang w:val="es-VE"/>
        </w:rPr>
        <w:t>por</w:t>
      </w:r>
      <w:r w:rsidR="00CA2516" w:rsidRPr="00386E47">
        <w:rPr>
          <w:rFonts w:asciiTheme="majorHAnsi" w:eastAsia="Calibri" w:hAnsiTheme="majorHAnsi"/>
          <w:sz w:val="20"/>
          <w:szCs w:val="20"/>
          <w:lang w:val="es-VE"/>
        </w:rPr>
        <w:t xml:space="preserve"> un grupo de </w:t>
      </w:r>
      <w:r w:rsidR="00EE721A" w:rsidRPr="00386E47">
        <w:rPr>
          <w:rFonts w:asciiTheme="majorHAnsi" w:eastAsia="Calibri" w:hAnsiTheme="majorHAnsi"/>
          <w:sz w:val="20"/>
          <w:szCs w:val="20"/>
          <w:lang w:val="es-VE"/>
        </w:rPr>
        <w:t>víctimas y</w:t>
      </w:r>
      <w:r w:rsidR="00CA2516" w:rsidRPr="00386E47">
        <w:rPr>
          <w:rFonts w:asciiTheme="majorHAnsi" w:eastAsia="Calibri" w:hAnsiTheme="majorHAnsi"/>
          <w:sz w:val="20"/>
          <w:szCs w:val="20"/>
          <w:lang w:val="es-VE"/>
        </w:rPr>
        <w:t xml:space="preserve"> familiares de las </w:t>
      </w:r>
      <w:r w:rsidR="00EE721A" w:rsidRPr="00386E47">
        <w:rPr>
          <w:rFonts w:asciiTheme="majorHAnsi" w:eastAsia="Calibri" w:hAnsiTheme="majorHAnsi"/>
          <w:sz w:val="20"/>
          <w:szCs w:val="20"/>
          <w:lang w:val="es-VE"/>
        </w:rPr>
        <w:t>víctimas</w:t>
      </w:r>
      <w:r w:rsidR="00CA2516" w:rsidRPr="00386E47">
        <w:rPr>
          <w:rFonts w:asciiTheme="majorHAnsi" w:eastAsia="Calibri" w:hAnsiTheme="majorHAnsi"/>
          <w:sz w:val="20"/>
          <w:szCs w:val="20"/>
          <w:lang w:val="es-VE"/>
        </w:rPr>
        <w:t xml:space="preserve"> del atentado </w:t>
      </w:r>
      <w:r w:rsidR="00997162" w:rsidRPr="00386E47">
        <w:rPr>
          <w:rFonts w:asciiTheme="majorHAnsi" w:eastAsia="Calibri" w:hAnsiTheme="majorHAnsi"/>
          <w:sz w:val="20"/>
          <w:szCs w:val="20"/>
          <w:lang w:val="es-VE"/>
        </w:rPr>
        <w:t xml:space="preserve">terrorista </w:t>
      </w:r>
      <w:r w:rsidR="00170D9A" w:rsidRPr="00386E47">
        <w:rPr>
          <w:rFonts w:asciiTheme="majorHAnsi" w:eastAsia="Calibri" w:hAnsiTheme="majorHAnsi"/>
          <w:sz w:val="20"/>
          <w:szCs w:val="20"/>
          <w:lang w:val="es-VE"/>
        </w:rPr>
        <w:t xml:space="preserve">perpetrado </w:t>
      </w:r>
      <w:r w:rsidR="00CA2516" w:rsidRPr="00386E47">
        <w:rPr>
          <w:rFonts w:asciiTheme="majorHAnsi" w:eastAsia="Calibri" w:hAnsiTheme="majorHAnsi"/>
          <w:sz w:val="20"/>
          <w:szCs w:val="20"/>
          <w:lang w:val="es-VE"/>
        </w:rPr>
        <w:t xml:space="preserve">contra la sede de la </w:t>
      </w:r>
      <w:r w:rsidR="00EE721A" w:rsidRPr="00386E47">
        <w:rPr>
          <w:rFonts w:asciiTheme="majorHAnsi" w:eastAsia="Calibri" w:hAnsiTheme="majorHAnsi"/>
          <w:sz w:val="20"/>
          <w:szCs w:val="20"/>
          <w:lang w:val="es-VE"/>
        </w:rPr>
        <w:t xml:space="preserve">Asociación Mutual Israelita Argentina (AMIA) </w:t>
      </w:r>
      <w:r w:rsidR="00170D9A" w:rsidRPr="00386E47">
        <w:rPr>
          <w:rFonts w:asciiTheme="majorHAnsi" w:eastAsia="Calibri" w:hAnsiTheme="majorHAnsi"/>
          <w:sz w:val="20"/>
          <w:szCs w:val="20"/>
          <w:lang w:val="es-VE"/>
        </w:rPr>
        <w:t xml:space="preserve">organizados </w:t>
      </w:r>
      <w:r w:rsidR="00EE721A" w:rsidRPr="00386E47">
        <w:rPr>
          <w:rFonts w:asciiTheme="majorHAnsi" w:eastAsia="Calibri" w:hAnsiTheme="majorHAnsi"/>
          <w:sz w:val="20"/>
          <w:szCs w:val="20"/>
          <w:lang w:val="es-VE"/>
        </w:rPr>
        <w:t xml:space="preserve">en </w:t>
      </w:r>
      <w:r w:rsidR="00EE721A" w:rsidRPr="00386E47">
        <w:rPr>
          <w:rFonts w:asciiTheme="majorHAnsi" w:eastAsia="Calibri" w:hAnsiTheme="majorHAnsi"/>
          <w:sz w:val="20"/>
          <w:szCs w:val="20"/>
          <w:lang w:val="es-AR"/>
        </w:rPr>
        <w:t>la Asociación Civil Memoria Activa</w:t>
      </w:r>
      <w:r w:rsidR="00F16CF6" w:rsidRPr="00386E47">
        <w:rPr>
          <w:rFonts w:asciiTheme="majorHAnsi" w:eastAsia="Calibri" w:hAnsiTheme="majorHAnsi"/>
          <w:sz w:val="20"/>
          <w:szCs w:val="20"/>
          <w:vertAlign w:val="superscript"/>
          <w:lang w:val="es-AR"/>
        </w:rPr>
        <w:footnoteReference w:id="2"/>
      </w:r>
      <w:r w:rsidR="00B0077C" w:rsidRPr="00386E47">
        <w:rPr>
          <w:rFonts w:asciiTheme="majorHAnsi" w:eastAsia="Calibri" w:hAnsiTheme="majorHAnsi"/>
          <w:sz w:val="20"/>
          <w:szCs w:val="20"/>
          <w:lang w:val="es-AR"/>
        </w:rPr>
        <w:t xml:space="preserve">. </w:t>
      </w:r>
      <w:r w:rsidR="00F16CF6" w:rsidRPr="00386E47">
        <w:rPr>
          <w:rFonts w:asciiTheme="majorHAnsi" w:eastAsia="Calibri" w:hAnsiTheme="majorHAnsi"/>
          <w:sz w:val="20"/>
          <w:szCs w:val="20"/>
          <w:lang w:val="es-VE"/>
        </w:rPr>
        <w:t xml:space="preserve">Los </w:t>
      </w:r>
      <w:r w:rsidR="00EE721A" w:rsidRPr="00386E47">
        <w:rPr>
          <w:rFonts w:asciiTheme="majorHAnsi" w:eastAsia="Calibri" w:hAnsiTheme="majorHAnsi"/>
          <w:sz w:val="20"/>
          <w:szCs w:val="20"/>
          <w:lang w:val="es-VE"/>
        </w:rPr>
        <w:t>peticionarios afirmaron</w:t>
      </w:r>
      <w:r w:rsidR="00887819" w:rsidRPr="00386E47">
        <w:rPr>
          <w:rFonts w:asciiTheme="majorHAnsi" w:eastAsia="Calibri" w:hAnsiTheme="majorHAnsi"/>
          <w:sz w:val="20"/>
          <w:szCs w:val="20"/>
          <w:lang w:val="es-VE"/>
        </w:rPr>
        <w:t>,</w:t>
      </w:r>
      <w:r w:rsidR="00EE721A" w:rsidRPr="00386E47">
        <w:rPr>
          <w:rFonts w:asciiTheme="majorHAnsi" w:eastAsia="Calibri" w:hAnsiTheme="majorHAnsi"/>
          <w:sz w:val="20"/>
          <w:szCs w:val="20"/>
          <w:lang w:val="es-VE"/>
        </w:rPr>
        <w:t xml:space="preserve"> que el </w:t>
      </w:r>
      <w:r w:rsidR="00CA2516" w:rsidRPr="00386E47">
        <w:rPr>
          <w:rFonts w:asciiTheme="majorHAnsi" w:eastAsia="Calibri" w:hAnsiTheme="majorHAnsi"/>
          <w:sz w:val="20"/>
          <w:szCs w:val="20"/>
          <w:lang w:val="es-VE"/>
        </w:rPr>
        <w:t xml:space="preserve">Estado argentino </w:t>
      </w:r>
      <w:r w:rsidRPr="00386E47">
        <w:rPr>
          <w:rFonts w:asciiTheme="majorHAnsi" w:eastAsia="Calibri" w:hAnsiTheme="majorHAnsi"/>
          <w:sz w:val="20"/>
          <w:szCs w:val="20"/>
          <w:lang w:val="es-VE"/>
        </w:rPr>
        <w:t>(</w:t>
      </w:r>
      <w:r w:rsidR="00EE721A" w:rsidRPr="00386E47">
        <w:rPr>
          <w:rFonts w:asciiTheme="majorHAnsi" w:eastAsia="Calibri" w:hAnsiTheme="majorHAnsi"/>
          <w:sz w:val="20"/>
          <w:szCs w:val="20"/>
          <w:lang w:val="es-VE"/>
        </w:rPr>
        <w:t xml:space="preserve">en adelante </w:t>
      </w:r>
      <w:r w:rsidRPr="00386E47">
        <w:rPr>
          <w:rFonts w:asciiTheme="majorHAnsi" w:eastAsia="Calibri" w:hAnsiTheme="majorHAnsi"/>
          <w:sz w:val="20"/>
          <w:szCs w:val="20"/>
          <w:lang w:val="es-VE"/>
        </w:rPr>
        <w:t>“el Estado argentino”, “el Estado” o “Argentina”)</w:t>
      </w:r>
      <w:r w:rsidR="006E5444" w:rsidRPr="00386E47">
        <w:rPr>
          <w:rFonts w:asciiTheme="majorHAnsi" w:eastAsia="Calibri" w:hAnsiTheme="majorHAnsi"/>
          <w:sz w:val="20"/>
          <w:szCs w:val="20"/>
          <w:lang w:val="es-VE"/>
        </w:rPr>
        <w:t xml:space="preserve"> resulta </w:t>
      </w:r>
      <w:r w:rsidR="00EE721A" w:rsidRPr="00386E47">
        <w:rPr>
          <w:rFonts w:asciiTheme="majorHAnsi" w:eastAsia="Calibri" w:hAnsiTheme="majorHAnsi"/>
          <w:sz w:val="20"/>
          <w:szCs w:val="20"/>
          <w:lang w:val="es-VE"/>
        </w:rPr>
        <w:t xml:space="preserve">responsable a nivel internacional </w:t>
      </w:r>
      <w:r w:rsidRPr="00386E47">
        <w:rPr>
          <w:rFonts w:asciiTheme="majorHAnsi" w:eastAsia="Calibri" w:hAnsiTheme="majorHAnsi"/>
          <w:sz w:val="20"/>
          <w:szCs w:val="20"/>
          <w:lang w:val="es-VE"/>
        </w:rPr>
        <w:t xml:space="preserve">por </w:t>
      </w:r>
      <w:r w:rsidR="00CA2516" w:rsidRPr="00386E47">
        <w:rPr>
          <w:rFonts w:asciiTheme="majorHAnsi" w:eastAsia="Calibri" w:hAnsiTheme="majorHAnsi"/>
          <w:sz w:val="20"/>
          <w:szCs w:val="20"/>
          <w:lang w:val="es-VE"/>
        </w:rPr>
        <w:t>la infracción</w:t>
      </w:r>
      <w:r w:rsidR="00EE721A" w:rsidRPr="00386E47">
        <w:rPr>
          <w:rFonts w:asciiTheme="majorHAnsi" w:eastAsia="Calibri" w:hAnsiTheme="majorHAnsi"/>
          <w:sz w:val="20"/>
          <w:szCs w:val="20"/>
          <w:lang w:val="es-VE"/>
        </w:rPr>
        <w:t xml:space="preserve"> de su </w:t>
      </w:r>
      <w:r w:rsidR="00CA2516" w:rsidRPr="00386E47">
        <w:rPr>
          <w:rFonts w:asciiTheme="majorHAnsi" w:eastAsia="Calibri" w:hAnsiTheme="majorHAnsi"/>
          <w:sz w:val="20"/>
          <w:szCs w:val="20"/>
          <w:lang w:val="es-VE"/>
        </w:rPr>
        <w:t>deber</w:t>
      </w:r>
      <w:r w:rsidRPr="00386E47">
        <w:rPr>
          <w:rFonts w:asciiTheme="majorHAnsi" w:eastAsia="Calibri" w:hAnsiTheme="majorHAnsi"/>
          <w:sz w:val="20"/>
          <w:szCs w:val="20"/>
          <w:lang w:val="es-VE"/>
        </w:rPr>
        <w:t xml:space="preserve"> de prevención del </w:t>
      </w:r>
      <w:r w:rsidR="00CA2516" w:rsidRPr="00386E47">
        <w:rPr>
          <w:rFonts w:asciiTheme="majorHAnsi" w:eastAsia="Calibri" w:hAnsiTheme="majorHAnsi"/>
          <w:sz w:val="20"/>
          <w:szCs w:val="20"/>
          <w:lang w:val="es-VE"/>
        </w:rPr>
        <w:t>atentado</w:t>
      </w:r>
      <w:r w:rsidRPr="00386E47">
        <w:rPr>
          <w:rFonts w:asciiTheme="majorHAnsi" w:eastAsia="Calibri" w:hAnsiTheme="majorHAnsi"/>
          <w:sz w:val="20"/>
          <w:szCs w:val="20"/>
          <w:lang w:val="es-VE"/>
        </w:rPr>
        <w:t xml:space="preserve"> terrorista </w:t>
      </w:r>
      <w:r w:rsidR="00EE721A" w:rsidRPr="00386E47">
        <w:rPr>
          <w:rFonts w:asciiTheme="majorHAnsi" w:eastAsia="Calibri" w:hAnsiTheme="majorHAnsi"/>
          <w:sz w:val="20"/>
          <w:szCs w:val="20"/>
          <w:lang w:val="es-VE"/>
        </w:rPr>
        <w:t xml:space="preserve">ocurrido </w:t>
      </w:r>
      <w:r w:rsidR="00997162" w:rsidRPr="00386E47">
        <w:rPr>
          <w:rFonts w:asciiTheme="majorHAnsi" w:eastAsia="Calibri" w:hAnsiTheme="majorHAnsi"/>
          <w:sz w:val="20"/>
          <w:szCs w:val="20"/>
          <w:lang w:val="es-VE"/>
        </w:rPr>
        <w:t xml:space="preserve">el </w:t>
      </w:r>
      <w:r w:rsidR="00EE721A" w:rsidRPr="00386E47">
        <w:rPr>
          <w:rFonts w:asciiTheme="majorHAnsi" w:eastAsia="Calibri" w:hAnsiTheme="majorHAnsi"/>
          <w:sz w:val="20"/>
          <w:szCs w:val="20"/>
          <w:lang w:val="es-VE"/>
        </w:rPr>
        <w:t xml:space="preserve">18 de julio de 1994, </w:t>
      </w:r>
      <w:r w:rsidR="00F00941" w:rsidRPr="00386E47">
        <w:rPr>
          <w:rFonts w:asciiTheme="majorHAnsi" w:eastAsia="Calibri" w:hAnsiTheme="majorHAnsi"/>
          <w:sz w:val="20"/>
          <w:szCs w:val="20"/>
          <w:lang w:val="es-VE"/>
        </w:rPr>
        <w:t>el cual</w:t>
      </w:r>
      <w:r w:rsidR="00EE721A" w:rsidRPr="00386E47">
        <w:rPr>
          <w:rFonts w:asciiTheme="majorHAnsi" w:eastAsia="Calibri" w:hAnsiTheme="majorHAnsi"/>
          <w:sz w:val="20"/>
          <w:szCs w:val="20"/>
          <w:lang w:val="es-VE"/>
        </w:rPr>
        <w:t xml:space="preserve"> </w:t>
      </w:r>
      <w:r w:rsidR="00887819" w:rsidRPr="00386E47">
        <w:rPr>
          <w:rFonts w:asciiTheme="majorHAnsi" w:eastAsia="Calibri" w:hAnsiTheme="majorHAnsi"/>
          <w:sz w:val="20"/>
          <w:szCs w:val="20"/>
          <w:lang w:val="es-VE"/>
        </w:rPr>
        <w:t xml:space="preserve">provocó la </w:t>
      </w:r>
      <w:r w:rsidR="00EE721A" w:rsidRPr="00386E47">
        <w:rPr>
          <w:rFonts w:asciiTheme="majorHAnsi" w:eastAsia="Calibri" w:hAnsiTheme="majorHAnsi"/>
          <w:sz w:val="20"/>
          <w:szCs w:val="20"/>
          <w:lang w:val="es-VE"/>
        </w:rPr>
        <w:t xml:space="preserve">muerte de </w:t>
      </w:r>
      <w:r w:rsidRPr="00386E47">
        <w:rPr>
          <w:rFonts w:asciiTheme="majorHAnsi" w:eastAsia="Calibri" w:hAnsiTheme="majorHAnsi"/>
          <w:sz w:val="20"/>
          <w:szCs w:val="20"/>
          <w:lang w:val="es-VE"/>
        </w:rPr>
        <w:t xml:space="preserve">85 personas y </w:t>
      </w:r>
      <w:r w:rsidR="00CA2516" w:rsidRPr="00386E47">
        <w:rPr>
          <w:rFonts w:asciiTheme="majorHAnsi" w:eastAsia="Calibri" w:hAnsiTheme="majorHAnsi"/>
          <w:sz w:val="20"/>
          <w:szCs w:val="20"/>
          <w:lang w:val="es-VE"/>
        </w:rPr>
        <w:t>heridas</w:t>
      </w:r>
      <w:r w:rsidR="00EE721A" w:rsidRPr="00386E47">
        <w:rPr>
          <w:rFonts w:asciiTheme="majorHAnsi" w:eastAsia="Calibri" w:hAnsiTheme="majorHAnsi"/>
          <w:sz w:val="20"/>
          <w:szCs w:val="20"/>
          <w:lang w:val="es-VE"/>
        </w:rPr>
        <w:t xml:space="preserve"> </w:t>
      </w:r>
      <w:r w:rsidR="00F00941" w:rsidRPr="00386E47">
        <w:rPr>
          <w:rFonts w:asciiTheme="majorHAnsi" w:eastAsia="Calibri" w:hAnsiTheme="majorHAnsi"/>
          <w:sz w:val="20"/>
          <w:szCs w:val="20"/>
          <w:lang w:val="es-VE"/>
        </w:rPr>
        <w:t xml:space="preserve">de gravedad </w:t>
      </w:r>
      <w:r w:rsidR="00D16446" w:rsidRPr="00386E47">
        <w:rPr>
          <w:rFonts w:asciiTheme="majorHAnsi" w:eastAsia="Calibri" w:hAnsiTheme="majorHAnsi"/>
          <w:sz w:val="20"/>
          <w:szCs w:val="20"/>
          <w:lang w:val="es-VE"/>
        </w:rPr>
        <w:t xml:space="preserve">en perjuicio de </w:t>
      </w:r>
      <w:r w:rsidR="00F00941" w:rsidRPr="00386E47">
        <w:rPr>
          <w:rFonts w:asciiTheme="majorHAnsi" w:eastAsia="Calibri" w:hAnsiTheme="majorHAnsi"/>
          <w:sz w:val="20"/>
          <w:szCs w:val="20"/>
          <w:lang w:val="es-VE"/>
        </w:rPr>
        <w:t>al menos otras</w:t>
      </w:r>
      <w:r w:rsidR="00D16446" w:rsidRPr="00386E47">
        <w:rPr>
          <w:rFonts w:asciiTheme="majorHAnsi" w:eastAsia="Calibri" w:hAnsiTheme="majorHAnsi"/>
          <w:sz w:val="20"/>
          <w:szCs w:val="20"/>
          <w:lang w:val="es-VE"/>
        </w:rPr>
        <w:t xml:space="preserve"> </w:t>
      </w:r>
      <w:r w:rsidRPr="00386E47">
        <w:rPr>
          <w:rFonts w:asciiTheme="majorHAnsi" w:eastAsia="Calibri" w:hAnsiTheme="majorHAnsi"/>
          <w:sz w:val="20"/>
          <w:szCs w:val="20"/>
          <w:lang w:val="es-VE"/>
        </w:rPr>
        <w:t>151</w:t>
      </w:r>
      <w:r w:rsidR="00CA2516" w:rsidRPr="00386E47">
        <w:rPr>
          <w:rFonts w:asciiTheme="majorHAnsi" w:eastAsia="Calibri" w:hAnsiTheme="majorHAnsi"/>
          <w:sz w:val="20"/>
          <w:szCs w:val="20"/>
          <w:lang w:val="es-VE"/>
        </w:rPr>
        <w:t xml:space="preserve"> </w:t>
      </w:r>
      <w:r w:rsidR="00170D9A" w:rsidRPr="00386E47">
        <w:rPr>
          <w:rFonts w:asciiTheme="majorHAnsi" w:eastAsia="Calibri" w:hAnsiTheme="majorHAnsi"/>
          <w:sz w:val="20"/>
          <w:szCs w:val="20"/>
          <w:lang w:val="es-VE"/>
        </w:rPr>
        <w:t xml:space="preserve">personas </w:t>
      </w:r>
      <w:r w:rsidRPr="00386E47">
        <w:rPr>
          <w:rFonts w:asciiTheme="majorHAnsi" w:eastAsia="Calibri" w:hAnsiTheme="majorHAnsi"/>
          <w:sz w:val="20"/>
          <w:szCs w:val="20"/>
          <w:lang w:val="es-VE"/>
        </w:rPr>
        <w:t>(“las presuntas víctimas”</w:t>
      </w:r>
      <w:r w:rsidR="00EE721A" w:rsidRPr="00386E47">
        <w:rPr>
          <w:rFonts w:asciiTheme="majorHAnsi" w:eastAsia="Calibri" w:hAnsiTheme="majorHAnsi"/>
          <w:sz w:val="20"/>
          <w:szCs w:val="20"/>
          <w:lang w:val="es-VE"/>
        </w:rPr>
        <w:t>)</w:t>
      </w:r>
      <w:r w:rsidR="00F16CF6" w:rsidRPr="00386E47">
        <w:rPr>
          <w:rFonts w:asciiTheme="majorHAnsi" w:eastAsia="Calibri" w:hAnsiTheme="majorHAnsi"/>
          <w:sz w:val="20"/>
          <w:szCs w:val="20"/>
          <w:lang w:val="es-VE"/>
        </w:rPr>
        <w:t xml:space="preserve"> y</w:t>
      </w:r>
      <w:r w:rsidR="00B0077C" w:rsidRPr="00386E47">
        <w:rPr>
          <w:rFonts w:asciiTheme="majorHAnsi" w:eastAsia="Calibri" w:hAnsiTheme="majorHAnsi"/>
          <w:sz w:val="20"/>
          <w:szCs w:val="20"/>
          <w:lang w:val="es-VE"/>
        </w:rPr>
        <w:t xml:space="preserve"> por el estado de</w:t>
      </w:r>
      <w:r w:rsidR="00F16CF6" w:rsidRPr="00386E47">
        <w:rPr>
          <w:rFonts w:asciiTheme="majorHAnsi" w:eastAsia="Calibri" w:hAnsiTheme="majorHAnsi"/>
          <w:sz w:val="20"/>
          <w:szCs w:val="20"/>
          <w:lang w:val="es-VE"/>
        </w:rPr>
        <w:t xml:space="preserve"> impunidad en que</w:t>
      </w:r>
      <w:r w:rsidR="00B0077C" w:rsidRPr="00386E47">
        <w:rPr>
          <w:rFonts w:asciiTheme="majorHAnsi" w:eastAsia="Calibri" w:hAnsiTheme="majorHAnsi"/>
          <w:sz w:val="20"/>
          <w:szCs w:val="20"/>
          <w:lang w:val="es-VE"/>
        </w:rPr>
        <w:t>, a la fecha,</w:t>
      </w:r>
      <w:r w:rsidR="00F16CF6" w:rsidRPr="00386E47">
        <w:rPr>
          <w:rFonts w:asciiTheme="majorHAnsi" w:eastAsia="Calibri" w:hAnsiTheme="majorHAnsi"/>
          <w:sz w:val="20"/>
          <w:szCs w:val="20"/>
          <w:lang w:val="es-VE"/>
        </w:rPr>
        <w:t xml:space="preserve"> se encuentran los hechos</w:t>
      </w:r>
      <w:r w:rsidR="00EE721A" w:rsidRPr="00386E47">
        <w:rPr>
          <w:rFonts w:asciiTheme="majorHAnsi" w:eastAsia="Calibri" w:hAnsiTheme="majorHAnsi"/>
          <w:sz w:val="20"/>
          <w:szCs w:val="20"/>
          <w:lang w:val="es-VE"/>
        </w:rPr>
        <w:t>.</w:t>
      </w:r>
    </w:p>
    <w:p w14:paraId="2D9D3586" w14:textId="77777777" w:rsidR="00F85B68" w:rsidRPr="00386E47" w:rsidRDefault="00F85B68" w:rsidP="00BB147E">
      <w:pPr>
        <w:pStyle w:val="ListParagraph"/>
        <w:ind w:left="0"/>
        <w:rPr>
          <w:rFonts w:asciiTheme="majorHAnsi" w:eastAsia="Calibri" w:hAnsiTheme="majorHAnsi"/>
          <w:sz w:val="20"/>
          <w:szCs w:val="20"/>
          <w:lang w:val="es-VE"/>
        </w:rPr>
      </w:pPr>
    </w:p>
    <w:p w14:paraId="031B2376" w14:textId="77777777" w:rsidR="00170D9A" w:rsidRPr="00386E47" w:rsidRDefault="006E5444" w:rsidP="00F00941">
      <w:pPr>
        <w:pStyle w:val="Heading1"/>
        <w:rPr>
          <w:rFonts w:asciiTheme="majorHAnsi" w:hAnsiTheme="majorHAnsi"/>
          <w:lang w:val="es-VE"/>
        </w:rPr>
      </w:pPr>
      <w:bookmarkStart w:id="3" w:name="_Toc51252181"/>
      <w:r w:rsidRPr="00386E47">
        <w:rPr>
          <w:rFonts w:asciiTheme="majorHAnsi" w:hAnsiTheme="majorHAnsi"/>
        </w:rPr>
        <w:t>TRÁMITE DE LA PETICIÓ</w:t>
      </w:r>
      <w:r w:rsidR="00131D6E" w:rsidRPr="00386E47">
        <w:rPr>
          <w:rFonts w:asciiTheme="majorHAnsi" w:hAnsiTheme="majorHAnsi"/>
        </w:rPr>
        <w:t>N</w:t>
      </w:r>
      <w:bookmarkEnd w:id="3"/>
    </w:p>
    <w:p w14:paraId="432C07CF" w14:textId="77777777" w:rsidR="009F70EA" w:rsidRPr="00386E47" w:rsidRDefault="00170D9A" w:rsidP="003A5860">
      <w:pPr>
        <w:numPr>
          <w:ilvl w:val="0"/>
          <w:numId w:val="55"/>
        </w:numPr>
        <w:tabs>
          <w:tab w:val="left" w:pos="567"/>
        </w:tabs>
        <w:ind w:left="0" w:firstLine="0"/>
        <w:jc w:val="both"/>
        <w:rPr>
          <w:rFonts w:asciiTheme="majorHAnsi" w:eastAsia="Calibri" w:hAnsiTheme="majorHAnsi"/>
          <w:sz w:val="20"/>
          <w:szCs w:val="20"/>
          <w:lang w:val="es-AR"/>
        </w:rPr>
      </w:pPr>
      <w:r w:rsidRPr="00386E47">
        <w:rPr>
          <w:rFonts w:asciiTheme="majorHAnsi" w:eastAsia="Calibri" w:hAnsiTheme="majorHAnsi"/>
          <w:sz w:val="20"/>
          <w:szCs w:val="20"/>
          <w:lang w:val="es-AR"/>
        </w:rPr>
        <w:t xml:space="preserve">La petición inicial fue </w:t>
      </w:r>
      <w:r w:rsidR="00B0077C" w:rsidRPr="00386E47">
        <w:rPr>
          <w:rFonts w:asciiTheme="majorHAnsi" w:eastAsia="Calibri" w:hAnsiTheme="majorHAnsi"/>
          <w:sz w:val="20"/>
          <w:szCs w:val="20"/>
          <w:lang w:val="es-AR"/>
        </w:rPr>
        <w:t>presentada</w:t>
      </w:r>
      <w:r w:rsidR="00F00941" w:rsidRPr="00386E47">
        <w:rPr>
          <w:rFonts w:asciiTheme="majorHAnsi" w:eastAsia="Calibri" w:hAnsiTheme="majorHAnsi"/>
          <w:sz w:val="20"/>
          <w:szCs w:val="20"/>
          <w:lang w:val="es-AR"/>
        </w:rPr>
        <w:t xml:space="preserve"> el</w:t>
      </w:r>
      <w:r w:rsidRPr="00386E47">
        <w:rPr>
          <w:rFonts w:asciiTheme="majorHAnsi" w:eastAsia="Calibri" w:hAnsiTheme="majorHAnsi"/>
          <w:sz w:val="20"/>
          <w:szCs w:val="20"/>
          <w:lang w:val="es-AR"/>
        </w:rPr>
        <w:t xml:space="preserve"> 16 de julio de 1999</w:t>
      </w:r>
      <w:r w:rsidR="00F00941" w:rsidRPr="00386E47">
        <w:rPr>
          <w:rFonts w:asciiTheme="majorHAnsi" w:eastAsia="Calibri" w:hAnsiTheme="majorHAnsi"/>
          <w:sz w:val="20"/>
          <w:szCs w:val="20"/>
          <w:lang w:val="es-AR"/>
        </w:rPr>
        <w:t xml:space="preserve"> </w:t>
      </w:r>
      <w:r w:rsidRPr="00386E47">
        <w:rPr>
          <w:rFonts w:asciiTheme="majorHAnsi" w:eastAsia="Calibri" w:hAnsiTheme="majorHAnsi"/>
          <w:sz w:val="20"/>
          <w:szCs w:val="20"/>
          <w:lang w:val="es-AR"/>
        </w:rPr>
        <w:t>por la Asociación Civil Memoria Activa</w:t>
      </w:r>
      <w:r w:rsidR="00F00941" w:rsidRPr="00386E47">
        <w:rPr>
          <w:rFonts w:asciiTheme="majorHAnsi" w:eastAsia="Calibri" w:hAnsiTheme="majorHAnsi"/>
          <w:sz w:val="20"/>
          <w:szCs w:val="20"/>
          <w:lang w:val="es-AR"/>
        </w:rPr>
        <w:t xml:space="preserve"> </w:t>
      </w:r>
      <w:r w:rsidRPr="00386E47">
        <w:rPr>
          <w:rFonts w:asciiTheme="majorHAnsi" w:eastAsia="Calibri" w:hAnsiTheme="majorHAnsi"/>
          <w:sz w:val="20"/>
          <w:szCs w:val="20"/>
          <w:lang w:val="es-AR"/>
        </w:rPr>
        <w:t xml:space="preserve">con el copatrocinio del Centro de Estudios Legales (CELS), el Centro por el Derecho y la Justicia Internacional (CEJIL) y el Dr. Alberto Luis Zuppi. </w:t>
      </w:r>
      <w:r w:rsidR="009F70EA" w:rsidRPr="00386E47">
        <w:rPr>
          <w:rFonts w:asciiTheme="majorHAnsi" w:eastAsia="Calibri" w:hAnsiTheme="majorHAnsi"/>
          <w:sz w:val="20"/>
          <w:szCs w:val="20"/>
          <w:lang w:val="es-AR"/>
        </w:rPr>
        <w:t>El 23 de septiembre de 1999, Human Rights Watch manifestó s</w:t>
      </w:r>
      <w:r w:rsidR="00451B75" w:rsidRPr="00386E47">
        <w:rPr>
          <w:rFonts w:asciiTheme="majorHAnsi" w:eastAsia="Calibri" w:hAnsiTheme="majorHAnsi"/>
          <w:sz w:val="20"/>
          <w:szCs w:val="20"/>
          <w:lang w:val="es-AR"/>
        </w:rPr>
        <w:t>u interés de participar como co</w:t>
      </w:r>
      <w:r w:rsidR="009F70EA" w:rsidRPr="00386E47">
        <w:rPr>
          <w:rFonts w:asciiTheme="majorHAnsi" w:eastAsia="Calibri" w:hAnsiTheme="majorHAnsi"/>
          <w:sz w:val="20"/>
          <w:szCs w:val="20"/>
          <w:lang w:val="es-AR"/>
        </w:rPr>
        <w:t xml:space="preserve">peticionario. Igualmente, el 28 de septiembre de 1999, el CELS indicó que Human Rights Watch participaría como copatrocinante de la petición. </w:t>
      </w:r>
    </w:p>
    <w:p w14:paraId="0B3474E9" w14:textId="77777777" w:rsidR="006D66B1" w:rsidRPr="00386E47" w:rsidRDefault="006D66B1" w:rsidP="00170D9A">
      <w:pPr>
        <w:tabs>
          <w:tab w:val="left" w:pos="567"/>
        </w:tabs>
        <w:jc w:val="both"/>
        <w:rPr>
          <w:rFonts w:asciiTheme="majorHAnsi" w:eastAsia="Calibri" w:hAnsiTheme="majorHAnsi"/>
          <w:sz w:val="20"/>
          <w:szCs w:val="20"/>
          <w:lang w:val="es-AR"/>
        </w:rPr>
      </w:pPr>
    </w:p>
    <w:p w14:paraId="7675B78D" w14:textId="77777777" w:rsidR="009F70EA" w:rsidRPr="00386E47" w:rsidRDefault="009F70EA" w:rsidP="003A5860">
      <w:pPr>
        <w:numPr>
          <w:ilvl w:val="0"/>
          <w:numId w:val="55"/>
        </w:numPr>
        <w:tabs>
          <w:tab w:val="left" w:pos="567"/>
        </w:tabs>
        <w:ind w:left="0" w:firstLine="0"/>
        <w:jc w:val="both"/>
        <w:rPr>
          <w:rFonts w:asciiTheme="majorHAnsi" w:eastAsia="Calibri" w:hAnsiTheme="majorHAnsi"/>
          <w:sz w:val="20"/>
          <w:szCs w:val="20"/>
          <w:lang w:val="es-VE"/>
        </w:rPr>
      </w:pPr>
      <w:r w:rsidRPr="00386E47">
        <w:rPr>
          <w:rFonts w:asciiTheme="majorHAnsi" w:eastAsia="Calibri" w:hAnsiTheme="majorHAnsi"/>
          <w:sz w:val="20"/>
          <w:szCs w:val="20"/>
          <w:lang w:val="es-AR"/>
        </w:rPr>
        <w:t xml:space="preserve">El 3 de agosto de 2000, el Estado </w:t>
      </w:r>
      <w:r w:rsidR="00EE721A" w:rsidRPr="00386E47">
        <w:rPr>
          <w:rFonts w:asciiTheme="majorHAnsi" w:eastAsia="Calibri" w:hAnsiTheme="majorHAnsi"/>
          <w:sz w:val="20"/>
          <w:szCs w:val="20"/>
          <w:lang w:val="es-AR"/>
        </w:rPr>
        <w:t>remitió una comunicación por medio de la cual</w:t>
      </w:r>
      <w:r w:rsidRPr="00386E47">
        <w:rPr>
          <w:rFonts w:asciiTheme="majorHAnsi" w:eastAsia="Calibri" w:hAnsiTheme="majorHAnsi"/>
          <w:sz w:val="20"/>
          <w:szCs w:val="20"/>
          <w:lang w:val="es-AR"/>
        </w:rPr>
        <w:t xml:space="preserve"> </w:t>
      </w:r>
      <w:r w:rsidR="00EE721A" w:rsidRPr="00386E47">
        <w:rPr>
          <w:rFonts w:asciiTheme="majorHAnsi" w:eastAsia="Calibri" w:hAnsiTheme="majorHAnsi"/>
          <w:sz w:val="20"/>
          <w:szCs w:val="20"/>
          <w:lang w:val="es-AR"/>
        </w:rPr>
        <w:t>efectuó diversas consideraciones</w:t>
      </w:r>
      <w:r w:rsidRPr="00386E47">
        <w:rPr>
          <w:rFonts w:asciiTheme="majorHAnsi" w:eastAsia="Calibri" w:hAnsiTheme="majorHAnsi"/>
          <w:sz w:val="20"/>
          <w:szCs w:val="20"/>
          <w:lang w:val="es-AR"/>
        </w:rPr>
        <w:t xml:space="preserve"> sobre </w:t>
      </w:r>
      <w:r w:rsidR="00887819" w:rsidRPr="00386E47">
        <w:rPr>
          <w:rFonts w:asciiTheme="majorHAnsi" w:eastAsia="Calibri" w:hAnsiTheme="majorHAnsi"/>
          <w:sz w:val="20"/>
          <w:szCs w:val="20"/>
          <w:lang w:val="es-AR"/>
        </w:rPr>
        <w:t xml:space="preserve">el desarrollo de la </w:t>
      </w:r>
      <w:r w:rsidR="006E5444" w:rsidRPr="00386E47">
        <w:rPr>
          <w:rFonts w:asciiTheme="majorHAnsi" w:eastAsia="Calibri" w:hAnsiTheme="majorHAnsi"/>
          <w:sz w:val="20"/>
          <w:szCs w:val="20"/>
          <w:lang w:val="es-AR"/>
        </w:rPr>
        <w:t>investigación</w:t>
      </w:r>
      <w:r w:rsidR="00887819" w:rsidRPr="00386E47">
        <w:rPr>
          <w:rFonts w:asciiTheme="majorHAnsi" w:eastAsia="Calibri" w:hAnsiTheme="majorHAnsi"/>
          <w:sz w:val="20"/>
          <w:szCs w:val="20"/>
          <w:lang w:val="es-AR"/>
        </w:rPr>
        <w:t xml:space="preserve"> en sede interna y cursó una invitación a la CIDH para asistir, en calidad de veedor, </w:t>
      </w:r>
      <w:r w:rsidRPr="00386E47">
        <w:rPr>
          <w:rFonts w:asciiTheme="majorHAnsi" w:eastAsia="Calibri" w:hAnsiTheme="majorHAnsi"/>
          <w:sz w:val="20"/>
          <w:szCs w:val="20"/>
          <w:lang w:val="es-AR"/>
        </w:rPr>
        <w:t xml:space="preserve">al juicio oral y </w:t>
      </w:r>
      <w:r w:rsidR="00CB1F3E" w:rsidRPr="00386E47">
        <w:rPr>
          <w:rFonts w:asciiTheme="majorHAnsi" w:eastAsia="Calibri" w:hAnsiTheme="majorHAnsi"/>
          <w:sz w:val="20"/>
          <w:szCs w:val="20"/>
          <w:lang w:val="es-AR"/>
        </w:rPr>
        <w:t xml:space="preserve">público que se celebraría </w:t>
      </w:r>
      <w:r w:rsidR="00EE721A" w:rsidRPr="00386E47">
        <w:rPr>
          <w:rFonts w:asciiTheme="majorHAnsi" w:eastAsia="Calibri" w:hAnsiTheme="majorHAnsi"/>
          <w:sz w:val="20"/>
          <w:szCs w:val="20"/>
          <w:lang w:val="es-AR"/>
        </w:rPr>
        <w:t xml:space="preserve">en los meses subsiguientes. </w:t>
      </w:r>
      <w:r w:rsidR="00CB1F3E" w:rsidRPr="00386E47">
        <w:rPr>
          <w:rFonts w:asciiTheme="majorHAnsi" w:eastAsia="Calibri" w:hAnsiTheme="majorHAnsi"/>
          <w:sz w:val="20"/>
          <w:szCs w:val="20"/>
          <w:lang w:val="es-AR"/>
        </w:rPr>
        <w:t>Por su parte, e</w:t>
      </w:r>
      <w:r w:rsidRPr="00386E47">
        <w:rPr>
          <w:rFonts w:asciiTheme="majorHAnsi" w:eastAsia="Calibri" w:hAnsiTheme="majorHAnsi"/>
          <w:sz w:val="20"/>
          <w:szCs w:val="20"/>
          <w:lang w:val="es-AR"/>
        </w:rPr>
        <w:t xml:space="preserve">l 26 de septiembre de 2000, la CIDH recibió </w:t>
      </w:r>
      <w:r w:rsidR="00CB1F3E" w:rsidRPr="00386E47">
        <w:rPr>
          <w:rFonts w:asciiTheme="majorHAnsi" w:eastAsia="Calibri" w:hAnsiTheme="majorHAnsi"/>
          <w:sz w:val="20"/>
          <w:szCs w:val="20"/>
          <w:lang w:val="es-AR"/>
        </w:rPr>
        <w:t>un escrito</w:t>
      </w:r>
      <w:r w:rsidRPr="00386E47">
        <w:rPr>
          <w:rFonts w:asciiTheme="majorHAnsi" w:eastAsia="Calibri" w:hAnsiTheme="majorHAnsi"/>
          <w:sz w:val="20"/>
          <w:szCs w:val="20"/>
          <w:lang w:val="es-AR"/>
        </w:rPr>
        <w:t xml:space="preserve"> d</w:t>
      </w:r>
      <w:r w:rsidR="00B0077C" w:rsidRPr="00386E47">
        <w:rPr>
          <w:rFonts w:asciiTheme="majorHAnsi" w:eastAsia="Calibri" w:hAnsiTheme="majorHAnsi"/>
          <w:sz w:val="20"/>
          <w:szCs w:val="20"/>
          <w:lang w:val="es-AR"/>
        </w:rPr>
        <w:t>e los peticionarios en el que enunciaron</w:t>
      </w:r>
      <w:r w:rsidR="00CB1F3E" w:rsidRPr="00386E47">
        <w:rPr>
          <w:rFonts w:asciiTheme="majorHAnsi" w:eastAsia="Calibri" w:hAnsiTheme="majorHAnsi"/>
          <w:sz w:val="20"/>
          <w:szCs w:val="20"/>
          <w:lang w:val="es-AR"/>
        </w:rPr>
        <w:t xml:space="preserve"> diversos</w:t>
      </w:r>
      <w:r w:rsidRPr="00386E47">
        <w:rPr>
          <w:rFonts w:asciiTheme="majorHAnsi" w:eastAsia="Calibri" w:hAnsiTheme="majorHAnsi"/>
          <w:sz w:val="20"/>
          <w:szCs w:val="20"/>
          <w:lang w:val="es-AR"/>
        </w:rPr>
        <w:t xml:space="preserve"> argu</w:t>
      </w:r>
      <w:r w:rsidR="00CB1F3E" w:rsidRPr="00386E47">
        <w:rPr>
          <w:rFonts w:asciiTheme="majorHAnsi" w:eastAsia="Calibri" w:hAnsiTheme="majorHAnsi"/>
          <w:sz w:val="20"/>
          <w:szCs w:val="20"/>
          <w:lang w:val="es-AR"/>
        </w:rPr>
        <w:t>mentos de admisibilidad y fondo</w:t>
      </w:r>
      <w:r w:rsidRPr="00386E47">
        <w:rPr>
          <w:rFonts w:asciiTheme="majorHAnsi" w:eastAsia="Calibri" w:hAnsiTheme="majorHAnsi"/>
          <w:sz w:val="20"/>
          <w:szCs w:val="20"/>
          <w:lang w:val="es-AR"/>
        </w:rPr>
        <w:t xml:space="preserve"> </w:t>
      </w:r>
      <w:r w:rsidR="00CB1F3E" w:rsidRPr="00386E47">
        <w:rPr>
          <w:rFonts w:asciiTheme="majorHAnsi" w:eastAsia="Calibri" w:hAnsiTheme="majorHAnsi"/>
          <w:sz w:val="20"/>
          <w:szCs w:val="20"/>
          <w:lang w:val="es-AR"/>
        </w:rPr>
        <w:t>y manifestaron su</w:t>
      </w:r>
      <w:r w:rsidRPr="00386E47">
        <w:rPr>
          <w:rFonts w:asciiTheme="majorHAnsi" w:eastAsia="Calibri" w:hAnsiTheme="majorHAnsi"/>
          <w:sz w:val="20"/>
          <w:szCs w:val="20"/>
          <w:lang w:val="es-AR"/>
        </w:rPr>
        <w:t xml:space="preserve"> anuencia </w:t>
      </w:r>
      <w:r w:rsidR="00CB1F3E" w:rsidRPr="00386E47">
        <w:rPr>
          <w:rFonts w:asciiTheme="majorHAnsi" w:eastAsia="Calibri" w:hAnsiTheme="majorHAnsi"/>
          <w:sz w:val="20"/>
          <w:szCs w:val="20"/>
          <w:lang w:val="es-AR"/>
        </w:rPr>
        <w:t>al nombramiento</w:t>
      </w:r>
      <w:r w:rsidRPr="00386E47">
        <w:rPr>
          <w:rFonts w:asciiTheme="majorHAnsi" w:eastAsia="Calibri" w:hAnsiTheme="majorHAnsi"/>
          <w:sz w:val="20"/>
          <w:szCs w:val="20"/>
          <w:lang w:val="es-AR"/>
        </w:rPr>
        <w:t xml:space="preserve"> </w:t>
      </w:r>
      <w:r w:rsidR="00CB1F3E" w:rsidRPr="00386E47">
        <w:rPr>
          <w:rFonts w:asciiTheme="majorHAnsi" w:eastAsia="Calibri" w:hAnsiTheme="majorHAnsi"/>
          <w:sz w:val="20"/>
          <w:szCs w:val="20"/>
          <w:lang w:val="es-AR"/>
        </w:rPr>
        <w:t>un</w:t>
      </w:r>
      <w:r w:rsidRPr="00386E47">
        <w:rPr>
          <w:rFonts w:asciiTheme="majorHAnsi" w:eastAsia="Calibri" w:hAnsiTheme="majorHAnsi"/>
          <w:sz w:val="20"/>
          <w:szCs w:val="20"/>
          <w:lang w:val="es-AR"/>
        </w:rPr>
        <w:t xml:space="preserve"> veedor. El 3 de agosto de 2</w:t>
      </w:r>
      <w:r w:rsidR="00CB1F3E" w:rsidRPr="00386E47">
        <w:rPr>
          <w:rFonts w:asciiTheme="majorHAnsi" w:eastAsia="Calibri" w:hAnsiTheme="majorHAnsi"/>
          <w:sz w:val="20"/>
          <w:szCs w:val="20"/>
          <w:lang w:val="es-AR"/>
        </w:rPr>
        <w:t>001, la CIDH decidió nombrar a su entonces presidente,</w:t>
      </w:r>
      <w:r w:rsidRPr="00386E47">
        <w:rPr>
          <w:rFonts w:asciiTheme="majorHAnsi" w:eastAsia="Calibri" w:hAnsiTheme="majorHAnsi"/>
          <w:sz w:val="20"/>
          <w:szCs w:val="20"/>
          <w:lang w:val="es-AR"/>
        </w:rPr>
        <w:t xml:space="preserve"> Claudio Grossman, como observador </w:t>
      </w:r>
      <w:r w:rsidR="00CB1F3E" w:rsidRPr="00386E47">
        <w:rPr>
          <w:rFonts w:asciiTheme="majorHAnsi" w:eastAsia="Calibri" w:hAnsiTheme="majorHAnsi"/>
          <w:sz w:val="20"/>
          <w:szCs w:val="20"/>
          <w:lang w:val="es-AR"/>
        </w:rPr>
        <w:t>del</w:t>
      </w:r>
      <w:r w:rsidRPr="00386E47">
        <w:rPr>
          <w:rFonts w:asciiTheme="majorHAnsi" w:eastAsia="Calibri" w:hAnsiTheme="majorHAnsi"/>
          <w:sz w:val="20"/>
          <w:szCs w:val="20"/>
          <w:lang w:val="es-AR"/>
        </w:rPr>
        <w:t xml:space="preserve"> juicio oral </w:t>
      </w:r>
      <w:r w:rsidR="006D66B1" w:rsidRPr="00386E47">
        <w:rPr>
          <w:rFonts w:asciiTheme="majorHAnsi" w:eastAsia="Calibri" w:hAnsiTheme="majorHAnsi"/>
          <w:sz w:val="20"/>
          <w:szCs w:val="20"/>
          <w:lang w:val="es-AR"/>
        </w:rPr>
        <w:t>cuyo inicio fue fijado para</w:t>
      </w:r>
      <w:r w:rsidRPr="00386E47">
        <w:rPr>
          <w:rFonts w:asciiTheme="majorHAnsi" w:eastAsia="Calibri" w:hAnsiTheme="majorHAnsi"/>
          <w:sz w:val="20"/>
          <w:szCs w:val="20"/>
          <w:lang w:val="es-AR"/>
        </w:rPr>
        <w:t xml:space="preserve"> el 24 de septiembre del mismo año. El 22 de </w:t>
      </w:r>
      <w:r w:rsidR="00EE721A" w:rsidRPr="00386E47">
        <w:rPr>
          <w:rFonts w:asciiTheme="majorHAnsi" w:eastAsia="Calibri" w:hAnsiTheme="majorHAnsi"/>
          <w:sz w:val="20"/>
          <w:szCs w:val="20"/>
          <w:lang w:val="es-AR"/>
        </w:rPr>
        <w:t>febrero</w:t>
      </w:r>
      <w:r w:rsidR="00CB1F3E" w:rsidRPr="00386E47">
        <w:rPr>
          <w:rFonts w:asciiTheme="majorHAnsi" w:eastAsia="Calibri" w:hAnsiTheme="majorHAnsi"/>
          <w:sz w:val="20"/>
          <w:szCs w:val="20"/>
          <w:lang w:val="es-AR"/>
        </w:rPr>
        <w:t xml:space="preserve"> de 2005 </w:t>
      </w:r>
      <w:r w:rsidRPr="00386E47">
        <w:rPr>
          <w:rFonts w:asciiTheme="majorHAnsi" w:eastAsia="Calibri" w:hAnsiTheme="majorHAnsi"/>
          <w:sz w:val="20"/>
          <w:szCs w:val="20"/>
          <w:lang w:val="es-AR"/>
        </w:rPr>
        <w:t xml:space="preserve">el </w:t>
      </w:r>
      <w:r w:rsidR="00CB1F3E" w:rsidRPr="00386E47">
        <w:rPr>
          <w:rFonts w:asciiTheme="majorHAnsi" w:eastAsia="Calibri" w:hAnsiTheme="majorHAnsi"/>
          <w:sz w:val="20"/>
          <w:szCs w:val="20"/>
          <w:lang w:val="es-AR"/>
        </w:rPr>
        <w:t>Sr.</w:t>
      </w:r>
      <w:r w:rsidRPr="00386E47">
        <w:rPr>
          <w:rFonts w:asciiTheme="majorHAnsi" w:eastAsia="Calibri" w:hAnsiTheme="majorHAnsi"/>
          <w:sz w:val="20"/>
          <w:szCs w:val="20"/>
          <w:lang w:val="es-AR"/>
        </w:rPr>
        <w:t xml:space="preserve"> Grossman emitió </w:t>
      </w:r>
      <w:r w:rsidR="00CB1F3E" w:rsidRPr="00386E47">
        <w:rPr>
          <w:rFonts w:asciiTheme="majorHAnsi" w:eastAsia="Calibri" w:hAnsiTheme="majorHAnsi"/>
          <w:sz w:val="20"/>
          <w:szCs w:val="20"/>
          <w:lang w:val="es-AR"/>
        </w:rPr>
        <w:t>su informe final</w:t>
      </w:r>
      <w:r w:rsidR="00CB1F3E" w:rsidRPr="00386E47">
        <w:rPr>
          <w:rStyle w:val="FootnoteReference"/>
          <w:rFonts w:asciiTheme="majorHAnsi" w:eastAsia="Calibri" w:hAnsiTheme="majorHAnsi"/>
          <w:sz w:val="20"/>
          <w:szCs w:val="20"/>
          <w:lang w:val="es-AR"/>
        </w:rPr>
        <w:footnoteReference w:id="3"/>
      </w:r>
      <w:r w:rsidR="00CB1F3E" w:rsidRPr="00386E47">
        <w:rPr>
          <w:rFonts w:asciiTheme="majorHAnsi" w:eastAsia="Calibri" w:hAnsiTheme="majorHAnsi"/>
          <w:sz w:val="20"/>
          <w:szCs w:val="20"/>
          <w:lang w:val="es-AR"/>
        </w:rPr>
        <w:t xml:space="preserve">.  </w:t>
      </w:r>
    </w:p>
    <w:p w14:paraId="1D0FA32C" w14:textId="77777777" w:rsidR="006D66B1" w:rsidRPr="00386E47" w:rsidRDefault="006D66B1" w:rsidP="0059511A">
      <w:pPr>
        <w:tabs>
          <w:tab w:val="left" w:pos="360"/>
        </w:tabs>
        <w:jc w:val="both"/>
        <w:rPr>
          <w:rFonts w:asciiTheme="majorHAnsi" w:eastAsia="Calibri" w:hAnsiTheme="majorHAnsi"/>
          <w:sz w:val="20"/>
          <w:szCs w:val="20"/>
          <w:lang w:val="es-VE"/>
        </w:rPr>
      </w:pPr>
    </w:p>
    <w:p w14:paraId="7BF387B4" w14:textId="77777777" w:rsidR="0025691F" w:rsidRPr="00386E47" w:rsidRDefault="00887819" w:rsidP="003A5860">
      <w:pPr>
        <w:numPr>
          <w:ilvl w:val="0"/>
          <w:numId w:val="55"/>
        </w:numPr>
        <w:tabs>
          <w:tab w:val="left" w:pos="567"/>
        </w:tabs>
        <w:ind w:left="0" w:firstLine="0"/>
        <w:jc w:val="both"/>
        <w:rPr>
          <w:rFonts w:asciiTheme="majorHAnsi" w:eastAsia="Calibri" w:hAnsiTheme="majorHAnsi"/>
          <w:sz w:val="20"/>
          <w:szCs w:val="20"/>
          <w:lang w:val="es-VE"/>
        </w:rPr>
      </w:pPr>
      <w:r w:rsidRPr="00386E47">
        <w:rPr>
          <w:rFonts w:asciiTheme="majorHAnsi" w:eastAsia="Calibri" w:hAnsiTheme="majorHAnsi"/>
          <w:sz w:val="20"/>
          <w:szCs w:val="20"/>
          <w:lang w:val="es-AR"/>
        </w:rPr>
        <w:t xml:space="preserve">El día 4 de marzo de 2005 </w:t>
      </w:r>
      <w:r w:rsidR="006D66B1" w:rsidRPr="00386E47">
        <w:rPr>
          <w:rFonts w:asciiTheme="majorHAnsi" w:eastAsia="Calibri" w:hAnsiTheme="majorHAnsi"/>
          <w:sz w:val="20"/>
          <w:szCs w:val="20"/>
          <w:lang w:val="es-AR"/>
        </w:rPr>
        <w:t>se celebró una audiencia entre</w:t>
      </w:r>
      <w:r w:rsidR="009F70EA" w:rsidRPr="00386E47">
        <w:rPr>
          <w:rFonts w:asciiTheme="majorHAnsi" w:eastAsia="Calibri" w:hAnsiTheme="majorHAnsi"/>
          <w:sz w:val="20"/>
          <w:szCs w:val="20"/>
          <w:lang w:val="es-AR"/>
        </w:rPr>
        <w:t xml:space="preserve"> los representantes de los peticionarios, </w:t>
      </w:r>
      <w:r w:rsidR="006D66B1" w:rsidRPr="00386E47">
        <w:rPr>
          <w:rFonts w:asciiTheme="majorHAnsi" w:eastAsia="Calibri" w:hAnsiTheme="majorHAnsi"/>
          <w:sz w:val="20"/>
          <w:szCs w:val="20"/>
          <w:lang w:val="es-AR"/>
        </w:rPr>
        <w:t>d</w:t>
      </w:r>
      <w:r w:rsidR="009F70EA" w:rsidRPr="00386E47">
        <w:rPr>
          <w:rFonts w:asciiTheme="majorHAnsi" w:eastAsia="Calibri" w:hAnsiTheme="majorHAnsi"/>
          <w:sz w:val="20"/>
          <w:szCs w:val="20"/>
          <w:lang w:val="es-AR"/>
        </w:rPr>
        <w:t xml:space="preserve">el </w:t>
      </w:r>
      <w:r w:rsidR="006D66B1" w:rsidRPr="00386E47">
        <w:rPr>
          <w:rFonts w:asciiTheme="majorHAnsi" w:eastAsia="Calibri" w:hAnsiTheme="majorHAnsi"/>
          <w:sz w:val="20"/>
          <w:szCs w:val="20"/>
          <w:lang w:val="es-AR"/>
        </w:rPr>
        <w:t>Estado argentino</w:t>
      </w:r>
      <w:r w:rsidR="009F70EA" w:rsidRPr="00386E47">
        <w:rPr>
          <w:rFonts w:asciiTheme="majorHAnsi" w:eastAsia="Calibri" w:hAnsiTheme="majorHAnsi"/>
          <w:sz w:val="20"/>
          <w:szCs w:val="20"/>
          <w:lang w:val="es-AR"/>
        </w:rPr>
        <w:t xml:space="preserve"> y </w:t>
      </w:r>
      <w:r w:rsidR="00B0077C" w:rsidRPr="00386E47">
        <w:rPr>
          <w:rFonts w:asciiTheme="majorHAnsi" w:eastAsia="Calibri" w:hAnsiTheme="majorHAnsi"/>
          <w:sz w:val="20"/>
          <w:szCs w:val="20"/>
          <w:lang w:val="es-AR"/>
        </w:rPr>
        <w:t xml:space="preserve">miembros </w:t>
      </w:r>
      <w:r w:rsidR="009F70EA" w:rsidRPr="00386E47">
        <w:rPr>
          <w:rFonts w:asciiTheme="majorHAnsi" w:eastAsia="Calibri" w:hAnsiTheme="majorHAnsi"/>
          <w:sz w:val="20"/>
          <w:szCs w:val="20"/>
          <w:lang w:val="es-AR"/>
        </w:rPr>
        <w:t>de la Comisión Interamericana</w:t>
      </w:r>
      <w:r w:rsidR="00162FAB" w:rsidRPr="00386E47">
        <w:rPr>
          <w:rFonts w:asciiTheme="majorHAnsi" w:eastAsia="Calibri" w:hAnsiTheme="majorHAnsi"/>
          <w:sz w:val="20"/>
          <w:szCs w:val="20"/>
          <w:lang w:val="es-VE"/>
        </w:rPr>
        <w:t xml:space="preserve"> e</w:t>
      </w:r>
      <w:r w:rsidR="00162FAB" w:rsidRPr="00386E47">
        <w:rPr>
          <w:rFonts w:asciiTheme="majorHAnsi" w:eastAsia="Calibri" w:hAnsiTheme="majorHAnsi"/>
          <w:sz w:val="20"/>
          <w:szCs w:val="20"/>
          <w:lang w:val="es-AR"/>
        </w:rPr>
        <w:t>n el marco del 122</w:t>
      </w:r>
      <w:r w:rsidR="00B0077C" w:rsidRPr="00386E47">
        <w:rPr>
          <w:rFonts w:asciiTheme="majorHAnsi" w:eastAsia="Calibri" w:hAnsiTheme="majorHAnsi"/>
          <w:sz w:val="20"/>
          <w:szCs w:val="20"/>
          <w:lang w:val="es-AR"/>
        </w:rPr>
        <w:t>°</w:t>
      </w:r>
      <w:r w:rsidR="00162FAB" w:rsidRPr="00386E47">
        <w:rPr>
          <w:rFonts w:asciiTheme="majorHAnsi" w:eastAsia="Calibri" w:hAnsiTheme="majorHAnsi"/>
          <w:sz w:val="20"/>
          <w:szCs w:val="20"/>
          <w:lang w:val="es-AR"/>
        </w:rPr>
        <w:t xml:space="preserve"> período ordinario de sesiones de la CIDH</w:t>
      </w:r>
      <w:r w:rsidR="006D66B1" w:rsidRPr="00386E47">
        <w:rPr>
          <w:rFonts w:asciiTheme="majorHAnsi" w:eastAsia="Calibri" w:hAnsiTheme="majorHAnsi"/>
          <w:sz w:val="20"/>
          <w:szCs w:val="20"/>
          <w:lang w:val="es-AR"/>
        </w:rPr>
        <w:t>. Al t</w:t>
      </w:r>
      <w:r w:rsidR="00170D9A" w:rsidRPr="00386E47">
        <w:rPr>
          <w:rFonts w:asciiTheme="majorHAnsi" w:eastAsia="Calibri" w:hAnsiTheme="majorHAnsi"/>
          <w:sz w:val="20"/>
          <w:szCs w:val="20"/>
          <w:lang w:val="es-AR"/>
        </w:rPr>
        <w:t>é</w:t>
      </w:r>
      <w:r w:rsidR="006D66B1" w:rsidRPr="00386E47">
        <w:rPr>
          <w:rFonts w:asciiTheme="majorHAnsi" w:eastAsia="Calibri" w:hAnsiTheme="majorHAnsi"/>
          <w:sz w:val="20"/>
          <w:szCs w:val="20"/>
          <w:lang w:val="es-AR"/>
        </w:rPr>
        <w:t xml:space="preserve">rmino de ese encuentro </w:t>
      </w:r>
      <w:r w:rsidR="009F70EA" w:rsidRPr="00386E47">
        <w:rPr>
          <w:rFonts w:asciiTheme="majorHAnsi" w:eastAsia="Calibri" w:hAnsiTheme="majorHAnsi"/>
          <w:sz w:val="20"/>
          <w:szCs w:val="20"/>
          <w:lang w:val="es-AR"/>
        </w:rPr>
        <w:t xml:space="preserve">las partes </w:t>
      </w:r>
      <w:r w:rsidR="006D66B1" w:rsidRPr="00386E47">
        <w:rPr>
          <w:rFonts w:asciiTheme="majorHAnsi" w:eastAsia="Calibri" w:hAnsiTheme="majorHAnsi"/>
          <w:sz w:val="20"/>
          <w:szCs w:val="20"/>
          <w:lang w:val="es-AR"/>
        </w:rPr>
        <w:t>suscribieron</w:t>
      </w:r>
      <w:r w:rsidR="009F70EA" w:rsidRPr="00386E47">
        <w:rPr>
          <w:rFonts w:asciiTheme="majorHAnsi" w:eastAsia="Calibri" w:hAnsiTheme="majorHAnsi"/>
          <w:sz w:val="20"/>
          <w:szCs w:val="20"/>
          <w:lang w:val="es-AR"/>
        </w:rPr>
        <w:t xml:space="preserve"> un acta </w:t>
      </w:r>
      <w:r w:rsidRPr="00386E47">
        <w:rPr>
          <w:rFonts w:asciiTheme="majorHAnsi" w:eastAsia="Calibri" w:hAnsiTheme="majorHAnsi"/>
          <w:sz w:val="20"/>
          <w:szCs w:val="20"/>
          <w:lang w:val="es-AR"/>
        </w:rPr>
        <w:t xml:space="preserve">acuerdo </w:t>
      </w:r>
      <w:r w:rsidR="00162FAB" w:rsidRPr="00386E47">
        <w:rPr>
          <w:rFonts w:asciiTheme="majorHAnsi" w:eastAsia="Calibri" w:hAnsiTheme="majorHAnsi"/>
          <w:sz w:val="20"/>
          <w:szCs w:val="20"/>
          <w:lang w:val="es-AR"/>
        </w:rPr>
        <w:t xml:space="preserve">por medio de </w:t>
      </w:r>
      <w:r w:rsidRPr="00386E47">
        <w:rPr>
          <w:rFonts w:asciiTheme="majorHAnsi" w:eastAsia="Calibri" w:hAnsiTheme="majorHAnsi"/>
          <w:sz w:val="20"/>
          <w:szCs w:val="20"/>
          <w:lang w:val="es-AR"/>
        </w:rPr>
        <w:t>la cual el</w:t>
      </w:r>
      <w:r w:rsidR="009F70EA" w:rsidRPr="00386E47">
        <w:rPr>
          <w:rFonts w:asciiTheme="majorHAnsi" w:eastAsia="Calibri" w:hAnsiTheme="majorHAnsi"/>
          <w:sz w:val="20"/>
          <w:szCs w:val="20"/>
          <w:lang w:val="es-AR"/>
        </w:rPr>
        <w:t xml:space="preserve"> Estado</w:t>
      </w:r>
      <w:r w:rsidRPr="00386E47">
        <w:rPr>
          <w:rFonts w:asciiTheme="majorHAnsi" w:eastAsia="Calibri" w:hAnsiTheme="majorHAnsi"/>
          <w:sz w:val="20"/>
          <w:szCs w:val="20"/>
          <w:lang w:val="es-AR"/>
        </w:rPr>
        <w:t xml:space="preserve"> argentino</w:t>
      </w:r>
      <w:r w:rsidR="009F70EA" w:rsidRPr="00386E47">
        <w:rPr>
          <w:rFonts w:asciiTheme="majorHAnsi" w:eastAsia="Calibri" w:hAnsiTheme="majorHAnsi"/>
          <w:sz w:val="20"/>
          <w:szCs w:val="20"/>
          <w:lang w:val="es-AR"/>
        </w:rPr>
        <w:t xml:space="preserve"> </w:t>
      </w:r>
      <w:r w:rsidRPr="00386E47">
        <w:rPr>
          <w:rFonts w:asciiTheme="majorHAnsi" w:eastAsia="Calibri" w:hAnsiTheme="majorHAnsi"/>
          <w:sz w:val="20"/>
          <w:szCs w:val="20"/>
          <w:lang w:val="es-AR"/>
        </w:rPr>
        <w:t xml:space="preserve">aceptó </w:t>
      </w:r>
      <w:r w:rsidR="00510BB1" w:rsidRPr="00386E47">
        <w:rPr>
          <w:rFonts w:asciiTheme="majorHAnsi" w:eastAsia="Calibri" w:hAnsiTheme="majorHAnsi"/>
          <w:sz w:val="20"/>
          <w:szCs w:val="20"/>
          <w:lang w:val="es-AR"/>
        </w:rPr>
        <w:t>su responsabilidad</w:t>
      </w:r>
      <w:r w:rsidR="006D66B1" w:rsidRPr="00386E47">
        <w:rPr>
          <w:rFonts w:asciiTheme="majorHAnsi" w:eastAsia="Calibri" w:hAnsiTheme="majorHAnsi"/>
          <w:sz w:val="20"/>
          <w:szCs w:val="20"/>
          <w:lang w:val="es-AR"/>
        </w:rPr>
        <w:t xml:space="preserve"> </w:t>
      </w:r>
      <w:r w:rsidR="00510BB1" w:rsidRPr="00386E47">
        <w:rPr>
          <w:rFonts w:asciiTheme="majorHAnsi" w:eastAsia="Calibri" w:hAnsiTheme="majorHAnsi"/>
          <w:sz w:val="20"/>
          <w:szCs w:val="20"/>
          <w:lang w:val="es-AR"/>
        </w:rPr>
        <w:t>internacional</w:t>
      </w:r>
      <w:r w:rsidR="00170D9A" w:rsidRPr="00386E47">
        <w:rPr>
          <w:rFonts w:asciiTheme="majorHAnsi" w:eastAsia="Calibri" w:hAnsiTheme="majorHAnsi"/>
          <w:sz w:val="20"/>
          <w:szCs w:val="20"/>
          <w:lang w:val="es-AR"/>
        </w:rPr>
        <w:t>,</w:t>
      </w:r>
      <w:r w:rsidR="00510BB1" w:rsidRPr="00386E47">
        <w:rPr>
          <w:rFonts w:asciiTheme="majorHAnsi" w:eastAsia="Calibri" w:hAnsiTheme="majorHAnsi"/>
          <w:sz w:val="20"/>
          <w:szCs w:val="20"/>
          <w:lang w:val="es-AR"/>
        </w:rPr>
        <w:t xml:space="preserve"> de </w:t>
      </w:r>
      <w:r w:rsidRPr="00386E47">
        <w:rPr>
          <w:rFonts w:asciiTheme="majorHAnsi" w:eastAsia="Calibri" w:hAnsiTheme="majorHAnsi"/>
          <w:sz w:val="20"/>
          <w:szCs w:val="20"/>
          <w:lang w:val="es-AR"/>
        </w:rPr>
        <w:t xml:space="preserve">conformidad con </w:t>
      </w:r>
      <w:r w:rsidR="00510BB1" w:rsidRPr="00386E47">
        <w:rPr>
          <w:rFonts w:asciiTheme="majorHAnsi" w:eastAsia="Calibri" w:hAnsiTheme="majorHAnsi"/>
          <w:sz w:val="20"/>
          <w:szCs w:val="20"/>
          <w:lang w:val="es-AR"/>
        </w:rPr>
        <w:t xml:space="preserve">la formula allí consignada. En el mismo acto, las partes </w:t>
      </w:r>
      <w:r w:rsidR="00170D9A" w:rsidRPr="00386E47">
        <w:rPr>
          <w:rFonts w:asciiTheme="majorHAnsi" w:eastAsia="Calibri" w:hAnsiTheme="majorHAnsi"/>
          <w:sz w:val="20"/>
          <w:szCs w:val="20"/>
          <w:lang w:val="es-AR"/>
        </w:rPr>
        <w:t>expresaron su voluntad</w:t>
      </w:r>
      <w:r w:rsidR="00510BB1" w:rsidRPr="00386E47">
        <w:rPr>
          <w:rFonts w:asciiTheme="majorHAnsi" w:eastAsia="Calibri" w:hAnsiTheme="majorHAnsi"/>
          <w:sz w:val="20"/>
          <w:szCs w:val="20"/>
          <w:lang w:val="es-AR"/>
        </w:rPr>
        <w:t xml:space="preserve"> </w:t>
      </w:r>
      <w:r w:rsidR="00162FAB" w:rsidRPr="00386E47">
        <w:rPr>
          <w:rFonts w:asciiTheme="majorHAnsi" w:eastAsia="Calibri" w:hAnsiTheme="majorHAnsi"/>
          <w:sz w:val="20"/>
          <w:szCs w:val="20"/>
          <w:lang w:val="es-AR"/>
        </w:rPr>
        <w:t>de</w:t>
      </w:r>
      <w:r w:rsidR="00510BB1" w:rsidRPr="00386E47">
        <w:rPr>
          <w:rFonts w:asciiTheme="majorHAnsi" w:eastAsia="Calibri" w:hAnsiTheme="majorHAnsi"/>
          <w:sz w:val="20"/>
          <w:szCs w:val="20"/>
          <w:lang w:val="es-AR"/>
        </w:rPr>
        <w:t xml:space="preserve"> iniciar un proceso de solución amistosa</w:t>
      </w:r>
      <w:r w:rsidR="00162FAB" w:rsidRPr="00386E47">
        <w:rPr>
          <w:rFonts w:asciiTheme="majorHAnsi" w:eastAsia="Calibri" w:hAnsiTheme="majorHAnsi"/>
          <w:sz w:val="20"/>
          <w:szCs w:val="20"/>
          <w:lang w:val="es-AR"/>
        </w:rPr>
        <w:t xml:space="preserve"> con el fin de reparar </w:t>
      </w:r>
      <w:r w:rsidR="00B0077C" w:rsidRPr="00386E47">
        <w:rPr>
          <w:rFonts w:asciiTheme="majorHAnsi" w:eastAsia="Calibri" w:hAnsiTheme="majorHAnsi"/>
          <w:sz w:val="20"/>
          <w:szCs w:val="20"/>
          <w:lang w:val="es-AR"/>
        </w:rPr>
        <w:t>las consecuencias d</w:t>
      </w:r>
      <w:r w:rsidR="00162FAB" w:rsidRPr="00386E47">
        <w:rPr>
          <w:rFonts w:asciiTheme="majorHAnsi" w:eastAsia="Calibri" w:hAnsiTheme="majorHAnsi"/>
          <w:sz w:val="20"/>
          <w:szCs w:val="20"/>
          <w:lang w:val="es-AR"/>
        </w:rPr>
        <w:t xml:space="preserve">el </w:t>
      </w:r>
      <w:r w:rsidR="006E5444" w:rsidRPr="00386E47">
        <w:rPr>
          <w:rFonts w:asciiTheme="majorHAnsi" w:eastAsia="Calibri" w:hAnsiTheme="majorHAnsi"/>
          <w:sz w:val="20"/>
          <w:szCs w:val="20"/>
          <w:lang w:val="es-AR"/>
        </w:rPr>
        <w:t>ilícito</w:t>
      </w:r>
      <w:r w:rsidR="00162FAB" w:rsidRPr="00386E47">
        <w:rPr>
          <w:rFonts w:asciiTheme="majorHAnsi" w:eastAsia="Calibri" w:hAnsiTheme="majorHAnsi"/>
          <w:sz w:val="20"/>
          <w:szCs w:val="20"/>
          <w:lang w:val="es-AR"/>
        </w:rPr>
        <w:t xml:space="preserve"> internacional</w:t>
      </w:r>
      <w:r w:rsidR="00510BB1" w:rsidRPr="00386E47">
        <w:rPr>
          <w:rFonts w:asciiTheme="majorHAnsi" w:eastAsia="Calibri" w:hAnsiTheme="majorHAnsi"/>
          <w:sz w:val="20"/>
          <w:szCs w:val="20"/>
          <w:lang w:val="es-AR"/>
        </w:rPr>
        <w:t xml:space="preserve">. </w:t>
      </w:r>
      <w:r w:rsidR="00B0077C" w:rsidRPr="00386E47">
        <w:rPr>
          <w:rFonts w:asciiTheme="majorHAnsi" w:eastAsia="Calibri" w:hAnsiTheme="majorHAnsi"/>
          <w:sz w:val="20"/>
          <w:szCs w:val="20"/>
          <w:lang w:val="es-AR"/>
        </w:rPr>
        <w:t>Por medio del D</w:t>
      </w:r>
      <w:r w:rsidR="00510BB1" w:rsidRPr="00386E47">
        <w:rPr>
          <w:rFonts w:asciiTheme="majorHAnsi" w:eastAsia="Calibri" w:hAnsiTheme="majorHAnsi"/>
          <w:sz w:val="20"/>
          <w:szCs w:val="20"/>
          <w:lang w:val="es-AR"/>
        </w:rPr>
        <w:t>ecreto 812/</w:t>
      </w:r>
      <w:r w:rsidR="00B0077C" w:rsidRPr="00386E47">
        <w:rPr>
          <w:rFonts w:asciiTheme="majorHAnsi" w:eastAsia="Calibri" w:hAnsiTheme="majorHAnsi"/>
          <w:sz w:val="20"/>
          <w:szCs w:val="20"/>
          <w:lang w:val="es-AR"/>
        </w:rPr>
        <w:t xml:space="preserve">05 de fecha 12 de julio de 2005, el Poder Ejecutivo Nacional </w:t>
      </w:r>
      <w:r w:rsidR="00510BB1" w:rsidRPr="00386E47">
        <w:rPr>
          <w:rFonts w:asciiTheme="majorHAnsi" w:eastAsia="Calibri" w:hAnsiTheme="majorHAnsi"/>
          <w:sz w:val="20"/>
          <w:szCs w:val="20"/>
          <w:lang w:val="es-AR"/>
        </w:rPr>
        <w:t>aprobó</w:t>
      </w:r>
      <w:r w:rsidR="0059511A" w:rsidRPr="00386E47">
        <w:rPr>
          <w:rFonts w:asciiTheme="majorHAnsi" w:eastAsia="Calibri" w:hAnsiTheme="majorHAnsi"/>
          <w:sz w:val="20"/>
          <w:szCs w:val="20"/>
          <w:lang w:val="es-AR"/>
        </w:rPr>
        <w:t xml:space="preserve"> lo actuado </w:t>
      </w:r>
      <w:r w:rsidR="00510BB1" w:rsidRPr="00386E47">
        <w:rPr>
          <w:rFonts w:asciiTheme="majorHAnsi" w:eastAsia="Calibri" w:hAnsiTheme="majorHAnsi"/>
          <w:sz w:val="20"/>
          <w:szCs w:val="20"/>
          <w:lang w:val="es-AR"/>
        </w:rPr>
        <w:t xml:space="preserve">e instruyó a los </w:t>
      </w:r>
      <w:r w:rsidR="00DF45EF" w:rsidRPr="00386E47">
        <w:rPr>
          <w:rFonts w:asciiTheme="majorHAnsi" w:eastAsia="Calibri" w:hAnsiTheme="majorHAnsi"/>
          <w:sz w:val="20"/>
          <w:szCs w:val="20"/>
          <w:lang w:val="es-AR"/>
        </w:rPr>
        <w:t>M</w:t>
      </w:r>
      <w:r w:rsidR="00510BB1" w:rsidRPr="00386E47">
        <w:rPr>
          <w:rFonts w:asciiTheme="majorHAnsi" w:eastAsia="Calibri" w:hAnsiTheme="majorHAnsi"/>
          <w:sz w:val="20"/>
          <w:szCs w:val="20"/>
          <w:lang w:val="es-AR"/>
        </w:rPr>
        <w:t>inisterios de</w:t>
      </w:r>
      <w:r w:rsidR="00AD1C9A" w:rsidRPr="00386E47">
        <w:rPr>
          <w:rFonts w:asciiTheme="majorHAnsi" w:eastAsia="Calibri" w:hAnsiTheme="majorHAnsi"/>
          <w:sz w:val="20"/>
          <w:szCs w:val="20"/>
          <w:lang w:val="es-AR"/>
        </w:rPr>
        <w:t>l</w:t>
      </w:r>
      <w:r w:rsidR="00510BB1" w:rsidRPr="00386E47">
        <w:rPr>
          <w:rFonts w:asciiTheme="majorHAnsi" w:eastAsia="Calibri" w:hAnsiTheme="majorHAnsi"/>
          <w:sz w:val="20"/>
          <w:szCs w:val="20"/>
          <w:lang w:val="es-AR"/>
        </w:rPr>
        <w:t xml:space="preserve"> Interior y </w:t>
      </w:r>
      <w:r w:rsidR="00AD1C9A" w:rsidRPr="00386E47">
        <w:rPr>
          <w:rFonts w:asciiTheme="majorHAnsi" w:eastAsia="Calibri" w:hAnsiTheme="majorHAnsi"/>
          <w:sz w:val="20"/>
          <w:szCs w:val="20"/>
          <w:lang w:val="es-AR"/>
        </w:rPr>
        <w:t xml:space="preserve">de </w:t>
      </w:r>
      <w:r w:rsidR="00510BB1" w:rsidRPr="00386E47">
        <w:rPr>
          <w:rFonts w:asciiTheme="majorHAnsi" w:eastAsia="Calibri" w:hAnsiTheme="majorHAnsi"/>
          <w:sz w:val="20"/>
          <w:szCs w:val="20"/>
          <w:lang w:val="es-AR"/>
        </w:rPr>
        <w:t>Justicia y Derechos Humanos a que dicten las resoluciones necesarias para el cumplimiento de los objetivos establecidos en la agenda de trabajo</w:t>
      </w:r>
      <w:r w:rsidR="00B0077C" w:rsidRPr="00386E47">
        <w:rPr>
          <w:rFonts w:asciiTheme="majorHAnsi" w:eastAsia="Calibri" w:hAnsiTheme="majorHAnsi"/>
          <w:sz w:val="20"/>
          <w:szCs w:val="20"/>
          <w:lang w:val="es-AR"/>
        </w:rPr>
        <w:t xml:space="preserve"> adjunta a la </w:t>
      </w:r>
      <w:r w:rsidR="00B0077C" w:rsidRPr="00386E47">
        <w:rPr>
          <w:rFonts w:asciiTheme="majorHAnsi" w:eastAsia="Calibri" w:hAnsiTheme="majorHAnsi"/>
          <w:sz w:val="20"/>
          <w:szCs w:val="20"/>
          <w:lang w:val="es-AR"/>
        </w:rPr>
        <w:lastRenderedPageBreak/>
        <w:t>mencionada</w:t>
      </w:r>
      <w:r w:rsidR="0059511A" w:rsidRPr="00386E47">
        <w:rPr>
          <w:rFonts w:asciiTheme="majorHAnsi" w:eastAsia="Calibri" w:hAnsiTheme="majorHAnsi"/>
          <w:sz w:val="20"/>
          <w:szCs w:val="20"/>
          <w:lang w:val="es-AR"/>
        </w:rPr>
        <w:t xml:space="preserve"> acta</w:t>
      </w:r>
      <w:r w:rsidRPr="00386E47">
        <w:rPr>
          <w:rFonts w:asciiTheme="majorHAnsi" w:eastAsia="Calibri" w:hAnsiTheme="majorHAnsi"/>
          <w:sz w:val="20"/>
          <w:szCs w:val="20"/>
          <w:lang w:val="es-AR"/>
        </w:rPr>
        <w:t xml:space="preserve"> acuerdo</w:t>
      </w:r>
      <w:r w:rsidR="00510BB1" w:rsidRPr="00386E47">
        <w:rPr>
          <w:rFonts w:asciiTheme="majorHAnsi" w:eastAsia="Calibri" w:hAnsiTheme="majorHAnsi"/>
          <w:sz w:val="20"/>
          <w:szCs w:val="20"/>
          <w:lang w:val="es-AR"/>
        </w:rPr>
        <w:t xml:space="preserve">. </w:t>
      </w:r>
      <w:r w:rsidR="009F70EA" w:rsidRPr="00386E47">
        <w:rPr>
          <w:rFonts w:asciiTheme="majorHAnsi" w:eastAsia="Calibri" w:hAnsiTheme="majorHAnsi"/>
          <w:sz w:val="20"/>
          <w:szCs w:val="20"/>
          <w:lang w:val="es-AR"/>
        </w:rPr>
        <w:t>De acuerdo con las constancias del expediente, desde este momento no se contó con la participación de Human Rights Watch.</w:t>
      </w:r>
    </w:p>
    <w:p w14:paraId="48A9F17C" w14:textId="77777777" w:rsidR="0025691F" w:rsidRPr="00386E47" w:rsidRDefault="0025691F" w:rsidP="0025691F">
      <w:pPr>
        <w:pStyle w:val="ListParagraph"/>
        <w:rPr>
          <w:rFonts w:asciiTheme="majorHAnsi" w:eastAsia="Calibri" w:hAnsiTheme="majorHAnsi"/>
          <w:sz w:val="20"/>
          <w:szCs w:val="20"/>
          <w:lang w:val="es-AR"/>
        </w:rPr>
      </w:pPr>
    </w:p>
    <w:p w14:paraId="3AA20DDF" w14:textId="77777777" w:rsidR="0025691F" w:rsidRPr="00386E47" w:rsidRDefault="009F70EA" w:rsidP="003A5860">
      <w:pPr>
        <w:numPr>
          <w:ilvl w:val="0"/>
          <w:numId w:val="55"/>
        </w:numPr>
        <w:tabs>
          <w:tab w:val="left" w:pos="567"/>
        </w:tabs>
        <w:ind w:left="0" w:firstLine="0"/>
        <w:jc w:val="both"/>
        <w:rPr>
          <w:rFonts w:asciiTheme="majorHAnsi" w:eastAsia="Calibri" w:hAnsiTheme="majorHAnsi"/>
          <w:sz w:val="20"/>
          <w:szCs w:val="20"/>
          <w:lang w:val="es-VE"/>
        </w:rPr>
      </w:pPr>
      <w:r w:rsidRPr="00386E47">
        <w:rPr>
          <w:rFonts w:asciiTheme="majorHAnsi" w:eastAsia="Calibri" w:hAnsiTheme="majorHAnsi"/>
          <w:sz w:val="20"/>
          <w:szCs w:val="20"/>
          <w:lang w:val="es-AR"/>
        </w:rPr>
        <w:t>En</w:t>
      </w:r>
      <w:r w:rsidR="00510BB1" w:rsidRPr="00386E47">
        <w:rPr>
          <w:rFonts w:asciiTheme="majorHAnsi" w:eastAsia="Calibri" w:hAnsiTheme="majorHAnsi"/>
          <w:sz w:val="20"/>
          <w:szCs w:val="20"/>
          <w:lang w:val="es-AR"/>
        </w:rPr>
        <w:t xml:space="preserve"> un</w:t>
      </w:r>
      <w:r w:rsidRPr="00386E47">
        <w:rPr>
          <w:rFonts w:asciiTheme="majorHAnsi" w:eastAsia="Calibri" w:hAnsiTheme="majorHAnsi"/>
          <w:sz w:val="20"/>
          <w:szCs w:val="20"/>
          <w:lang w:val="es-AR"/>
        </w:rPr>
        <w:t xml:space="preserve"> escrito de</w:t>
      </w:r>
      <w:r w:rsidR="00510BB1" w:rsidRPr="00386E47">
        <w:rPr>
          <w:rFonts w:asciiTheme="majorHAnsi" w:eastAsia="Calibri" w:hAnsiTheme="majorHAnsi"/>
          <w:sz w:val="20"/>
          <w:szCs w:val="20"/>
          <w:lang w:val="es-AR"/>
        </w:rPr>
        <w:t xml:space="preserve"> fecha 9</w:t>
      </w:r>
      <w:r w:rsidRPr="00386E47">
        <w:rPr>
          <w:rFonts w:asciiTheme="majorHAnsi" w:eastAsia="Calibri" w:hAnsiTheme="majorHAnsi"/>
          <w:sz w:val="20"/>
          <w:szCs w:val="20"/>
          <w:lang w:val="es-AR"/>
        </w:rPr>
        <w:t xml:space="preserve"> de marzo de 2009, los peticionarios manifestaron a la CIDH que ninguno de los puntos comprometidos con el Estado hab</w:t>
      </w:r>
      <w:r w:rsidR="00F16CF6" w:rsidRPr="00386E47">
        <w:rPr>
          <w:rFonts w:asciiTheme="majorHAnsi" w:eastAsia="Calibri" w:hAnsiTheme="majorHAnsi"/>
          <w:sz w:val="20"/>
          <w:szCs w:val="20"/>
          <w:lang w:val="es-AR"/>
        </w:rPr>
        <w:t>r</w:t>
      </w:r>
      <w:r w:rsidRPr="00386E47">
        <w:rPr>
          <w:rFonts w:asciiTheme="majorHAnsi" w:eastAsia="Calibri" w:hAnsiTheme="majorHAnsi"/>
          <w:sz w:val="20"/>
          <w:szCs w:val="20"/>
          <w:lang w:val="es-AR"/>
        </w:rPr>
        <w:t xml:space="preserve">ía sido cumplido </w:t>
      </w:r>
      <w:r w:rsidR="0059511A" w:rsidRPr="00386E47">
        <w:rPr>
          <w:rFonts w:asciiTheme="majorHAnsi" w:eastAsia="Calibri" w:hAnsiTheme="majorHAnsi"/>
          <w:sz w:val="20"/>
          <w:szCs w:val="20"/>
          <w:lang w:val="es-AR"/>
        </w:rPr>
        <w:t>de manera completa</w:t>
      </w:r>
      <w:r w:rsidRPr="00386E47">
        <w:rPr>
          <w:rFonts w:asciiTheme="majorHAnsi" w:eastAsia="Calibri" w:hAnsiTheme="majorHAnsi"/>
          <w:sz w:val="20"/>
          <w:szCs w:val="20"/>
          <w:lang w:val="es-AR"/>
        </w:rPr>
        <w:t xml:space="preserve">. </w:t>
      </w:r>
      <w:r w:rsidR="00510BB1" w:rsidRPr="00386E47">
        <w:rPr>
          <w:rFonts w:asciiTheme="majorHAnsi" w:eastAsia="Calibri" w:hAnsiTheme="majorHAnsi"/>
          <w:sz w:val="20"/>
          <w:szCs w:val="20"/>
          <w:lang w:val="es-AR"/>
        </w:rPr>
        <w:t xml:space="preserve">En </w:t>
      </w:r>
      <w:r w:rsidR="00162FAB" w:rsidRPr="00386E47">
        <w:rPr>
          <w:rFonts w:asciiTheme="majorHAnsi" w:eastAsia="Calibri" w:hAnsiTheme="majorHAnsi"/>
          <w:sz w:val="20"/>
          <w:szCs w:val="20"/>
          <w:lang w:val="es-AR"/>
        </w:rPr>
        <w:t>consecuencia</w:t>
      </w:r>
      <w:r w:rsidR="00510BB1" w:rsidRPr="00386E47">
        <w:rPr>
          <w:rFonts w:asciiTheme="majorHAnsi" w:eastAsia="Calibri" w:hAnsiTheme="majorHAnsi"/>
          <w:sz w:val="20"/>
          <w:szCs w:val="20"/>
          <w:lang w:val="es-AR"/>
        </w:rPr>
        <w:t>, c</w:t>
      </w:r>
      <w:r w:rsidRPr="00386E47">
        <w:rPr>
          <w:rFonts w:asciiTheme="majorHAnsi" w:eastAsia="Calibri" w:hAnsiTheme="majorHAnsi"/>
          <w:sz w:val="20"/>
          <w:szCs w:val="20"/>
          <w:lang w:val="es-AR"/>
        </w:rPr>
        <w:t xml:space="preserve">onsideraron concluido el proceso de solución amistosa </w:t>
      </w:r>
      <w:r w:rsidR="00510BB1" w:rsidRPr="00386E47">
        <w:rPr>
          <w:rFonts w:asciiTheme="majorHAnsi" w:eastAsia="Calibri" w:hAnsiTheme="majorHAnsi"/>
          <w:sz w:val="20"/>
          <w:szCs w:val="20"/>
          <w:lang w:val="es-AR"/>
        </w:rPr>
        <w:t>e instaron</w:t>
      </w:r>
      <w:r w:rsidR="00B0077C" w:rsidRPr="00386E47">
        <w:rPr>
          <w:rFonts w:asciiTheme="majorHAnsi" w:eastAsia="Calibri" w:hAnsiTheme="majorHAnsi"/>
          <w:sz w:val="20"/>
          <w:szCs w:val="20"/>
          <w:lang w:val="es-AR"/>
        </w:rPr>
        <w:t xml:space="preserve"> a</w:t>
      </w:r>
      <w:r w:rsidRPr="00386E47">
        <w:rPr>
          <w:rFonts w:asciiTheme="majorHAnsi" w:eastAsia="Calibri" w:hAnsiTheme="majorHAnsi"/>
          <w:sz w:val="20"/>
          <w:szCs w:val="20"/>
          <w:lang w:val="es-AR"/>
        </w:rPr>
        <w:t xml:space="preserve"> la </w:t>
      </w:r>
      <w:r w:rsidR="00510BB1" w:rsidRPr="00386E47">
        <w:rPr>
          <w:rFonts w:asciiTheme="majorHAnsi" w:eastAsia="Calibri" w:hAnsiTheme="majorHAnsi"/>
          <w:sz w:val="20"/>
          <w:szCs w:val="20"/>
          <w:lang w:val="es-AR"/>
        </w:rPr>
        <w:t xml:space="preserve">aprobación </w:t>
      </w:r>
      <w:r w:rsidRPr="00386E47">
        <w:rPr>
          <w:rFonts w:asciiTheme="majorHAnsi" w:eastAsia="Calibri" w:hAnsiTheme="majorHAnsi"/>
          <w:sz w:val="20"/>
          <w:szCs w:val="20"/>
          <w:lang w:val="es-AR"/>
        </w:rPr>
        <w:t>del informe de</w:t>
      </w:r>
      <w:r w:rsidR="00510BB1" w:rsidRPr="00386E47">
        <w:rPr>
          <w:rFonts w:asciiTheme="majorHAnsi" w:eastAsia="Calibri" w:hAnsiTheme="majorHAnsi"/>
          <w:sz w:val="20"/>
          <w:szCs w:val="20"/>
          <w:lang w:val="es-AR"/>
        </w:rPr>
        <w:t xml:space="preserve"> admisibilidad y fondo</w:t>
      </w:r>
      <w:r w:rsidR="00181BFA" w:rsidRPr="00386E47">
        <w:rPr>
          <w:rFonts w:asciiTheme="majorHAnsi" w:eastAsia="Calibri" w:hAnsiTheme="majorHAnsi"/>
          <w:sz w:val="20"/>
          <w:szCs w:val="20"/>
          <w:lang w:val="es-AR"/>
        </w:rPr>
        <w:t xml:space="preserve">. El 1 de julio de 2009, los </w:t>
      </w:r>
      <w:r w:rsidRPr="00386E47">
        <w:rPr>
          <w:rFonts w:asciiTheme="majorHAnsi" w:eastAsia="Calibri" w:hAnsiTheme="majorHAnsi"/>
          <w:sz w:val="20"/>
          <w:szCs w:val="20"/>
          <w:lang w:val="es-AR"/>
        </w:rPr>
        <w:t xml:space="preserve">peticionarios informaron a la Comisión que habían </w:t>
      </w:r>
      <w:r w:rsidR="00510BB1" w:rsidRPr="00386E47">
        <w:rPr>
          <w:rFonts w:asciiTheme="majorHAnsi" w:eastAsia="Calibri" w:hAnsiTheme="majorHAnsi"/>
          <w:sz w:val="20"/>
          <w:szCs w:val="20"/>
          <w:lang w:val="es-AR"/>
        </w:rPr>
        <w:t>man</w:t>
      </w:r>
      <w:r w:rsidRPr="00386E47">
        <w:rPr>
          <w:rFonts w:asciiTheme="majorHAnsi" w:eastAsia="Calibri" w:hAnsiTheme="majorHAnsi"/>
          <w:sz w:val="20"/>
          <w:szCs w:val="20"/>
          <w:lang w:val="es-AR"/>
        </w:rPr>
        <w:t>tenido reuniones con</w:t>
      </w:r>
      <w:r w:rsidR="00510BB1" w:rsidRPr="00386E47">
        <w:rPr>
          <w:rFonts w:asciiTheme="majorHAnsi" w:eastAsia="Calibri" w:hAnsiTheme="majorHAnsi"/>
          <w:sz w:val="20"/>
          <w:szCs w:val="20"/>
          <w:lang w:val="es-AR"/>
        </w:rPr>
        <w:t xml:space="preserve"> representantes del Estado y que</w:t>
      </w:r>
      <w:r w:rsidR="00181BFA" w:rsidRPr="00386E47">
        <w:rPr>
          <w:rFonts w:asciiTheme="majorHAnsi" w:eastAsia="Calibri" w:hAnsiTheme="majorHAnsi"/>
          <w:sz w:val="20"/>
          <w:szCs w:val="20"/>
          <w:lang w:val="es-AR"/>
        </w:rPr>
        <w:t>,</w:t>
      </w:r>
      <w:r w:rsidR="00510BB1" w:rsidRPr="00386E47">
        <w:rPr>
          <w:rFonts w:asciiTheme="majorHAnsi" w:eastAsia="Calibri" w:hAnsiTheme="majorHAnsi"/>
          <w:sz w:val="20"/>
          <w:szCs w:val="20"/>
          <w:lang w:val="es-AR"/>
        </w:rPr>
        <w:t xml:space="preserve"> oportunamente</w:t>
      </w:r>
      <w:r w:rsidR="00181BFA" w:rsidRPr="00386E47">
        <w:rPr>
          <w:rFonts w:asciiTheme="majorHAnsi" w:eastAsia="Calibri" w:hAnsiTheme="majorHAnsi"/>
          <w:sz w:val="20"/>
          <w:szCs w:val="20"/>
          <w:lang w:val="es-AR"/>
        </w:rPr>
        <w:t>,</w:t>
      </w:r>
      <w:r w:rsidR="00510BB1" w:rsidRPr="00386E47">
        <w:rPr>
          <w:rFonts w:asciiTheme="majorHAnsi" w:eastAsia="Calibri" w:hAnsiTheme="majorHAnsi"/>
          <w:sz w:val="20"/>
          <w:szCs w:val="20"/>
          <w:lang w:val="es-AR"/>
        </w:rPr>
        <w:t xml:space="preserve"> </w:t>
      </w:r>
      <w:r w:rsidRPr="00386E47">
        <w:rPr>
          <w:rFonts w:asciiTheme="majorHAnsi" w:eastAsia="Calibri" w:hAnsiTheme="majorHAnsi"/>
          <w:sz w:val="20"/>
          <w:szCs w:val="20"/>
          <w:lang w:val="es-AR"/>
        </w:rPr>
        <w:t>comunicarían una eventual reanudación del proceso de solución amistosa. El 4 de noviemb</w:t>
      </w:r>
      <w:r w:rsidR="00181BFA" w:rsidRPr="00386E47">
        <w:rPr>
          <w:rFonts w:asciiTheme="majorHAnsi" w:eastAsia="Calibri" w:hAnsiTheme="majorHAnsi"/>
          <w:sz w:val="20"/>
          <w:szCs w:val="20"/>
          <w:lang w:val="es-AR"/>
        </w:rPr>
        <w:t>re de 2009, en el marco del 137</w:t>
      </w:r>
      <w:r w:rsidR="00B0077C" w:rsidRPr="00386E47">
        <w:rPr>
          <w:rFonts w:asciiTheme="majorHAnsi" w:eastAsia="Calibri" w:hAnsiTheme="majorHAnsi"/>
          <w:sz w:val="20"/>
          <w:szCs w:val="20"/>
          <w:lang w:val="es-AR"/>
        </w:rPr>
        <w:t>°</w:t>
      </w:r>
      <w:r w:rsidR="00181BFA" w:rsidRPr="00386E47">
        <w:rPr>
          <w:rFonts w:asciiTheme="majorHAnsi" w:eastAsia="Calibri" w:hAnsiTheme="majorHAnsi"/>
          <w:sz w:val="20"/>
          <w:szCs w:val="20"/>
          <w:lang w:val="es-AR"/>
        </w:rPr>
        <w:t xml:space="preserve"> p</w:t>
      </w:r>
      <w:r w:rsidRPr="00386E47">
        <w:rPr>
          <w:rFonts w:asciiTheme="majorHAnsi" w:eastAsia="Calibri" w:hAnsiTheme="majorHAnsi"/>
          <w:sz w:val="20"/>
          <w:szCs w:val="20"/>
          <w:lang w:val="es-AR"/>
        </w:rPr>
        <w:t>eríodo ordinario de sesiones de la Comisión, se celebró</w:t>
      </w:r>
      <w:r w:rsidR="00510BB1" w:rsidRPr="00386E47">
        <w:rPr>
          <w:rFonts w:asciiTheme="majorHAnsi" w:eastAsia="Calibri" w:hAnsiTheme="majorHAnsi"/>
          <w:sz w:val="20"/>
          <w:szCs w:val="20"/>
          <w:lang w:val="es-AR"/>
        </w:rPr>
        <w:t xml:space="preserve"> una</w:t>
      </w:r>
      <w:r w:rsidRPr="00386E47">
        <w:rPr>
          <w:rFonts w:asciiTheme="majorHAnsi" w:eastAsia="Calibri" w:hAnsiTheme="majorHAnsi"/>
          <w:sz w:val="20"/>
          <w:szCs w:val="20"/>
          <w:lang w:val="es-AR"/>
        </w:rPr>
        <w:t xml:space="preserve"> reunión de trabajo entre las partes en la que los peticionarios accedieron a </w:t>
      </w:r>
      <w:r w:rsidR="00510BB1" w:rsidRPr="00386E47">
        <w:rPr>
          <w:rFonts w:asciiTheme="majorHAnsi" w:eastAsia="Calibri" w:hAnsiTheme="majorHAnsi"/>
          <w:sz w:val="20"/>
          <w:szCs w:val="20"/>
          <w:lang w:val="es-AR"/>
        </w:rPr>
        <w:t>reanudar e</w:t>
      </w:r>
      <w:r w:rsidRPr="00386E47">
        <w:rPr>
          <w:rFonts w:asciiTheme="majorHAnsi" w:eastAsia="Calibri" w:hAnsiTheme="majorHAnsi"/>
          <w:sz w:val="20"/>
          <w:szCs w:val="20"/>
          <w:lang w:val="es-AR"/>
        </w:rPr>
        <w:t xml:space="preserve">l proceso de solución amistosa hasta </w:t>
      </w:r>
      <w:r w:rsidR="00510BB1" w:rsidRPr="00386E47">
        <w:rPr>
          <w:rFonts w:asciiTheme="majorHAnsi" w:eastAsia="Calibri" w:hAnsiTheme="majorHAnsi"/>
          <w:sz w:val="20"/>
          <w:szCs w:val="20"/>
          <w:lang w:val="es-AR"/>
        </w:rPr>
        <w:t xml:space="preserve">el mes de </w:t>
      </w:r>
      <w:r w:rsidRPr="00386E47">
        <w:rPr>
          <w:rFonts w:asciiTheme="majorHAnsi" w:eastAsia="Calibri" w:hAnsiTheme="majorHAnsi"/>
          <w:sz w:val="20"/>
          <w:szCs w:val="20"/>
          <w:lang w:val="es-AR"/>
        </w:rPr>
        <w:t xml:space="preserve">marzo de 2010 siempre que el Estado adoptara </w:t>
      </w:r>
      <w:r w:rsidR="000F11D6" w:rsidRPr="00386E47">
        <w:rPr>
          <w:rFonts w:asciiTheme="majorHAnsi" w:eastAsia="Calibri" w:hAnsiTheme="majorHAnsi"/>
          <w:sz w:val="20"/>
          <w:szCs w:val="20"/>
          <w:lang w:val="es-AR"/>
        </w:rPr>
        <w:t xml:space="preserve">una serie de </w:t>
      </w:r>
      <w:r w:rsidRPr="00386E47">
        <w:rPr>
          <w:rFonts w:asciiTheme="majorHAnsi" w:eastAsia="Calibri" w:hAnsiTheme="majorHAnsi"/>
          <w:sz w:val="20"/>
          <w:szCs w:val="20"/>
          <w:lang w:val="es-AR"/>
        </w:rPr>
        <w:t xml:space="preserve">medidas. </w:t>
      </w:r>
    </w:p>
    <w:p w14:paraId="75FAE618" w14:textId="77777777" w:rsidR="0025691F" w:rsidRPr="00386E47" w:rsidRDefault="0025691F" w:rsidP="0025691F">
      <w:pPr>
        <w:pStyle w:val="ListParagraph"/>
        <w:rPr>
          <w:rFonts w:asciiTheme="majorHAnsi" w:eastAsia="Calibri" w:hAnsiTheme="majorHAnsi"/>
          <w:sz w:val="20"/>
          <w:szCs w:val="20"/>
          <w:lang w:val="es-AR"/>
        </w:rPr>
      </w:pPr>
    </w:p>
    <w:p w14:paraId="355A2EDD" w14:textId="77777777" w:rsidR="00181BFA" w:rsidRPr="00386E47" w:rsidRDefault="00887819" w:rsidP="003A5860">
      <w:pPr>
        <w:numPr>
          <w:ilvl w:val="0"/>
          <w:numId w:val="55"/>
        </w:numPr>
        <w:tabs>
          <w:tab w:val="left" w:pos="567"/>
        </w:tabs>
        <w:ind w:left="0" w:firstLine="0"/>
        <w:jc w:val="both"/>
        <w:rPr>
          <w:rFonts w:asciiTheme="majorHAnsi" w:eastAsia="Calibri" w:hAnsiTheme="majorHAnsi"/>
          <w:sz w:val="20"/>
          <w:szCs w:val="20"/>
          <w:lang w:val="es-VE"/>
        </w:rPr>
      </w:pPr>
      <w:r w:rsidRPr="00386E47">
        <w:rPr>
          <w:rFonts w:asciiTheme="majorHAnsi" w:eastAsia="Calibri" w:hAnsiTheme="majorHAnsi"/>
          <w:sz w:val="20"/>
          <w:szCs w:val="20"/>
          <w:lang w:val="es-AR"/>
        </w:rPr>
        <w:t>Finalmente, e</w:t>
      </w:r>
      <w:r w:rsidR="009F70EA" w:rsidRPr="00386E47">
        <w:rPr>
          <w:rFonts w:asciiTheme="majorHAnsi" w:eastAsia="Calibri" w:hAnsiTheme="majorHAnsi"/>
          <w:sz w:val="20"/>
          <w:szCs w:val="20"/>
          <w:lang w:val="es-AR"/>
        </w:rPr>
        <w:t>l 15 de abril de 2010, los peticion</w:t>
      </w:r>
      <w:r w:rsidR="00510BB1" w:rsidRPr="00386E47">
        <w:rPr>
          <w:rFonts w:asciiTheme="majorHAnsi" w:eastAsia="Calibri" w:hAnsiTheme="majorHAnsi"/>
          <w:sz w:val="20"/>
          <w:szCs w:val="20"/>
          <w:lang w:val="es-AR"/>
        </w:rPr>
        <w:t xml:space="preserve">arios </w:t>
      </w:r>
      <w:r w:rsidR="00170D9A" w:rsidRPr="00386E47">
        <w:rPr>
          <w:rFonts w:asciiTheme="majorHAnsi" w:eastAsia="Calibri" w:hAnsiTheme="majorHAnsi"/>
          <w:sz w:val="20"/>
          <w:szCs w:val="20"/>
          <w:lang w:val="es-AR"/>
        </w:rPr>
        <w:t xml:space="preserve">indicaron </w:t>
      </w:r>
      <w:r w:rsidR="00510BB1" w:rsidRPr="00386E47">
        <w:rPr>
          <w:rFonts w:asciiTheme="majorHAnsi" w:eastAsia="Calibri" w:hAnsiTheme="majorHAnsi"/>
          <w:sz w:val="20"/>
          <w:szCs w:val="20"/>
          <w:lang w:val="es-AR"/>
        </w:rPr>
        <w:t>a la CIDH que</w:t>
      </w:r>
      <w:r w:rsidR="003C20E3" w:rsidRPr="00386E47">
        <w:rPr>
          <w:rFonts w:asciiTheme="majorHAnsi" w:eastAsia="Calibri" w:hAnsiTheme="majorHAnsi"/>
          <w:sz w:val="20"/>
          <w:szCs w:val="20"/>
          <w:lang w:val="es-AR"/>
        </w:rPr>
        <w:t xml:space="preserve">, </w:t>
      </w:r>
      <w:r w:rsidR="00D45F47" w:rsidRPr="00386E47">
        <w:rPr>
          <w:rFonts w:asciiTheme="majorHAnsi" w:eastAsia="Calibri" w:hAnsiTheme="majorHAnsi"/>
          <w:sz w:val="20"/>
          <w:szCs w:val="20"/>
          <w:lang w:val="es-AR"/>
        </w:rPr>
        <w:t>para esa</w:t>
      </w:r>
      <w:r w:rsidR="003C20E3" w:rsidRPr="00386E47">
        <w:rPr>
          <w:rFonts w:asciiTheme="majorHAnsi" w:eastAsia="Calibri" w:hAnsiTheme="majorHAnsi"/>
          <w:sz w:val="20"/>
          <w:szCs w:val="20"/>
          <w:lang w:val="es-AR"/>
        </w:rPr>
        <w:t xml:space="preserve"> fecha</w:t>
      </w:r>
      <w:r w:rsidR="00D45F47" w:rsidRPr="00386E47">
        <w:rPr>
          <w:rFonts w:asciiTheme="majorHAnsi" w:eastAsia="Calibri" w:hAnsiTheme="majorHAnsi"/>
          <w:sz w:val="20"/>
          <w:szCs w:val="20"/>
          <w:lang w:val="es-AR"/>
        </w:rPr>
        <w:t>,</w:t>
      </w:r>
      <w:r w:rsidR="003C20E3" w:rsidRPr="00386E47">
        <w:rPr>
          <w:rFonts w:asciiTheme="majorHAnsi" w:eastAsia="Calibri" w:hAnsiTheme="majorHAnsi"/>
          <w:sz w:val="20"/>
          <w:szCs w:val="20"/>
          <w:lang w:val="es-AR"/>
        </w:rPr>
        <w:t xml:space="preserve"> </w:t>
      </w:r>
      <w:r w:rsidR="00170D9A" w:rsidRPr="00386E47">
        <w:rPr>
          <w:rFonts w:asciiTheme="majorHAnsi" w:eastAsia="Calibri" w:hAnsiTheme="majorHAnsi"/>
          <w:sz w:val="20"/>
          <w:szCs w:val="20"/>
          <w:lang w:val="es-AR"/>
        </w:rPr>
        <w:t>existían</w:t>
      </w:r>
      <w:r w:rsidR="009F70EA" w:rsidRPr="00386E47">
        <w:rPr>
          <w:rFonts w:asciiTheme="majorHAnsi" w:eastAsia="Calibri" w:hAnsiTheme="majorHAnsi"/>
          <w:sz w:val="20"/>
          <w:szCs w:val="20"/>
          <w:lang w:val="es-AR"/>
        </w:rPr>
        <w:t xml:space="preserve"> </w:t>
      </w:r>
      <w:r w:rsidR="00170D9A" w:rsidRPr="00386E47">
        <w:rPr>
          <w:rFonts w:asciiTheme="majorHAnsi" w:eastAsia="Calibri" w:hAnsiTheme="majorHAnsi"/>
          <w:sz w:val="20"/>
          <w:szCs w:val="20"/>
          <w:lang w:val="es-AR"/>
        </w:rPr>
        <w:t xml:space="preserve">escasos </w:t>
      </w:r>
      <w:r w:rsidR="009F70EA" w:rsidRPr="00386E47">
        <w:rPr>
          <w:rFonts w:asciiTheme="majorHAnsi" w:eastAsia="Calibri" w:hAnsiTheme="majorHAnsi"/>
          <w:sz w:val="20"/>
          <w:szCs w:val="20"/>
          <w:lang w:val="es-AR"/>
        </w:rPr>
        <w:t>avances</w:t>
      </w:r>
      <w:r w:rsidR="003C20E3" w:rsidRPr="00386E47">
        <w:rPr>
          <w:rFonts w:asciiTheme="majorHAnsi" w:eastAsia="Calibri" w:hAnsiTheme="majorHAnsi"/>
          <w:sz w:val="20"/>
          <w:szCs w:val="20"/>
          <w:lang w:val="es-AR"/>
        </w:rPr>
        <w:t xml:space="preserve"> en el proceso de </w:t>
      </w:r>
      <w:r w:rsidR="00790369" w:rsidRPr="00386E47">
        <w:rPr>
          <w:rFonts w:asciiTheme="majorHAnsi" w:eastAsia="Calibri" w:hAnsiTheme="majorHAnsi"/>
          <w:sz w:val="20"/>
          <w:szCs w:val="20"/>
          <w:lang w:val="es-AR"/>
        </w:rPr>
        <w:t>solución</w:t>
      </w:r>
      <w:r w:rsidR="003C20E3" w:rsidRPr="00386E47">
        <w:rPr>
          <w:rFonts w:asciiTheme="majorHAnsi" w:eastAsia="Calibri" w:hAnsiTheme="majorHAnsi"/>
          <w:sz w:val="20"/>
          <w:szCs w:val="20"/>
          <w:lang w:val="es-AR"/>
        </w:rPr>
        <w:t xml:space="preserve"> amistosa</w:t>
      </w:r>
      <w:r w:rsidR="009F70EA" w:rsidRPr="00386E47">
        <w:rPr>
          <w:rFonts w:asciiTheme="majorHAnsi" w:eastAsia="Calibri" w:hAnsiTheme="majorHAnsi"/>
          <w:sz w:val="20"/>
          <w:szCs w:val="20"/>
          <w:lang w:val="es-AR"/>
        </w:rPr>
        <w:t xml:space="preserve">, </w:t>
      </w:r>
      <w:r w:rsidR="00170D9A" w:rsidRPr="00386E47">
        <w:rPr>
          <w:rFonts w:asciiTheme="majorHAnsi" w:eastAsia="Calibri" w:hAnsiTheme="majorHAnsi"/>
          <w:sz w:val="20"/>
          <w:szCs w:val="20"/>
          <w:lang w:val="es-AR"/>
        </w:rPr>
        <w:t xml:space="preserve">por lo cual solicitaron que </w:t>
      </w:r>
      <w:r w:rsidR="009F70EA" w:rsidRPr="00386E47">
        <w:rPr>
          <w:rFonts w:asciiTheme="majorHAnsi" w:eastAsia="Calibri" w:hAnsiTheme="majorHAnsi"/>
          <w:sz w:val="20"/>
          <w:szCs w:val="20"/>
          <w:lang w:val="es-AR"/>
        </w:rPr>
        <w:t>se c</w:t>
      </w:r>
      <w:r w:rsidR="00510BB1" w:rsidRPr="00386E47">
        <w:rPr>
          <w:rFonts w:asciiTheme="majorHAnsi" w:eastAsia="Calibri" w:hAnsiTheme="majorHAnsi"/>
          <w:sz w:val="20"/>
          <w:szCs w:val="20"/>
          <w:lang w:val="es-AR"/>
        </w:rPr>
        <w:t xml:space="preserve">ontinuara con el </w:t>
      </w:r>
      <w:r w:rsidR="00181BFA" w:rsidRPr="00386E47">
        <w:rPr>
          <w:rFonts w:asciiTheme="majorHAnsi" w:eastAsia="Calibri" w:hAnsiTheme="majorHAnsi"/>
          <w:sz w:val="20"/>
          <w:szCs w:val="20"/>
          <w:lang w:val="es-AR"/>
        </w:rPr>
        <w:t xml:space="preserve">estudio sobre la admisibilidad y el fondo de la </w:t>
      </w:r>
      <w:r w:rsidR="000F11D6" w:rsidRPr="00386E47">
        <w:rPr>
          <w:rFonts w:asciiTheme="majorHAnsi" w:eastAsia="Calibri" w:hAnsiTheme="majorHAnsi"/>
          <w:sz w:val="20"/>
          <w:szCs w:val="20"/>
          <w:lang w:val="es-AR"/>
        </w:rPr>
        <w:t>petición</w:t>
      </w:r>
      <w:r w:rsidR="009F70EA" w:rsidRPr="00386E47">
        <w:rPr>
          <w:rFonts w:asciiTheme="majorHAnsi" w:eastAsia="Calibri" w:hAnsiTheme="majorHAnsi"/>
          <w:sz w:val="20"/>
          <w:szCs w:val="20"/>
          <w:lang w:val="es-AR"/>
        </w:rPr>
        <w:t xml:space="preserve">. </w:t>
      </w:r>
      <w:r w:rsidR="00181BFA" w:rsidRPr="00386E47">
        <w:rPr>
          <w:rFonts w:asciiTheme="majorHAnsi" w:eastAsia="Calibri" w:hAnsiTheme="majorHAnsi"/>
          <w:sz w:val="20"/>
          <w:szCs w:val="20"/>
          <w:lang w:val="es-AR"/>
        </w:rPr>
        <w:t>Con fecha 29 de junio de 2012, la Comisión comunicó a las partes su decisión de diferir el tratamiento de admisibilidad hasta el debate y decisión sobre el fondo, en aplicación del art</w:t>
      </w:r>
      <w:r w:rsidR="00B0077C" w:rsidRPr="00386E47">
        <w:rPr>
          <w:rFonts w:asciiTheme="majorHAnsi" w:eastAsia="Calibri" w:hAnsiTheme="majorHAnsi"/>
          <w:sz w:val="20"/>
          <w:szCs w:val="20"/>
          <w:lang w:val="es-AR"/>
        </w:rPr>
        <w:t xml:space="preserve">ículo 36 (3) de su Reglamento. </w:t>
      </w:r>
      <w:r w:rsidR="00181BFA" w:rsidRPr="00386E47">
        <w:rPr>
          <w:rFonts w:asciiTheme="majorHAnsi" w:eastAsia="Calibri" w:hAnsiTheme="majorHAnsi"/>
          <w:sz w:val="20"/>
          <w:szCs w:val="20"/>
          <w:lang w:val="es-AR"/>
        </w:rPr>
        <w:t xml:space="preserve">En </w:t>
      </w:r>
      <w:r w:rsidR="00B0077C" w:rsidRPr="00386E47">
        <w:rPr>
          <w:rFonts w:asciiTheme="majorHAnsi" w:eastAsia="Calibri" w:hAnsiTheme="majorHAnsi"/>
          <w:sz w:val="20"/>
          <w:szCs w:val="20"/>
          <w:lang w:val="es-AR"/>
        </w:rPr>
        <w:t>una comunicación</w:t>
      </w:r>
      <w:r w:rsidR="00181BFA" w:rsidRPr="00386E47">
        <w:rPr>
          <w:rFonts w:asciiTheme="majorHAnsi" w:eastAsia="Calibri" w:hAnsiTheme="majorHAnsi"/>
          <w:sz w:val="20"/>
          <w:szCs w:val="20"/>
          <w:lang w:val="es-AR"/>
        </w:rPr>
        <w:t xml:space="preserve"> </w:t>
      </w:r>
      <w:r w:rsidR="00B0077C" w:rsidRPr="00386E47">
        <w:rPr>
          <w:rFonts w:asciiTheme="majorHAnsi" w:eastAsia="Calibri" w:hAnsiTheme="majorHAnsi"/>
          <w:sz w:val="20"/>
          <w:szCs w:val="20"/>
          <w:lang w:val="es-AR"/>
        </w:rPr>
        <w:t>recibida</w:t>
      </w:r>
      <w:r w:rsidR="00162FAB" w:rsidRPr="00386E47">
        <w:rPr>
          <w:rFonts w:asciiTheme="majorHAnsi" w:eastAsia="Calibri" w:hAnsiTheme="majorHAnsi"/>
          <w:sz w:val="20"/>
          <w:szCs w:val="20"/>
          <w:lang w:val="es-AR"/>
        </w:rPr>
        <w:t xml:space="preserve"> </w:t>
      </w:r>
      <w:r w:rsidR="00F16CF6" w:rsidRPr="00386E47">
        <w:rPr>
          <w:rFonts w:asciiTheme="majorHAnsi" w:eastAsia="Calibri" w:hAnsiTheme="majorHAnsi"/>
          <w:sz w:val="20"/>
          <w:szCs w:val="20"/>
          <w:lang w:val="es-AR"/>
        </w:rPr>
        <w:t>el 31</w:t>
      </w:r>
      <w:r w:rsidR="00181BFA" w:rsidRPr="00386E47">
        <w:rPr>
          <w:rFonts w:asciiTheme="majorHAnsi" w:eastAsia="Calibri" w:hAnsiTheme="majorHAnsi"/>
          <w:sz w:val="20"/>
          <w:szCs w:val="20"/>
          <w:lang w:val="es-AR"/>
        </w:rPr>
        <w:t xml:space="preserve"> de octubre de 2014, </w:t>
      </w:r>
      <w:r w:rsidR="00162FAB" w:rsidRPr="00386E47">
        <w:rPr>
          <w:rFonts w:asciiTheme="majorHAnsi" w:eastAsia="Calibri" w:hAnsiTheme="majorHAnsi"/>
          <w:sz w:val="20"/>
          <w:szCs w:val="20"/>
          <w:lang w:val="es-AR"/>
        </w:rPr>
        <w:t xml:space="preserve">los peticionarios remitieron su documento de </w:t>
      </w:r>
      <w:r w:rsidR="00181BFA" w:rsidRPr="00386E47">
        <w:rPr>
          <w:rFonts w:asciiTheme="majorHAnsi" w:eastAsia="Calibri" w:hAnsiTheme="majorHAnsi"/>
          <w:sz w:val="20"/>
          <w:szCs w:val="20"/>
          <w:lang w:val="es-AR"/>
        </w:rPr>
        <w:t xml:space="preserve">observaciones </w:t>
      </w:r>
      <w:r w:rsidR="00162FAB" w:rsidRPr="00386E47">
        <w:rPr>
          <w:rFonts w:asciiTheme="majorHAnsi" w:eastAsia="Calibri" w:hAnsiTheme="majorHAnsi"/>
          <w:sz w:val="20"/>
          <w:szCs w:val="20"/>
          <w:lang w:val="es-AR"/>
        </w:rPr>
        <w:t xml:space="preserve">adicionales </w:t>
      </w:r>
      <w:r w:rsidR="00181BFA" w:rsidRPr="00386E47">
        <w:rPr>
          <w:rFonts w:asciiTheme="majorHAnsi" w:eastAsia="Calibri" w:hAnsiTheme="majorHAnsi"/>
          <w:sz w:val="20"/>
          <w:szCs w:val="20"/>
          <w:lang w:val="es-AR"/>
        </w:rPr>
        <w:t xml:space="preserve">sobre el fondo. El 18 de noviembre de 2014, la Comisión </w:t>
      </w:r>
      <w:r w:rsidR="00162FAB" w:rsidRPr="00386E47">
        <w:rPr>
          <w:rFonts w:asciiTheme="majorHAnsi" w:eastAsia="Calibri" w:hAnsiTheme="majorHAnsi"/>
          <w:sz w:val="20"/>
          <w:szCs w:val="20"/>
          <w:lang w:val="es-AR"/>
        </w:rPr>
        <w:t>trasladó</w:t>
      </w:r>
      <w:r w:rsidR="00181BFA" w:rsidRPr="00386E47">
        <w:rPr>
          <w:rFonts w:asciiTheme="majorHAnsi" w:eastAsia="Calibri" w:hAnsiTheme="majorHAnsi"/>
          <w:sz w:val="20"/>
          <w:szCs w:val="20"/>
          <w:lang w:val="es-AR"/>
        </w:rPr>
        <w:t xml:space="preserve"> </w:t>
      </w:r>
      <w:r w:rsidR="0059511A" w:rsidRPr="00386E47">
        <w:rPr>
          <w:rFonts w:asciiTheme="majorHAnsi" w:eastAsia="Calibri" w:hAnsiTheme="majorHAnsi"/>
          <w:sz w:val="20"/>
          <w:szCs w:val="20"/>
          <w:lang w:val="es-AR"/>
        </w:rPr>
        <w:t>dicho documento al Estado</w:t>
      </w:r>
      <w:r w:rsidR="00162FAB" w:rsidRPr="00386E47">
        <w:rPr>
          <w:rFonts w:asciiTheme="majorHAnsi" w:eastAsia="Calibri" w:hAnsiTheme="majorHAnsi"/>
          <w:sz w:val="20"/>
          <w:szCs w:val="20"/>
          <w:lang w:val="es-AR"/>
        </w:rPr>
        <w:t xml:space="preserve"> argentino</w:t>
      </w:r>
      <w:r w:rsidR="00181BFA" w:rsidRPr="00386E47">
        <w:rPr>
          <w:rFonts w:asciiTheme="majorHAnsi" w:eastAsia="Calibri" w:hAnsiTheme="majorHAnsi"/>
          <w:sz w:val="20"/>
          <w:szCs w:val="20"/>
          <w:lang w:val="es-AR"/>
        </w:rPr>
        <w:t>. Después de solicitar varias prórrogas, el Estado presentó su escrito</w:t>
      </w:r>
      <w:r w:rsidR="0059511A" w:rsidRPr="00386E47">
        <w:rPr>
          <w:rFonts w:asciiTheme="majorHAnsi" w:eastAsia="Calibri" w:hAnsiTheme="majorHAnsi"/>
          <w:sz w:val="20"/>
          <w:szCs w:val="20"/>
          <w:lang w:val="es-AR"/>
        </w:rPr>
        <w:t xml:space="preserve"> de observaciones adicionales sobre el fondo</w:t>
      </w:r>
      <w:r w:rsidR="00181BFA" w:rsidRPr="00386E47">
        <w:rPr>
          <w:rFonts w:asciiTheme="majorHAnsi" w:eastAsia="Calibri" w:hAnsiTheme="majorHAnsi"/>
          <w:sz w:val="20"/>
          <w:szCs w:val="20"/>
          <w:lang w:val="es-AR"/>
        </w:rPr>
        <w:t xml:space="preserve"> el 28 de septiembre de 2015.</w:t>
      </w:r>
    </w:p>
    <w:p w14:paraId="5FC4AFC5" w14:textId="77777777" w:rsidR="000F11D6" w:rsidRPr="00386E47" w:rsidRDefault="000F11D6" w:rsidP="0059511A">
      <w:pPr>
        <w:tabs>
          <w:tab w:val="left" w:pos="567"/>
        </w:tabs>
        <w:jc w:val="both"/>
        <w:rPr>
          <w:rFonts w:asciiTheme="majorHAnsi" w:eastAsia="Calibri" w:hAnsiTheme="majorHAnsi"/>
          <w:sz w:val="20"/>
          <w:szCs w:val="20"/>
          <w:lang w:val="es-VE"/>
        </w:rPr>
      </w:pPr>
    </w:p>
    <w:p w14:paraId="17981074" w14:textId="77777777" w:rsidR="009F70EA" w:rsidRPr="00386E47" w:rsidRDefault="00DF45EF" w:rsidP="003A5860">
      <w:pPr>
        <w:numPr>
          <w:ilvl w:val="0"/>
          <w:numId w:val="55"/>
        </w:numPr>
        <w:tabs>
          <w:tab w:val="left" w:pos="567"/>
        </w:tabs>
        <w:ind w:left="0" w:firstLine="0"/>
        <w:jc w:val="both"/>
        <w:rPr>
          <w:rFonts w:asciiTheme="majorHAnsi" w:eastAsia="Calibri" w:hAnsiTheme="majorHAnsi"/>
          <w:sz w:val="20"/>
          <w:szCs w:val="20"/>
          <w:lang w:val="es-VE"/>
        </w:rPr>
      </w:pPr>
      <w:r w:rsidRPr="00386E47">
        <w:rPr>
          <w:rFonts w:asciiTheme="majorHAnsi" w:eastAsia="Calibri" w:hAnsiTheme="majorHAnsi"/>
          <w:sz w:val="20"/>
          <w:szCs w:val="20"/>
          <w:lang w:val="es-AR"/>
        </w:rPr>
        <w:t>A</w:t>
      </w:r>
      <w:r w:rsidR="00887819" w:rsidRPr="00386E47">
        <w:rPr>
          <w:rFonts w:asciiTheme="majorHAnsi" w:eastAsia="Calibri" w:hAnsiTheme="majorHAnsi"/>
          <w:sz w:val="20"/>
          <w:szCs w:val="20"/>
          <w:lang w:val="es-AR"/>
        </w:rPr>
        <w:t xml:space="preserve"> solicitud de la parte peticionaria, </w:t>
      </w:r>
      <w:r w:rsidR="00181BFA" w:rsidRPr="00386E47">
        <w:rPr>
          <w:rFonts w:asciiTheme="majorHAnsi" w:eastAsia="Calibri" w:hAnsiTheme="majorHAnsi"/>
          <w:sz w:val="20"/>
          <w:szCs w:val="20"/>
          <w:lang w:val="es-AR"/>
        </w:rPr>
        <w:t>e</w:t>
      </w:r>
      <w:r w:rsidR="009F70EA" w:rsidRPr="00386E47">
        <w:rPr>
          <w:rFonts w:asciiTheme="majorHAnsi" w:eastAsia="Calibri" w:hAnsiTheme="majorHAnsi"/>
          <w:sz w:val="20"/>
          <w:szCs w:val="20"/>
          <w:lang w:val="es-AR"/>
        </w:rPr>
        <w:t>l 27 de julio de 2015</w:t>
      </w:r>
      <w:r w:rsidR="00181BFA" w:rsidRPr="00386E47">
        <w:rPr>
          <w:rFonts w:asciiTheme="majorHAnsi" w:eastAsia="Calibri" w:hAnsiTheme="majorHAnsi"/>
          <w:sz w:val="20"/>
          <w:szCs w:val="20"/>
          <w:lang w:val="es-AR"/>
        </w:rPr>
        <w:t xml:space="preserve"> </w:t>
      </w:r>
      <w:r w:rsidR="009F70EA" w:rsidRPr="00386E47">
        <w:rPr>
          <w:rFonts w:asciiTheme="majorHAnsi" w:eastAsia="Calibri" w:hAnsiTheme="majorHAnsi"/>
          <w:sz w:val="20"/>
          <w:szCs w:val="20"/>
          <w:lang w:val="es-AR"/>
        </w:rPr>
        <w:t xml:space="preserve">la Comisión </w:t>
      </w:r>
      <w:r w:rsidR="00D45F47" w:rsidRPr="00386E47">
        <w:rPr>
          <w:rFonts w:asciiTheme="majorHAnsi" w:eastAsia="Calibri" w:hAnsiTheme="majorHAnsi"/>
          <w:sz w:val="20"/>
          <w:szCs w:val="20"/>
          <w:lang w:val="es-AR"/>
        </w:rPr>
        <w:t>encomendó</w:t>
      </w:r>
      <w:r w:rsidR="0025691F" w:rsidRPr="00386E47">
        <w:rPr>
          <w:rFonts w:asciiTheme="majorHAnsi" w:eastAsia="Calibri" w:hAnsiTheme="majorHAnsi"/>
          <w:sz w:val="20"/>
          <w:szCs w:val="20"/>
          <w:lang w:val="es-AR"/>
        </w:rPr>
        <w:t xml:space="preserve"> </w:t>
      </w:r>
      <w:r w:rsidR="00181BFA" w:rsidRPr="00386E47">
        <w:rPr>
          <w:rFonts w:asciiTheme="majorHAnsi" w:eastAsia="Calibri" w:hAnsiTheme="majorHAnsi"/>
          <w:sz w:val="20"/>
          <w:szCs w:val="20"/>
          <w:lang w:val="es-AR"/>
        </w:rPr>
        <w:t xml:space="preserve">al </w:t>
      </w:r>
      <w:r w:rsidR="00170D9A" w:rsidRPr="00386E47">
        <w:rPr>
          <w:rFonts w:asciiTheme="majorHAnsi" w:eastAsia="Calibri" w:hAnsiTheme="majorHAnsi"/>
          <w:sz w:val="20"/>
          <w:szCs w:val="20"/>
          <w:lang w:val="es-AR"/>
        </w:rPr>
        <w:t xml:space="preserve">entonces </w:t>
      </w:r>
      <w:r w:rsidR="00181BFA" w:rsidRPr="00386E47">
        <w:rPr>
          <w:rFonts w:asciiTheme="majorHAnsi" w:eastAsia="Calibri" w:hAnsiTheme="majorHAnsi"/>
          <w:sz w:val="20"/>
          <w:szCs w:val="20"/>
          <w:lang w:val="es-AR"/>
        </w:rPr>
        <w:t>Comisionado Paulo Vanucchi, en su carácter de r</w:t>
      </w:r>
      <w:r w:rsidR="009F70EA" w:rsidRPr="00386E47">
        <w:rPr>
          <w:rFonts w:asciiTheme="majorHAnsi" w:eastAsia="Calibri" w:hAnsiTheme="majorHAnsi"/>
          <w:sz w:val="20"/>
          <w:szCs w:val="20"/>
          <w:lang w:val="es-AR"/>
        </w:rPr>
        <w:t>elator para Argentina, que asistiera</w:t>
      </w:r>
      <w:r w:rsidR="00181BFA" w:rsidRPr="00386E47">
        <w:rPr>
          <w:rFonts w:asciiTheme="majorHAnsi" w:eastAsia="Calibri" w:hAnsiTheme="majorHAnsi"/>
          <w:sz w:val="20"/>
          <w:szCs w:val="20"/>
          <w:lang w:val="es-AR"/>
        </w:rPr>
        <w:t xml:space="preserve"> en carácter de observador </w:t>
      </w:r>
      <w:r w:rsidR="009F70EA" w:rsidRPr="00386E47">
        <w:rPr>
          <w:rFonts w:asciiTheme="majorHAnsi" w:eastAsia="Calibri" w:hAnsiTheme="majorHAnsi"/>
          <w:sz w:val="20"/>
          <w:szCs w:val="20"/>
          <w:lang w:val="es-AR"/>
        </w:rPr>
        <w:t xml:space="preserve">a </w:t>
      </w:r>
      <w:r w:rsidR="00181BFA" w:rsidRPr="00386E47">
        <w:rPr>
          <w:rFonts w:asciiTheme="majorHAnsi" w:eastAsia="Calibri" w:hAnsiTheme="majorHAnsi"/>
          <w:sz w:val="20"/>
          <w:szCs w:val="20"/>
          <w:lang w:val="es-AR"/>
        </w:rPr>
        <w:t xml:space="preserve">la audiencia de apertura del juicio oral </w:t>
      </w:r>
      <w:r w:rsidR="00B0077C" w:rsidRPr="00386E47">
        <w:rPr>
          <w:rFonts w:asciiTheme="majorHAnsi" w:eastAsia="Calibri" w:hAnsiTheme="majorHAnsi"/>
          <w:sz w:val="20"/>
          <w:szCs w:val="20"/>
          <w:lang w:val="es-AR"/>
        </w:rPr>
        <w:t xml:space="preserve">celebrado ante el Tribunal Oral en lo Criminal Federal Nro. 2 por los hechos de </w:t>
      </w:r>
      <w:r w:rsidR="009F70EA" w:rsidRPr="00386E47">
        <w:rPr>
          <w:rFonts w:asciiTheme="majorHAnsi" w:eastAsia="Calibri" w:hAnsiTheme="majorHAnsi"/>
          <w:sz w:val="20"/>
          <w:szCs w:val="20"/>
          <w:lang w:val="es-AR"/>
        </w:rPr>
        <w:t>encubrimiento</w:t>
      </w:r>
      <w:r w:rsidR="00B0077C" w:rsidRPr="00386E47">
        <w:rPr>
          <w:rFonts w:asciiTheme="majorHAnsi" w:eastAsia="Calibri" w:hAnsiTheme="majorHAnsi"/>
          <w:sz w:val="20"/>
          <w:szCs w:val="20"/>
          <w:lang w:val="es-AR"/>
        </w:rPr>
        <w:t xml:space="preserve"> del atentado</w:t>
      </w:r>
      <w:r w:rsidR="009F70EA" w:rsidRPr="00386E47">
        <w:rPr>
          <w:rFonts w:asciiTheme="majorHAnsi" w:eastAsia="Calibri" w:hAnsiTheme="majorHAnsi"/>
          <w:sz w:val="20"/>
          <w:szCs w:val="20"/>
          <w:lang w:val="es-AR"/>
        </w:rPr>
        <w:t xml:space="preserve">. </w:t>
      </w:r>
    </w:p>
    <w:p w14:paraId="3FBBFD98" w14:textId="77777777" w:rsidR="00181BFA" w:rsidRPr="00386E47" w:rsidRDefault="00181BFA" w:rsidP="0059511A">
      <w:pPr>
        <w:tabs>
          <w:tab w:val="left" w:pos="567"/>
        </w:tabs>
        <w:jc w:val="both"/>
        <w:rPr>
          <w:rFonts w:asciiTheme="majorHAnsi" w:eastAsia="Calibri" w:hAnsiTheme="majorHAnsi"/>
          <w:sz w:val="20"/>
          <w:szCs w:val="20"/>
          <w:lang w:val="es-VE"/>
        </w:rPr>
      </w:pPr>
    </w:p>
    <w:p w14:paraId="29FC86B0" w14:textId="77777777" w:rsidR="00181BFA" w:rsidRPr="00386E47" w:rsidRDefault="009F70EA" w:rsidP="003A5860">
      <w:pPr>
        <w:numPr>
          <w:ilvl w:val="0"/>
          <w:numId w:val="55"/>
        </w:numPr>
        <w:tabs>
          <w:tab w:val="left" w:pos="567"/>
        </w:tabs>
        <w:ind w:left="0" w:firstLine="0"/>
        <w:jc w:val="both"/>
        <w:rPr>
          <w:rFonts w:asciiTheme="majorHAnsi" w:eastAsia="Calibri" w:hAnsiTheme="majorHAnsi"/>
          <w:sz w:val="20"/>
          <w:szCs w:val="20"/>
          <w:lang w:val="es-VE"/>
        </w:rPr>
      </w:pPr>
      <w:r w:rsidRPr="00386E47">
        <w:rPr>
          <w:rFonts w:asciiTheme="majorHAnsi" w:eastAsia="Calibri" w:hAnsiTheme="majorHAnsi"/>
          <w:sz w:val="20"/>
          <w:szCs w:val="20"/>
          <w:lang w:val="es-AR"/>
        </w:rPr>
        <w:t xml:space="preserve">El 7 de marzo de 2017, el Estado manifestó su voluntad de </w:t>
      </w:r>
      <w:r w:rsidR="00181BFA" w:rsidRPr="00386E47">
        <w:rPr>
          <w:rFonts w:asciiTheme="majorHAnsi" w:eastAsia="Calibri" w:hAnsiTheme="majorHAnsi"/>
          <w:sz w:val="20"/>
          <w:szCs w:val="20"/>
          <w:lang w:val="es-AR"/>
        </w:rPr>
        <w:t>reiniciar</w:t>
      </w:r>
      <w:r w:rsidRPr="00386E47">
        <w:rPr>
          <w:rFonts w:asciiTheme="majorHAnsi" w:eastAsia="Calibri" w:hAnsiTheme="majorHAnsi"/>
          <w:sz w:val="20"/>
          <w:szCs w:val="20"/>
          <w:lang w:val="es-AR"/>
        </w:rPr>
        <w:t xml:space="preserve"> </w:t>
      </w:r>
      <w:r w:rsidR="00CF0A8A" w:rsidRPr="00386E47">
        <w:rPr>
          <w:rFonts w:asciiTheme="majorHAnsi" w:eastAsia="Calibri" w:hAnsiTheme="majorHAnsi"/>
          <w:sz w:val="20"/>
          <w:szCs w:val="20"/>
          <w:lang w:val="es-AR"/>
        </w:rPr>
        <w:t xml:space="preserve">el </w:t>
      </w:r>
      <w:r w:rsidRPr="00386E47">
        <w:rPr>
          <w:rFonts w:asciiTheme="majorHAnsi" w:eastAsia="Calibri" w:hAnsiTheme="majorHAnsi"/>
          <w:sz w:val="20"/>
          <w:szCs w:val="20"/>
          <w:lang w:val="es-AR"/>
        </w:rPr>
        <w:t>proceso de solución amistosa.</w:t>
      </w:r>
      <w:r w:rsidR="00181BFA" w:rsidRPr="00386E47">
        <w:rPr>
          <w:rFonts w:asciiTheme="majorHAnsi" w:eastAsia="Calibri" w:hAnsiTheme="majorHAnsi"/>
          <w:sz w:val="20"/>
          <w:szCs w:val="20"/>
          <w:lang w:val="es-AR"/>
        </w:rPr>
        <w:t xml:space="preserve"> E</w:t>
      </w:r>
      <w:r w:rsidRPr="00386E47">
        <w:rPr>
          <w:rFonts w:asciiTheme="majorHAnsi" w:eastAsia="Calibri" w:hAnsiTheme="majorHAnsi"/>
          <w:sz w:val="20"/>
          <w:szCs w:val="20"/>
          <w:lang w:val="es-AR"/>
        </w:rPr>
        <w:t xml:space="preserve">l </w:t>
      </w:r>
      <w:r w:rsidR="0059511A" w:rsidRPr="00386E47">
        <w:rPr>
          <w:rFonts w:asciiTheme="majorHAnsi" w:eastAsia="Calibri" w:hAnsiTheme="majorHAnsi"/>
          <w:sz w:val="20"/>
          <w:szCs w:val="20"/>
          <w:lang w:val="es-AR"/>
        </w:rPr>
        <w:t xml:space="preserve">15 de mayo de 2017 </w:t>
      </w:r>
      <w:r w:rsidRPr="00386E47">
        <w:rPr>
          <w:rFonts w:asciiTheme="majorHAnsi" w:eastAsia="Calibri" w:hAnsiTheme="majorHAnsi"/>
          <w:sz w:val="20"/>
          <w:szCs w:val="20"/>
          <w:lang w:val="es-AR"/>
        </w:rPr>
        <w:t xml:space="preserve">los peticionarios </w:t>
      </w:r>
      <w:r w:rsidR="00181BFA" w:rsidRPr="00386E47">
        <w:rPr>
          <w:rFonts w:asciiTheme="majorHAnsi" w:eastAsia="Calibri" w:hAnsiTheme="majorHAnsi"/>
          <w:sz w:val="20"/>
          <w:szCs w:val="20"/>
          <w:lang w:val="es-AR"/>
        </w:rPr>
        <w:t xml:space="preserve">rechazaron la propuesta y reiteraron </w:t>
      </w:r>
      <w:r w:rsidRPr="00386E47">
        <w:rPr>
          <w:rFonts w:asciiTheme="majorHAnsi" w:eastAsia="Calibri" w:hAnsiTheme="majorHAnsi"/>
          <w:sz w:val="20"/>
          <w:szCs w:val="20"/>
          <w:lang w:val="es-AR"/>
        </w:rPr>
        <w:t xml:space="preserve">su </w:t>
      </w:r>
      <w:r w:rsidR="00181BFA" w:rsidRPr="00386E47">
        <w:rPr>
          <w:rFonts w:asciiTheme="majorHAnsi" w:eastAsia="Calibri" w:hAnsiTheme="majorHAnsi"/>
          <w:sz w:val="20"/>
          <w:szCs w:val="20"/>
          <w:lang w:val="es-AR"/>
        </w:rPr>
        <w:t xml:space="preserve">voluntad </w:t>
      </w:r>
      <w:r w:rsidRPr="00386E47">
        <w:rPr>
          <w:rFonts w:asciiTheme="majorHAnsi" w:eastAsia="Calibri" w:hAnsiTheme="majorHAnsi"/>
          <w:sz w:val="20"/>
          <w:szCs w:val="20"/>
          <w:lang w:val="es-AR"/>
        </w:rPr>
        <w:t>de continuar con</w:t>
      </w:r>
      <w:r w:rsidR="005C7C9D" w:rsidRPr="00386E47">
        <w:rPr>
          <w:rFonts w:asciiTheme="majorHAnsi" w:eastAsia="Calibri" w:hAnsiTheme="majorHAnsi"/>
          <w:sz w:val="20"/>
          <w:szCs w:val="20"/>
          <w:lang w:val="es-AR"/>
        </w:rPr>
        <w:t xml:space="preserve"> el</w:t>
      </w:r>
      <w:r w:rsidRPr="00386E47">
        <w:rPr>
          <w:rFonts w:asciiTheme="majorHAnsi" w:eastAsia="Calibri" w:hAnsiTheme="majorHAnsi"/>
          <w:sz w:val="20"/>
          <w:szCs w:val="20"/>
          <w:lang w:val="es-AR"/>
        </w:rPr>
        <w:t xml:space="preserve"> </w:t>
      </w:r>
      <w:r w:rsidR="005C7C9D" w:rsidRPr="00386E47">
        <w:rPr>
          <w:rFonts w:asciiTheme="majorHAnsi" w:eastAsia="Calibri" w:hAnsiTheme="majorHAnsi"/>
          <w:sz w:val="20"/>
          <w:szCs w:val="20"/>
          <w:lang w:val="es-AR"/>
        </w:rPr>
        <w:t>trámite</w:t>
      </w:r>
      <w:r w:rsidR="00181BFA" w:rsidRPr="00386E47">
        <w:rPr>
          <w:rFonts w:asciiTheme="majorHAnsi" w:eastAsia="Calibri" w:hAnsiTheme="majorHAnsi"/>
          <w:sz w:val="20"/>
          <w:szCs w:val="20"/>
          <w:lang w:val="es-AR"/>
        </w:rPr>
        <w:t xml:space="preserve"> de admisibilidad y fondo ante la Comisión</w:t>
      </w:r>
      <w:r w:rsidRPr="00386E47">
        <w:rPr>
          <w:rFonts w:asciiTheme="majorHAnsi" w:eastAsia="Calibri" w:hAnsiTheme="majorHAnsi"/>
          <w:sz w:val="20"/>
          <w:szCs w:val="20"/>
          <w:lang w:val="es-AR"/>
        </w:rPr>
        <w:t>.</w:t>
      </w:r>
    </w:p>
    <w:p w14:paraId="57C7D8F1" w14:textId="77777777" w:rsidR="000F11D6" w:rsidRPr="00386E47" w:rsidRDefault="000F11D6" w:rsidP="0059511A">
      <w:pPr>
        <w:tabs>
          <w:tab w:val="left" w:pos="567"/>
        </w:tabs>
        <w:jc w:val="both"/>
        <w:rPr>
          <w:rFonts w:asciiTheme="majorHAnsi" w:eastAsia="Calibri" w:hAnsiTheme="majorHAnsi"/>
          <w:sz w:val="20"/>
          <w:szCs w:val="20"/>
          <w:lang w:val="es-VE"/>
        </w:rPr>
      </w:pPr>
    </w:p>
    <w:p w14:paraId="28DA6893" w14:textId="77777777" w:rsidR="000F11D6" w:rsidRPr="00386E47" w:rsidRDefault="004F16B0" w:rsidP="003A5860">
      <w:pPr>
        <w:numPr>
          <w:ilvl w:val="0"/>
          <w:numId w:val="55"/>
        </w:numPr>
        <w:tabs>
          <w:tab w:val="left" w:pos="567"/>
        </w:tabs>
        <w:ind w:left="0" w:firstLine="0"/>
        <w:jc w:val="both"/>
        <w:rPr>
          <w:rFonts w:asciiTheme="majorHAnsi" w:eastAsia="Calibri" w:hAnsiTheme="majorHAnsi"/>
          <w:sz w:val="20"/>
          <w:szCs w:val="20"/>
          <w:lang w:val="es-VE"/>
        </w:rPr>
      </w:pPr>
      <w:r w:rsidRPr="00386E47">
        <w:rPr>
          <w:rFonts w:asciiTheme="majorHAnsi" w:eastAsia="Calibri" w:hAnsiTheme="majorHAnsi"/>
          <w:sz w:val="20"/>
          <w:szCs w:val="20"/>
          <w:lang w:val="es-AR"/>
        </w:rPr>
        <w:t>Por último, durante el 174</w:t>
      </w:r>
      <w:r w:rsidR="00B0077C" w:rsidRPr="00386E47">
        <w:rPr>
          <w:rFonts w:asciiTheme="majorHAnsi" w:eastAsia="Calibri" w:hAnsiTheme="majorHAnsi"/>
          <w:sz w:val="20"/>
          <w:szCs w:val="20"/>
          <w:lang w:val="es-AR"/>
        </w:rPr>
        <w:t>°</w:t>
      </w:r>
      <w:r w:rsidRPr="00386E47">
        <w:rPr>
          <w:rFonts w:asciiTheme="majorHAnsi" w:eastAsia="Calibri" w:hAnsiTheme="majorHAnsi"/>
          <w:sz w:val="20"/>
          <w:szCs w:val="20"/>
          <w:lang w:val="es-AR"/>
        </w:rPr>
        <w:t xml:space="preserve"> periodo de sesiones celebrado en la ciudad de Quito, Ecuador entre los días 8 a 14 del me</w:t>
      </w:r>
      <w:r w:rsidR="00B0077C" w:rsidRPr="00386E47">
        <w:rPr>
          <w:rFonts w:asciiTheme="majorHAnsi" w:eastAsia="Calibri" w:hAnsiTheme="majorHAnsi"/>
          <w:sz w:val="20"/>
          <w:szCs w:val="20"/>
          <w:lang w:val="es-AR"/>
        </w:rPr>
        <w:t xml:space="preserve">s de noviembre de 2019, la CIDH, </w:t>
      </w:r>
      <w:r w:rsidRPr="00386E47">
        <w:rPr>
          <w:rFonts w:asciiTheme="majorHAnsi" w:eastAsia="Calibri" w:hAnsiTheme="majorHAnsi"/>
          <w:sz w:val="20"/>
          <w:szCs w:val="20"/>
          <w:lang w:val="es-AR"/>
        </w:rPr>
        <w:t>en aplicación de los artículo</w:t>
      </w:r>
      <w:r w:rsidR="00B0077C" w:rsidRPr="00386E47">
        <w:rPr>
          <w:rFonts w:asciiTheme="majorHAnsi" w:eastAsia="Calibri" w:hAnsiTheme="majorHAnsi"/>
          <w:sz w:val="20"/>
          <w:szCs w:val="20"/>
          <w:lang w:val="es-AR"/>
        </w:rPr>
        <w:t xml:space="preserve">s 30.5 y 37.5 de su </w:t>
      </w:r>
      <w:r w:rsidR="00E80709" w:rsidRPr="00386E47">
        <w:rPr>
          <w:rFonts w:asciiTheme="majorHAnsi" w:eastAsia="Calibri" w:hAnsiTheme="majorHAnsi"/>
          <w:sz w:val="20"/>
          <w:szCs w:val="20"/>
          <w:lang w:val="es-AR"/>
        </w:rPr>
        <w:t>reglamento, convocó</w:t>
      </w:r>
      <w:r w:rsidRPr="00386E47">
        <w:rPr>
          <w:rFonts w:asciiTheme="majorHAnsi" w:eastAsia="Calibri" w:hAnsiTheme="majorHAnsi"/>
          <w:sz w:val="20"/>
          <w:szCs w:val="20"/>
          <w:lang w:val="es-AR"/>
        </w:rPr>
        <w:t xml:space="preserve"> a los peticionarios y al Estado argentino a una audiencia</w:t>
      </w:r>
      <w:r w:rsidR="00B0077C" w:rsidRPr="00386E47">
        <w:rPr>
          <w:rFonts w:asciiTheme="majorHAnsi" w:eastAsia="Calibri" w:hAnsiTheme="majorHAnsi"/>
          <w:sz w:val="20"/>
          <w:szCs w:val="20"/>
          <w:lang w:val="es-AR"/>
        </w:rPr>
        <w:t xml:space="preserve"> oral</w:t>
      </w:r>
      <w:r w:rsidRPr="00386E47">
        <w:rPr>
          <w:rFonts w:asciiTheme="majorHAnsi" w:eastAsia="Calibri" w:hAnsiTheme="majorHAnsi"/>
          <w:sz w:val="20"/>
          <w:szCs w:val="20"/>
          <w:lang w:val="es-AR"/>
        </w:rPr>
        <w:t xml:space="preserve">. En dicha oportunidad la Comisión recibió las declaraciones testimoniales de las señoras </w:t>
      </w:r>
      <w:r w:rsidR="008156EC" w:rsidRPr="00386E47">
        <w:rPr>
          <w:rFonts w:asciiTheme="majorHAnsi" w:eastAsia="Calibri" w:hAnsiTheme="majorHAnsi"/>
          <w:sz w:val="20"/>
          <w:szCs w:val="20"/>
          <w:lang w:val="es-US"/>
        </w:rPr>
        <w:t xml:space="preserve">Diana Wassner y Adriana </w:t>
      </w:r>
      <w:r w:rsidRPr="00386E47">
        <w:rPr>
          <w:rFonts w:asciiTheme="majorHAnsi" w:eastAsia="Calibri" w:hAnsiTheme="majorHAnsi"/>
          <w:sz w:val="20"/>
          <w:szCs w:val="20"/>
          <w:lang w:val="es-US"/>
        </w:rPr>
        <w:t xml:space="preserve">Reisfeld, ofrecidas por la parte peticionaria y escuchó las consideraciones efectuadas tanto por </w:t>
      </w:r>
      <w:r w:rsidR="000F11D6" w:rsidRPr="00386E47">
        <w:rPr>
          <w:rFonts w:asciiTheme="majorHAnsi" w:eastAsia="Calibri" w:hAnsiTheme="majorHAnsi"/>
          <w:sz w:val="20"/>
          <w:szCs w:val="20"/>
          <w:lang w:val="es-US"/>
        </w:rPr>
        <w:t>los representantes de los peticionarios como por los del</w:t>
      </w:r>
      <w:r w:rsidRPr="00386E47">
        <w:rPr>
          <w:rFonts w:asciiTheme="majorHAnsi" w:eastAsia="Calibri" w:hAnsiTheme="majorHAnsi"/>
          <w:sz w:val="20"/>
          <w:szCs w:val="20"/>
          <w:lang w:val="es-US"/>
        </w:rPr>
        <w:t xml:space="preserve"> Estado</w:t>
      </w:r>
      <w:r w:rsidRPr="00386E47">
        <w:rPr>
          <w:rStyle w:val="FootnoteReference"/>
          <w:rFonts w:asciiTheme="majorHAnsi" w:eastAsia="Calibri" w:hAnsiTheme="majorHAnsi"/>
          <w:sz w:val="20"/>
          <w:szCs w:val="20"/>
          <w:lang w:val="es-US"/>
        </w:rPr>
        <w:footnoteReference w:id="4"/>
      </w:r>
      <w:r w:rsidRPr="00386E47">
        <w:rPr>
          <w:rFonts w:asciiTheme="majorHAnsi" w:eastAsia="Calibri" w:hAnsiTheme="majorHAnsi"/>
          <w:sz w:val="20"/>
          <w:szCs w:val="20"/>
          <w:lang w:val="es-US"/>
        </w:rPr>
        <w:t>.</w:t>
      </w:r>
    </w:p>
    <w:p w14:paraId="5DEA8CC4" w14:textId="77777777" w:rsidR="00BB147E" w:rsidRPr="00386E47" w:rsidRDefault="00BB147E" w:rsidP="00BB147E">
      <w:pPr>
        <w:tabs>
          <w:tab w:val="left" w:pos="567"/>
        </w:tabs>
        <w:contextualSpacing/>
        <w:jc w:val="both"/>
        <w:rPr>
          <w:rFonts w:asciiTheme="majorHAnsi" w:eastAsia="Calibri" w:hAnsiTheme="majorHAnsi"/>
          <w:sz w:val="20"/>
          <w:szCs w:val="20"/>
          <w:lang w:val="es-AR"/>
        </w:rPr>
      </w:pPr>
    </w:p>
    <w:p w14:paraId="0A273258" w14:textId="77777777" w:rsidR="004F16B0" w:rsidRPr="00386E47" w:rsidRDefault="004F16B0" w:rsidP="004F16B0">
      <w:pPr>
        <w:pStyle w:val="Heading1"/>
        <w:rPr>
          <w:rFonts w:asciiTheme="majorHAnsi" w:hAnsiTheme="majorHAnsi"/>
        </w:rPr>
      </w:pPr>
      <w:bookmarkStart w:id="4" w:name="_Toc25252201"/>
      <w:bookmarkStart w:id="5" w:name="_Toc51252182"/>
      <w:r w:rsidRPr="00386E47">
        <w:rPr>
          <w:rFonts w:asciiTheme="majorHAnsi" w:hAnsiTheme="majorHAnsi"/>
        </w:rPr>
        <w:t>POSICIONES</w:t>
      </w:r>
      <w:r w:rsidR="009F70EA" w:rsidRPr="00386E47">
        <w:rPr>
          <w:rFonts w:asciiTheme="majorHAnsi" w:hAnsiTheme="majorHAnsi"/>
        </w:rPr>
        <w:t xml:space="preserve"> DE LAS PARTES</w:t>
      </w:r>
      <w:bookmarkEnd w:id="4"/>
      <w:bookmarkEnd w:id="5"/>
    </w:p>
    <w:p w14:paraId="1CC3061B" w14:textId="77777777" w:rsidR="009F70EA" w:rsidRPr="00386E47" w:rsidRDefault="009F70EA" w:rsidP="009146F2">
      <w:pPr>
        <w:pStyle w:val="Heading2"/>
        <w:numPr>
          <w:ilvl w:val="0"/>
          <w:numId w:val="64"/>
        </w:numPr>
        <w:rPr>
          <w:rFonts w:asciiTheme="majorHAnsi" w:hAnsiTheme="majorHAnsi"/>
        </w:rPr>
      </w:pPr>
      <w:bookmarkStart w:id="6" w:name="_Toc25252202"/>
      <w:bookmarkStart w:id="7" w:name="_Toc51252183"/>
      <w:r w:rsidRPr="00386E47">
        <w:rPr>
          <w:rFonts w:asciiTheme="majorHAnsi" w:hAnsiTheme="majorHAnsi"/>
        </w:rPr>
        <w:t>Parte peticionaria</w:t>
      </w:r>
      <w:bookmarkEnd w:id="6"/>
      <w:bookmarkEnd w:id="7"/>
      <w:r w:rsidRPr="00386E47">
        <w:rPr>
          <w:rFonts w:asciiTheme="majorHAnsi" w:hAnsiTheme="majorHAnsi"/>
        </w:rPr>
        <w:t xml:space="preserve"> </w:t>
      </w:r>
    </w:p>
    <w:p w14:paraId="00CDECC4" w14:textId="77777777" w:rsidR="009F70EA" w:rsidRPr="00386E47" w:rsidRDefault="009F70EA" w:rsidP="005A5C09">
      <w:pPr>
        <w:ind w:left="720"/>
        <w:contextualSpacing/>
        <w:jc w:val="both"/>
        <w:rPr>
          <w:rFonts w:asciiTheme="majorHAnsi" w:eastAsia="Calibri" w:hAnsiTheme="majorHAnsi"/>
          <w:sz w:val="20"/>
          <w:szCs w:val="20"/>
          <w:lang w:val="es-US"/>
        </w:rPr>
      </w:pPr>
    </w:p>
    <w:p w14:paraId="7700BC18" w14:textId="77777777" w:rsidR="0053441A" w:rsidRPr="00386E47" w:rsidRDefault="009F70EA" w:rsidP="003A5860">
      <w:pPr>
        <w:numPr>
          <w:ilvl w:val="0"/>
          <w:numId w:val="55"/>
        </w:numPr>
        <w:tabs>
          <w:tab w:val="left" w:pos="567"/>
        </w:tabs>
        <w:ind w:left="0" w:firstLine="0"/>
        <w:jc w:val="both"/>
        <w:rPr>
          <w:rFonts w:asciiTheme="majorHAnsi" w:eastAsia="Calibri" w:hAnsiTheme="majorHAnsi"/>
          <w:sz w:val="20"/>
          <w:szCs w:val="20"/>
          <w:lang w:val="es-US"/>
        </w:rPr>
      </w:pPr>
      <w:r w:rsidRPr="00386E47">
        <w:rPr>
          <w:rFonts w:asciiTheme="majorHAnsi" w:eastAsia="Calibri" w:hAnsiTheme="majorHAnsi"/>
          <w:sz w:val="20"/>
          <w:szCs w:val="20"/>
          <w:lang w:val="es-US"/>
        </w:rPr>
        <w:t>La parte peticionaria</w:t>
      </w:r>
      <w:r w:rsidR="0053441A" w:rsidRPr="00386E47">
        <w:rPr>
          <w:rFonts w:asciiTheme="majorHAnsi" w:eastAsia="Calibri" w:hAnsiTheme="majorHAnsi"/>
          <w:sz w:val="20"/>
          <w:szCs w:val="20"/>
          <w:lang w:val="es-US"/>
        </w:rPr>
        <w:t xml:space="preserve"> relató</w:t>
      </w:r>
      <w:r w:rsidRPr="00386E47">
        <w:rPr>
          <w:rFonts w:asciiTheme="majorHAnsi" w:eastAsia="Calibri" w:hAnsiTheme="majorHAnsi"/>
          <w:sz w:val="20"/>
          <w:szCs w:val="20"/>
          <w:lang w:val="es-US"/>
        </w:rPr>
        <w:t xml:space="preserve"> que el atentado </w:t>
      </w:r>
      <w:r w:rsidR="0053441A" w:rsidRPr="00386E47">
        <w:rPr>
          <w:rFonts w:asciiTheme="majorHAnsi" w:eastAsia="Calibri" w:hAnsiTheme="majorHAnsi"/>
          <w:sz w:val="20"/>
          <w:szCs w:val="20"/>
          <w:lang w:val="es-US"/>
        </w:rPr>
        <w:t xml:space="preserve">tuvo lugar a las 09:53 horas del </w:t>
      </w:r>
      <w:r w:rsidR="00430CA7" w:rsidRPr="00386E47">
        <w:rPr>
          <w:rFonts w:asciiTheme="majorHAnsi" w:eastAsia="Calibri" w:hAnsiTheme="majorHAnsi"/>
          <w:sz w:val="20"/>
          <w:szCs w:val="20"/>
          <w:lang w:val="es-US"/>
        </w:rPr>
        <w:t>día</w:t>
      </w:r>
      <w:r w:rsidR="0053441A" w:rsidRPr="00386E47">
        <w:rPr>
          <w:rFonts w:asciiTheme="majorHAnsi" w:eastAsia="Calibri" w:hAnsiTheme="majorHAnsi"/>
          <w:sz w:val="20"/>
          <w:szCs w:val="20"/>
          <w:lang w:val="es-US"/>
        </w:rPr>
        <w:t xml:space="preserve"> lunes 18 de julio de 1994 cuando una camioneta Renault Trafic que portaba en su interior una importante carga explosiva se estrelló contra la entrada del edificio que albergaba la sede de la </w:t>
      </w:r>
      <w:r w:rsidR="00F063CB" w:rsidRPr="00386E47">
        <w:rPr>
          <w:rFonts w:asciiTheme="majorHAnsi" w:eastAsia="Calibri" w:hAnsiTheme="majorHAnsi"/>
          <w:sz w:val="20"/>
          <w:szCs w:val="20"/>
          <w:lang w:val="es-US"/>
        </w:rPr>
        <w:t>Asociación</w:t>
      </w:r>
      <w:r w:rsidR="0053441A" w:rsidRPr="00386E47">
        <w:rPr>
          <w:rFonts w:asciiTheme="majorHAnsi" w:eastAsia="Calibri" w:hAnsiTheme="majorHAnsi"/>
          <w:sz w:val="20"/>
          <w:szCs w:val="20"/>
          <w:lang w:val="es-US"/>
        </w:rPr>
        <w:t xml:space="preserve"> Mutual Israelita Argentina</w:t>
      </w:r>
      <w:r w:rsidR="00EF0CA9" w:rsidRPr="00386E47">
        <w:rPr>
          <w:rFonts w:asciiTheme="majorHAnsi" w:eastAsia="Calibri" w:hAnsiTheme="majorHAnsi"/>
          <w:sz w:val="20"/>
          <w:szCs w:val="20"/>
          <w:lang w:val="es-US"/>
        </w:rPr>
        <w:t>, situado</w:t>
      </w:r>
      <w:r w:rsidR="0053441A" w:rsidRPr="00386E47">
        <w:rPr>
          <w:rFonts w:asciiTheme="majorHAnsi" w:eastAsia="Calibri" w:hAnsiTheme="majorHAnsi"/>
          <w:sz w:val="20"/>
          <w:szCs w:val="20"/>
          <w:lang w:val="es-US"/>
        </w:rPr>
        <w:t xml:space="preserve"> en la calle Pasteur 633 de la ciudad de Buenos Aires. </w:t>
      </w:r>
      <w:r w:rsidR="007C5348" w:rsidRPr="00386E47">
        <w:rPr>
          <w:rFonts w:asciiTheme="majorHAnsi" w:eastAsia="Calibri" w:hAnsiTheme="majorHAnsi"/>
          <w:sz w:val="20"/>
          <w:szCs w:val="20"/>
          <w:lang w:val="es-US"/>
        </w:rPr>
        <w:t xml:space="preserve">A raíz de la </w:t>
      </w:r>
      <w:r w:rsidR="00F063CB" w:rsidRPr="00386E47">
        <w:rPr>
          <w:rFonts w:asciiTheme="majorHAnsi" w:eastAsia="Calibri" w:hAnsiTheme="majorHAnsi"/>
          <w:sz w:val="20"/>
          <w:szCs w:val="20"/>
          <w:lang w:val="es-US"/>
        </w:rPr>
        <w:t>explosión</w:t>
      </w:r>
      <w:r w:rsidR="007C5348" w:rsidRPr="00386E47">
        <w:rPr>
          <w:rFonts w:asciiTheme="majorHAnsi" w:eastAsia="Calibri" w:hAnsiTheme="majorHAnsi"/>
          <w:sz w:val="20"/>
          <w:szCs w:val="20"/>
          <w:lang w:val="es-US"/>
        </w:rPr>
        <w:t xml:space="preserve">, </w:t>
      </w:r>
      <w:r w:rsidR="0053441A" w:rsidRPr="00386E47">
        <w:rPr>
          <w:rFonts w:asciiTheme="majorHAnsi" w:eastAsia="Calibri" w:hAnsiTheme="majorHAnsi"/>
          <w:sz w:val="20"/>
          <w:szCs w:val="20"/>
          <w:lang w:val="es-US"/>
        </w:rPr>
        <w:t xml:space="preserve">85 personas perdieron la vida y </w:t>
      </w:r>
      <w:r w:rsidR="00E80709" w:rsidRPr="00386E47">
        <w:rPr>
          <w:rFonts w:asciiTheme="majorHAnsi" w:eastAsia="Calibri" w:hAnsiTheme="majorHAnsi"/>
          <w:sz w:val="20"/>
          <w:szCs w:val="20"/>
          <w:lang w:val="es-US"/>
        </w:rPr>
        <w:t xml:space="preserve">al menos </w:t>
      </w:r>
      <w:r w:rsidR="0053441A" w:rsidRPr="00386E47">
        <w:rPr>
          <w:rFonts w:asciiTheme="majorHAnsi" w:eastAsia="Calibri" w:hAnsiTheme="majorHAnsi"/>
          <w:sz w:val="20"/>
          <w:szCs w:val="20"/>
          <w:lang w:val="es-US"/>
        </w:rPr>
        <w:t xml:space="preserve">otras 151 </w:t>
      </w:r>
      <w:r w:rsidR="00E80709" w:rsidRPr="00386E47">
        <w:rPr>
          <w:rFonts w:asciiTheme="majorHAnsi" w:eastAsia="Calibri" w:hAnsiTheme="majorHAnsi"/>
          <w:sz w:val="20"/>
          <w:szCs w:val="20"/>
          <w:lang w:val="es-US"/>
        </w:rPr>
        <w:t xml:space="preserve">personas </w:t>
      </w:r>
      <w:r w:rsidR="0053441A" w:rsidRPr="00386E47">
        <w:rPr>
          <w:rFonts w:asciiTheme="majorHAnsi" w:eastAsia="Calibri" w:hAnsiTheme="majorHAnsi"/>
          <w:sz w:val="20"/>
          <w:szCs w:val="20"/>
          <w:lang w:val="es-US"/>
        </w:rPr>
        <w:t xml:space="preserve">resultaron con heridas de diversa </w:t>
      </w:r>
      <w:r w:rsidR="00F063CB" w:rsidRPr="00386E47">
        <w:rPr>
          <w:rFonts w:asciiTheme="majorHAnsi" w:eastAsia="Calibri" w:hAnsiTheme="majorHAnsi"/>
          <w:sz w:val="20"/>
          <w:szCs w:val="20"/>
          <w:lang w:val="es-US"/>
        </w:rPr>
        <w:t>consideración</w:t>
      </w:r>
      <w:r w:rsidR="0053441A" w:rsidRPr="00386E47">
        <w:rPr>
          <w:rFonts w:asciiTheme="majorHAnsi" w:eastAsia="Calibri" w:hAnsiTheme="majorHAnsi"/>
          <w:sz w:val="20"/>
          <w:szCs w:val="20"/>
          <w:lang w:val="es-US"/>
        </w:rPr>
        <w:t xml:space="preserve">. </w:t>
      </w:r>
    </w:p>
    <w:p w14:paraId="723CDAF4" w14:textId="77777777" w:rsidR="00E46C67" w:rsidRPr="00386E47" w:rsidRDefault="00E46C67" w:rsidP="0084645E">
      <w:pPr>
        <w:jc w:val="both"/>
        <w:rPr>
          <w:rFonts w:asciiTheme="majorHAnsi" w:eastAsia="Calibri" w:hAnsiTheme="majorHAnsi"/>
          <w:sz w:val="20"/>
          <w:szCs w:val="20"/>
          <w:lang w:val="es-US"/>
        </w:rPr>
      </w:pPr>
    </w:p>
    <w:p w14:paraId="23A8C026" w14:textId="77777777" w:rsidR="007C5348" w:rsidRPr="00386E47" w:rsidRDefault="007C5348" w:rsidP="003A5860">
      <w:pPr>
        <w:numPr>
          <w:ilvl w:val="0"/>
          <w:numId w:val="55"/>
        </w:numPr>
        <w:tabs>
          <w:tab w:val="left" w:pos="567"/>
        </w:tabs>
        <w:ind w:left="0" w:firstLine="0"/>
        <w:jc w:val="both"/>
        <w:rPr>
          <w:rFonts w:asciiTheme="majorHAnsi" w:eastAsia="Calibri" w:hAnsiTheme="majorHAnsi"/>
          <w:sz w:val="20"/>
          <w:szCs w:val="20"/>
          <w:lang w:val="es-US"/>
        </w:rPr>
      </w:pPr>
      <w:r w:rsidRPr="00386E47">
        <w:rPr>
          <w:rFonts w:asciiTheme="majorHAnsi" w:eastAsia="Calibri" w:hAnsiTheme="majorHAnsi"/>
          <w:sz w:val="20"/>
          <w:szCs w:val="20"/>
          <w:lang w:val="es-US"/>
        </w:rPr>
        <w:t xml:space="preserve">De manera general, los peticionarios sostuvieron que el atentado a la AMIA es uno de los hitos más trágicos de la historia reciente de Argentina y de la </w:t>
      </w:r>
      <w:r w:rsidR="00430CA7" w:rsidRPr="00386E47">
        <w:rPr>
          <w:rFonts w:asciiTheme="majorHAnsi" w:eastAsia="Calibri" w:hAnsiTheme="majorHAnsi"/>
          <w:sz w:val="20"/>
          <w:szCs w:val="20"/>
          <w:lang w:val="es-US"/>
        </w:rPr>
        <w:t>región</w:t>
      </w:r>
      <w:r w:rsidR="00E80709" w:rsidRPr="00386E47">
        <w:rPr>
          <w:rFonts w:asciiTheme="majorHAnsi" w:eastAsia="Calibri" w:hAnsiTheme="majorHAnsi"/>
          <w:sz w:val="20"/>
          <w:szCs w:val="20"/>
          <w:lang w:val="es-US"/>
        </w:rPr>
        <w:t>, el cual</w:t>
      </w:r>
      <w:r w:rsidRPr="00386E47">
        <w:rPr>
          <w:rFonts w:asciiTheme="majorHAnsi" w:eastAsia="Calibri" w:hAnsiTheme="majorHAnsi"/>
          <w:sz w:val="20"/>
          <w:szCs w:val="20"/>
          <w:lang w:val="es-US"/>
        </w:rPr>
        <w:t xml:space="preserve">- </w:t>
      </w:r>
      <w:r w:rsidR="00E80709" w:rsidRPr="00386E47">
        <w:rPr>
          <w:rFonts w:asciiTheme="majorHAnsi" w:eastAsia="Calibri" w:hAnsiTheme="majorHAnsi"/>
          <w:sz w:val="20"/>
          <w:szCs w:val="20"/>
          <w:lang w:val="es-US"/>
        </w:rPr>
        <w:t>a</w:t>
      </w:r>
      <w:r w:rsidRPr="00386E47">
        <w:rPr>
          <w:rFonts w:asciiTheme="majorHAnsi" w:eastAsia="Calibri" w:hAnsiTheme="majorHAnsi"/>
          <w:sz w:val="20"/>
          <w:szCs w:val="20"/>
          <w:lang w:val="es-US"/>
        </w:rPr>
        <w:t xml:space="preserve"> </w:t>
      </w:r>
      <w:r w:rsidR="00430CA7" w:rsidRPr="00386E47">
        <w:rPr>
          <w:rFonts w:asciiTheme="majorHAnsi" w:eastAsia="Calibri" w:hAnsiTheme="majorHAnsi"/>
          <w:sz w:val="20"/>
          <w:szCs w:val="20"/>
          <w:lang w:val="es-US"/>
        </w:rPr>
        <w:t>más</w:t>
      </w:r>
      <w:r w:rsidRPr="00386E47">
        <w:rPr>
          <w:rFonts w:asciiTheme="majorHAnsi" w:eastAsia="Calibri" w:hAnsiTheme="majorHAnsi"/>
          <w:sz w:val="20"/>
          <w:szCs w:val="20"/>
          <w:lang w:val="es-US"/>
        </w:rPr>
        <w:t xml:space="preserve"> de 25 años de los hechos - aún permanece impune, </w:t>
      </w:r>
      <w:r w:rsidR="00E80709" w:rsidRPr="00386E47">
        <w:rPr>
          <w:rFonts w:asciiTheme="majorHAnsi" w:eastAsia="Calibri" w:hAnsiTheme="majorHAnsi"/>
          <w:sz w:val="20"/>
          <w:szCs w:val="20"/>
          <w:lang w:val="es-US"/>
        </w:rPr>
        <w:t>ya</w:t>
      </w:r>
      <w:r w:rsidRPr="00386E47">
        <w:rPr>
          <w:rFonts w:asciiTheme="majorHAnsi" w:eastAsia="Calibri" w:hAnsiTheme="majorHAnsi"/>
          <w:sz w:val="20"/>
          <w:szCs w:val="20"/>
          <w:lang w:val="es-US"/>
        </w:rPr>
        <w:t xml:space="preserve"> que Estado argentino no brindó respuesta alguna que perm</w:t>
      </w:r>
      <w:r w:rsidR="00E80709" w:rsidRPr="00386E47">
        <w:rPr>
          <w:rFonts w:asciiTheme="majorHAnsi" w:eastAsia="Calibri" w:hAnsiTheme="majorHAnsi"/>
          <w:sz w:val="20"/>
          <w:szCs w:val="20"/>
          <w:lang w:val="es-US"/>
        </w:rPr>
        <w:t>ita esclarecer lo ocurrido. Esta situación de impunidad</w:t>
      </w:r>
      <w:r w:rsidRPr="00386E47">
        <w:rPr>
          <w:rFonts w:asciiTheme="majorHAnsi" w:eastAsia="Calibri" w:hAnsiTheme="majorHAnsi"/>
          <w:sz w:val="20"/>
          <w:szCs w:val="20"/>
          <w:lang w:val="es-US"/>
        </w:rPr>
        <w:t>, argumentaron, no se debe a la complejidad del hecho sino a la manipulación política y al encubrimiento estatal deliberado que han afectado el caso desde sus inicios.</w:t>
      </w:r>
    </w:p>
    <w:p w14:paraId="1BE02EE0" w14:textId="77777777" w:rsidR="007C5348" w:rsidRPr="00386E47" w:rsidRDefault="007C5348" w:rsidP="007C5348">
      <w:pPr>
        <w:tabs>
          <w:tab w:val="left" w:pos="567"/>
        </w:tabs>
        <w:jc w:val="both"/>
        <w:rPr>
          <w:rFonts w:asciiTheme="majorHAnsi" w:eastAsia="Calibri" w:hAnsiTheme="majorHAnsi"/>
          <w:sz w:val="20"/>
          <w:szCs w:val="20"/>
          <w:lang w:val="es-US"/>
        </w:rPr>
      </w:pPr>
    </w:p>
    <w:p w14:paraId="0272FC47" w14:textId="77777777" w:rsidR="005A5C09" w:rsidRPr="00386E47" w:rsidRDefault="0053441A" w:rsidP="003A5860">
      <w:pPr>
        <w:numPr>
          <w:ilvl w:val="0"/>
          <w:numId w:val="55"/>
        </w:numPr>
        <w:tabs>
          <w:tab w:val="left" w:pos="567"/>
        </w:tabs>
        <w:ind w:left="0" w:firstLine="0"/>
        <w:jc w:val="both"/>
        <w:rPr>
          <w:rFonts w:asciiTheme="majorHAnsi" w:eastAsia="Calibri" w:hAnsiTheme="majorHAnsi"/>
          <w:sz w:val="20"/>
          <w:szCs w:val="20"/>
          <w:lang w:val="es-US"/>
        </w:rPr>
      </w:pPr>
      <w:r w:rsidRPr="00386E47">
        <w:rPr>
          <w:rFonts w:asciiTheme="majorHAnsi" w:eastAsia="Calibri" w:hAnsiTheme="majorHAnsi"/>
          <w:sz w:val="20"/>
          <w:szCs w:val="20"/>
          <w:lang w:val="es-US"/>
        </w:rPr>
        <w:t>Los peticionarios afirmaron</w:t>
      </w:r>
      <w:r w:rsidR="009F70EA" w:rsidRPr="00386E47">
        <w:rPr>
          <w:rFonts w:asciiTheme="majorHAnsi" w:eastAsia="Calibri" w:hAnsiTheme="majorHAnsi"/>
          <w:sz w:val="20"/>
          <w:szCs w:val="20"/>
          <w:lang w:val="es-US"/>
        </w:rPr>
        <w:t xml:space="preserve"> que </w:t>
      </w:r>
      <w:r w:rsidR="007C5348" w:rsidRPr="00386E47">
        <w:rPr>
          <w:rFonts w:asciiTheme="majorHAnsi" w:eastAsia="Calibri" w:hAnsiTheme="majorHAnsi"/>
          <w:sz w:val="20"/>
          <w:szCs w:val="20"/>
          <w:lang w:val="es-US"/>
        </w:rPr>
        <w:t>el atentado a la AMIA</w:t>
      </w:r>
      <w:r w:rsidR="009F70EA" w:rsidRPr="00386E47">
        <w:rPr>
          <w:rFonts w:asciiTheme="majorHAnsi" w:eastAsia="Calibri" w:hAnsiTheme="majorHAnsi"/>
          <w:sz w:val="20"/>
          <w:szCs w:val="20"/>
          <w:lang w:val="es-US"/>
        </w:rPr>
        <w:t xml:space="preserve"> no </w:t>
      </w:r>
      <w:r w:rsidR="007C5348" w:rsidRPr="00386E47">
        <w:rPr>
          <w:rFonts w:asciiTheme="majorHAnsi" w:eastAsia="Calibri" w:hAnsiTheme="majorHAnsi"/>
          <w:sz w:val="20"/>
          <w:szCs w:val="20"/>
          <w:lang w:val="es-US"/>
        </w:rPr>
        <w:t xml:space="preserve">constituye </w:t>
      </w:r>
      <w:r w:rsidR="005A5C09" w:rsidRPr="00386E47">
        <w:rPr>
          <w:rFonts w:asciiTheme="majorHAnsi" w:eastAsia="Calibri" w:hAnsiTheme="majorHAnsi"/>
          <w:sz w:val="20"/>
          <w:szCs w:val="20"/>
          <w:lang w:val="es-US"/>
        </w:rPr>
        <w:t xml:space="preserve">un </w:t>
      </w:r>
      <w:r w:rsidR="007C5348" w:rsidRPr="00386E47">
        <w:rPr>
          <w:rFonts w:asciiTheme="majorHAnsi" w:eastAsia="Calibri" w:hAnsiTheme="majorHAnsi"/>
          <w:sz w:val="20"/>
          <w:szCs w:val="20"/>
          <w:lang w:val="es-US"/>
        </w:rPr>
        <w:t xml:space="preserve">hecho </w:t>
      </w:r>
      <w:r w:rsidR="005A5C09" w:rsidRPr="00386E47">
        <w:rPr>
          <w:rFonts w:asciiTheme="majorHAnsi" w:eastAsia="Calibri" w:hAnsiTheme="majorHAnsi"/>
          <w:sz w:val="20"/>
          <w:szCs w:val="20"/>
          <w:lang w:val="es-US"/>
        </w:rPr>
        <w:t>aislado, sino que se encuentra</w:t>
      </w:r>
      <w:r w:rsidR="009F70EA" w:rsidRPr="00386E47">
        <w:rPr>
          <w:rFonts w:asciiTheme="majorHAnsi" w:eastAsia="Calibri" w:hAnsiTheme="majorHAnsi"/>
          <w:sz w:val="20"/>
          <w:szCs w:val="20"/>
          <w:lang w:val="es-US"/>
        </w:rPr>
        <w:t xml:space="preserve"> </w:t>
      </w:r>
      <w:r w:rsidRPr="00386E47">
        <w:rPr>
          <w:rFonts w:asciiTheme="majorHAnsi" w:eastAsia="Calibri" w:hAnsiTheme="majorHAnsi"/>
          <w:sz w:val="20"/>
          <w:szCs w:val="20"/>
          <w:lang w:val="es-US"/>
        </w:rPr>
        <w:t xml:space="preserve">vinculado con </w:t>
      </w:r>
      <w:r w:rsidR="009F70EA" w:rsidRPr="00386E47">
        <w:rPr>
          <w:rFonts w:asciiTheme="majorHAnsi" w:eastAsia="Calibri" w:hAnsiTheme="majorHAnsi"/>
          <w:sz w:val="20"/>
          <w:szCs w:val="20"/>
          <w:lang w:val="es-US"/>
        </w:rPr>
        <w:t>otro atentado</w:t>
      </w:r>
      <w:r w:rsidR="00DD6087" w:rsidRPr="00386E47">
        <w:rPr>
          <w:rFonts w:asciiTheme="majorHAnsi" w:eastAsia="Calibri" w:hAnsiTheme="majorHAnsi"/>
          <w:sz w:val="20"/>
          <w:szCs w:val="20"/>
          <w:lang w:val="es-US"/>
        </w:rPr>
        <w:t xml:space="preserve"> terrorista</w:t>
      </w:r>
      <w:r w:rsidR="009F70EA" w:rsidRPr="00386E47">
        <w:rPr>
          <w:rFonts w:asciiTheme="majorHAnsi" w:eastAsia="Calibri" w:hAnsiTheme="majorHAnsi"/>
          <w:sz w:val="20"/>
          <w:szCs w:val="20"/>
          <w:lang w:val="es-US"/>
        </w:rPr>
        <w:t xml:space="preserve"> oc</w:t>
      </w:r>
      <w:r w:rsidRPr="00386E47">
        <w:rPr>
          <w:rFonts w:asciiTheme="majorHAnsi" w:eastAsia="Calibri" w:hAnsiTheme="majorHAnsi"/>
          <w:sz w:val="20"/>
          <w:szCs w:val="20"/>
          <w:lang w:val="es-US"/>
        </w:rPr>
        <w:t>urrido el 17 de marzo de 1992</w:t>
      </w:r>
      <w:r w:rsidR="009F70EA" w:rsidRPr="00386E47">
        <w:rPr>
          <w:rFonts w:asciiTheme="majorHAnsi" w:eastAsia="Calibri" w:hAnsiTheme="majorHAnsi"/>
          <w:sz w:val="20"/>
          <w:szCs w:val="20"/>
          <w:lang w:val="es-US"/>
        </w:rPr>
        <w:t xml:space="preserve"> contra </w:t>
      </w:r>
      <w:r w:rsidRPr="00386E47">
        <w:rPr>
          <w:rFonts w:asciiTheme="majorHAnsi" w:eastAsia="Calibri" w:hAnsiTheme="majorHAnsi"/>
          <w:sz w:val="20"/>
          <w:szCs w:val="20"/>
          <w:lang w:val="es-US"/>
        </w:rPr>
        <w:t>el edificio de la Embajada de</w:t>
      </w:r>
      <w:r w:rsidR="009F70EA" w:rsidRPr="00386E47">
        <w:rPr>
          <w:rFonts w:asciiTheme="majorHAnsi" w:eastAsia="Calibri" w:hAnsiTheme="majorHAnsi"/>
          <w:sz w:val="20"/>
          <w:szCs w:val="20"/>
          <w:lang w:val="es-US"/>
        </w:rPr>
        <w:t xml:space="preserve"> Israel en Argentina en el que murieron 22 personas y al menos</w:t>
      </w:r>
      <w:r w:rsidR="005A5C09" w:rsidRPr="00386E47">
        <w:rPr>
          <w:rFonts w:asciiTheme="majorHAnsi" w:eastAsia="Calibri" w:hAnsiTheme="majorHAnsi"/>
          <w:sz w:val="20"/>
          <w:szCs w:val="20"/>
          <w:lang w:val="es-US"/>
        </w:rPr>
        <w:t xml:space="preserve"> 346 resultaron heridas</w:t>
      </w:r>
      <w:r w:rsidR="007C5348" w:rsidRPr="00386E47">
        <w:rPr>
          <w:rFonts w:asciiTheme="majorHAnsi" w:eastAsia="Calibri" w:hAnsiTheme="majorHAnsi"/>
          <w:sz w:val="20"/>
          <w:szCs w:val="20"/>
          <w:lang w:val="es-US"/>
        </w:rPr>
        <w:t>. Este atentado, informan los peticionarios,</w:t>
      </w:r>
      <w:r w:rsidR="005A5C09" w:rsidRPr="00386E47">
        <w:rPr>
          <w:rFonts w:asciiTheme="majorHAnsi" w:eastAsia="Calibri" w:hAnsiTheme="majorHAnsi"/>
          <w:sz w:val="20"/>
          <w:szCs w:val="20"/>
          <w:lang w:val="es-US"/>
        </w:rPr>
        <w:t xml:space="preserve"> </w:t>
      </w:r>
      <w:r w:rsidR="007C5348" w:rsidRPr="00386E47">
        <w:rPr>
          <w:rFonts w:asciiTheme="majorHAnsi" w:eastAsia="Calibri" w:hAnsiTheme="majorHAnsi"/>
          <w:sz w:val="20"/>
          <w:szCs w:val="20"/>
          <w:lang w:val="es-US"/>
        </w:rPr>
        <w:t>tampoco fue esclarecido y</w:t>
      </w:r>
      <w:r w:rsidR="00E80709" w:rsidRPr="00386E47">
        <w:rPr>
          <w:rFonts w:asciiTheme="majorHAnsi" w:eastAsia="Calibri" w:hAnsiTheme="majorHAnsi"/>
          <w:sz w:val="20"/>
          <w:szCs w:val="20"/>
          <w:lang w:val="es-US"/>
        </w:rPr>
        <w:t xml:space="preserve"> también</w:t>
      </w:r>
      <w:r w:rsidR="007C5348" w:rsidRPr="00386E47">
        <w:rPr>
          <w:rFonts w:asciiTheme="majorHAnsi" w:eastAsia="Calibri" w:hAnsiTheme="majorHAnsi"/>
          <w:sz w:val="20"/>
          <w:szCs w:val="20"/>
          <w:lang w:val="es-US"/>
        </w:rPr>
        <w:t xml:space="preserve"> </w:t>
      </w:r>
      <w:r w:rsidRPr="00386E47">
        <w:rPr>
          <w:rFonts w:asciiTheme="majorHAnsi" w:eastAsia="Calibri" w:hAnsiTheme="majorHAnsi"/>
          <w:sz w:val="20"/>
          <w:szCs w:val="20"/>
          <w:lang w:val="es-US"/>
        </w:rPr>
        <w:t>se encuentra impune</w:t>
      </w:r>
      <w:r w:rsidR="007C5348" w:rsidRPr="00386E47">
        <w:rPr>
          <w:rFonts w:asciiTheme="majorHAnsi" w:eastAsia="Calibri" w:hAnsiTheme="majorHAnsi"/>
          <w:sz w:val="20"/>
          <w:szCs w:val="20"/>
          <w:lang w:val="es-US"/>
        </w:rPr>
        <w:t xml:space="preserve"> a la fecha</w:t>
      </w:r>
      <w:r w:rsidRPr="00386E47">
        <w:rPr>
          <w:rFonts w:asciiTheme="majorHAnsi" w:eastAsia="Calibri" w:hAnsiTheme="majorHAnsi"/>
          <w:sz w:val="20"/>
          <w:szCs w:val="20"/>
          <w:lang w:val="es-US"/>
        </w:rPr>
        <w:t xml:space="preserve">. </w:t>
      </w:r>
    </w:p>
    <w:p w14:paraId="1044EC6A" w14:textId="77777777" w:rsidR="007C5348" w:rsidRPr="00386E47" w:rsidRDefault="007C5348" w:rsidP="0084645E">
      <w:pPr>
        <w:jc w:val="both"/>
        <w:rPr>
          <w:rFonts w:asciiTheme="majorHAnsi" w:eastAsia="Calibri" w:hAnsiTheme="majorHAnsi"/>
          <w:sz w:val="20"/>
          <w:szCs w:val="20"/>
          <w:lang w:val="es-US"/>
        </w:rPr>
      </w:pPr>
    </w:p>
    <w:p w14:paraId="3F2E4FF7" w14:textId="77777777" w:rsidR="00BD03A2" w:rsidRPr="00386E47" w:rsidRDefault="00DD6087" w:rsidP="003A5860">
      <w:pPr>
        <w:numPr>
          <w:ilvl w:val="0"/>
          <w:numId w:val="55"/>
        </w:numPr>
        <w:tabs>
          <w:tab w:val="left" w:pos="567"/>
        </w:tabs>
        <w:ind w:left="0" w:firstLine="0"/>
        <w:jc w:val="both"/>
        <w:rPr>
          <w:rFonts w:asciiTheme="majorHAnsi" w:eastAsia="Calibri" w:hAnsiTheme="majorHAnsi"/>
          <w:sz w:val="20"/>
          <w:szCs w:val="20"/>
          <w:lang w:val="es-US"/>
        </w:rPr>
      </w:pPr>
      <w:r w:rsidRPr="00386E47">
        <w:rPr>
          <w:rFonts w:asciiTheme="majorHAnsi" w:eastAsia="Calibri" w:hAnsiTheme="majorHAnsi"/>
          <w:sz w:val="20"/>
          <w:szCs w:val="20"/>
          <w:lang w:val="es-US"/>
        </w:rPr>
        <w:t xml:space="preserve">En lo que respecta al deber de </w:t>
      </w:r>
      <w:r w:rsidR="00430CA7" w:rsidRPr="00386E47">
        <w:rPr>
          <w:rFonts w:asciiTheme="majorHAnsi" w:eastAsia="Calibri" w:hAnsiTheme="majorHAnsi"/>
          <w:sz w:val="20"/>
          <w:szCs w:val="20"/>
          <w:lang w:val="es-US"/>
        </w:rPr>
        <w:t>prevención</w:t>
      </w:r>
      <w:r w:rsidRPr="00386E47">
        <w:rPr>
          <w:rFonts w:asciiTheme="majorHAnsi" w:eastAsia="Calibri" w:hAnsiTheme="majorHAnsi"/>
          <w:sz w:val="20"/>
          <w:szCs w:val="20"/>
          <w:lang w:val="es-US"/>
        </w:rPr>
        <w:t xml:space="preserve"> en cabeza del Estado argentino, los peticionarios señalaron que no se adoptaron las medidas suficientes para prevenir el atentado, a pesar de que el Estado </w:t>
      </w:r>
      <w:r w:rsidR="00430CA7" w:rsidRPr="00386E47">
        <w:rPr>
          <w:rFonts w:asciiTheme="majorHAnsi" w:eastAsia="Calibri" w:hAnsiTheme="majorHAnsi"/>
          <w:sz w:val="20"/>
          <w:szCs w:val="20"/>
          <w:lang w:val="es-US"/>
        </w:rPr>
        <w:t>conocía</w:t>
      </w:r>
      <w:r w:rsidRPr="00386E47">
        <w:rPr>
          <w:rFonts w:asciiTheme="majorHAnsi" w:eastAsia="Calibri" w:hAnsiTheme="majorHAnsi"/>
          <w:sz w:val="20"/>
          <w:szCs w:val="20"/>
          <w:lang w:val="es-US"/>
        </w:rPr>
        <w:t xml:space="preserve"> la </w:t>
      </w:r>
      <w:r w:rsidR="00430CA7" w:rsidRPr="00386E47">
        <w:rPr>
          <w:rFonts w:asciiTheme="majorHAnsi" w:eastAsia="Calibri" w:hAnsiTheme="majorHAnsi"/>
          <w:sz w:val="20"/>
          <w:szCs w:val="20"/>
          <w:lang w:val="es-US"/>
        </w:rPr>
        <w:t>situación</w:t>
      </w:r>
      <w:r w:rsidRPr="00386E47">
        <w:rPr>
          <w:rFonts w:asciiTheme="majorHAnsi" w:eastAsia="Calibri" w:hAnsiTheme="majorHAnsi"/>
          <w:sz w:val="20"/>
          <w:szCs w:val="20"/>
          <w:lang w:val="es-US"/>
        </w:rPr>
        <w:t xml:space="preserve"> de riesgo existente</w:t>
      </w:r>
      <w:r w:rsidR="002575B0" w:rsidRPr="00386E47">
        <w:rPr>
          <w:rFonts w:asciiTheme="majorHAnsi" w:eastAsia="Calibri" w:hAnsiTheme="majorHAnsi"/>
          <w:sz w:val="20"/>
          <w:szCs w:val="20"/>
          <w:lang w:val="es-US"/>
        </w:rPr>
        <w:t xml:space="preserve"> para los edificios </w:t>
      </w:r>
      <w:r w:rsidR="00BD03A2" w:rsidRPr="00386E47">
        <w:rPr>
          <w:rFonts w:asciiTheme="majorHAnsi" w:eastAsia="Calibri" w:hAnsiTheme="majorHAnsi"/>
          <w:sz w:val="20"/>
          <w:szCs w:val="20"/>
          <w:lang w:val="es-US"/>
        </w:rPr>
        <w:t>vinculados con la</w:t>
      </w:r>
      <w:r w:rsidR="002575B0" w:rsidRPr="00386E47">
        <w:rPr>
          <w:rFonts w:asciiTheme="majorHAnsi" w:eastAsia="Calibri" w:hAnsiTheme="majorHAnsi"/>
          <w:sz w:val="20"/>
          <w:szCs w:val="20"/>
          <w:lang w:val="es-US"/>
        </w:rPr>
        <w:t xml:space="preserve"> comunidad judía </w:t>
      </w:r>
      <w:r w:rsidR="00BD03A2" w:rsidRPr="00386E47">
        <w:rPr>
          <w:rFonts w:asciiTheme="majorHAnsi" w:eastAsia="Calibri" w:hAnsiTheme="majorHAnsi"/>
          <w:sz w:val="20"/>
          <w:szCs w:val="20"/>
          <w:lang w:val="es-US"/>
        </w:rPr>
        <w:t xml:space="preserve">de </w:t>
      </w:r>
      <w:r w:rsidR="002575B0" w:rsidRPr="00386E47">
        <w:rPr>
          <w:rFonts w:asciiTheme="majorHAnsi" w:eastAsia="Calibri" w:hAnsiTheme="majorHAnsi"/>
          <w:sz w:val="20"/>
          <w:szCs w:val="20"/>
          <w:lang w:val="es-US"/>
        </w:rPr>
        <w:t>Buenos Aires</w:t>
      </w:r>
      <w:r w:rsidRPr="00386E47">
        <w:rPr>
          <w:rFonts w:asciiTheme="majorHAnsi" w:eastAsia="Calibri" w:hAnsiTheme="majorHAnsi"/>
          <w:sz w:val="20"/>
          <w:szCs w:val="20"/>
          <w:lang w:val="es-US"/>
        </w:rPr>
        <w:t>.</w:t>
      </w:r>
      <w:r w:rsidR="00E46C67" w:rsidRPr="00386E47">
        <w:rPr>
          <w:rFonts w:asciiTheme="majorHAnsi" w:eastAsia="Calibri" w:hAnsiTheme="majorHAnsi"/>
          <w:sz w:val="20"/>
          <w:szCs w:val="20"/>
          <w:lang w:val="es-US"/>
        </w:rPr>
        <w:t xml:space="preserve"> En particular, argumentaron</w:t>
      </w:r>
      <w:r w:rsidR="009F70EA" w:rsidRPr="00386E47">
        <w:rPr>
          <w:rFonts w:asciiTheme="majorHAnsi" w:eastAsia="Calibri" w:hAnsiTheme="majorHAnsi"/>
          <w:sz w:val="20"/>
          <w:szCs w:val="20"/>
          <w:lang w:val="es-US"/>
        </w:rPr>
        <w:t xml:space="preserve"> que existió falta de vigilancia diligente de los </w:t>
      </w:r>
      <w:r w:rsidR="00E46C67" w:rsidRPr="00386E47">
        <w:rPr>
          <w:rFonts w:asciiTheme="majorHAnsi" w:eastAsia="Calibri" w:hAnsiTheme="majorHAnsi"/>
          <w:sz w:val="20"/>
          <w:szCs w:val="20"/>
          <w:lang w:val="es-US"/>
        </w:rPr>
        <w:t>sospechosos del primer atentado</w:t>
      </w:r>
      <w:r w:rsidR="009F70EA" w:rsidRPr="00386E47">
        <w:rPr>
          <w:rFonts w:asciiTheme="majorHAnsi" w:eastAsia="Calibri" w:hAnsiTheme="majorHAnsi"/>
          <w:sz w:val="20"/>
          <w:szCs w:val="20"/>
          <w:lang w:val="es-US"/>
        </w:rPr>
        <w:t>; desestimación de inf</w:t>
      </w:r>
      <w:r w:rsidR="00E46C67" w:rsidRPr="00386E47">
        <w:rPr>
          <w:rFonts w:asciiTheme="majorHAnsi" w:eastAsia="Calibri" w:hAnsiTheme="majorHAnsi"/>
          <w:sz w:val="20"/>
          <w:szCs w:val="20"/>
          <w:lang w:val="es-US"/>
        </w:rPr>
        <w:t>ormación crucial de inteligenci</w:t>
      </w:r>
      <w:r w:rsidRPr="00386E47">
        <w:rPr>
          <w:rFonts w:asciiTheme="majorHAnsi" w:eastAsia="Calibri" w:hAnsiTheme="majorHAnsi"/>
          <w:sz w:val="20"/>
          <w:szCs w:val="20"/>
          <w:lang w:val="es-US"/>
        </w:rPr>
        <w:t>a</w:t>
      </w:r>
      <w:r w:rsidR="009F70EA" w:rsidRPr="00386E47">
        <w:rPr>
          <w:rFonts w:asciiTheme="majorHAnsi" w:eastAsia="Calibri" w:hAnsiTheme="majorHAnsi"/>
          <w:sz w:val="20"/>
          <w:szCs w:val="20"/>
          <w:lang w:val="es-US"/>
        </w:rPr>
        <w:t>; falta de acción o recaudo ante el sobrevuelo del edificio a baja altura por un helicóptero durante la madrugada del día del atentado; y falta de control policial reforzado de la sede AMIA, ya que, al momento del atentado, el vehículo policial destinado a la custodia del edificio no tenía batería y la policía no contaba con otro equipo de comunic</w:t>
      </w:r>
      <w:r w:rsidRPr="00386E47">
        <w:rPr>
          <w:rFonts w:asciiTheme="majorHAnsi" w:eastAsia="Calibri" w:hAnsiTheme="majorHAnsi"/>
          <w:sz w:val="20"/>
          <w:szCs w:val="20"/>
          <w:lang w:val="es-US"/>
        </w:rPr>
        <w:t>aciones más que un walkie-talkie</w:t>
      </w:r>
      <w:r w:rsidR="009F70EA" w:rsidRPr="00386E47">
        <w:rPr>
          <w:rFonts w:asciiTheme="majorHAnsi" w:eastAsia="Calibri" w:hAnsiTheme="majorHAnsi"/>
          <w:sz w:val="20"/>
          <w:szCs w:val="20"/>
          <w:lang w:val="es-US"/>
        </w:rPr>
        <w:t xml:space="preserve">. </w:t>
      </w:r>
    </w:p>
    <w:p w14:paraId="6EBE7CB6" w14:textId="77777777" w:rsidR="00BD03A2" w:rsidRPr="00386E47" w:rsidRDefault="00BD03A2" w:rsidP="00BD03A2">
      <w:pPr>
        <w:pStyle w:val="ListParagraph"/>
        <w:rPr>
          <w:rFonts w:asciiTheme="majorHAnsi" w:eastAsia="Calibri" w:hAnsiTheme="majorHAnsi"/>
          <w:sz w:val="20"/>
          <w:szCs w:val="20"/>
          <w:lang w:val="es-US"/>
        </w:rPr>
      </w:pPr>
    </w:p>
    <w:p w14:paraId="1CC344FC" w14:textId="77777777" w:rsidR="009F70EA" w:rsidRPr="00386E47" w:rsidRDefault="00E80709" w:rsidP="003A5860">
      <w:pPr>
        <w:numPr>
          <w:ilvl w:val="0"/>
          <w:numId w:val="55"/>
        </w:numPr>
        <w:tabs>
          <w:tab w:val="left" w:pos="567"/>
        </w:tabs>
        <w:ind w:left="0" w:firstLine="0"/>
        <w:jc w:val="both"/>
        <w:rPr>
          <w:rFonts w:asciiTheme="majorHAnsi" w:eastAsia="Calibri" w:hAnsiTheme="majorHAnsi"/>
          <w:sz w:val="20"/>
          <w:szCs w:val="20"/>
          <w:lang w:val="es-US"/>
        </w:rPr>
      </w:pPr>
      <w:r w:rsidRPr="00386E47">
        <w:rPr>
          <w:rFonts w:asciiTheme="majorHAnsi" w:eastAsia="Calibri" w:hAnsiTheme="majorHAnsi"/>
          <w:sz w:val="20"/>
          <w:szCs w:val="20"/>
          <w:lang w:val="es-US"/>
        </w:rPr>
        <w:t>En este sentido</w:t>
      </w:r>
      <w:r w:rsidR="00BD03A2" w:rsidRPr="00386E47">
        <w:rPr>
          <w:rFonts w:asciiTheme="majorHAnsi" w:eastAsia="Calibri" w:hAnsiTheme="majorHAnsi"/>
          <w:sz w:val="20"/>
          <w:szCs w:val="20"/>
          <w:lang w:val="es-US"/>
        </w:rPr>
        <w:t>, los peticionarios sostuvieron que el Estado es responsable por la falta de prevención en relación con el derecho a la vida de las personas fallecidas y el derecho a la integridad de las personas heridas</w:t>
      </w:r>
      <w:r w:rsidR="00131D6E" w:rsidRPr="00386E47">
        <w:rPr>
          <w:rFonts w:asciiTheme="majorHAnsi" w:eastAsia="Calibri" w:hAnsiTheme="majorHAnsi"/>
          <w:sz w:val="20"/>
          <w:szCs w:val="20"/>
          <w:lang w:val="es-US"/>
        </w:rPr>
        <w:t xml:space="preserve">, </w:t>
      </w:r>
      <w:r w:rsidR="00BD03A2" w:rsidRPr="00386E47">
        <w:rPr>
          <w:rFonts w:asciiTheme="majorHAnsi" w:eastAsia="Calibri" w:hAnsiTheme="majorHAnsi"/>
          <w:sz w:val="20"/>
          <w:szCs w:val="20"/>
          <w:lang w:val="es-US"/>
        </w:rPr>
        <w:t xml:space="preserve">por </w:t>
      </w:r>
      <w:r w:rsidR="007C5348" w:rsidRPr="00386E47">
        <w:rPr>
          <w:rFonts w:asciiTheme="majorHAnsi" w:eastAsia="Calibri" w:hAnsiTheme="majorHAnsi"/>
          <w:sz w:val="20"/>
          <w:szCs w:val="20"/>
          <w:lang w:val="es-US"/>
        </w:rPr>
        <w:t xml:space="preserve">no </w:t>
      </w:r>
      <w:r w:rsidR="00BD03A2" w:rsidRPr="00386E47">
        <w:rPr>
          <w:rFonts w:asciiTheme="majorHAnsi" w:eastAsia="Calibri" w:hAnsiTheme="majorHAnsi"/>
          <w:sz w:val="20"/>
          <w:szCs w:val="20"/>
          <w:lang w:val="es-US"/>
        </w:rPr>
        <w:t>haber tomado</w:t>
      </w:r>
      <w:r w:rsidR="00131D6E" w:rsidRPr="00386E47">
        <w:rPr>
          <w:rFonts w:asciiTheme="majorHAnsi" w:eastAsia="Calibri" w:hAnsiTheme="majorHAnsi"/>
          <w:sz w:val="20"/>
          <w:szCs w:val="20"/>
          <w:lang w:val="es-US"/>
        </w:rPr>
        <w:t xml:space="preserve"> las medidas que razonablemente se esperaban para evitar el atentado</w:t>
      </w:r>
      <w:r w:rsidR="009F70EA" w:rsidRPr="00386E47">
        <w:rPr>
          <w:rFonts w:asciiTheme="majorHAnsi" w:eastAsia="Calibri" w:hAnsiTheme="majorHAnsi"/>
          <w:sz w:val="20"/>
          <w:szCs w:val="20"/>
          <w:lang w:val="es-US"/>
        </w:rPr>
        <w:t>.</w:t>
      </w:r>
      <w:r w:rsidR="007C5348" w:rsidRPr="00386E47">
        <w:rPr>
          <w:rFonts w:asciiTheme="majorHAnsi" w:eastAsia="Calibri" w:hAnsiTheme="majorHAnsi"/>
          <w:sz w:val="20"/>
          <w:szCs w:val="20"/>
          <w:lang w:val="es-US"/>
        </w:rPr>
        <w:t xml:space="preserve"> </w:t>
      </w:r>
      <w:r w:rsidR="002575B0" w:rsidRPr="00386E47">
        <w:rPr>
          <w:rFonts w:asciiTheme="majorHAnsi" w:eastAsia="Calibri" w:hAnsiTheme="majorHAnsi" w:cs="Verdana"/>
          <w:bCs/>
          <w:sz w:val="20"/>
          <w:szCs w:val="20"/>
          <w:lang w:val="es-MX" w:bidi="en-US"/>
        </w:rPr>
        <w:t xml:space="preserve">Los peticionarios </w:t>
      </w:r>
      <w:r w:rsidR="00644B93" w:rsidRPr="00386E47">
        <w:rPr>
          <w:rFonts w:asciiTheme="majorHAnsi" w:eastAsia="Calibri" w:hAnsiTheme="majorHAnsi" w:cs="Verdana"/>
          <w:bCs/>
          <w:sz w:val="20"/>
          <w:szCs w:val="20"/>
          <w:lang w:val="es-MX" w:bidi="en-US"/>
        </w:rPr>
        <w:t>también</w:t>
      </w:r>
      <w:r w:rsidR="00BD03A2" w:rsidRPr="00386E47">
        <w:rPr>
          <w:rFonts w:asciiTheme="majorHAnsi" w:eastAsia="Calibri" w:hAnsiTheme="majorHAnsi" w:cs="Verdana"/>
          <w:bCs/>
          <w:sz w:val="20"/>
          <w:szCs w:val="20"/>
          <w:lang w:val="es-MX" w:bidi="en-US"/>
        </w:rPr>
        <w:t xml:space="preserve"> añadieron</w:t>
      </w:r>
      <w:r w:rsidR="002575B0" w:rsidRPr="00386E47">
        <w:rPr>
          <w:rFonts w:asciiTheme="majorHAnsi" w:eastAsia="Calibri" w:hAnsiTheme="majorHAnsi" w:cs="Verdana"/>
          <w:bCs/>
          <w:sz w:val="20"/>
          <w:szCs w:val="20"/>
          <w:lang w:val="es-MX" w:bidi="en-US"/>
        </w:rPr>
        <w:t xml:space="preserve"> que luego</w:t>
      </w:r>
      <w:r w:rsidR="009F70EA" w:rsidRPr="00386E47">
        <w:rPr>
          <w:rFonts w:asciiTheme="majorHAnsi" w:eastAsia="Calibri" w:hAnsiTheme="majorHAnsi" w:cs="Verdana"/>
          <w:bCs/>
          <w:sz w:val="20"/>
          <w:szCs w:val="20"/>
          <w:lang w:val="es-MX" w:bidi="en-US"/>
        </w:rPr>
        <w:t xml:space="preserve"> del atentado quedó en evidencia la ausencia de un protocolo de contingencia de catástrofes, y que no se tomaron medidas inmediatas en materia fronteriza y migratoria.</w:t>
      </w:r>
    </w:p>
    <w:p w14:paraId="0A3A3C8F" w14:textId="77777777" w:rsidR="00E46C67" w:rsidRPr="00386E47" w:rsidRDefault="00E46C67" w:rsidP="0084645E">
      <w:pPr>
        <w:tabs>
          <w:tab w:val="left" w:pos="567"/>
        </w:tabs>
        <w:jc w:val="both"/>
        <w:rPr>
          <w:rFonts w:asciiTheme="majorHAnsi" w:eastAsia="Calibri" w:hAnsiTheme="majorHAnsi"/>
          <w:sz w:val="20"/>
          <w:szCs w:val="20"/>
          <w:lang w:val="es-US"/>
        </w:rPr>
      </w:pPr>
    </w:p>
    <w:p w14:paraId="7731F896" w14:textId="77777777" w:rsidR="009F70EA" w:rsidRPr="00386E47" w:rsidRDefault="00E46C67" w:rsidP="003A5860">
      <w:pPr>
        <w:numPr>
          <w:ilvl w:val="0"/>
          <w:numId w:val="55"/>
        </w:numPr>
        <w:tabs>
          <w:tab w:val="left" w:pos="567"/>
        </w:tabs>
        <w:ind w:left="0" w:firstLine="0"/>
        <w:jc w:val="both"/>
        <w:rPr>
          <w:rFonts w:asciiTheme="majorHAnsi" w:eastAsia="Calibri" w:hAnsiTheme="majorHAnsi"/>
          <w:sz w:val="20"/>
          <w:szCs w:val="20"/>
          <w:lang w:val="es-US"/>
        </w:rPr>
      </w:pPr>
      <w:r w:rsidRPr="00386E47">
        <w:rPr>
          <w:rFonts w:asciiTheme="majorHAnsi" w:eastAsia="Calibri" w:hAnsiTheme="majorHAnsi"/>
          <w:sz w:val="20"/>
          <w:szCs w:val="20"/>
          <w:lang w:val="es-US"/>
        </w:rPr>
        <w:t>Los peticionarios señalaron asimismo</w:t>
      </w:r>
      <w:r w:rsidR="00DD6087" w:rsidRPr="00386E47">
        <w:rPr>
          <w:rFonts w:asciiTheme="majorHAnsi" w:eastAsia="Calibri" w:hAnsiTheme="majorHAnsi"/>
          <w:sz w:val="20"/>
          <w:szCs w:val="20"/>
          <w:lang w:val="es-US"/>
        </w:rPr>
        <w:t xml:space="preserve"> que el Estado </w:t>
      </w:r>
      <w:r w:rsidR="002575B0" w:rsidRPr="00386E47">
        <w:rPr>
          <w:rFonts w:asciiTheme="majorHAnsi" w:eastAsia="Calibri" w:hAnsiTheme="majorHAnsi"/>
          <w:sz w:val="20"/>
          <w:szCs w:val="20"/>
          <w:lang w:val="es-US"/>
        </w:rPr>
        <w:t>argentino es</w:t>
      </w:r>
      <w:r w:rsidR="00DD6087" w:rsidRPr="00386E47">
        <w:rPr>
          <w:rFonts w:asciiTheme="majorHAnsi" w:eastAsia="Calibri" w:hAnsiTheme="majorHAnsi"/>
          <w:sz w:val="20"/>
          <w:szCs w:val="20"/>
          <w:lang w:val="es-US"/>
        </w:rPr>
        <w:t xml:space="preserve"> </w:t>
      </w:r>
      <w:r w:rsidR="009F70EA" w:rsidRPr="00386E47">
        <w:rPr>
          <w:rFonts w:asciiTheme="majorHAnsi" w:eastAsia="Calibri" w:hAnsiTheme="majorHAnsi"/>
          <w:sz w:val="20"/>
          <w:szCs w:val="20"/>
          <w:lang w:val="es-US"/>
        </w:rPr>
        <w:t>responsable por</w:t>
      </w:r>
      <w:r w:rsidR="003A77AE" w:rsidRPr="00386E47">
        <w:rPr>
          <w:rFonts w:asciiTheme="majorHAnsi" w:eastAsia="Calibri" w:hAnsiTheme="majorHAnsi"/>
          <w:sz w:val="20"/>
          <w:szCs w:val="20"/>
          <w:lang w:val="es-US"/>
        </w:rPr>
        <w:t xml:space="preserve"> las</w:t>
      </w:r>
      <w:r w:rsidR="009F70EA" w:rsidRPr="00386E47">
        <w:rPr>
          <w:rFonts w:asciiTheme="majorHAnsi" w:eastAsia="Calibri" w:hAnsiTheme="majorHAnsi"/>
          <w:sz w:val="20"/>
          <w:szCs w:val="20"/>
          <w:lang w:val="es-US"/>
        </w:rPr>
        <w:t xml:space="preserve"> extensas y gravísimas irre</w:t>
      </w:r>
      <w:r w:rsidRPr="00386E47">
        <w:rPr>
          <w:rFonts w:asciiTheme="majorHAnsi" w:eastAsia="Calibri" w:hAnsiTheme="majorHAnsi"/>
          <w:sz w:val="20"/>
          <w:szCs w:val="20"/>
          <w:lang w:val="es-US"/>
        </w:rPr>
        <w:t xml:space="preserve">gularidades </w:t>
      </w:r>
      <w:r w:rsidR="003A77AE" w:rsidRPr="00386E47">
        <w:rPr>
          <w:rFonts w:asciiTheme="majorHAnsi" w:eastAsia="Calibri" w:hAnsiTheme="majorHAnsi"/>
          <w:sz w:val="20"/>
          <w:szCs w:val="20"/>
          <w:lang w:val="es-US"/>
        </w:rPr>
        <w:t xml:space="preserve">que se </w:t>
      </w:r>
      <w:r w:rsidR="0006550A" w:rsidRPr="00386E47">
        <w:rPr>
          <w:rFonts w:asciiTheme="majorHAnsi" w:eastAsia="Calibri" w:hAnsiTheme="majorHAnsi"/>
          <w:sz w:val="20"/>
          <w:szCs w:val="20"/>
          <w:lang w:val="es-US"/>
        </w:rPr>
        <w:t>habrían</w:t>
      </w:r>
      <w:r w:rsidR="003A77AE" w:rsidRPr="00386E47">
        <w:rPr>
          <w:rFonts w:asciiTheme="majorHAnsi" w:eastAsia="Calibri" w:hAnsiTheme="majorHAnsi"/>
          <w:sz w:val="20"/>
          <w:szCs w:val="20"/>
          <w:lang w:val="es-US"/>
        </w:rPr>
        <w:t xml:space="preserve"> </w:t>
      </w:r>
      <w:r w:rsidR="00DD6087" w:rsidRPr="00386E47">
        <w:rPr>
          <w:rFonts w:asciiTheme="majorHAnsi" w:eastAsia="Calibri" w:hAnsiTheme="majorHAnsi"/>
          <w:sz w:val="20"/>
          <w:szCs w:val="20"/>
          <w:lang w:val="es-US"/>
        </w:rPr>
        <w:t>cometid</w:t>
      </w:r>
      <w:r w:rsidR="003A77AE" w:rsidRPr="00386E47">
        <w:rPr>
          <w:rFonts w:asciiTheme="majorHAnsi" w:eastAsia="Calibri" w:hAnsiTheme="majorHAnsi"/>
          <w:sz w:val="20"/>
          <w:szCs w:val="20"/>
          <w:lang w:val="es-US"/>
        </w:rPr>
        <w:t>o</w:t>
      </w:r>
      <w:r w:rsidR="00DD6087" w:rsidRPr="00386E47">
        <w:rPr>
          <w:rFonts w:asciiTheme="majorHAnsi" w:eastAsia="Calibri" w:hAnsiTheme="majorHAnsi"/>
          <w:sz w:val="20"/>
          <w:szCs w:val="20"/>
          <w:lang w:val="es-US"/>
        </w:rPr>
        <w:t xml:space="preserve"> durante la pesquisa</w:t>
      </w:r>
      <w:r w:rsidRPr="00386E47">
        <w:rPr>
          <w:rFonts w:asciiTheme="majorHAnsi" w:eastAsia="Calibri" w:hAnsiTheme="majorHAnsi"/>
          <w:sz w:val="20"/>
          <w:szCs w:val="20"/>
          <w:lang w:val="es-US"/>
        </w:rPr>
        <w:t xml:space="preserve">, </w:t>
      </w:r>
      <w:r w:rsidR="00DD6087" w:rsidRPr="00386E47">
        <w:rPr>
          <w:rFonts w:asciiTheme="majorHAnsi" w:eastAsia="Calibri" w:hAnsiTheme="majorHAnsi"/>
          <w:sz w:val="20"/>
          <w:szCs w:val="20"/>
          <w:lang w:val="es-US"/>
        </w:rPr>
        <w:t xml:space="preserve">las cuales denotan no solo una falla en la adopción de las medidas necesarias para </w:t>
      </w:r>
      <w:r w:rsidR="009F70EA" w:rsidRPr="00386E47">
        <w:rPr>
          <w:rFonts w:asciiTheme="majorHAnsi" w:eastAsia="Calibri" w:hAnsiTheme="majorHAnsi"/>
          <w:sz w:val="20"/>
          <w:szCs w:val="20"/>
          <w:lang w:val="es-US"/>
        </w:rPr>
        <w:t xml:space="preserve">lograr una investigación exitosa, sino </w:t>
      </w:r>
      <w:r w:rsidR="00DD6087" w:rsidRPr="00386E47">
        <w:rPr>
          <w:rFonts w:asciiTheme="majorHAnsi" w:eastAsia="Calibri" w:hAnsiTheme="majorHAnsi"/>
          <w:sz w:val="20"/>
          <w:szCs w:val="20"/>
          <w:lang w:val="es-US"/>
        </w:rPr>
        <w:t xml:space="preserve">también </w:t>
      </w:r>
      <w:r w:rsidR="00960AD0" w:rsidRPr="00386E47">
        <w:rPr>
          <w:rFonts w:asciiTheme="majorHAnsi" w:eastAsia="Calibri" w:hAnsiTheme="majorHAnsi"/>
          <w:sz w:val="20"/>
          <w:szCs w:val="20"/>
          <w:lang w:val="es-US"/>
        </w:rPr>
        <w:t>una</w:t>
      </w:r>
      <w:r w:rsidR="00DD6087" w:rsidRPr="00386E47">
        <w:rPr>
          <w:rFonts w:asciiTheme="majorHAnsi" w:eastAsia="Calibri" w:hAnsiTheme="majorHAnsi"/>
          <w:sz w:val="20"/>
          <w:szCs w:val="20"/>
          <w:lang w:val="es-US"/>
        </w:rPr>
        <w:t xml:space="preserve"> </w:t>
      </w:r>
      <w:r w:rsidR="0006550A" w:rsidRPr="00386E47">
        <w:rPr>
          <w:rFonts w:asciiTheme="majorHAnsi" w:eastAsia="Calibri" w:hAnsiTheme="majorHAnsi"/>
          <w:sz w:val="20"/>
          <w:szCs w:val="20"/>
          <w:lang w:val="es-US"/>
        </w:rPr>
        <w:t>intención</w:t>
      </w:r>
      <w:r w:rsidR="00DD6087" w:rsidRPr="00386E47">
        <w:rPr>
          <w:rFonts w:asciiTheme="majorHAnsi" w:eastAsia="Calibri" w:hAnsiTheme="majorHAnsi"/>
          <w:sz w:val="20"/>
          <w:szCs w:val="20"/>
          <w:lang w:val="es-US"/>
        </w:rPr>
        <w:t xml:space="preserve"> de </w:t>
      </w:r>
      <w:r w:rsidR="009F70EA" w:rsidRPr="00386E47">
        <w:rPr>
          <w:rFonts w:asciiTheme="majorHAnsi" w:eastAsia="Calibri" w:hAnsiTheme="majorHAnsi"/>
          <w:sz w:val="20"/>
          <w:szCs w:val="20"/>
          <w:lang w:val="es-US"/>
        </w:rPr>
        <w:t>desviar la investigación</w:t>
      </w:r>
      <w:r w:rsidRPr="00386E47">
        <w:rPr>
          <w:rFonts w:asciiTheme="majorHAnsi" w:eastAsia="Calibri" w:hAnsiTheme="majorHAnsi"/>
          <w:sz w:val="20"/>
          <w:szCs w:val="20"/>
          <w:lang w:val="es-US"/>
        </w:rPr>
        <w:t>,</w:t>
      </w:r>
      <w:r w:rsidR="009F70EA" w:rsidRPr="00386E47">
        <w:rPr>
          <w:rFonts w:asciiTheme="majorHAnsi" w:eastAsia="Calibri" w:hAnsiTheme="majorHAnsi"/>
          <w:sz w:val="20"/>
          <w:szCs w:val="20"/>
          <w:lang w:val="es-US"/>
        </w:rPr>
        <w:t xml:space="preserve"> encubriendo a los responsables extranjeros y locales del atentado. </w:t>
      </w:r>
    </w:p>
    <w:p w14:paraId="531A8D00" w14:textId="77777777" w:rsidR="009F70EA" w:rsidRPr="00386E47" w:rsidRDefault="009F70EA" w:rsidP="0084645E">
      <w:pPr>
        <w:ind w:left="720"/>
        <w:contextualSpacing/>
        <w:jc w:val="both"/>
        <w:rPr>
          <w:rFonts w:asciiTheme="majorHAnsi" w:eastAsia="Calibri" w:hAnsiTheme="majorHAnsi"/>
          <w:sz w:val="20"/>
          <w:szCs w:val="20"/>
          <w:lang w:val="es-US"/>
        </w:rPr>
      </w:pPr>
    </w:p>
    <w:p w14:paraId="3CA0123D" w14:textId="77777777" w:rsidR="00E46C67" w:rsidRPr="00386E47" w:rsidRDefault="009F70EA" w:rsidP="003A5860">
      <w:pPr>
        <w:numPr>
          <w:ilvl w:val="0"/>
          <w:numId w:val="55"/>
        </w:numPr>
        <w:tabs>
          <w:tab w:val="left" w:pos="567"/>
        </w:tabs>
        <w:ind w:left="0" w:firstLine="0"/>
        <w:jc w:val="both"/>
        <w:rPr>
          <w:rFonts w:asciiTheme="majorHAnsi" w:eastAsia="Calibri" w:hAnsiTheme="majorHAnsi" w:cs="Verdana"/>
          <w:bCs/>
          <w:sz w:val="20"/>
          <w:szCs w:val="20"/>
          <w:lang w:val="es-MX" w:bidi="en-US"/>
        </w:rPr>
      </w:pPr>
      <w:r w:rsidRPr="00386E47">
        <w:rPr>
          <w:rFonts w:asciiTheme="majorHAnsi" w:eastAsia="Calibri" w:hAnsiTheme="majorHAnsi"/>
          <w:sz w:val="20"/>
          <w:szCs w:val="20"/>
          <w:lang w:val="es-US"/>
        </w:rPr>
        <w:t xml:space="preserve"> </w:t>
      </w:r>
      <w:r w:rsidR="002575B0" w:rsidRPr="00386E47">
        <w:rPr>
          <w:rFonts w:asciiTheme="majorHAnsi" w:eastAsia="Calibri" w:hAnsiTheme="majorHAnsi"/>
          <w:sz w:val="20"/>
          <w:szCs w:val="20"/>
          <w:lang w:val="es-US"/>
        </w:rPr>
        <w:t>L</w:t>
      </w:r>
      <w:r w:rsidR="00DD6087" w:rsidRPr="00386E47">
        <w:rPr>
          <w:rFonts w:asciiTheme="majorHAnsi" w:eastAsia="Calibri" w:hAnsiTheme="majorHAnsi"/>
          <w:sz w:val="20"/>
          <w:szCs w:val="20"/>
          <w:lang w:val="es-US"/>
        </w:rPr>
        <w:t>os peticionarios informaron que l</w:t>
      </w:r>
      <w:r w:rsidRPr="00386E47">
        <w:rPr>
          <w:rFonts w:asciiTheme="majorHAnsi" w:eastAsia="Calibri" w:hAnsiTheme="majorHAnsi"/>
          <w:sz w:val="20"/>
          <w:szCs w:val="20"/>
          <w:lang w:val="es-US"/>
        </w:rPr>
        <w:t xml:space="preserve">a investigación inicial </w:t>
      </w:r>
      <w:r w:rsidR="00E46C67" w:rsidRPr="00386E47">
        <w:rPr>
          <w:rFonts w:asciiTheme="majorHAnsi" w:eastAsia="Calibri" w:hAnsiTheme="majorHAnsi"/>
          <w:sz w:val="20"/>
          <w:szCs w:val="20"/>
          <w:lang w:val="es-US"/>
        </w:rPr>
        <w:t>estuvo a cargo del Juzgado Federal en lo Criminal</w:t>
      </w:r>
      <w:r w:rsidR="00DD6087" w:rsidRPr="00386E47">
        <w:rPr>
          <w:rFonts w:asciiTheme="majorHAnsi" w:eastAsia="Calibri" w:hAnsiTheme="majorHAnsi"/>
          <w:sz w:val="20"/>
          <w:szCs w:val="20"/>
          <w:lang w:val="es-US"/>
        </w:rPr>
        <w:t xml:space="preserve"> y Cor</w:t>
      </w:r>
      <w:r w:rsidR="003D1B09" w:rsidRPr="00386E47">
        <w:rPr>
          <w:rFonts w:asciiTheme="majorHAnsi" w:eastAsia="Calibri" w:hAnsiTheme="majorHAnsi"/>
          <w:sz w:val="20"/>
          <w:szCs w:val="20"/>
          <w:lang w:val="es-US"/>
        </w:rPr>
        <w:t>rec</w:t>
      </w:r>
      <w:r w:rsidR="00DD6087" w:rsidRPr="00386E47">
        <w:rPr>
          <w:rFonts w:asciiTheme="majorHAnsi" w:eastAsia="Calibri" w:hAnsiTheme="majorHAnsi"/>
          <w:sz w:val="20"/>
          <w:szCs w:val="20"/>
          <w:lang w:val="es-US"/>
        </w:rPr>
        <w:t>cional Federal Nro. 9</w:t>
      </w:r>
      <w:r w:rsidRPr="00386E47">
        <w:rPr>
          <w:rFonts w:asciiTheme="majorHAnsi" w:eastAsia="Calibri" w:hAnsiTheme="majorHAnsi"/>
          <w:sz w:val="20"/>
          <w:szCs w:val="20"/>
          <w:lang w:val="es-US"/>
        </w:rPr>
        <w:t xml:space="preserve"> y</w:t>
      </w:r>
      <w:r w:rsidR="00DD6087" w:rsidRPr="00386E47">
        <w:rPr>
          <w:rFonts w:asciiTheme="majorHAnsi" w:eastAsia="Calibri" w:hAnsiTheme="majorHAnsi"/>
          <w:sz w:val="20"/>
          <w:szCs w:val="20"/>
          <w:lang w:val="es-US"/>
        </w:rPr>
        <w:t xml:space="preserve"> que</w:t>
      </w:r>
      <w:r w:rsidRPr="00386E47">
        <w:rPr>
          <w:rFonts w:asciiTheme="majorHAnsi" w:eastAsia="Calibri" w:hAnsiTheme="majorHAnsi"/>
          <w:sz w:val="20"/>
          <w:szCs w:val="20"/>
          <w:lang w:val="es-US"/>
        </w:rPr>
        <w:t xml:space="preserve"> fue elevada a juicio en el año 19</w:t>
      </w:r>
      <w:r w:rsidR="00E46C67" w:rsidRPr="00386E47">
        <w:rPr>
          <w:rFonts w:asciiTheme="majorHAnsi" w:eastAsia="Calibri" w:hAnsiTheme="majorHAnsi"/>
          <w:sz w:val="20"/>
          <w:szCs w:val="20"/>
          <w:lang w:val="es-US"/>
        </w:rPr>
        <w:t xml:space="preserve">99. </w:t>
      </w:r>
      <w:r w:rsidR="00960AD0" w:rsidRPr="00386E47">
        <w:rPr>
          <w:rFonts w:asciiTheme="majorHAnsi" w:eastAsia="Calibri" w:hAnsiTheme="majorHAnsi"/>
          <w:sz w:val="20"/>
          <w:szCs w:val="20"/>
          <w:lang w:val="es-US"/>
        </w:rPr>
        <w:t>D</w:t>
      </w:r>
      <w:r w:rsidRPr="00386E47">
        <w:rPr>
          <w:rFonts w:asciiTheme="majorHAnsi" w:eastAsia="Calibri" w:hAnsiTheme="majorHAnsi"/>
          <w:sz w:val="20"/>
          <w:szCs w:val="20"/>
          <w:lang w:val="es-US"/>
        </w:rPr>
        <w:t>urant</w:t>
      </w:r>
      <w:r w:rsidR="00E46C67" w:rsidRPr="00386E47">
        <w:rPr>
          <w:rFonts w:asciiTheme="majorHAnsi" w:eastAsia="Calibri" w:hAnsiTheme="majorHAnsi"/>
          <w:sz w:val="20"/>
          <w:szCs w:val="20"/>
          <w:lang w:val="es-US"/>
        </w:rPr>
        <w:t>e dicha investigación</w:t>
      </w:r>
      <w:r w:rsidR="00960AD0" w:rsidRPr="00386E47">
        <w:rPr>
          <w:rFonts w:asciiTheme="majorHAnsi" w:eastAsia="Calibri" w:hAnsiTheme="majorHAnsi"/>
          <w:sz w:val="20"/>
          <w:szCs w:val="20"/>
          <w:lang w:val="es-US"/>
        </w:rPr>
        <w:t>, denunciaron</w:t>
      </w:r>
      <w:r w:rsidR="00E80709" w:rsidRPr="00386E47">
        <w:rPr>
          <w:rFonts w:asciiTheme="majorHAnsi" w:eastAsia="Calibri" w:hAnsiTheme="majorHAnsi"/>
          <w:sz w:val="20"/>
          <w:szCs w:val="20"/>
          <w:lang w:val="es-US"/>
        </w:rPr>
        <w:t>,</w:t>
      </w:r>
      <w:r w:rsidR="00F16CF6" w:rsidRPr="00386E47">
        <w:rPr>
          <w:rFonts w:asciiTheme="majorHAnsi" w:eastAsia="Calibri" w:hAnsiTheme="majorHAnsi"/>
          <w:sz w:val="20"/>
          <w:szCs w:val="20"/>
          <w:lang w:val="es-US"/>
        </w:rPr>
        <w:t xml:space="preserve"> </w:t>
      </w:r>
      <w:r w:rsidR="00E46C67" w:rsidRPr="00386E47">
        <w:rPr>
          <w:rFonts w:asciiTheme="majorHAnsi" w:eastAsia="Calibri" w:hAnsiTheme="majorHAnsi"/>
          <w:sz w:val="20"/>
          <w:szCs w:val="20"/>
          <w:lang w:val="es-US"/>
        </w:rPr>
        <w:t xml:space="preserve">el Estado </w:t>
      </w:r>
      <w:r w:rsidRPr="00386E47">
        <w:rPr>
          <w:rFonts w:asciiTheme="majorHAnsi" w:eastAsia="Calibri" w:hAnsiTheme="majorHAnsi"/>
          <w:sz w:val="20"/>
          <w:szCs w:val="20"/>
          <w:lang w:val="es-US"/>
        </w:rPr>
        <w:t xml:space="preserve">omitió intencionalmente seguir líneas lógicas </w:t>
      </w:r>
      <w:r w:rsidR="002575B0" w:rsidRPr="00386E47">
        <w:rPr>
          <w:rFonts w:asciiTheme="majorHAnsi" w:eastAsia="Calibri" w:hAnsiTheme="majorHAnsi"/>
          <w:sz w:val="20"/>
          <w:szCs w:val="20"/>
          <w:lang w:val="es-US"/>
        </w:rPr>
        <w:t>que surgían de la misma</w:t>
      </w:r>
      <w:r w:rsidRPr="00386E47">
        <w:rPr>
          <w:rFonts w:asciiTheme="majorHAnsi" w:eastAsia="Calibri" w:hAnsiTheme="majorHAnsi"/>
          <w:sz w:val="20"/>
          <w:szCs w:val="20"/>
          <w:lang w:val="es-US"/>
        </w:rPr>
        <w:t xml:space="preserve">; encaminó la </w:t>
      </w:r>
      <w:r w:rsidR="00E80709" w:rsidRPr="00386E47">
        <w:rPr>
          <w:rFonts w:asciiTheme="majorHAnsi" w:eastAsia="Calibri" w:hAnsiTheme="majorHAnsi"/>
          <w:sz w:val="20"/>
          <w:szCs w:val="20"/>
          <w:lang w:val="es-US"/>
        </w:rPr>
        <w:t>pesquisa</w:t>
      </w:r>
      <w:r w:rsidRPr="00386E47">
        <w:rPr>
          <w:rFonts w:asciiTheme="majorHAnsi" w:eastAsia="Calibri" w:hAnsiTheme="majorHAnsi"/>
          <w:sz w:val="20"/>
          <w:szCs w:val="20"/>
          <w:lang w:val="es-US"/>
        </w:rPr>
        <w:t xml:space="preserve"> hacia personas inocentes; dejó de lado las reglas del debido proceso; acordó políticamente el resultado</w:t>
      </w:r>
      <w:r w:rsidR="006928A0" w:rsidRPr="00386E47">
        <w:rPr>
          <w:rFonts w:asciiTheme="majorHAnsi" w:eastAsia="Calibri" w:hAnsiTheme="majorHAnsi"/>
          <w:sz w:val="20"/>
          <w:szCs w:val="20"/>
          <w:lang w:val="es-US"/>
        </w:rPr>
        <w:t xml:space="preserve"> </w:t>
      </w:r>
      <w:r w:rsidRPr="00386E47">
        <w:rPr>
          <w:rFonts w:asciiTheme="majorHAnsi" w:eastAsia="Calibri" w:hAnsiTheme="majorHAnsi"/>
          <w:sz w:val="20"/>
          <w:szCs w:val="20"/>
          <w:lang w:val="es-US"/>
        </w:rPr>
        <w:t>del caso; privó ilegítimamente de la libertad</w:t>
      </w:r>
      <w:r w:rsidR="00960AD0" w:rsidRPr="00386E47">
        <w:rPr>
          <w:rFonts w:asciiTheme="majorHAnsi" w:eastAsia="Calibri" w:hAnsiTheme="majorHAnsi"/>
          <w:sz w:val="20"/>
          <w:szCs w:val="20"/>
          <w:lang w:val="es-US"/>
        </w:rPr>
        <w:t xml:space="preserve"> a imputados</w:t>
      </w:r>
      <w:r w:rsidRPr="00386E47">
        <w:rPr>
          <w:rFonts w:asciiTheme="majorHAnsi" w:eastAsia="Calibri" w:hAnsiTheme="majorHAnsi"/>
          <w:sz w:val="20"/>
          <w:szCs w:val="20"/>
          <w:lang w:val="es-US"/>
        </w:rPr>
        <w:t xml:space="preserve">; extorsionó testigos; desvió fondos estatales; </w:t>
      </w:r>
      <w:r w:rsidR="00E80709" w:rsidRPr="00386E47">
        <w:rPr>
          <w:rFonts w:asciiTheme="majorHAnsi" w:eastAsia="Calibri" w:hAnsiTheme="majorHAnsi"/>
          <w:sz w:val="20"/>
          <w:szCs w:val="20"/>
          <w:lang w:val="es-US"/>
        </w:rPr>
        <w:t>falló contra el derecho local; ocult</w:t>
      </w:r>
      <w:r w:rsidRPr="00386E47">
        <w:rPr>
          <w:rFonts w:asciiTheme="majorHAnsi" w:eastAsia="Calibri" w:hAnsiTheme="majorHAnsi"/>
          <w:sz w:val="20"/>
          <w:szCs w:val="20"/>
          <w:lang w:val="es-US"/>
        </w:rPr>
        <w:t>ó legajos e impidió</w:t>
      </w:r>
      <w:r w:rsidR="00960AD0" w:rsidRPr="00386E47">
        <w:rPr>
          <w:rFonts w:asciiTheme="majorHAnsi" w:eastAsia="Calibri" w:hAnsiTheme="majorHAnsi"/>
          <w:sz w:val="20"/>
          <w:szCs w:val="20"/>
          <w:lang w:val="es-US"/>
        </w:rPr>
        <w:t xml:space="preserve"> que las querellas accedan al expediente judicial. </w:t>
      </w:r>
    </w:p>
    <w:p w14:paraId="63E894CF" w14:textId="77777777" w:rsidR="00430A40" w:rsidRPr="00386E47" w:rsidRDefault="00430A40" w:rsidP="0084645E">
      <w:pPr>
        <w:tabs>
          <w:tab w:val="left" w:pos="567"/>
        </w:tabs>
        <w:jc w:val="both"/>
        <w:rPr>
          <w:rFonts w:asciiTheme="majorHAnsi" w:eastAsia="Calibri" w:hAnsiTheme="majorHAnsi" w:cs="Verdana"/>
          <w:bCs/>
          <w:sz w:val="20"/>
          <w:szCs w:val="20"/>
          <w:lang w:val="es-MX" w:bidi="en-US"/>
        </w:rPr>
      </w:pPr>
    </w:p>
    <w:p w14:paraId="6CA1C38E" w14:textId="77777777" w:rsidR="00BD03A2" w:rsidRPr="00386E47" w:rsidRDefault="002575B0" w:rsidP="003A5860">
      <w:pPr>
        <w:numPr>
          <w:ilvl w:val="0"/>
          <w:numId w:val="55"/>
        </w:numPr>
        <w:tabs>
          <w:tab w:val="left" w:pos="567"/>
        </w:tabs>
        <w:ind w:left="0" w:firstLine="0"/>
        <w:jc w:val="both"/>
        <w:rPr>
          <w:rFonts w:asciiTheme="majorHAnsi" w:eastAsia="Calibri" w:hAnsiTheme="majorHAnsi" w:cs="Verdana"/>
          <w:bCs/>
          <w:sz w:val="20"/>
          <w:szCs w:val="20"/>
          <w:lang w:val="es-MX" w:bidi="en-US"/>
        </w:rPr>
      </w:pPr>
      <w:r w:rsidRPr="00386E47">
        <w:rPr>
          <w:rFonts w:asciiTheme="majorHAnsi" w:eastAsia="Calibri" w:hAnsiTheme="majorHAnsi"/>
          <w:sz w:val="20"/>
          <w:szCs w:val="20"/>
          <w:lang w:val="es-US"/>
        </w:rPr>
        <w:t xml:space="preserve">Los peticionarios </w:t>
      </w:r>
      <w:r w:rsidR="00BB2305" w:rsidRPr="00386E47">
        <w:rPr>
          <w:rFonts w:asciiTheme="majorHAnsi" w:eastAsia="Calibri" w:hAnsiTheme="majorHAnsi"/>
          <w:sz w:val="20"/>
          <w:szCs w:val="20"/>
          <w:lang w:val="es-US"/>
        </w:rPr>
        <w:t xml:space="preserve">consignaron </w:t>
      </w:r>
      <w:r w:rsidR="005634D2" w:rsidRPr="00386E47">
        <w:rPr>
          <w:rFonts w:asciiTheme="majorHAnsi" w:eastAsia="Calibri" w:hAnsiTheme="majorHAnsi"/>
          <w:sz w:val="20"/>
          <w:szCs w:val="20"/>
          <w:lang w:val="es-US"/>
        </w:rPr>
        <w:t>que,</w:t>
      </w:r>
      <w:r w:rsidR="00E46C67" w:rsidRPr="00386E47">
        <w:rPr>
          <w:rFonts w:asciiTheme="majorHAnsi" w:eastAsia="Calibri" w:hAnsiTheme="majorHAnsi"/>
          <w:sz w:val="20"/>
          <w:szCs w:val="20"/>
          <w:lang w:val="es-US"/>
        </w:rPr>
        <w:t xml:space="preserve"> en el año 2004, el Tribunal Oral en lo Criminal Federal Nro. </w:t>
      </w:r>
      <w:r w:rsidR="005634D2" w:rsidRPr="00386E47">
        <w:rPr>
          <w:rFonts w:asciiTheme="majorHAnsi" w:eastAsia="Calibri" w:hAnsiTheme="majorHAnsi"/>
          <w:sz w:val="20"/>
          <w:szCs w:val="20"/>
          <w:lang w:val="es-US"/>
        </w:rPr>
        <w:t>3 declaró</w:t>
      </w:r>
      <w:r w:rsidR="00E46C67" w:rsidRPr="00386E47">
        <w:rPr>
          <w:rFonts w:asciiTheme="majorHAnsi" w:eastAsia="Calibri" w:hAnsiTheme="majorHAnsi"/>
          <w:sz w:val="20"/>
          <w:szCs w:val="20"/>
          <w:lang w:val="es-US"/>
        </w:rPr>
        <w:t xml:space="preserve"> la nulidad de gran parte de la investigación al considerar que la actuación del magistrado a carg</w:t>
      </w:r>
      <w:r w:rsidR="00DD6087" w:rsidRPr="00386E47">
        <w:rPr>
          <w:rFonts w:asciiTheme="majorHAnsi" w:eastAsia="Calibri" w:hAnsiTheme="majorHAnsi"/>
          <w:sz w:val="20"/>
          <w:szCs w:val="20"/>
          <w:lang w:val="es-US"/>
        </w:rPr>
        <w:t xml:space="preserve">o de la instrucción fue parcial </w:t>
      </w:r>
      <w:r w:rsidR="00BB2305" w:rsidRPr="00386E47">
        <w:rPr>
          <w:rFonts w:asciiTheme="majorHAnsi" w:eastAsia="Calibri" w:hAnsiTheme="majorHAnsi"/>
          <w:sz w:val="20"/>
          <w:szCs w:val="20"/>
          <w:lang w:val="es-US"/>
        </w:rPr>
        <w:t xml:space="preserve">y que afectó </w:t>
      </w:r>
      <w:r w:rsidR="00DD6087" w:rsidRPr="00386E47">
        <w:rPr>
          <w:rFonts w:asciiTheme="majorHAnsi" w:eastAsia="Calibri" w:hAnsiTheme="majorHAnsi"/>
          <w:sz w:val="20"/>
          <w:szCs w:val="20"/>
          <w:lang w:val="es-US"/>
        </w:rPr>
        <w:t xml:space="preserve">los derechos al </w:t>
      </w:r>
      <w:r w:rsidR="00E46C67" w:rsidRPr="00386E47">
        <w:rPr>
          <w:rFonts w:asciiTheme="majorHAnsi" w:eastAsia="Calibri" w:hAnsiTheme="majorHAnsi"/>
          <w:sz w:val="20"/>
          <w:szCs w:val="20"/>
          <w:lang w:val="es-US"/>
        </w:rPr>
        <w:t>debido proceso y la d</w:t>
      </w:r>
      <w:r w:rsidR="00DD6087" w:rsidRPr="00386E47">
        <w:rPr>
          <w:rFonts w:asciiTheme="majorHAnsi" w:eastAsia="Calibri" w:hAnsiTheme="majorHAnsi"/>
          <w:sz w:val="20"/>
          <w:szCs w:val="20"/>
          <w:lang w:val="es-US"/>
        </w:rPr>
        <w:t>efensa en juicio. En dicha sent</w:t>
      </w:r>
      <w:r w:rsidR="00E46C67" w:rsidRPr="00386E47">
        <w:rPr>
          <w:rFonts w:asciiTheme="majorHAnsi" w:eastAsia="Calibri" w:hAnsiTheme="majorHAnsi"/>
          <w:sz w:val="20"/>
          <w:szCs w:val="20"/>
          <w:lang w:val="es-US"/>
        </w:rPr>
        <w:t>e</w:t>
      </w:r>
      <w:r w:rsidR="00DD6087" w:rsidRPr="00386E47">
        <w:rPr>
          <w:rFonts w:asciiTheme="majorHAnsi" w:eastAsia="Calibri" w:hAnsiTheme="majorHAnsi"/>
          <w:sz w:val="20"/>
          <w:szCs w:val="20"/>
          <w:lang w:val="es-US"/>
        </w:rPr>
        <w:t>n</w:t>
      </w:r>
      <w:r w:rsidR="00E46C67" w:rsidRPr="00386E47">
        <w:rPr>
          <w:rFonts w:asciiTheme="majorHAnsi" w:eastAsia="Calibri" w:hAnsiTheme="majorHAnsi"/>
          <w:sz w:val="20"/>
          <w:szCs w:val="20"/>
          <w:lang w:val="es-US"/>
        </w:rPr>
        <w:t>cia, los peticionarios añadieron</w:t>
      </w:r>
      <w:r w:rsidRPr="00386E47">
        <w:rPr>
          <w:rFonts w:asciiTheme="majorHAnsi" w:eastAsia="Calibri" w:hAnsiTheme="majorHAnsi"/>
          <w:sz w:val="20"/>
          <w:szCs w:val="20"/>
          <w:lang w:val="es-US"/>
        </w:rPr>
        <w:t xml:space="preserve"> que</w:t>
      </w:r>
      <w:r w:rsidR="00E46C67" w:rsidRPr="00386E47">
        <w:rPr>
          <w:rFonts w:asciiTheme="majorHAnsi" w:eastAsia="Calibri" w:hAnsiTheme="majorHAnsi"/>
          <w:sz w:val="20"/>
          <w:szCs w:val="20"/>
          <w:lang w:val="es-US"/>
        </w:rPr>
        <w:t xml:space="preserve"> se demostró que la investigación</w:t>
      </w:r>
      <w:r w:rsidR="00DD6087" w:rsidRPr="00386E47">
        <w:rPr>
          <w:rFonts w:asciiTheme="majorHAnsi" w:eastAsia="Calibri" w:hAnsiTheme="majorHAnsi"/>
          <w:sz w:val="20"/>
          <w:szCs w:val="20"/>
          <w:lang w:val="es-US"/>
        </w:rPr>
        <w:t xml:space="preserve"> judicial</w:t>
      </w:r>
      <w:r w:rsidR="00E46C67" w:rsidRPr="00386E47">
        <w:rPr>
          <w:rFonts w:asciiTheme="majorHAnsi" w:eastAsia="Calibri" w:hAnsiTheme="majorHAnsi"/>
          <w:sz w:val="20"/>
          <w:szCs w:val="20"/>
          <w:lang w:val="es-US"/>
        </w:rPr>
        <w:t xml:space="preserve"> se valió de prueba falsa obtenida a partir de actividades estatales </w:t>
      </w:r>
      <w:r w:rsidR="0006550A" w:rsidRPr="00386E47">
        <w:rPr>
          <w:rFonts w:asciiTheme="majorHAnsi" w:eastAsia="Calibri" w:hAnsiTheme="majorHAnsi"/>
          <w:sz w:val="20"/>
          <w:szCs w:val="20"/>
          <w:lang w:val="es-US"/>
        </w:rPr>
        <w:t>ilícitas</w:t>
      </w:r>
      <w:r w:rsidR="00E80709" w:rsidRPr="00386E47">
        <w:rPr>
          <w:rFonts w:asciiTheme="majorHAnsi" w:eastAsia="Calibri" w:hAnsiTheme="majorHAnsi"/>
          <w:sz w:val="20"/>
          <w:szCs w:val="20"/>
          <w:lang w:val="es-US"/>
        </w:rPr>
        <w:t xml:space="preserve"> desplegadas con</w:t>
      </w:r>
      <w:r w:rsidR="00DD6087" w:rsidRPr="00386E47">
        <w:rPr>
          <w:rFonts w:asciiTheme="majorHAnsi" w:eastAsia="Calibri" w:hAnsiTheme="majorHAnsi"/>
          <w:sz w:val="20"/>
          <w:szCs w:val="20"/>
          <w:lang w:val="es-US"/>
        </w:rPr>
        <w:t xml:space="preserve"> el fin de</w:t>
      </w:r>
      <w:r w:rsidR="00E46C67" w:rsidRPr="00386E47">
        <w:rPr>
          <w:rFonts w:asciiTheme="majorHAnsi" w:eastAsia="Calibri" w:hAnsiTheme="majorHAnsi"/>
          <w:sz w:val="20"/>
          <w:szCs w:val="20"/>
          <w:lang w:val="es-US"/>
        </w:rPr>
        <w:t xml:space="preserve"> acusar</w:t>
      </w:r>
      <w:r w:rsidR="006928A0" w:rsidRPr="00386E47">
        <w:rPr>
          <w:rFonts w:asciiTheme="majorHAnsi" w:eastAsia="Calibri" w:hAnsiTheme="majorHAnsi"/>
          <w:sz w:val="20"/>
          <w:szCs w:val="20"/>
          <w:lang w:val="es-US"/>
        </w:rPr>
        <w:t xml:space="preserve"> </w:t>
      </w:r>
      <w:r w:rsidR="00E46C67" w:rsidRPr="00386E47">
        <w:rPr>
          <w:rFonts w:asciiTheme="majorHAnsi" w:eastAsia="Calibri" w:hAnsiTheme="majorHAnsi"/>
          <w:sz w:val="20"/>
          <w:szCs w:val="20"/>
          <w:lang w:val="es-US"/>
        </w:rPr>
        <w:t xml:space="preserve">a efectivos de la </w:t>
      </w:r>
      <w:r w:rsidR="0006550A" w:rsidRPr="00386E47">
        <w:rPr>
          <w:rFonts w:asciiTheme="majorHAnsi" w:eastAsia="Calibri" w:hAnsiTheme="majorHAnsi"/>
          <w:sz w:val="20"/>
          <w:szCs w:val="20"/>
          <w:lang w:val="es-US"/>
        </w:rPr>
        <w:t>Policía</w:t>
      </w:r>
      <w:r w:rsidR="00E46C67" w:rsidRPr="00386E47">
        <w:rPr>
          <w:rFonts w:asciiTheme="majorHAnsi" w:eastAsia="Calibri" w:hAnsiTheme="majorHAnsi"/>
          <w:sz w:val="20"/>
          <w:szCs w:val="20"/>
          <w:lang w:val="es-US"/>
        </w:rPr>
        <w:t xml:space="preserve"> de la Pro</w:t>
      </w:r>
      <w:r w:rsidRPr="00386E47">
        <w:rPr>
          <w:rFonts w:asciiTheme="majorHAnsi" w:eastAsia="Calibri" w:hAnsiTheme="majorHAnsi"/>
          <w:sz w:val="20"/>
          <w:szCs w:val="20"/>
          <w:lang w:val="es-US"/>
        </w:rPr>
        <w:t>v</w:t>
      </w:r>
      <w:r w:rsidR="00E46C67" w:rsidRPr="00386E47">
        <w:rPr>
          <w:rFonts w:asciiTheme="majorHAnsi" w:eastAsia="Calibri" w:hAnsiTheme="majorHAnsi"/>
          <w:sz w:val="20"/>
          <w:szCs w:val="20"/>
          <w:lang w:val="es-US"/>
        </w:rPr>
        <w:t xml:space="preserve">incia de Buenos Aires de ser </w:t>
      </w:r>
      <w:r w:rsidR="00DD6087" w:rsidRPr="00386E47">
        <w:rPr>
          <w:rFonts w:asciiTheme="majorHAnsi" w:eastAsia="Calibri" w:hAnsiTheme="majorHAnsi"/>
          <w:sz w:val="20"/>
          <w:szCs w:val="20"/>
          <w:lang w:val="es-US"/>
        </w:rPr>
        <w:t>parte de la conexión local</w:t>
      </w:r>
      <w:r w:rsidR="00E46C67" w:rsidRPr="00386E47">
        <w:rPr>
          <w:rFonts w:asciiTheme="majorHAnsi" w:eastAsia="Calibri" w:hAnsiTheme="majorHAnsi"/>
          <w:sz w:val="20"/>
          <w:szCs w:val="20"/>
          <w:lang w:val="es-US"/>
        </w:rPr>
        <w:t xml:space="preserve"> del atentado. </w:t>
      </w:r>
    </w:p>
    <w:p w14:paraId="14D8102E" w14:textId="77777777" w:rsidR="00BD03A2" w:rsidRPr="00386E47" w:rsidRDefault="00BD03A2" w:rsidP="00BD03A2">
      <w:pPr>
        <w:pStyle w:val="ListParagraph"/>
        <w:rPr>
          <w:rFonts w:asciiTheme="majorHAnsi" w:eastAsia="Calibri" w:hAnsiTheme="majorHAnsi"/>
          <w:sz w:val="20"/>
          <w:szCs w:val="20"/>
          <w:lang w:val="es-US"/>
        </w:rPr>
      </w:pPr>
    </w:p>
    <w:p w14:paraId="3FF17646" w14:textId="77777777" w:rsidR="005A5C09" w:rsidRPr="00386E47" w:rsidRDefault="00BD03A2" w:rsidP="003A5860">
      <w:pPr>
        <w:numPr>
          <w:ilvl w:val="0"/>
          <w:numId w:val="55"/>
        </w:numPr>
        <w:tabs>
          <w:tab w:val="left" w:pos="567"/>
        </w:tabs>
        <w:ind w:left="0" w:firstLine="0"/>
        <w:jc w:val="both"/>
        <w:rPr>
          <w:rFonts w:asciiTheme="majorHAnsi" w:eastAsia="Calibri" w:hAnsiTheme="majorHAnsi" w:cs="Verdana"/>
          <w:bCs/>
          <w:sz w:val="20"/>
          <w:szCs w:val="20"/>
          <w:lang w:val="es-MX" w:bidi="en-US"/>
        </w:rPr>
      </w:pPr>
      <w:r w:rsidRPr="00386E47">
        <w:rPr>
          <w:rFonts w:asciiTheme="majorHAnsi" w:eastAsia="Calibri" w:hAnsiTheme="majorHAnsi"/>
          <w:sz w:val="20"/>
          <w:szCs w:val="20"/>
          <w:lang w:val="es-US"/>
        </w:rPr>
        <w:t>En este sentido, a</w:t>
      </w:r>
      <w:r w:rsidR="00E46C67" w:rsidRPr="00386E47">
        <w:rPr>
          <w:rFonts w:asciiTheme="majorHAnsi" w:eastAsia="Calibri" w:hAnsiTheme="majorHAnsi"/>
          <w:sz w:val="20"/>
          <w:szCs w:val="20"/>
          <w:lang w:val="es-US"/>
        </w:rPr>
        <w:t>firmaron</w:t>
      </w:r>
      <w:r w:rsidR="005A5C09" w:rsidRPr="00386E47">
        <w:rPr>
          <w:rFonts w:asciiTheme="majorHAnsi" w:eastAsia="Calibri" w:hAnsiTheme="majorHAnsi"/>
          <w:sz w:val="20"/>
          <w:szCs w:val="20"/>
          <w:lang w:val="es-US"/>
        </w:rPr>
        <w:t xml:space="preserve"> que, </w:t>
      </w:r>
      <w:r w:rsidR="009F70EA" w:rsidRPr="00386E47">
        <w:rPr>
          <w:rFonts w:asciiTheme="majorHAnsi" w:eastAsia="Calibri" w:hAnsiTheme="majorHAnsi"/>
          <w:sz w:val="20"/>
          <w:szCs w:val="20"/>
          <w:lang w:val="es-US"/>
        </w:rPr>
        <w:t xml:space="preserve">aún después de conocida la maniobra de encubrimiento, la causa judicial siguió </w:t>
      </w:r>
      <w:r w:rsidR="006928A0" w:rsidRPr="00386E47">
        <w:rPr>
          <w:rFonts w:asciiTheme="majorHAnsi" w:eastAsia="Calibri" w:hAnsiTheme="majorHAnsi"/>
          <w:sz w:val="20"/>
          <w:szCs w:val="20"/>
          <w:lang w:val="es-US"/>
        </w:rPr>
        <w:t xml:space="preserve">conducida </w:t>
      </w:r>
      <w:r w:rsidR="009F70EA" w:rsidRPr="00386E47">
        <w:rPr>
          <w:rFonts w:asciiTheme="majorHAnsi" w:eastAsia="Calibri" w:hAnsiTheme="majorHAnsi"/>
          <w:sz w:val="20"/>
          <w:szCs w:val="20"/>
          <w:lang w:val="es-US"/>
        </w:rPr>
        <w:t xml:space="preserve">por la </w:t>
      </w:r>
      <w:r w:rsidR="006928A0" w:rsidRPr="00386E47">
        <w:rPr>
          <w:rFonts w:asciiTheme="majorHAnsi" w:eastAsia="Calibri" w:hAnsiTheme="majorHAnsi"/>
          <w:sz w:val="20"/>
          <w:szCs w:val="20"/>
          <w:lang w:val="es-US"/>
        </w:rPr>
        <w:t xml:space="preserve">Secretaria de Inteligencia del Estado </w:t>
      </w:r>
      <w:r w:rsidR="009F70EA" w:rsidRPr="00386E47">
        <w:rPr>
          <w:rFonts w:asciiTheme="majorHAnsi" w:eastAsia="Calibri" w:hAnsiTheme="majorHAnsi"/>
          <w:sz w:val="20"/>
          <w:szCs w:val="20"/>
          <w:lang w:val="es-US"/>
        </w:rPr>
        <w:t>e influida por agencias extranjeras, por lo que</w:t>
      </w:r>
      <w:r w:rsidR="006928A0" w:rsidRPr="00386E47">
        <w:rPr>
          <w:rFonts w:asciiTheme="majorHAnsi" w:eastAsia="Calibri" w:hAnsiTheme="majorHAnsi"/>
          <w:sz w:val="20"/>
          <w:szCs w:val="20"/>
          <w:lang w:val="es-US"/>
        </w:rPr>
        <w:t>,</w:t>
      </w:r>
      <w:r w:rsidR="009F70EA" w:rsidRPr="00386E47">
        <w:rPr>
          <w:rFonts w:asciiTheme="majorHAnsi" w:eastAsia="Calibri" w:hAnsiTheme="majorHAnsi"/>
          <w:sz w:val="20"/>
          <w:szCs w:val="20"/>
          <w:lang w:val="es-US"/>
        </w:rPr>
        <w:t xml:space="preserve"> durante años</w:t>
      </w:r>
      <w:r w:rsidR="006928A0" w:rsidRPr="00386E47">
        <w:rPr>
          <w:rFonts w:asciiTheme="majorHAnsi" w:eastAsia="Calibri" w:hAnsiTheme="majorHAnsi"/>
          <w:sz w:val="20"/>
          <w:szCs w:val="20"/>
          <w:lang w:val="es-US"/>
        </w:rPr>
        <w:t>,</w:t>
      </w:r>
      <w:r w:rsidR="009F70EA" w:rsidRPr="00386E47">
        <w:rPr>
          <w:rFonts w:asciiTheme="majorHAnsi" w:eastAsia="Calibri" w:hAnsiTheme="majorHAnsi"/>
          <w:sz w:val="20"/>
          <w:szCs w:val="20"/>
          <w:lang w:val="es-US"/>
        </w:rPr>
        <w:t xml:space="preserve"> tampoco se avanzó en la determinación de la verdad</w:t>
      </w:r>
      <w:r w:rsidR="006928A0" w:rsidRPr="00386E47">
        <w:rPr>
          <w:rFonts w:asciiTheme="majorHAnsi" w:eastAsia="Calibri" w:hAnsiTheme="majorHAnsi"/>
          <w:sz w:val="20"/>
          <w:szCs w:val="20"/>
          <w:lang w:val="es-US"/>
        </w:rPr>
        <w:t>, ya que</w:t>
      </w:r>
      <w:r w:rsidR="009F70EA" w:rsidRPr="00386E47">
        <w:rPr>
          <w:rFonts w:asciiTheme="majorHAnsi" w:eastAsia="Calibri" w:hAnsiTheme="majorHAnsi"/>
          <w:sz w:val="20"/>
          <w:szCs w:val="20"/>
          <w:lang w:val="es-US"/>
        </w:rPr>
        <w:t xml:space="preserve"> la investigación estaría lejos de ser exhaustiva e imparcial. </w:t>
      </w:r>
      <w:r w:rsidR="005A5C09" w:rsidRPr="00386E47">
        <w:rPr>
          <w:rFonts w:asciiTheme="majorHAnsi" w:eastAsia="Calibri" w:hAnsiTheme="majorHAnsi"/>
          <w:sz w:val="20"/>
          <w:szCs w:val="20"/>
          <w:lang w:val="es-US"/>
        </w:rPr>
        <w:t>En este sentido, sostuvieron</w:t>
      </w:r>
      <w:r w:rsidR="009F70EA" w:rsidRPr="00386E47">
        <w:rPr>
          <w:rFonts w:asciiTheme="majorHAnsi" w:eastAsia="Calibri" w:hAnsiTheme="majorHAnsi"/>
          <w:sz w:val="20"/>
          <w:szCs w:val="20"/>
          <w:lang w:val="es-US"/>
        </w:rPr>
        <w:t xml:space="preserve"> que la falta de investigación fue grave y deliberad</w:t>
      </w:r>
      <w:r w:rsidR="00E80709" w:rsidRPr="00386E47">
        <w:rPr>
          <w:rFonts w:asciiTheme="majorHAnsi" w:eastAsia="Calibri" w:hAnsiTheme="majorHAnsi"/>
          <w:sz w:val="20"/>
          <w:szCs w:val="20"/>
          <w:lang w:val="es-US"/>
        </w:rPr>
        <w:t>a y que el Estado no solo no adopt</w:t>
      </w:r>
      <w:r w:rsidR="009F70EA" w:rsidRPr="00386E47">
        <w:rPr>
          <w:rFonts w:asciiTheme="majorHAnsi" w:eastAsia="Calibri" w:hAnsiTheme="majorHAnsi"/>
          <w:sz w:val="20"/>
          <w:szCs w:val="20"/>
          <w:lang w:val="es-US"/>
        </w:rPr>
        <w:t>ó los recaudos mínimos para emprender una investigación exitosa, sino que desplegó su capacidad para desviar la investigación, sellando con ello el encubrimiento de los responsables extranjeros y locales</w:t>
      </w:r>
      <w:r w:rsidR="006928A0" w:rsidRPr="00386E47">
        <w:rPr>
          <w:rFonts w:asciiTheme="majorHAnsi" w:eastAsia="Calibri" w:hAnsiTheme="majorHAnsi"/>
          <w:sz w:val="20"/>
          <w:szCs w:val="20"/>
          <w:lang w:val="es-US"/>
        </w:rPr>
        <w:t xml:space="preserve"> del atentado</w:t>
      </w:r>
      <w:r w:rsidR="005A5C09" w:rsidRPr="00386E47">
        <w:rPr>
          <w:rFonts w:asciiTheme="majorHAnsi" w:eastAsia="Calibri" w:hAnsiTheme="majorHAnsi"/>
          <w:sz w:val="20"/>
          <w:szCs w:val="20"/>
          <w:lang w:val="es-US"/>
        </w:rPr>
        <w:t xml:space="preserve">. </w:t>
      </w:r>
    </w:p>
    <w:p w14:paraId="2D5332CC" w14:textId="77777777" w:rsidR="00430A40" w:rsidRPr="00386E47" w:rsidRDefault="00430A40" w:rsidP="0084645E">
      <w:pPr>
        <w:tabs>
          <w:tab w:val="left" w:pos="567"/>
        </w:tabs>
        <w:jc w:val="both"/>
        <w:rPr>
          <w:rFonts w:asciiTheme="majorHAnsi" w:eastAsia="Calibri" w:hAnsiTheme="majorHAnsi" w:cs="Verdana"/>
          <w:bCs/>
          <w:sz w:val="20"/>
          <w:szCs w:val="20"/>
          <w:lang w:val="es-MX" w:bidi="en-US"/>
        </w:rPr>
      </w:pPr>
    </w:p>
    <w:p w14:paraId="6BD08E01" w14:textId="77777777" w:rsidR="00DD6087" w:rsidRPr="00386E47" w:rsidRDefault="002575B0" w:rsidP="003A5860">
      <w:pPr>
        <w:numPr>
          <w:ilvl w:val="0"/>
          <w:numId w:val="55"/>
        </w:numPr>
        <w:tabs>
          <w:tab w:val="left" w:pos="567"/>
        </w:tabs>
        <w:ind w:left="0" w:firstLine="0"/>
        <w:jc w:val="both"/>
        <w:rPr>
          <w:rFonts w:asciiTheme="majorHAnsi" w:eastAsia="Calibri" w:hAnsiTheme="majorHAnsi" w:cs="Verdana"/>
          <w:bCs/>
          <w:sz w:val="20"/>
          <w:szCs w:val="20"/>
          <w:lang w:val="es-MX" w:bidi="en-US"/>
        </w:rPr>
      </w:pPr>
      <w:r w:rsidRPr="00386E47">
        <w:rPr>
          <w:rFonts w:asciiTheme="majorHAnsi" w:eastAsia="Calibri" w:hAnsiTheme="majorHAnsi"/>
          <w:sz w:val="20"/>
          <w:szCs w:val="20"/>
          <w:lang w:val="es-US"/>
        </w:rPr>
        <w:t>L</w:t>
      </w:r>
      <w:r w:rsidR="005A5C09" w:rsidRPr="00386E47">
        <w:rPr>
          <w:rFonts w:asciiTheme="majorHAnsi" w:eastAsia="Calibri" w:hAnsiTheme="majorHAnsi"/>
          <w:sz w:val="20"/>
          <w:szCs w:val="20"/>
          <w:lang w:val="es-US"/>
        </w:rPr>
        <w:t xml:space="preserve">os peticionarios señalaron que diversos funcionarios judiciales, del Poder Ejecutivo Nacional, agentes de la Secretaria de Inteligencia del Estado (SIDE) y de la </w:t>
      </w:r>
      <w:r w:rsidR="0006550A" w:rsidRPr="00386E47">
        <w:rPr>
          <w:rFonts w:asciiTheme="majorHAnsi" w:eastAsia="Calibri" w:hAnsiTheme="majorHAnsi"/>
          <w:sz w:val="20"/>
          <w:szCs w:val="20"/>
          <w:lang w:val="es-US"/>
        </w:rPr>
        <w:t>Policía</w:t>
      </w:r>
      <w:r w:rsidR="005A5C09" w:rsidRPr="00386E47">
        <w:rPr>
          <w:rFonts w:asciiTheme="majorHAnsi" w:eastAsia="Calibri" w:hAnsiTheme="majorHAnsi"/>
          <w:sz w:val="20"/>
          <w:szCs w:val="20"/>
          <w:lang w:val="es-US"/>
        </w:rPr>
        <w:t xml:space="preserve"> Federal Argentina (PFA) fueron juzgados por </w:t>
      </w:r>
      <w:r w:rsidR="0006550A" w:rsidRPr="00386E47">
        <w:rPr>
          <w:rFonts w:asciiTheme="majorHAnsi" w:eastAsia="Calibri" w:hAnsiTheme="majorHAnsi"/>
          <w:sz w:val="20"/>
          <w:szCs w:val="20"/>
          <w:lang w:val="es-US"/>
        </w:rPr>
        <w:t>encubrir</w:t>
      </w:r>
      <w:r w:rsidR="005A5C09" w:rsidRPr="00386E47">
        <w:rPr>
          <w:rFonts w:asciiTheme="majorHAnsi" w:eastAsia="Calibri" w:hAnsiTheme="majorHAnsi"/>
          <w:sz w:val="20"/>
          <w:szCs w:val="20"/>
          <w:lang w:val="es-US"/>
        </w:rPr>
        <w:t xml:space="preserve"> el atentado y a sus verdaderos responsables. </w:t>
      </w:r>
      <w:r w:rsidRPr="00386E47">
        <w:rPr>
          <w:rFonts w:asciiTheme="majorHAnsi" w:eastAsia="Calibri" w:hAnsiTheme="majorHAnsi"/>
          <w:sz w:val="20"/>
          <w:szCs w:val="20"/>
          <w:lang w:val="es-US"/>
        </w:rPr>
        <w:t>I</w:t>
      </w:r>
      <w:r w:rsidR="005A5C09" w:rsidRPr="00386E47">
        <w:rPr>
          <w:rFonts w:asciiTheme="majorHAnsi" w:eastAsia="Calibri" w:hAnsiTheme="majorHAnsi"/>
          <w:sz w:val="20"/>
          <w:szCs w:val="20"/>
          <w:lang w:val="es-US"/>
        </w:rPr>
        <w:t xml:space="preserve">nformaron que en mayo de 2019 el Tribunal Oral en lo Criminal Federal Nro. 2 dictó </w:t>
      </w:r>
      <w:r w:rsidR="005A5C09" w:rsidRPr="00386E47">
        <w:rPr>
          <w:rFonts w:asciiTheme="majorHAnsi" w:eastAsia="Calibri" w:hAnsiTheme="majorHAnsi"/>
          <w:sz w:val="20"/>
          <w:szCs w:val="20"/>
          <w:lang w:val="es-MX"/>
        </w:rPr>
        <w:t xml:space="preserve">una sentencia que - a pesar de caracterizar las maniobras de encubrimiento como graves violaciones de derechos humanos </w:t>
      </w:r>
      <w:r w:rsidR="00CF0A8A" w:rsidRPr="00386E47">
        <w:rPr>
          <w:rFonts w:asciiTheme="majorHAnsi" w:eastAsia="Calibri" w:hAnsiTheme="majorHAnsi"/>
          <w:sz w:val="20"/>
          <w:szCs w:val="20"/>
          <w:lang w:val="es-MX"/>
        </w:rPr>
        <w:t>-</w:t>
      </w:r>
      <w:r w:rsidR="005A5C09" w:rsidRPr="00386E47">
        <w:rPr>
          <w:rFonts w:asciiTheme="majorHAnsi" w:eastAsia="Calibri" w:hAnsiTheme="majorHAnsi"/>
          <w:sz w:val="20"/>
          <w:szCs w:val="20"/>
          <w:lang w:val="es-MX"/>
        </w:rPr>
        <w:t xml:space="preserve"> impuso sanciones penales que los peticionarios consideran que son desproporcionalmente bajas. </w:t>
      </w:r>
      <w:r w:rsidR="006E5444" w:rsidRPr="00386E47">
        <w:rPr>
          <w:rFonts w:asciiTheme="majorHAnsi" w:eastAsia="Calibri" w:hAnsiTheme="majorHAnsi"/>
          <w:sz w:val="20"/>
          <w:szCs w:val="20"/>
          <w:lang w:val="es-MX"/>
        </w:rPr>
        <w:t>Asimismo</w:t>
      </w:r>
      <w:r w:rsidR="005A5C09" w:rsidRPr="00386E47">
        <w:rPr>
          <w:rFonts w:asciiTheme="majorHAnsi" w:eastAsia="Calibri" w:hAnsiTheme="majorHAnsi"/>
          <w:sz w:val="20"/>
          <w:szCs w:val="20"/>
          <w:lang w:val="es-MX"/>
        </w:rPr>
        <w:t xml:space="preserve">, sostuvieron que la </w:t>
      </w:r>
      <w:r w:rsidR="00F16CF6" w:rsidRPr="00386E47">
        <w:rPr>
          <w:rFonts w:asciiTheme="majorHAnsi" w:eastAsia="Calibri" w:hAnsiTheme="majorHAnsi"/>
          <w:sz w:val="20"/>
          <w:szCs w:val="20"/>
          <w:lang w:val="es-MX"/>
        </w:rPr>
        <w:t>sentencia</w:t>
      </w:r>
      <w:r w:rsidR="005A5C09" w:rsidRPr="00386E47">
        <w:rPr>
          <w:rFonts w:asciiTheme="majorHAnsi" w:eastAsia="Calibri" w:hAnsiTheme="majorHAnsi"/>
          <w:sz w:val="20"/>
          <w:szCs w:val="20"/>
          <w:lang w:val="es-MX"/>
        </w:rPr>
        <w:t xml:space="preserve"> por el encubrimiento del atentado aún no </w:t>
      </w:r>
      <w:r w:rsidR="00C3095B" w:rsidRPr="00386E47">
        <w:rPr>
          <w:rFonts w:asciiTheme="majorHAnsi" w:eastAsia="Calibri" w:hAnsiTheme="majorHAnsi"/>
          <w:sz w:val="20"/>
          <w:szCs w:val="20"/>
          <w:lang w:val="es-MX"/>
        </w:rPr>
        <w:t>se encuentra</w:t>
      </w:r>
      <w:r w:rsidR="005A5C09" w:rsidRPr="00386E47">
        <w:rPr>
          <w:rFonts w:asciiTheme="majorHAnsi" w:eastAsia="Calibri" w:hAnsiTheme="majorHAnsi"/>
          <w:sz w:val="20"/>
          <w:szCs w:val="20"/>
          <w:lang w:val="es-MX"/>
        </w:rPr>
        <w:t xml:space="preserve"> firme y que </w:t>
      </w:r>
      <w:r w:rsidR="009F70EA" w:rsidRPr="00386E47">
        <w:rPr>
          <w:rFonts w:asciiTheme="majorHAnsi" w:eastAsia="Calibri" w:hAnsiTheme="majorHAnsi"/>
          <w:sz w:val="20"/>
          <w:szCs w:val="20"/>
          <w:lang w:val="es-US"/>
        </w:rPr>
        <w:t xml:space="preserve">resta que se avance la investigación contra varios imputados. </w:t>
      </w:r>
      <w:r w:rsidR="00890900" w:rsidRPr="00386E47">
        <w:rPr>
          <w:rFonts w:asciiTheme="majorHAnsi" w:eastAsia="Calibri" w:hAnsiTheme="majorHAnsi"/>
          <w:sz w:val="20"/>
          <w:szCs w:val="20"/>
          <w:lang w:val="es-US"/>
        </w:rPr>
        <w:t>Finalmente, i</w:t>
      </w:r>
      <w:r w:rsidR="00215F21" w:rsidRPr="00386E47">
        <w:rPr>
          <w:rFonts w:asciiTheme="majorHAnsi" w:eastAsia="Calibri" w:hAnsiTheme="majorHAnsi"/>
          <w:sz w:val="20"/>
          <w:szCs w:val="20"/>
          <w:lang w:val="es-US"/>
        </w:rPr>
        <w:t xml:space="preserve">ndicaron que </w:t>
      </w:r>
      <w:r w:rsidR="00215F21" w:rsidRPr="00386E47">
        <w:rPr>
          <w:rFonts w:asciiTheme="majorHAnsi" w:eastAsia="Calibri" w:hAnsiTheme="majorHAnsi"/>
          <w:sz w:val="20"/>
          <w:szCs w:val="20"/>
          <w:lang w:val="es-US"/>
        </w:rPr>
        <w:lastRenderedPageBreak/>
        <w:t>existió falta de imparcialidad e independencia de los jueces y fiscales a cargo de las causas de investigación del atentado y el encubrimiento.</w:t>
      </w:r>
    </w:p>
    <w:p w14:paraId="3AE4AAA9" w14:textId="77777777" w:rsidR="00430A40" w:rsidRPr="00386E47" w:rsidRDefault="00430A40" w:rsidP="0084645E">
      <w:pPr>
        <w:tabs>
          <w:tab w:val="left" w:pos="567"/>
        </w:tabs>
        <w:jc w:val="both"/>
        <w:rPr>
          <w:rFonts w:asciiTheme="majorHAnsi" w:eastAsia="Calibri" w:hAnsiTheme="majorHAnsi" w:cs="Verdana"/>
          <w:bCs/>
          <w:sz w:val="20"/>
          <w:szCs w:val="20"/>
          <w:lang w:val="es-MX" w:bidi="en-US"/>
        </w:rPr>
      </w:pPr>
    </w:p>
    <w:p w14:paraId="7173D741" w14:textId="77777777" w:rsidR="009F70EA" w:rsidRPr="00386E47" w:rsidRDefault="00DD6087" w:rsidP="003A5860">
      <w:pPr>
        <w:numPr>
          <w:ilvl w:val="0"/>
          <w:numId w:val="55"/>
        </w:numPr>
        <w:tabs>
          <w:tab w:val="left" w:pos="567"/>
        </w:tabs>
        <w:ind w:left="0" w:firstLine="0"/>
        <w:jc w:val="both"/>
        <w:rPr>
          <w:rFonts w:asciiTheme="majorHAnsi" w:eastAsia="Calibri" w:hAnsiTheme="majorHAnsi" w:cs="Verdana"/>
          <w:bCs/>
          <w:sz w:val="20"/>
          <w:szCs w:val="20"/>
          <w:lang w:val="es-MX" w:bidi="en-US"/>
        </w:rPr>
      </w:pPr>
      <w:r w:rsidRPr="00386E47">
        <w:rPr>
          <w:rFonts w:asciiTheme="majorHAnsi" w:eastAsia="Calibri" w:hAnsiTheme="majorHAnsi"/>
          <w:sz w:val="20"/>
          <w:szCs w:val="20"/>
          <w:lang w:val="es-US"/>
        </w:rPr>
        <w:t>Los peticionarios d</w:t>
      </w:r>
      <w:r w:rsidR="009F70EA" w:rsidRPr="00386E47">
        <w:rPr>
          <w:rFonts w:asciiTheme="majorHAnsi" w:eastAsia="Calibri" w:hAnsiTheme="majorHAnsi"/>
          <w:sz w:val="20"/>
          <w:szCs w:val="20"/>
          <w:lang w:val="es-US"/>
        </w:rPr>
        <w:t>estaca</w:t>
      </w:r>
      <w:r w:rsidRPr="00386E47">
        <w:rPr>
          <w:rFonts w:asciiTheme="majorHAnsi" w:eastAsia="Calibri" w:hAnsiTheme="majorHAnsi"/>
          <w:sz w:val="20"/>
          <w:szCs w:val="20"/>
          <w:lang w:val="es-US"/>
        </w:rPr>
        <w:t>ron</w:t>
      </w:r>
      <w:r w:rsidR="009F70EA" w:rsidRPr="00386E47">
        <w:rPr>
          <w:rFonts w:asciiTheme="majorHAnsi" w:eastAsia="Calibri" w:hAnsiTheme="majorHAnsi"/>
          <w:sz w:val="20"/>
          <w:szCs w:val="20"/>
          <w:lang w:val="es-US"/>
        </w:rPr>
        <w:t xml:space="preserve"> que</w:t>
      </w:r>
      <w:r w:rsidR="00E80709" w:rsidRPr="00386E47">
        <w:rPr>
          <w:rFonts w:asciiTheme="majorHAnsi" w:eastAsia="Calibri" w:hAnsiTheme="majorHAnsi"/>
          <w:sz w:val="20"/>
          <w:szCs w:val="20"/>
          <w:lang w:val="es-US"/>
        </w:rPr>
        <w:t xml:space="preserve"> en el año 2005</w:t>
      </w:r>
      <w:r w:rsidR="009F70EA" w:rsidRPr="00386E47">
        <w:rPr>
          <w:rFonts w:asciiTheme="majorHAnsi" w:eastAsia="Calibri" w:hAnsiTheme="majorHAnsi"/>
          <w:sz w:val="20"/>
          <w:szCs w:val="20"/>
          <w:lang w:val="es-US"/>
        </w:rPr>
        <w:t xml:space="preserve"> el Estado reconoció su responsabilidad internacional por la falta de</w:t>
      </w:r>
      <w:r w:rsidR="00E80709" w:rsidRPr="00386E47">
        <w:rPr>
          <w:rFonts w:asciiTheme="majorHAnsi" w:eastAsia="Calibri" w:hAnsiTheme="majorHAnsi"/>
          <w:sz w:val="20"/>
          <w:szCs w:val="20"/>
          <w:lang w:val="es-US"/>
        </w:rPr>
        <w:t xml:space="preserve"> prevención e</w:t>
      </w:r>
      <w:r w:rsidR="009F70EA" w:rsidRPr="00386E47">
        <w:rPr>
          <w:rFonts w:asciiTheme="majorHAnsi" w:eastAsia="Calibri" w:hAnsiTheme="majorHAnsi"/>
          <w:sz w:val="20"/>
          <w:szCs w:val="20"/>
          <w:lang w:val="es-US"/>
        </w:rPr>
        <w:t xml:space="preserve"> investigación </w:t>
      </w:r>
      <w:r w:rsidR="00E80709" w:rsidRPr="00386E47">
        <w:rPr>
          <w:rFonts w:asciiTheme="majorHAnsi" w:eastAsia="Calibri" w:hAnsiTheme="majorHAnsi"/>
          <w:sz w:val="20"/>
          <w:szCs w:val="20"/>
          <w:lang w:val="es-US"/>
        </w:rPr>
        <w:t xml:space="preserve">del atentado y aceptó impulsar </w:t>
      </w:r>
      <w:r w:rsidR="009F70EA" w:rsidRPr="00386E47">
        <w:rPr>
          <w:rFonts w:asciiTheme="majorHAnsi" w:eastAsia="Calibri" w:hAnsiTheme="majorHAnsi"/>
          <w:sz w:val="20"/>
          <w:szCs w:val="20"/>
          <w:lang w:val="es-US"/>
        </w:rPr>
        <w:t>una agenda de medidas orientadas a reencauzar las investigaciones</w:t>
      </w:r>
      <w:r w:rsidR="00215F21" w:rsidRPr="00386E47">
        <w:rPr>
          <w:rFonts w:asciiTheme="majorHAnsi" w:eastAsia="Calibri" w:hAnsiTheme="majorHAnsi"/>
          <w:sz w:val="20"/>
          <w:szCs w:val="20"/>
          <w:lang w:val="es-US"/>
        </w:rPr>
        <w:t xml:space="preserve">. Sin embargo, señalaron que el Estado no mostró avances </w:t>
      </w:r>
      <w:r w:rsidR="00F16CF6" w:rsidRPr="00386E47">
        <w:rPr>
          <w:rFonts w:asciiTheme="majorHAnsi" w:eastAsia="Calibri" w:hAnsiTheme="majorHAnsi"/>
          <w:sz w:val="20"/>
          <w:szCs w:val="20"/>
          <w:lang w:val="es-US"/>
        </w:rPr>
        <w:t>significativos</w:t>
      </w:r>
      <w:r w:rsidR="00215F21" w:rsidRPr="00386E47">
        <w:rPr>
          <w:rFonts w:asciiTheme="majorHAnsi" w:eastAsia="Calibri" w:hAnsiTheme="majorHAnsi"/>
          <w:sz w:val="20"/>
          <w:szCs w:val="20"/>
          <w:lang w:val="es-US"/>
        </w:rPr>
        <w:t xml:space="preserve"> en el cumplimiento de tales </w:t>
      </w:r>
      <w:r w:rsidR="009F70EA" w:rsidRPr="00386E47">
        <w:rPr>
          <w:rFonts w:asciiTheme="majorHAnsi" w:eastAsia="Calibri" w:hAnsiTheme="majorHAnsi"/>
          <w:sz w:val="20"/>
          <w:szCs w:val="20"/>
          <w:lang w:val="es-US"/>
        </w:rPr>
        <w:t>compromisos</w:t>
      </w:r>
      <w:r w:rsidR="00215F21" w:rsidRPr="00386E47">
        <w:rPr>
          <w:rFonts w:asciiTheme="majorHAnsi" w:eastAsia="Calibri" w:hAnsiTheme="majorHAnsi"/>
          <w:sz w:val="20"/>
          <w:szCs w:val="20"/>
          <w:lang w:val="es-US"/>
        </w:rPr>
        <w:t xml:space="preserve">, por lo que </w:t>
      </w:r>
      <w:r w:rsidR="009F70EA" w:rsidRPr="00386E47">
        <w:rPr>
          <w:rFonts w:asciiTheme="majorHAnsi" w:eastAsia="Calibri" w:hAnsiTheme="majorHAnsi"/>
          <w:sz w:val="20"/>
          <w:szCs w:val="20"/>
          <w:lang w:val="es-US"/>
        </w:rPr>
        <w:t>contin</w:t>
      </w:r>
      <w:r w:rsidR="00890900" w:rsidRPr="00386E47">
        <w:rPr>
          <w:rFonts w:asciiTheme="majorHAnsi" w:eastAsia="Calibri" w:hAnsiTheme="majorHAnsi"/>
          <w:sz w:val="20"/>
          <w:szCs w:val="20"/>
          <w:lang w:val="es-US"/>
        </w:rPr>
        <w:t>uaría</w:t>
      </w:r>
      <w:r w:rsidR="009F70EA" w:rsidRPr="00386E47">
        <w:rPr>
          <w:rFonts w:asciiTheme="majorHAnsi" w:eastAsia="Calibri" w:hAnsiTheme="majorHAnsi"/>
          <w:sz w:val="20"/>
          <w:szCs w:val="20"/>
          <w:lang w:val="es-US"/>
        </w:rPr>
        <w:t xml:space="preserve"> incurriendo en responsabilidad internacional</w:t>
      </w:r>
      <w:r w:rsidR="006928A0" w:rsidRPr="00386E47">
        <w:rPr>
          <w:rFonts w:asciiTheme="majorHAnsi" w:eastAsia="Calibri" w:hAnsiTheme="majorHAnsi"/>
          <w:sz w:val="20"/>
          <w:szCs w:val="20"/>
          <w:lang w:val="es-US"/>
        </w:rPr>
        <w:t xml:space="preserve">. </w:t>
      </w:r>
    </w:p>
    <w:p w14:paraId="0415CBDB" w14:textId="77777777" w:rsidR="0084645E" w:rsidRPr="00386E47" w:rsidRDefault="0084645E" w:rsidP="0084645E">
      <w:pPr>
        <w:tabs>
          <w:tab w:val="left" w:pos="567"/>
        </w:tabs>
        <w:jc w:val="both"/>
        <w:rPr>
          <w:rFonts w:asciiTheme="majorHAnsi" w:eastAsia="Calibri" w:hAnsiTheme="majorHAnsi" w:cs="Verdana"/>
          <w:bCs/>
          <w:sz w:val="20"/>
          <w:szCs w:val="20"/>
          <w:lang w:val="es-MX" w:bidi="en-US"/>
        </w:rPr>
      </w:pPr>
    </w:p>
    <w:p w14:paraId="533A521F" w14:textId="77777777" w:rsidR="009E57A1" w:rsidRPr="00386E47" w:rsidRDefault="009F70EA" w:rsidP="003A5860">
      <w:pPr>
        <w:numPr>
          <w:ilvl w:val="0"/>
          <w:numId w:val="55"/>
        </w:numPr>
        <w:tabs>
          <w:tab w:val="left" w:pos="567"/>
        </w:tabs>
        <w:ind w:left="0" w:firstLine="0"/>
        <w:jc w:val="both"/>
        <w:rPr>
          <w:rFonts w:asciiTheme="majorHAnsi" w:eastAsia="Calibri" w:hAnsiTheme="majorHAnsi" w:cs="Verdana"/>
          <w:bCs/>
          <w:sz w:val="20"/>
          <w:szCs w:val="20"/>
          <w:lang w:val="es-MX" w:bidi="en-US"/>
        </w:rPr>
      </w:pPr>
      <w:r w:rsidRPr="00386E47">
        <w:rPr>
          <w:rFonts w:asciiTheme="majorHAnsi" w:eastAsia="Calibri" w:hAnsiTheme="majorHAnsi"/>
          <w:sz w:val="20"/>
          <w:szCs w:val="20"/>
          <w:lang w:val="es-US"/>
        </w:rPr>
        <w:t>Asimismo, alega</w:t>
      </w:r>
      <w:r w:rsidR="00CA6ACF" w:rsidRPr="00386E47">
        <w:rPr>
          <w:rFonts w:asciiTheme="majorHAnsi" w:eastAsia="Calibri" w:hAnsiTheme="majorHAnsi"/>
          <w:sz w:val="20"/>
          <w:szCs w:val="20"/>
          <w:lang w:val="es-US"/>
        </w:rPr>
        <w:t>ron</w:t>
      </w:r>
      <w:r w:rsidRPr="00386E47">
        <w:rPr>
          <w:rFonts w:asciiTheme="majorHAnsi" w:eastAsia="Calibri" w:hAnsiTheme="majorHAnsi"/>
          <w:sz w:val="20"/>
          <w:szCs w:val="20"/>
          <w:lang w:val="es-US"/>
        </w:rPr>
        <w:t xml:space="preserve"> que </w:t>
      </w:r>
      <w:r w:rsidR="00890900" w:rsidRPr="00386E47">
        <w:rPr>
          <w:rFonts w:asciiTheme="majorHAnsi" w:eastAsia="Calibri" w:hAnsiTheme="majorHAnsi"/>
          <w:sz w:val="20"/>
          <w:szCs w:val="20"/>
          <w:lang w:val="es-US"/>
        </w:rPr>
        <w:t xml:space="preserve">tanto el proceso judicial por </w:t>
      </w:r>
      <w:r w:rsidRPr="00386E47">
        <w:rPr>
          <w:rFonts w:asciiTheme="majorHAnsi" w:eastAsia="Calibri" w:hAnsiTheme="majorHAnsi"/>
          <w:sz w:val="20"/>
          <w:szCs w:val="20"/>
          <w:lang w:val="es-US"/>
        </w:rPr>
        <w:t xml:space="preserve">el atentado y </w:t>
      </w:r>
      <w:r w:rsidR="00890900" w:rsidRPr="00386E47">
        <w:rPr>
          <w:rFonts w:asciiTheme="majorHAnsi" w:eastAsia="Calibri" w:hAnsiTheme="majorHAnsi"/>
          <w:sz w:val="20"/>
          <w:szCs w:val="20"/>
          <w:lang w:val="es-US"/>
        </w:rPr>
        <w:t xml:space="preserve">como por </w:t>
      </w:r>
      <w:r w:rsidR="005634D2" w:rsidRPr="00386E47">
        <w:rPr>
          <w:rFonts w:asciiTheme="majorHAnsi" w:eastAsia="Calibri" w:hAnsiTheme="majorHAnsi"/>
          <w:sz w:val="20"/>
          <w:szCs w:val="20"/>
          <w:lang w:val="es-US"/>
        </w:rPr>
        <w:t>el encubrimiento</w:t>
      </w:r>
      <w:r w:rsidRPr="00386E47">
        <w:rPr>
          <w:rFonts w:asciiTheme="majorHAnsi" w:eastAsia="Calibri" w:hAnsiTheme="majorHAnsi"/>
          <w:sz w:val="20"/>
          <w:szCs w:val="20"/>
          <w:lang w:val="es-US"/>
        </w:rPr>
        <w:t>, no se han llevado a cabo dentro de un plazo razonable. Indica</w:t>
      </w:r>
      <w:r w:rsidR="009E57A1" w:rsidRPr="00386E47">
        <w:rPr>
          <w:rFonts w:asciiTheme="majorHAnsi" w:eastAsia="Calibri" w:hAnsiTheme="majorHAnsi"/>
          <w:sz w:val="20"/>
          <w:szCs w:val="20"/>
          <w:lang w:val="es-US"/>
        </w:rPr>
        <w:t>ron</w:t>
      </w:r>
      <w:r w:rsidRPr="00386E47">
        <w:rPr>
          <w:rFonts w:asciiTheme="majorHAnsi" w:eastAsia="Calibri" w:hAnsiTheme="majorHAnsi"/>
          <w:sz w:val="20"/>
          <w:szCs w:val="20"/>
          <w:lang w:val="es-US"/>
        </w:rPr>
        <w:t xml:space="preserve"> que, si bien el caso es complejo por la magnitud de los hechos y las estructuras políticas involucradas, el retardo no se ha debido a ello sino a la constante obstaculización del Estado y las múltiples maniobras de encubrimiento que tru</w:t>
      </w:r>
      <w:r w:rsidR="00CA6ACF" w:rsidRPr="00386E47">
        <w:rPr>
          <w:rFonts w:asciiTheme="majorHAnsi" w:eastAsia="Calibri" w:hAnsiTheme="majorHAnsi"/>
          <w:sz w:val="20"/>
          <w:szCs w:val="20"/>
          <w:lang w:val="es-US"/>
        </w:rPr>
        <w:t xml:space="preserve">ncaron la investigación. En </w:t>
      </w:r>
      <w:r w:rsidR="009E57A1" w:rsidRPr="00386E47">
        <w:rPr>
          <w:rFonts w:asciiTheme="majorHAnsi" w:eastAsia="Calibri" w:hAnsiTheme="majorHAnsi"/>
          <w:sz w:val="20"/>
          <w:szCs w:val="20"/>
          <w:lang w:val="es-US"/>
        </w:rPr>
        <w:t>esta línea</w:t>
      </w:r>
      <w:r w:rsidR="00CA6ACF" w:rsidRPr="00386E47">
        <w:rPr>
          <w:rFonts w:asciiTheme="majorHAnsi" w:eastAsia="Calibri" w:hAnsiTheme="majorHAnsi"/>
          <w:sz w:val="20"/>
          <w:szCs w:val="20"/>
          <w:lang w:val="es-US"/>
        </w:rPr>
        <w:t xml:space="preserve">, afirmaron </w:t>
      </w:r>
      <w:r w:rsidRPr="00386E47">
        <w:rPr>
          <w:rFonts w:asciiTheme="majorHAnsi" w:eastAsia="Calibri" w:hAnsiTheme="majorHAnsi"/>
          <w:sz w:val="20"/>
          <w:szCs w:val="20"/>
          <w:lang w:val="es-US"/>
        </w:rPr>
        <w:t xml:space="preserve">que el único motivo por el que todavía continúan las investigaciones es por la lucha incansable de </w:t>
      </w:r>
      <w:r w:rsidR="00CA6ACF" w:rsidRPr="00386E47">
        <w:rPr>
          <w:rFonts w:asciiTheme="majorHAnsi" w:eastAsia="Calibri" w:hAnsiTheme="majorHAnsi"/>
          <w:sz w:val="20"/>
          <w:szCs w:val="20"/>
          <w:lang w:val="es-US"/>
        </w:rPr>
        <w:t>los familiares de las víctimas</w:t>
      </w:r>
      <w:r w:rsidR="00430A40" w:rsidRPr="00386E47">
        <w:rPr>
          <w:rFonts w:asciiTheme="majorHAnsi" w:eastAsia="Calibri" w:hAnsiTheme="majorHAnsi"/>
          <w:sz w:val="20"/>
          <w:szCs w:val="20"/>
          <w:lang w:val="es-US"/>
        </w:rPr>
        <w:t xml:space="preserve">. </w:t>
      </w:r>
    </w:p>
    <w:p w14:paraId="7F6D46A0" w14:textId="77777777" w:rsidR="00430A40" w:rsidRPr="00386E47" w:rsidRDefault="00430A40" w:rsidP="0084645E">
      <w:pPr>
        <w:tabs>
          <w:tab w:val="left" w:pos="567"/>
        </w:tabs>
        <w:jc w:val="both"/>
        <w:rPr>
          <w:rFonts w:asciiTheme="majorHAnsi" w:eastAsia="Calibri" w:hAnsiTheme="majorHAnsi" w:cs="Verdana"/>
          <w:bCs/>
          <w:sz w:val="20"/>
          <w:szCs w:val="20"/>
          <w:lang w:val="es-MX" w:bidi="en-US"/>
        </w:rPr>
      </w:pPr>
    </w:p>
    <w:p w14:paraId="1E3B6063" w14:textId="77777777" w:rsidR="005A7A71" w:rsidRPr="00386E47" w:rsidRDefault="00215F21" w:rsidP="003A5860">
      <w:pPr>
        <w:numPr>
          <w:ilvl w:val="0"/>
          <w:numId w:val="55"/>
        </w:numPr>
        <w:tabs>
          <w:tab w:val="left" w:pos="567"/>
        </w:tabs>
        <w:ind w:left="0" w:firstLine="0"/>
        <w:jc w:val="both"/>
        <w:rPr>
          <w:rFonts w:asciiTheme="majorHAnsi" w:eastAsia="Calibri" w:hAnsiTheme="majorHAnsi" w:cs="Verdana"/>
          <w:bCs/>
          <w:sz w:val="20"/>
          <w:szCs w:val="20"/>
          <w:lang w:val="es-MX" w:bidi="en-US"/>
        </w:rPr>
      </w:pPr>
      <w:r w:rsidRPr="00386E47">
        <w:rPr>
          <w:rFonts w:asciiTheme="majorHAnsi" w:eastAsia="Calibri" w:hAnsiTheme="majorHAnsi"/>
          <w:sz w:val="20"/>
          <w:szCs w:val="20"/>
          <w:lang w:val="es-US"/>
        </w:rPr>
        <w:t>Los peticionarios alegaron</w:t>
      </w:r>
      <w:r w:rsidR="00CA6ACF" w:rsidRPr="00386E47">
        <w:rPr>
          <w:rFonts w:asciiTheme="majorHAnsi" w:eastAsia="Calibri" w:hAnsiTheme="majorHAnsi"/>
          <w:sz w:val="20"/>
          <w:szCs w:val="20"/>
          <w:lang w:val="es-US"/>
        </w:rPr>
        <w:t xml:space="preserve"> </w:t>
      </w:r>
      <w:r w:rsidR="009F70EA" w:rsidRPr="00386E47">
        <w:rPr>
          <w:rFonts w:asciiTheme="majorHAnsi" w:eastAsia="Calibri" w:hAnsiTheme="majorHAnsi"/>
          <w:sz w:val="20"/>
          <w:szCs w:val="20"/>
          <w:lang w:val="es-US"/>
        </w:rPr>
        <w:t>que</w:t>
      </w:r>
      <w:r w:rsidR="009E57A1" w:rsidRPr="00386E47">
        <w:rPr>
          <w:rFonts w:asciiTheme="majorHAnsi" w:eastAsia="Calibri" w:hAnsiTheme="majorHAnsi"/>
          <w:sz w:val="20"/>
          <w:szCs w:val="20"/>
          <w:lang w:val="es-US"/>
        </w:rPr>
        <w:t xml:space="preserve"> en la investigaci</w:t>
      </w:r>
      <w:r w:rsidR="00713782" w:rsidRPr="00386E47">
        <w:rPr>
          <w:rFonts w:asciiTheme="majorHAnsi" w:eastAsia="Calibri" w:hAnsiTheme="majorHAnsi"/>
          <w:sz w:val="20"/>
          <w:szCs w:val="20"/>
          <w:lang w:val="es-US"/>
        </w:rPr>
        <w:t>ó</w:t>
      </w:r>
      <w:r w:rsidR="009E57A1" w:rsidRPr="00386E47">
        <w:rPr>
          <w:rFonts w:asciiTheme="majorHAnsi" w:eastAsia="Calibri" w:hAnsiTheme="majorHAnsi"/>
          <w:sz w:val="20"/>
          <w:szCs w:val="20"/>
          <w:lang w:val="es-US"/>
        </w:rPr>
        <w:t>n</w:t>
      </w:r>
      <w:r w:rsidR="009F70EA" w:rsidRPr="00386E47">
        <w:rPr>
          <w:rFonts w:asciiTheme="majorHAnsi" w:eastAsia="Calibri" w:hAnsiTheme="majorHAnsi"/>
          <w:sz w:val="20"/>
          <w:szCs w:val="20"/>
          <w:lang w:val="es-US"/>
        </w:rPr>
        <w:t xml:space="preserve"> existe un gran cúmulo de información clasificada que no fue compartida </w:t>
      </w:r>
      <w:r w:rsidR="009E57A1" w:rsidRPr="00386E47">
        <w:rPr>
          <w:rFonts w:asciiTheme="majorHAnsi" w:eastAsia="Calibri" w:hAnsiTheme="majorHAnsi"/>
          <w:sz w:val="20"/>
          <w:szCs w:val="20"/>
          <w:lang w:val="es-US"/>
        </w:rPr>
        <w:t xml:space="preserve">con ellos sino hasta el año 2001, </w:t>
      </w:r>
      <w:r w:rsidR="00430A40" w:rsidRPr="00386E47">
        <w:rPr>
          <w:rFonts w:asciiTheme="majorHAnsi" w:eastAsia="Calibri" w:hAnsiTheme="majorHAnsi"/>
          <w:sz w:val="20"/>
          <w:szCs w:val="20"/>
          <w:lang w:val="es-US"/>
        </w:rPr>
        <w:t>mientras que</w:t>
      </w:r>
      <w:r w:rsidR="009E57A1" w:rsidRPr="00386E47">
        <w:rPr>
          <w:rFonts w:asciiTheme="majorHAnsi" w:eastAsia="Calibri" w:hAnsiTheme="majorHAnsi"/>
          <w:sz w:val="20"/>
          <w:szCs w:val="20"/>
          <w:lang w:val="es-US"/>
        </w:rPr>
        <w:t xml:space="preserve"> otra gran cantidad de documentos fue manteni</w:t>
      </w:r>
      <w:r w:rsidRPr="00386E47">
        <w:rPr>
          <w:rFonts w:asciiTheme="majorHAnsi" w:eastAsia="Calibri" w:hAnsiTheme="majorHAnsi"/>
          <w:sz w:val="20"/>
          <w:szCs w:val="20"/>
          <w:lang w:val="es-US"/>
        </w:rPr>
        <w:t>d</w:t>
      </w:r>
      <w:r w:rsidR="009E57A1" w:rsidRPr="00386E47">
        <w:rPr>
          <w:rFonts w:asciiTheme="majorHAnsi" w:eastAsia="Calibri" w:hAnsiTheme="majorHAnsi"/>
          <w:sz w:val="20"/>
          <w:szCs w:val="20"/>
          <w:lang w:val="es-US"/>
        </w:rPr>
        <w:t>a en secreto hasta el</w:t>
      </w:r>
      <w:r w:rsidR="009F70EA" w:rsidRPr="00386E47">
        <w:rPr>
          <w:rFonts w:asciiTheme="majorHAnsi" w:eastAsia="Calibri" w:hAnsiTheme="majorHAnsi"/>
          <w:sz w:val="20"/>
          <w:szCs w:val="20"/>
          <w:lang w:val="es-US"/>
        </w:rPr>
        <w:t xml:space="preserve"> año 2015. Señal</w:t>
      </w:r>
      <w:r w:rsidRPr="00386E47">
        <w:rPr>
          <w:rFonts w:asciiTheme="majorHAnsi" w:eastAsia="Calibri" w:hAnsiTheme="majorHAnsi"/>
          <w:sz w:val="20"/>
          <w:szCs w:val="20"/>
          <w:lang w:val="es-US"/>
        </w:rPr>
        <w:t>aron</w:t>
      </w:r>
      <w:r w:rsidR="009F70EA" w:rsidRPr="00386E47">
        <w:rPr>
          <w:rFonts w:asciiTheme="majorHAnsi" w:eastAsia="Calibri" w:hAnsiTheme="majorHAnsi"/>
          <w:sz w:val="20"/>
          <w:szCs w:val="20"/>
          <w:lang w:val="es-US"/>
        </w:rPr>
        <w:t xml:space="preserve"> que la información con la que se cuenta en la actualidad es tan abundante y compleja que, al no prestarse asesoría o guía a los querellantes para su comprensión, el Estado no está garantizando verdaderamente el pleno acceso y la capacidad de actuar de las víctimas. </w:t>
      </w:r>
      <w:r w:rsidR="00C3095B" w:rsidRPr="00386E47">
        <w:rPr>
          <w:rFonts w:asciiTheme="majorHAnsi" w:eastAsia="Calibri" w:hAnsiTheme="majorHAnsi"/>
          <w:sz w:val="20"/>
          <w:szCs w:val="20"/>
          <w:lang w:val="es-US"/>
        </w:rPr>
        <w:t>También</w:t>
      </w:r>
      <w:r w:rsidR="00430A40" w:rsidRPr="00386E47">
        <w:rPr>
          <w:rFonts w:asciiTheme="majorHAnsi" w:eastAsia="Calibri" w:hAnsiTheme="majorHAnsi"/>
          <w:sz w:val="20"/>
          <w:szCs w:val="20"/>
          <w:lang w:val="es-US"/>
        </w:rPr>
        <w:t xml:space="preserve"> denunciaron que</w:t>
      </w:r>
      <w:r w:rsidR="009F70EA" w:rsidRPr="00386E47">
        <w:rPr>
          <w:rFonts w:asciiTheme="majorHAnsi" w:eastAsia="Calibri" w:hAnsiTheme="majorHAnsi"/>
          <w:sz w:val="20"/>
          <w:szCs w:val="20"/>
          <w:lang w:val="es-US"/>
        </w:rPr>
        <w:t xml:space="preserve"> algunos archivos </w:t>
      </w:r>
      <w:r w:rsidR="00430A40" w:rsidRPr="00386E47">
        <w:rPr>
          <w:rFonts w:asciiTheme="majorHAnsi" w:eastAsia="Calibri" w:hAnsiTheme="majorHAnsi"/>
          <w:sz w:val="20"/>
          <w:szCs w:val="20"/>
          <w:lang w:val="es-US"/>
        </w:rPr>
        <w:t>estaban ubicados</w:t>
      </w:r>
      <w:r w:rsidR="009F70EA" w:rsidRPr="00386E47">
        <w:rPr>
          <w:rFonts w:asciiTheme="majorHAnsi" w:eastAsia="Calibri" w:hAnsiTheme="majorHAnsi"/>
          <w:sz w:val="20"/>
          <w:szCs w:val="20"/>
          <w:lang w:val="es-US"/>
        </w:rPr>
        <w:t xml:space="preserve"> en sitios sin ningún resguardo ni protección para evitar su daño con el paso del tiempo. Además, </w:t>
      </w:r>
      <w:r w:rsidRPr="00386E47">
        <w:rPr>
          <w:rFonts w:asciiTheme="majorHAnsi" w:eastAsia="Calibri" w:hAnsiTheme="majorHAnsi"/>
          <w:sz w:val="20"/>
          <w:szCs w:val="20"/>
          <w:lang w:val="es-US"/>
        </w:rPr>
        <w:t xml:space="preserve">indicaron que </w:t>
      </w:r>
      <w:r w:rsidR="009F70EA" w:rsidRPr="00386E47">
        <w:rPr>
          <w:rFonts w:asciiTheme="majorHAnsi" w:eastAsia="Calibri" w:hAnsiTheme="majorHAnsi"/>
          <w:sz w:val="20"/>
          <w:szCs w:val="20"/>
          <w:lang w:val="es-US"/>
        </w:rPr>
        <w:t>el Estado no ha emprendido acciones necesarias para que otros países compartan la información que</w:t>
      </w:r>
      <w:r w:rsidR="00430A40" w:rsidRPr="00386E47">
        <w:rPr>
          <w:rFonts w:asciiTheme="majorHAnsi" w:eastAsia="Calibri" w:hAnsiTheme="majorHAnsi"/>
          <w:sz w:val="20"/>
          <w:szCs w:val="20"/>
          <w:lang w:val="es-US"/>
        </w:rPr>
        <w:t xml:space="preserve"> posean</w:t>
      </w:r>
      <w:r w:rsidR="009F70EA" w:rsidRPr="00386E47">
        <w:rPr>
          <w:rFonts w:asciiTheme="majorHAnsi" w:eastAsia="Calibri" w:hAnsiTheme="majorHAnsi"/>
          <w:sz w:val="20"/>
          <w:szCs w:val="20"/>
          <w:lang w:val="es-US"/>
        </w:rPr>
        <w:t xml:space="preserve"> sobre el atentado. </w:t>
      </w:r>
    </w:p>
    <w:p w14:paraId="66ED7DF8" w14:textId="77777777" w:rsidR="00430A40" w:rsidRPr="00386E47" w:rsidRDefault="00430A40" w:rsidP="0084645E">
      <w:pPr>
        <w:tabs>
          <w:tab w:val="left" w:pos="567"/>
        </w:tabs>
        <w:jc w:val="both"/>
        <w:rPr>
          <w:rFonts w:asciiTheme="majorHAnsi" w:eastAsia="Calibri" w:hAnsiTheme="majorHAnsi" w:cs="Verdana"/>
          <w:bCs/>
          <w:sz w:val="20"/>
          <w:szCs w:val="20"/>
          <w:lang w:val="es-MX" w:bidi="en-US"/>
        </w:rPr>
      </w:pPr>
    </w:p>
    <w:p w14:paraId="4006824A" w14:textId="77777777" w:rsidR="00EB221C" w:rsidRPr="00386E47" w:rsidRDefault="00215F21" w:rsidP="003A5860">
      <w:pPr>
        <w:numPr>
          <w:ilvl w:val="0"/>
          <w:numId w:val="55"/>
        </w:numPr>
        <w:tabs>
          <w:tab w:val="left" w:pos="567"/>
        </w:tabs>
        <w:ind w:left="0" w:firstLine="0"/>
        <w:jc w:val="both"/>
        <w:rPr>
          <w:rFonts w:asciiTheme="majorHAnsi" w:eastAsia="Calibri" w:hAnsiTheme="majorHAnsi" w:cs="Verdana"/>
          <w:bCs/>
          <w:sz w:val="20"/>
          <w:szCs w:val="20"/>
          <w:lang w:val="es-MX" w:bidi="en-US"/>
        </w:rPr>
      </w:pPr>
      <w:r w:rsidRPr="00386E47">
        <w:rPr>
          <w:rFonts w:asciiTheme="majorHAnsi" w:eastAsia="Calibri" w:hAnsiTheme="majorHAnsi"/>
          <w:sz w:val="20"/>
          <w:szCs w:val="20"/>
          <w:lang w:val="es-MX" w:bidi="en-US"/>
        </w:rPr>
        <w:t>Los peticionarios indicaron que</w:t>
      </w:r>
      <w:r w:rsidR="005A7A71" w:rsidRPr="00386E47">
        <w:rPr>
          <w:rFonts w:asciiTheme="majorHAnsi" w:eastAsia="Calibri" w:hAnsiTheme="majorHAnsi"/>
          <w:sz w:val="20"/>
          <w:szCs w:val="20"/>
          <w:lang w:val="es-MX" w:bidi="en-US"/>
        </w:rPr>
        <w:t xml:space="preserve"> el Estado argentino </w:t>
      </w:r>
      <w:r w:rsidR="009F70EA" w:rsidRPr="00386E47">
        <w:rPr>
          <w:rFonts w:asciiTheme="majorHAnsi" w:eastAsia="Calibri" w:hAnsiTheme="majorHAnsi"/>
          <w:sz w:val="20"/>
          <w:szCs w:val="20"/>
          <w:lang w:val="es-MX" w:bidi="en-US"/>
        </w:rPr>
        <w:t xml:space="preserve">violó </w:t>
      </w:r>
      <w:r w:rsidRPr="00386E47">
        <w:rPr>
          <w:rFonts w:asciiTheme="majorHAnsi" w:eastAsia="Calibri" w:hAnsiTheme="majorHAnsi"/>
          <w:sz w:val="20"/>
          <w:szCs w:val="20"/>
          <w:lang w:val="es-MX" w:bidi="en-US"/>
        </w:rPr>
        <w:t xml:space="preserve">asimismo </w:t>
      </w:r>
      <w:r w:rsidR="009F70EA" w:rsidRPr="00386E47">
        <w:rPr>
          <w:rFonts w:asciiTheme="majorHAnsi" w:eastAsia="Calibri" w:hAnsiTheme="majorHAnsi"/>
          <w:sz w:val="20"/>
          <w:szCs w:val="20"/>
          <w:lang w:val="es-MX" w:bidi="en-US"/>
        </w:rPr>
        <w:t>el derecho a la integridad personal de los familiare</w:t>
      </w:r>
      <w:r w:rsidR="005A7A71" w:rsidRPr="00386E47">
        <w:rPr>
          <w:rFonts w:asciiTheme="majorHAnsi" w:eastAsia="Calibri" w:hAnsiTheme="majorHAnsi"/>
          <w:sz w:val="20"/>
          <w:szCs w:val="20"/>
          <w:lang w:val="es-MX" w:bidi="en-US"/>
        </w:rPr>
        <w:t xml:space="preserve">s de las víctimas del atentado tanto </w:t>
      </w:r>
      <w:r w:rsidR="009F70EA" w:rsidRPr="00386E47">
        <w:rPr>
          <w:rFonts w:asciiTheme="majorHAnsi" w:eastAsia="Calibri" w:hAnsiTheme="majorHAnsi"/>
          <w:sz w:val="20"/>
          <w:szCs w:val="20"/>
          <w:lang w:val="es-MX" w:bidi="en-US"/>
        </w:rPr>
        <w:t>por el sufrimiento que han padecido a causa de las circunstancias particulares de las violaciones perpet</w:t>
      </w:r>
      <w:r w:rsidR="005A7A71" w:rsidRPr="00386E47">
        <w:rPr>
          <w:rFonts w:asciiTheme="majorHAnsi" w:eastAsia="Calibri" w:hAnsiTheme="majorHAnsi"/>
          <w:sz w:val="20"/>
          <w:szCs w:val="20"/>
          <w:lang w:val="es-MX" w:bidi="en-US"/>
        </w:rPr>
        <w:t>radas contra sus seres queridos, como por</w:t>
      </w:r>
      <w:r w:rsidR="009F70EA" w:rsidRPr="00386E47">
        <w:rPr>
          <w:rFonts w:asciiTheme="majorHAnsi" w:eastAsia="Calibri" w:hAnsiTheme="majorHAnsi"/>
          <w:sz w:val="20"/>
          <w:szCs w:val="20"/>
          <w:lang w:val="es-MX" w:bidi="en-US"/>
        </w:rPr>
        <w:t xml:space="preserve"> el esfuerzo desplegado y las gestiones realizadas para obtener justicia. En particular </w:t>
      </w:r>
      <w:r w:rsidR="00C3095B" w:rsidRPr="00386E47">
        <w:rPr>
          <w:rFonts w:asciiTheme="majorHAnsi" w:eastAsia="Calibri" w:hAnsiTheme="majorHAnsi"/>
          <w:sz w:val="20"/>
          <w:szCs w:val="20"/>
          <w:lang w:val="es-MX" w:bidi="en-US"/>
        </w:rPr>
        <w:t>refirieron</w:t>
      </w:r>
      <w:r w:rsidR="009F70EA" w:rsidRPr="00386E47">
        <w:rPr>
          <w:rFonts w:asciiTheme="majorHAnsi" w:eastAsia="Calibri" w:hAnsiTheme="majorHAnsi"/>
          <w:sz w:val="20"/>
          <w:szCs w:val="20"/>
          <w:lang w:val="es-MX" w:bidi="en-US"/>
        </w:rPr>
        <w:t xml:space="preserve"> la lucha incansable que han desplegado por más de 25 años los familiares de las víctimas y la organización Memoria Activa en la búsqueda de verdad y justicia. </w:t>
      </w:r>
    </w:p>
    <w:p w14:paraId="54C119A3" w14:textId="77777777" w:rsidR="00430A40" w:rsidRPr="00386E47" w:rsidRDefault="00430A40" w:rsidP="0084645E">
      <w:pPr>
        <w:tabs>
          <w:tab w:val="left" w:pos="567"/>
        </w:tabs>
        <w:jc w:val="both"/>
        <w:rPr>
          <w:rFonts w:asciiTheme="majorHAnsi" w:eastAsia="Calibri" w:hAnsiTheme="majorHAnsi" w:cs="Verdana"/>
          <w:bCs/>
          <w:sz w:val="20"/>
          <w:szCs w:val="20"/>
          <w:lang w:val="es-MX" w:bidi="en-US"/>
        </w:rPr>
      </w:pPr>
    </w:p>
    <w:p w14:paraId="0F016A5E" w14:textId="77777777" w:rsidR="003C1E63" w:rsidRPr="00386E47" w:rsidRDefault="005A7A71" w:rsidP="003A5860">
      <w:pPr>
        <w:numPr>
          <w:ilvl w:val="0"/>
          <w:numId w:val="55"/>
        </w:numPr>
        <w:tabs>
          <w:tab w:val="left" w:pos="567"/>
        </w:tabs>
        <w:ind w:left="0" w:firstLine="0"/>
        <w:jc w:val="both"/>
        <w:rPr>
          <w:rFonts w:asciiTheme="majorHAnsi" w:hAnsiTheme="majorHAnsi"/>
          <w:sz w:val="20"/>
          <w:szCs w:val="20"/>
          <w:lang w:val="es-US"/>
        </w:rPr>
      </w:pPr>
      <w:r w:rsidRPr="00386E47">
        <w:rPr>
          <w:rFonts w:asciiTheme="majorHAnsi" w:hAnsiTheme="majorHAnsi"/>
          <w:sz w:val="20"/>
          <w:szCs w:val="20"/>
          <w:lang w:val="es-US"/>
        </w:rPr>
        <w:t>Finalmente, los peticionarios manifestaron</w:t>
      </w:r>
      <w:r w:rsidR="00215F21" w:rsidRPr="00386E47">
        <w:rPr>
          <w:rFonts w:asciiTheme="majorHAnsi" w:hAnsiTheme="majorHAnsi"/>
          <w:sz w:val="20"/>
          <w:szCs w:val="20"/>
          <w:lang w:val="es-US"/>
        </w:rPr>
        <w:t xml:space="preserve"> </w:t>
      </w:r>
      <w:r w:rsidR="00EB221C" w:rsidRPr="00386E47">
        <w:rPr>
          <w:rFonts w:asciiTheme="majorHAnsi" w:hAnsiTheme="majorHAnsi"/>
          <w:sz w:val="20"/>
          <w:szCs w:val="20"/>
          <w:lang w:val="es-US"/>
        </w:rPr>
        <w:t>que</w:t>
      </w:r>
      <w:r w:rsidR="00890900" w:rsidRPr="00386E47">
        <w:rPr>
          <w:rFonts w:asciiTheme="majorHAnsi" w:hAnsiTheme="majorHAnsi"/>
          <w:sz w:val="20"/>
          <w:szCs w:val="20"/>
          <w:lang w:val="es-US"/>
        </w:rPr>
        <w:t>, a pesar de</w:t>
      </w:r>
      <w:r w:rsidR="001F6E96" w:rsidRPr="00386E47">
        <w:rPr>
          <w:rFonts w:asciiTheme="majorHAnsi" w:hAnsiTheme="majorHAnsi"/>
          <w:sz w:val="20"/>
          <w:szCs w:val="20"/>
          <w:lang w:val="es-US"/>
        </w:rPr>
        <w:t xml:space="preserve"> su carácter de </w:t>
      </w:r>
      <w:r w:rsidR="000C5645" w:rsidRPr="00386E47">
        <w:rPr>
          <w:rFonts w:asciiTheme="majorHAnsi" w:hAnsiTheme="majorHAnsi"/>
          <w:sz w:val="20"/>
          <w:szCs w:val="20"/>
          <w:lang w:val="es-US"/>
        </w:rPr>
        <w:t xml:space="preserve">víctimas </w:t>
      </w:r>
      <w:r w:rsidR="001F6E96" w:rsidRPr="00386E47">
        <w:rPr>
          <w:rFonts w:asciiTheme="majorHAnsi" w:hAnsiTheme="majorHAnsi"/>
          <w:sz w:val="20"/>
          <w:szCs w:val="20"/>
          <w:lang w:val="es-US"/>
        </w:rPr>
        <w:t xml:space="preserve">del atentado </w:t>
      </w:r>
      <w:r w:rsidR="000C5645" w:rsidRPr="00386E47">
        <w:rPr>
          <w:rFonts w:asciiTheme="majorHAnsi" w:hAnsiTheme="majorHAnsi"/>
          <w:sz w:val="20"/>
          <w:szCs w:val="20"/>
          <w:lang w:val="es-US"/>
        </w:rPr>
        <w:t>y querellantes</w:t>
      </w:r>
      <w:r w:rsidR="001F6E96" w:rsidRPr="00386E47">
        <w:rPr>
          <w:rFonts w:asciiTheme="majorHAnsi" w:hAnsiTheme="majorHAnsi"/>
          <w:sz w:val="20"/>
          <w:szCs w:val="20"/>
          <w:lang w:val="es-US"/>
        </w:rPr>
        <w:t xml:space="preserve"> en la causa judicial</w:t>
      </w:r>
      <w:r w:rsidR="00890900" w:rsidRPr="00386E47">
        <w:rPr>
          <w:rFonts w:asciiTheme="majorHAnsi" w:hAnsiTheme="majorHAnsi"/>
          <w:sz w:val="20"/>
          <w:szCs w:val="20"/>
          <w:lang w:val="es-US"/>
        </w:rPr>
        <w:t>,</w:t>
      </w:r>
      <w:r w:rsidR="001F6E96" w:rsidRPr="00386E47">
        <w:rPr>
          <w:rFonts w:asciiTheme="majorHAnsi" w:hAnsiTheme="majorHAnsi"/>
          <w:sz w:val="20"/>
          <w:szCs w:val="20"/>
          <w:lang w:val="es-US"/>
        </w:rPr>
        <w:t xml:space="preserve"> </w:t>
      </w:r>
      <w:r w:rsidR="000C5645" w:rsidRPr="00386E47">
        <w:rPr>
          <w:rFonts w:asciiTheme="majorHAnsi" w:hAnsiTheme="majorHAnsi"/>
          <w:sz w:val="20"/>
          <w:szCs w:val="20"/>
          <w:lang w:val="es-US"/>
        </w:rPr>
        <w:t xml:space="preserve">no tienen la posibilidad de corroborar la información de inteligencia </w:t>
      </w:r>
      <w:r w:rsidR="001F6E96" w:rsidRPr="00386E47">
        <w:rPr>
          <w:rFonts w:asciiTheme="majorHAnsi" w:hAnsiTheme="majorHAnsi"/>
          <w:sz w:val="20"/>
          <w:szCs w:val="20"/>
          <w:lang w:val="es-US"/>
        </w:rPr>
        <w:t xml:space="preserve">incorporada a la </w:t>
      </w:r>
      <w:r w:rsidR="00C3095B" w:rsidRPr="00386E47">
        <w:rPr>
          <w:rFonts w:asciiTheme="majorHAnsi" w:hAnsiTheme="majorHAnsi"/>
          <w:sz w:val="20"/>
          <w:szCs w:val="20"/>
          <w:lang w:val="es-US"/>
        </w:rPr>
        <w:t>investigación</w:t>
      </w:r>
      <w:r w:rsidR="000C5645" w:rsidRPr="00386E47">
        <w:rPr>
          <w:rFonts w:asciiTheme="majorHAnsi" w:hAnsiTheme="majorHAnsi"/>
          <w:sz w:val="20"/>
          <w:szCs w:val="20"/>
          <w:lang w:val="es-US"/>
        </w:rPr>
        <w:t xml:space="preserve">. </w:t>
      </w:r>
      <w:r w:rsidRPr="00386E47">
        <w:rPr>
          <w:rFonts w:asciiTheme="majorHAnsi" w:hAnsiTheme="majorHAnsi"/>
          <w:sz w:val="20"/>
          <w:szCs w:val="20"/>
          <w:lang w:val="es-US"/>
        </w:rPr>
        <w:t>Señalaron</w:t>
      </w:r>
      <w:r w:rsidR="001F6E96" w:rsidRPr="00386E47">
        <w:rPr>
          <w:rFonts w:asciiTheme="majorHAnsi" w:hAnsiTheme="majorHAnsi"/>
          <w:sz w:val="20"/>
          <w:szCs w:val="20"/>
          <w:lang w:val="es-US"/>
        </w:rPr>
        <w:t xml:space="preserve"> </w:t>
      </w:r>
      <w:r w:rsidR="000C5645" w:rsidRPr="00386E47">
        <w:rPr>
          <w:rFonts w:asciiTheme="majorHAnsi" w:hAnsiTheme="majorHAnsi"/>
          <w:sz w:val="20"/>
          <w:szCs w:val="20"/>
          <w:lang w:val="es-US"/>
        </w:rPr>
        <w:t xml:space="preserve">que habría evidencia de que el Estado sabía o sospechaba que el atentado podía ocurrir, </w:t>
      </w:r>
      <w:r w:rsidR="001F6E96" w:rsidRPr="00386E47">
        <w:rPr>
          <w:rFonts w:asciiTheme="majorHAnsi" w:hAnsiTheme="majorHAnsi"/>
          <w:sz w:val="20"/>
          <w:szCs w:val="20"/>
          <w:lang w:val="es-US"/>
        </w:rPr>
        <w:t xml:space="preserve">como </w:t>
      </w:r>
      <w:r w:rsidR="00C3095B" w:rsidRPr="00386E47">
        <w:rPr>
          <w:rFonts w:asciiTheme="majorHAnsi" w:hAnsiTheme="majorHAnsi"/>
          <w:sz w:val="20"/>
          <w:szCs w:val="20"/>
          <w:lang w:val="es-US"/>
        </w:rPr>
        <w:t>también</w:t>
      </w:r>
      <w:r w:rsidR="001F6E96" w:rsidRPr="00386E47">
        <w:rPr>
          <w:rFonts w:asciiTheme="majorHAnsi" w:hAnsiTheme="majorHAnsi"/>
          <w:sz w:val="20"/>
          <w:szCs w:val="20"/>
          <w:lang w:val="es-US"/>
        </w:rPr>
        <w:t xml:space="preserve"> la </w:t>
      </w:r>
      <w:r w:rsidR="00C3095B" w:rsidRPr="00386E47">
        <w:rPr>
          <w:rFonts w:asciiTheme="majorHAnsi" w:hAnsiTheme="majorHAnsi"/>
          <w:sz w:val="20"/>
          <w:szCs w:val="20"/>
          <w:lang w:val="es-US"/>
        </w:rPr>
        <w:t>identidad</w:t>
      </w:r>
      <w:r w:rsidR="001F6E96" w:rsidRPr="00386E47">
        <w:rPr>
          <w:rFonts w:asciiTheme="majorHAnsi" w:hAnsiTheme="majorHAnsi"/>
          <w:sz w:val="20"/>
          <w:szCs w:val="20"/>
          <w:lang w:val="es-US"/>
        </w:rPr>
        <w:t xml:space="preserve"> de quienes organizaron y participaron en el atentado, pero que no se investigó seriamente, optando por encubrir los hechos. </w:t>
      </w:r>
    </w:p>
    <w:p w14:paraId="445A5E0E" w14:textId="77777777" w:rsidR="003C1E63" w:rsidRPr="00386E47" w:rsidRDefault="003C1E63" w:rsidP="00890900">
      <w:pPr>
        <w:tabs>
          <w:tab w:val="left" w:pos="567"/>
        </w:tabs>
        <w:jc w:val="both"/>
        <w:rPr>
          <w:rFonts w:asciiTheme="majorHAnsi" w:hAnsiTheme="majorHAnsi"/>
          <w:sz w:val="20"/>
          <w:szCs w:val="20"/>
          <w:lang w:val="es-US"/>
        </w:rPr>
      </w:pPr>
    </w:p>
    <w:p w14:paraId="59D72AFB" w14:textId="77777777" w:rsidR="00CA6ACF" w:rsidRPr="00386E47" w:rsidRDefault="00215F21" w:rsidP="003A5860">
      <w:pPr>
        <w:numPr>
          <w:ilvl w:val="0"/>
          <w:numId w:val="55"/>
        </w:numPr>
        <w:tabs>
          <w:tab w:val="left" w:pos="567"/>
        </w:tabs>
        <w:ind w:left="0" w:firstLine="0"/>
        <w:jc w:val="both"/>
        <w:rPr>
          <w:rFonts w:asciiTheme="majorHAnsi" w:hAnsiTheme="majorHAnsi"/>
          <w:sz w:val="20"/>
          <w:szCs w:val="20"/>
          <w:lang w:val="es-US"/>
        </w:rPr>
      </w:pPr>
      <w:r w:rsidRPr="00386E47">
        <w:rPr>
          <w:rFonts w:asciiTheme="majorHAnsi" w:hAnsiTheme="majorHAnsi"/>
          <w:sz w:val="20"/>
          <w:szCs w:val="20"/>
          <w:lang w:val="es-US"/>
        </w:rPr>
        <w:t>R</w:t>
      </w:r>
      <w:r w:rsidR="001F6E96" w:rsidRPr="00386E47">
        <w:rPr>
          <w:rFonts w:asciiTheme="majorHAnsi" w:hAnsiTheme="majorHAnsi"/>
          <w:sz w:val="20"/>
          <w:szCs w:val="20"/>
          <w:lang w:val="es-US"/>
        </w:rPr>
        <w:t>esaltaron</w:t>
      </w:r>
      <w:r w:rsidR="003A4943" w:rsidRPr="00386E47">
        <w:rPr>
          <w:rFonts w:asciiTheme="majorHAnsi" w:hAnsiTheme="majorHAnsi"/>
          <w:sz w:val="20"/>
          <w:szCs w:val="20"/>
          <w:lang w:val="es-US"/>
        </w:rPr>
        <w:t xml:space="preserve"> que la actuación de agentes de inteligencia como auxiliares de la justicia </w:t>
      </w:r>
      <w:r w:rsidR="001F6E96" w:rsidRPr="00386E47">
        <w:rPr>
          <w:rFonts w:asciiTheme="majorHAnsi" w:hAnsiTheme="majorHAnsi"/>
          <w:sz w:val="20"/>
          <w:szCs w:val="20"/>
          <w:lang w:val="es-US"/>
        </w:rPr>
        <w:t xml:space="preserve">merece especial </w:t>
      </w:r>
      <w:r w:rsidR="003A4943" w:rsidRPr="00386E47">
        <w:rPr>
          <w:rFonts w:asciiTheme="majorHAnsi" w:hAnsiTheme="majorHAnsi"/>
          <w:sz w:val="20"/>
          <w:szCs w:val="20"/>
          <w:lang w:val="es-US"/>
        </w:rPr>
        <w:t xml:space="preserve">atención porque </w:t>
      </w:r>
      <w:r w:rsidR="001F6E96" w:rsidRPr="00386E47">
        <w:rPr>
          <w:rFonts w:asciiTheme="majorHAnsi" w:hAnsiTheme="majorHAnsi"/>
          <w:sz w:val="20"/>
          <w:szCs w:val="20"/>
          <w:lang w:val="es-US"/>
        </w:rPr>
        <w:t>no fue sino hasta el momento en</w:t>
      </w:r>
      <w:r w:rsidR="003A4943" w:rsidRPr="00386E47">
        <w:rPr>
          <w:rFonts w:asciiTheme="majorHAnsi" w:hAnsiTheme="majorHAnsi"/>
          <w:sz w:val="20"/>
          <w:szCs w:val="20"/>
          <w:lang w:val="es-US"/>
        </w:rPr>
        <w:t xml:space="preserve"> que se levantó el secreto</w:t>
      </w:r>
      <w:r w:rsidR="001F6E96" w:rsidRPr="00386E47">
        <w:rPr>
          <w:rFonts w:asciiTheme="majorHAnsi" w:hAnsiTheme="majorHAnsi"/>
          <w:sz w:val="20"/>
          <w:szCs w:val="20"/>
          <w:lang w:val="es-US"/>
        </w:rPr>
        <w:t xml:space="preserve"> que </w:t>
      </w:r>
      <w:r w:rsidR="00C3095B" w:rsidRPr="00386E47">
        <w:rPr>
          <w:rFonts w:asciiTheme="majorHAnsi" w:hAnsiTheme="majorHAnsi"/>
          <w:sz w:val="20"/>
          <w:szCs w:val="20"/>
          <w:lang w:val="es-US"/>
        </w:rPr>
        <w:t>cubría</w:t>
      </w:r>
      <w:r w:rsidR="001F6E96" w:rsidRPr="00386E47">
        <w:rPr>
          <w:rFonts w:asciiTheme="majorHAnsi" w:hAnsiTheme="majorHAnsi"/>
          <w:sz w:val="20"/>
          <w:szCs w:val="20"/>
          <w:lang w:val="es-US"/>
        </w:rPr>
        <w:t xml:space="preserve"> sus actividades </w:t>
      </w:r>
      <w:r w:rsidR="00CA6ACF" w:rsidRPr="00386E47">
        <w:rPr>
          <w:rFonts w:asciiTheme="majorHAnsi" w:hAnsiTheme="majorHAnsi"/>
          <w:sz w:val="20"/>
          <w:szCs w:val="20"/>
          <w:lang w:val="es-US"/>
        </w:rPr>
        <w:t>que se conocieron las maniobras de encubrimiento que explican el estado de impunidad en el que se encuentra la investigación.</w:t>
      </w:r>
    </w:p>
    <w:p w14:paraId="2E98CE9A" w14:textId="77777777" w:rsidR="001F6E96" w:rsidRPr="00386E47" w:rsidRDefault="001F6E96" w:rsidP="0084645E">
      <w:pPr>
        <w:tabs>
          <w:tab w:val="left" w:pos="567"/>
        </w:tabs>
        <w:jc w:val="both"/>
        <w:rPr>
          <w:rFonts w:asciiTheme="majorHAnsi" w:hAnsiTheme="majorHAnsi"/>
          <w:sz w:val="20"/>
          <w:szCs w:val="20"/>
          <w:lang w:val="es-US"/>
        </w:rPr>
      </w:pPr>
    </w:p>
    <w:p w14:paraId="373AC79B" w14:textId="77777777" w:rsidR="004868C9" w:rsidRPr="00386E47" w:rsidRDefault="00215F21" w:rsidP="003A5860">
      <w:pPr>
        <w:numPr>
          <w:ilvl w:val="0"/>
          <w:numId w:val="55"/>
        </w:numPr>
        <w:tabs>
          <w:tab w:val="left" w:pos="567"/>
        </w:tabs>
        <w:ind w:left="0" w:firstLine="0"/>
        <w:jc w:val="both"/>
        <w:rPr>
          <w:rFonts w:asciiTheme="majorHAnsi" w:hAnsiTheme="majorHAnsi"/>
          <w:sz w:val="20"/>
          <w:szCs w:val="20"/>
          <w:lang w:val="es-US"/>
        </w:rPr>
      </w:pPr>
      <w:r w:rsidRPr="00386E47">
        <w:rPr>
          <w:rFonts w:asciiTheme="majorHAnsi" w:hAnsiTheme="majorHAnsi"/>
          <w:sz w:val="20"/>
          <w:szCs w:val="20"/>
          <w:lang w:val="es-US"/>
        </w:rPr>
        <w:t>L</w:t>
      </w:r>
      <w:r w:rsidR="00CA6ACF" w:rsidRPr="00386E47">
        <w:rPr>
          <w:rFonts w:asciiTheme="majorHAnsi" w:hAnsiTheme="majorHAnsi"/>
          <w:sz w:val="20"/>
          <w:szCs w:val="20"/>
          <w:lang w:val="es-US"/>
        </w:rPr>
        <w:t xml:space="preserve">os peticionarios </w:t>
      </w:r>
      <w:r w:rsidRPr="00386E47">
        <w:rPr>
          <w:rFonts w:asciiTheme="majorHAnsi" w:hAnsiTheme="majorHAnsi"/>
          <w:sz w:val="20"/>
          <w:szCs w:val="20"/>
          <w:lang w:val="es-US"/>
        </w:rPr>
        <w:t>solicitaron a la Comisión</w:t>
      </w:r>
      <w:r w:rsidR="004868C9" w:rsidRPr="00386E47">
        <w:rPr>
          <w:rFonts w:asciiTheme="majorHAnsi" w:hAnsiTheme="majorHAnsi"/>
          <w:sz w:val="20"/>
          <w:szCs w:val="20"/>
          <w:lang w:val="es-US"/>
        </w:rPr>
        <w:t xml:space="preserve"> abordar el caso como una grave violación a los derechos humanos. </w:t>
      </w:r>
      <w:r w:rsidR="001F6E96" w:rsidRPr="00386E47">
        <w:rPr>
          <w:rFonts w:asciiTheme="majorHAnsi" w:hAnsiTheme="majorHAnsi"/>
          <w:sz w:val="20"/>
          <w:szCs w:val="20"/>
          <w:lang w:val="es-US"/>
        </w:rPr>
        <w:t>Igualmente, solicitaron</w:t>
      </w:r>
      <w:r w:rsidR="00CA6ACF" w:rsidRPr="00386E47">
        <w:rPr>
          <w:rFonts w:asciiTheme="majorHAnsi" w:hAnsiTheme="majorHAnsi"/>
          <w:sz w:val="20"/>
          <w:szCs w:val="20"/>
          <w:lang w:val="es-US"/>
        </w:rPr>
        <w:t xml:space="preserve"> que </w:t>
      </w:r>
      <w:r w:rsidRPr="00386E47">
        <w:rPr>
          <w:rFonts w:asciiTheme="majorHAnsi" w:hAnsiTheme="majorHAnsi"/>
          <w:sz w:val="20"/>
          <w:szCs w:val="20"/>
          <w:lang w:val="es-US"/>
        </w:rPr>
        <w:t xml:space="preserve">se </w:t>
      </w:r>
      <w:r w:rsidR="00CA6ACF" w:rsidRPr="00386E47">
        <w:rPr>
          <w:rFonts w:asciiTheme="majorHAnsi" w:hAnsiTheme="majorHAnsi"/>
          <w:sz w:val="20"/>
          <w:szCs w:val="20"/>
          <w:lang w:val="es-US"/>
        </w:rPr>
        <w:t>recomiende al Estado la adopción de una serie de acciones</w:t>
      </w:r>
      <w:r w:rsidR="004868C9" w:rsidRPr="00386E47">
        <w:rPr>
          <w:rFonts w:asciiTheme="majorHAnsi" w:hAnsiTheme="majorHAnsi"/>
          <w:sz w:val="20"/>
          <w:szCs w:val="20"/>
          <w:lang w:val="es-US"/>
        </w:rPr>
        <w:t xml:space="preserve"> </w:t>
      </w:r>
      <w:r w:rsidR="00CA6ACF" w:rsidRPr="00386E47">
        <w:rPr>
          <w:rFonts w:asciiTheme="majorHAnsi" w:hAnsiTheme="majorHAnsi"/>
          <w:sz w:val="20"/>
          <w:szCs w:val="20"/>
          <w:lang w:val="es-US"/>
        </w:rPr>
        <w:t>destinadas a garantizar una adecuada</w:t>
      </w:r>
      <w:r w:rsidR="004868C9" w:rsidRPr="00386E47">
        <w:rPr>
          <w:rFonts w:asciiTheme="majorHAnsi" w:hAnsiTheme="majorHAnsi"/>
          <w:sz w:val="20"/>
          <w:szCs w:val="20"/>
          <w:lang w:val="es-US"/>
        </w:rPr>
        <w:t xml:space="preserve"> reparación de las víctimas</w:t>
      </w:r>
      <w:r w:rsidR="001F6E96" w:rsidRPr="00386E47">
        <w:rPr>
          <w:rFonts w:asciiTheme="majorHAnsi" w:hAnsiTheme="majorHAnsi"/>
          <w:sz w:val="20"/>
          <w:szCs w:val="20"/>
          <w:lang w:val="es-US"/>
        </w:rPr>
        <w:t xml:space="preserve"> y</w:t>
      </w:r>
      <w:r w:rsidR="00CA6ACF" w:rsidRPr="00386E47">
        <w:rPr>
          <w:rFonts w:asciiTheme="majorHAnsi" w:hAnsiTheme="majorHAnsi"/>
          <w:sz w:val="20"/>
          <w:szCs w:val="20"/>
          <w:lang w:val="es-US"/>
        </w:rPr>
        <w:t xml:space="preserve"> otras</w:t>
      </w:r>
      <w:r w:rsidR="001F6E96" w:rsidRPr="00386E47">
        <w:rPr>
          <w:rFonts w:asciiTheme="majorHAnsi" w:hAnsiTheme="majorHAnsi"/>
          <w:sz w:val="20"/>
          <w:szCs w:val="20"/>
          <w:lang w:val="es-US"/>
        </w:rPr>
        <w:t xml:space="preserve"> diversas medidas de no </w:t>
      </w:r>
      <w:r w:rsidR="00C3095B" w:rsidRPr="00386E47">
        <w:rPr>
          <w:rFonts w:asciiTheme="majorHAnsi" w:hAnsiTheme="majorHAnsi"/>
          <w:sz w:val="20"/>
          <w:szCs w:val="20"/>
          <w:lang w:val="es-US"/>
        </w:rPr>
        <w:t>repetición</w:t>
      </w:r>
      <w:r w:rsidR="00CA6ACF" w:rsidRPr="00386E47">
        <w:rPr>
          <w:rFonts w:asciiTheme="majorHAnsi" w:hAnsiTheme="majorHAnsi"/>
          <w:sz w:val="20"/>
          <w:szCs w:val="20"/>
          <w:lang w:val="es-US"/>
        </w:rPr>
        <w:t xml:space="preserve">, como </w:t>
      </w:r>
      <w:r w:rsidR="00C3095B" w:rsidRPr="00386E47">
        <w:rPr>
          <w:rFonts w:asciiTheme="majorHAnsi" w:hAnsiTheme="majorHAnsi"/>
          <w:sz w:val="20"/>
          <w:szCs w:val="20"/>
          <w:lang w:val="es-US"/>
        </w:rPr>
        <w:t>así</w:t>
      </w:r>
      <w:r w:rsidR="00CA6ACF" w:rsidRPr="00386E47">
        <w:rPr>
          <w:rFonts w:asciiTheme="majorHAnsi" w:hAnsiTheme="majorHAnsi"/>
          <w:sz w:val="20"/>
          <w:szCs w:val="20"/>
          <w:lang w:val="es-US"/>
        </w:rPr>
        <w:t xml:space="preserve"> </w:t>
      </w:r>
      <w:r w:rsidR="00C3095B" w:rsidRPr="00386E47">
        <w:rPr>
          <w:rFonts w:asciiTheme="majorHAnsi" w:hAnsiTheme="majorHAnsi"/>
          <w:sz w:val="20"/>
          <w:szCs w:val="20"/>
          <w:lang w:val="es-US"/>
        </w:rPr>
        <w:t>también</w:t>
      </w:r>
      <w:r w:rsidR="00CA6ACF" w:rsidRPr="00386E47">
        <w:rPr>
          <w:rFonts w:asciiTheme="majorHAnsi" w:hAnsiTheme="majorHAnsi"/>
          <w:sz w:val="20"/>
          <w:szCs w:val="20"/>
          <w:lang w:val="es-US"/>
        </w:rPr>
        <w:t xml:space="preserve"> diversas acciones cuyo objeto sea el de </w:t>
      </w:r>
      <w:r w:rsidR="001F6E96" w:rsidRPr="00386E47">
        <w:rPr>
          <w:rFonts w:asciiTheme="majorHAnsi" w:hAnsiTheme="majorHAnsi"/>
          <w:sz w:val="20"/>
          <w:szCs w:val="20"/>
          <w:lang w:val="es-US"/>
        </w:rPr>
        <w:t>garantizar</w:t>
      </w:r>
      <w:r w:rsidR="004868C9" w:rsidRPr="00386E47">
        <w:rPr>
          <w:rFonts w:asciiTheme="majorHAnsi" w:hAnsiTheme="majorHAnsi"/>
          <w:sz w:val="20"/>
          <w:szCs w:val="20"/>
          <w:lang w:val="es-US"/>
        </w:rPr>
        <w:t xml:space="preserve"> el derecho a la verdad para s</w:t>
      </w:r>
      <w:r w:rsidR="001F6E96" w:rsidRPr="00386E47">
        <w:rPr>
          <w:rFonts w:asciiTheme="majorHAnsi" w:hAnsiTheme="majorHAnsi"/>
          <w:sz w:val="20"/>
          <w:szCs w:val="20"/>
          <w:lang w:val="es-US"/>
        </w:rPr>
        <w:t xml:space="preserve">ostener la memoria colectiva sobre lo acontecido. </w:t>
      </w:r>
    </w:p>
    <w:p w14:paraId="65086118" w14:textId="77777777" w:rsidR="001F6E96" w:rsidRPr="00386E47" w:rsidRDefault="001F6E96" w:rsidP="0084645E">
      <w:pPr>
        <w:tabs>
          <w:tab w:val="left" w:pos="567"/>
        </w:tabs>
        <w:jc w:val="both"/>
        <w:rPr>
          <w:rFonts w:asciiTheme="majorHAnsi" w:hAnsiTheme="majorHAnsi"/>
          <w:sz w:val="20"/>
          <w:szCs w:val="20"/>
          <w:lang w:val="es-US"/>
        </w:rPr>
      </w:pPr>
    </w:p>
    <w:p w14:paraId="0D81C31E" w14:textId="77777777" w:rsidR="009F70EA" w:rsidRPr="00386E47" w:rsidRDefault="00CA6ACF" w:rsidP="003A5860">
      <w:pPr>
        <w:numPr>
          <w:ilvl w:val="0"/>
          <w:numId w:val="55"/>
        </w:numPr>
        <w:tabs>
          <w:tab w:val="left" w:pos="567"/>
        </w:tabs>
        <w:ind w:left="0" w:firstLine="0"/>
        <w:jc w:val="both"/>
        <w:rPr>
          <w:rFonts w:asciiTheme="majorHAnsi" w:eastAsia="Calibri" w:hAnsiTheme="majorHAnsi"/>
          <w:sz w:val="20"/>
          <w:szCs w:val="20"/>
          <w:lang w:val="es-MX" w:bidi="en-US"/>
        </w:rPr>
      </w:pPr>
      <w:r w:rsidRPr="00386E47">
        <w:rPr>
          <w:rFonts w:asciiTheme="majorHAnsi" w:eastAsia="Calibri" w:hAnsiTheme="majorHAnsi"/>
          <w:sz w:val="20"/>
          <w:szCs w:val="20"/>
          <w:lang w:val="es-MX" w:bidi="en-US"/>
        </w:rPr>
        <w:t>En virtud de todo lo expresado</w:t>
      </w:r>
      <w:r w:rsidR="009F70EA" w:rsidRPr="00386E47">
        <w:rPr>
          <w:rFonts w:asciiTheme="majorHAnsi" w:eastAsia="Calibri" w:hAnsiTheme="majorHAnsi"/>
          <w:sz w:val="20"/>
          <w:szCs w:val="20"/>
          <w:lang w:val="es-MX" w:bidi="en-US"/>
        </w:rPr>
        <w:t xml:space="preserve">, </w:t>
      </w:r>
      <w:r w:rsidR="00215F21" w:rsidRPr="00386E47">
        <w:rPr>
          <w:rFonts w:asciiTheme="majorHAnsi" w:eastAsia="Calibri" w:hAnsiTheme="majorHAnsi"/>
          <w:sz w:val="20"/>
          <w:szCs w:val="20"/>
          <w:lang w:val="es-MX" w:bidi="en-US"/>
        </w:rPr>
        <w:t xml:space="preserve">los peticionarios </w:t>
      </w:r>
      <w:r w:rsidR="006928A0" w:rsidRPr="00386E47">
        <w:rPr>
          <w:rFonts w:asciiTheme="majorHAnsi" w:eastAsia="Calibri" w:hAnsiTheme="majorHAnsi"/>
          <w:sz w:val="20"/>
          <w:szCs w:val="20"/>
          <w:lang w:val="es-MX" w:bidi="en-US"/>
        </w:rPr>
        <w:t xml:space="preserve">solicitaron </w:t>
      </w:r>
      <w:r w:rsidR="00215F21" w:rsidRPr="00386E47">
        <w:rPr>
          <w:rFonts w:asciiTheme="majorHAnsi" w:eastAsia="Calibri" w:hAnsiTheme="majorHAnsi"/>
          <w:sz w:val="20"/>
          <w:szCs w:val="20"/>
          <w:lang w:val="es-MX" w:bidi="en-US"/>
        </w:rPr>
        <w:t>a la Comisión</w:t>
      </w:r>
      <w:r w:rsidR="009F70EA" w:rsidRPr="00386E47">
        <w:rPr>
          <w:rFonts w:asciiTheme="majorHAnsi" w:eastAsia="Calibri" w:hAnsiTheme="majorHAnsi"/>
          <w:sz w:val="20"/>
          <w:szCs w:val="20"/>
          <w:lang w:val="es-MX" w:bidi="en-US"/>
        </w:rPr>
        <w:t xml:space="preserve"> que </w:t>
      </w:r>
      <w:r w:rsidR="00215F21" w:rsidRPr="00386E47">
        <w:rPr>
          <w:rFonts w:asciiTheme="majorHAnsi" w:eastAsia="Calibri" w:hAnsiTheme="majorHAnsi"/>
          <w:sz w:val="20"/>
          <w:szCs w:val="20"/>
          <w:lang w:val="es-MX" w:bidi="en-US"/>
        </w:rPr>
        <w:t xml:space="preserve">declare que </w:t>
      </w:r>
      <w:r w:rsidR="00E80709" w:rsidRPr="00386E47">
        <w:rPr>
          <w:rFonts w:asciiTheme="majorHAnsi" w:eastAsia="Calibri" w:hAnsiTheme="majorHAnsi"/>
          <w:sz w:val="20"/>
          <w:szCs w:val="20"/>
          <w:lang w:val="es-MX" w:bidi="en-US"/>
        </w:rPr>
        <w:t xml:space="preserve">la responsabilidad internacional del Estado argentino </w:t>
      </w:r>
      <w:r w:rsidR="009F70EA" w:rsidRPr="00386E47">
        <w:rPr>
          <w:rFonts w:asciiTheme="majorHAnsi" w:eastAsia="Calibri" w:hAnsiTheme="majorHAnsi"/>
          <w:sz w:val="20"/>
          <w:szCs w:val="20"/>
          <w:lang w:val="es-MX" w:bidi="en-US"/>
        </w:rPr>
        <w:t>por la violación de los derechos garantizados en los artículos 4, 5, 8, 13 y 25 de la Convención, en relación con los artículos 1.1 y 2 del mismo instrumento.</w:t>
      </w:r>
      <w:bookmarkStart w:id="8" w:name="_Toc25252203"/>
    </w:p>
    <w:p w14:paraId="462710DE" w14:textId="77777777" w:rsidR="00CA6ACF" w:rsidRPr="00386E47" w:rsidRDefault="00CA6ACF" w:rsidP="00CA6ACF">
      <w:pPr>
        <w:tabs>
          <w:tab w:val="left" w:pos="567"/>
        </w:tabs>
        <w:jc w:val="both"/>
        <w:rPr>
          <w:rFonts w:asciiTheme="majorHAnsi" w:eastAsia="Calibri" w:hAnsiTheme="majorHAnsi"/>
          <w:sz w:val="20"/>
          <w:szCs w:val="20"/>
          <w:lang w:val="es-MX" w:bidi="en-US"/>
        </w:rPr>
      </w:pPr>
    </w:p>
    <w:p w14:paraId="63BEEC9D" w14:textId="77777777" w:rsidR="009F70EA" w:rsidRPr="00386E47" w:rsidRDefault="0060659B" w:rsidP="009146F2">
      <w:pPr>
        <w:pStyle w:val="Heading2"/>
        <w:numPr>
          <w:ilvl w:val="0"/>
          <w:numId w:val="64"/>
        </w:numPr>
        <w:rPr>
          <w:rFonts w:asciiTheme="majorHAnsi" w:hAnsiTheme="majorHAnsi"/>
        </w:rPr>
      </w:pPr>
      <w:bookmarkStart w:id="9" w:name="_Toc51252184"/>
      <w:r w:rsidRPr="00386E47">
        <w:rPr>
          <w:rFonts w:asciiTheme="majorHAnsi" w:hAnsiTheme="majorHAnsi"/>
        </w:rPr>
        <w:t xml:space="preserve">El </w:t>
      </w:r>
      <w:r w:rsidR="009F70EA" w:rsidRPr="00386E47">
        <w:rPr>
          <w:rFonts w:asciiTheme="majorHAnsi" w:hAnsiTheme="majorHAnsi"/>
        </w:rPr>
        <w:t>Estado</w:t>
      </w:r>
      <w:bookmarkEnd w:id="8"/>
      <w:r w:rsidRPr="00386E47">
        <w:rPr>
          <w:rFonts w:asciiTheme="majorHAnsi" w:hAnsiTheme="majorHAnsi"/>
        </w:rPr>
        <w:t xml:space="preserve"> argentino</w:t>
      </w:r>
      <w:bookmarkEnd w:id="9"/>
      <w:r w:rsidR="009F70EA" w:rsidRPr="00386E47">
        <w:rPr>
          <w:rFonts w:asciiTheme="majorHAnsi" w:hAnsiTheme="majorHAnsi"/>
        </w:rPr>
        <w:t xml:space="preserve"> </w:t>
      </w:r>
    </w:p>
    <w:p w14:paraId="2E882651" w14:textId="77777777" w:rsidR="009F70EA" w:rsidRPr="00386E47" w:rsidRDefault="009F70EA" w:rsidP="009F70EA">
      <w:pPr>
        <w:spacing w:after="160" w:line="259" w:lineRule="auto"/>
        <w:ind w:left="720"/>
        <w:contextualSpacing/>
        <w:jc w:val="both"/>
        <w:rPr>
          <w:rFonts w:asciiTheme="majorHAnsi" w:eastAsia="Calibri" w:hAnsiTheme="majorHAnsi"/>
          <w:sz w:val="20"/>
          <w:szCs w:val="20"/>
          <w:lang w:val="es-US"/>
        </w:rPr>
      </w:pPr>
    </w:p>
    <w:p w14:paraId="3832BEC1" w14:textId="77777777" w:rsidR="00430A40" w:rsidRPr="00386E47" w:rsidRDefault="009F70EA" w:rsidP="003A5860">
      <w:pPr>
        <w:numPr>
          <w:ilvl w:val="0"/>
          <w:numId w:val="55"/>
        </w:numPr>
        <w:tabs>
          <w:tab w:val="left" w:pos="567"/>
        </w:tabs>
        <w:ind w:left="0" w:firstLine="0"/>
        <w:jc w:val="both"/>
        <w:rPr>
          <w:rFonts w:asciiTheme="majorHAnsi" w:eastAsia="Calibri" w:hAnsiTheme="majorHAnsi"/>
          <w:color w:val="000000"/>
          <w:sz w:val="20"/>
          <w:szCs w:val="20"/>
          <w:lang w:val="es-US"/>
        </w:rPr>
      </w:pPr>
      <w:r w:rsidRPr="00386E47">
        <w:rPr>
          <w:rFonts w:asciiTheme="majorHAnsi" w:eastAsia="Calibri" w:hAnsiTheme="majorHAnsi"/>
          <w:sz w:val="20"/>
          <w:szCs w:val="20"/>
          <w:lang w:val="es-US"/>
        </w:rPr>
        <w:t>Durante la tramitación del caso ante la Comisión, el Estado argentino reconoció su responsabilidad internaciona</w:t>
      </w:r>
      <w:r w:rsidR="00430A40" w:rsidRPr="00386E47">
        <w:rPr>
          <w:rFonts w:asciiTheme="majorHAnsi" w:eastAsia="Calibri" w:hAnsiTheme="majorHAnsi"/>
          <w:sz w:val="20"/>
          <w:szCs w:val="20"/>
          <w:lang w:val="es-US"/>
        </w:rPr>
        <w:t xml:space="preserve">l por las violaciones alegadas y ratificó su </w:t>
      </w:r>
      <w:r w:rsidR="00C3095B" w:rsidRPr="00386E47">
        <w:rPr>
          <w:rFonts w:asciiTheme="majorHAnsi" w:eastAsia="Calibri" w:hAnsiTheme="majorHAnsi"/>
          <w:sz w:val="20"/>
          <w:szCs w:val="20"/>
          <w:lang w:val="es-US"/>
        </w:rPr>
        <w:t>posición</w:t>
      </w:r>
      <w:r w:rsidR="00430A40" w:rsidRPr="00386E47">
        <w:rPr>
          <w:rFonts w:asciiTheme="majorHAnsi" w:eastAsia="Calibri" w:hAnsiTheme="majorHAnsi"/>
          <w:sz w:val="20"/>
          <w:szCs w:val="20"/>
          <w:lang w:val="es-US"/>
        </w:rPr>
        <w:t xml:space="preserve"> </w:t>
      </w:r>
      <w:r w:rsidR="00C13F8D" w:rsidRPr="00386E47">
        <w:rPr>
          <w:rFonts w:asciiTheme="majorHAnsi" w:eastAsia="Calibri" w:hAnsiTheme="majorHAnsi"/>
          <w:sz w:val="20"/>
          <w:szCs w:val="20"/>
          <w:lang w:val="es-US"/>
        </w:rPr>
        <w:t>a través de</w:t>
      </w:r>
      <w:r w:rsidR="00430A40" w:rsidRPr="00386E47">
        <w:rPr>
          <w:rFonts w:asciiTheme="majorHAnsi" w:eastAsia="Calibri" w:hAnsiTheme="majorHAnsi"/>
          <w:sz w:val="20"/>
          <w:szCs w:val="20"/>
          <w:lang w:val="es-US"/>
        </w:rPr>
        <w:t xml:space="preserve"> la </w:t>
      </w:r>
      <w:r w:rsidR="005634D2" w:rsidRPr="00386E47">
        <w:rPr>
          <w:rFonts w:asciiTheme="majorHAnsi" w:eastAsia="Calibri" w:hAnsiTheme="majorHAnsi"/>
          <w:sz w:val="20"/>
          <w:szCs w:val="20"/>
          <w:lang w:val="es-US"/>
        </w:rPr>
        <w:t>sanción</w:t>
      </w:r>
      <w:r w:rsidR="00430A40" w:rsidRPr="00386E47">
        <w:rPr>
          <w:rFonts w:asciiTheme="majorHAnsi" w:eastAsia="Calibri" w:hAnsiTheme="majorHAnsi"/>
          <w:sz w:val="20"/>
          <w:szCs w:val="20"/>
          <w:lang w:val="es-US"/>
        </w:rPr>
        <w:t xml:space="preserve"> del </w:t>
      </w:r>
      <w:r w:rsidR="005634D2" w:rsidRPr="00386E47">
        <w:rPr>
          <w:rFonts w:asciiTheme="majorHAnsi" w:eastAsia="Calibri" w:hAnsiTheme="majorHAnsi"/>
          <w:sz w:val="20"/>
          <w:szCs w:val="20"/>
          <w:lang w:val="es-US"/>
        </w:rPr>
        <w:t>Decreto 812</w:t>
      </w:r>
      <w:r w:rsidR="00430A40" w:rsidRPr="00386E47">
        <w:rPr>
          <w:rFonts w:asciiTheme="majorHAnsi" w:eastAsia="Calibri" w:hAnsiTheme="majorHAnsi"/>
          <w:sz w:val="20"/>
          <w:szCs w:val="20"/>
          <w:lang w:val="es-US"/>
        </w:rPr>
        <w:t>/</w:t>
      </w:r>
      <w:r w:rsidRPr="00386E47">
        <w:rPr>
          <w:rFonts w:asciiTheme="majorHAnsi" w:eastAsia="Calibri" w:hAnsiTheme="majorHAnsi"/>
          <w:sz w:val="20"/>
          <w:szCs w:val="20"/>
          <w:lang w:val="es-US"/>
        </w:rPr>
        <w:t xml:space="preserve">05. </w:t>
      </w:r>
      <w:r w:rsidR="00430A40" w:rsidRPr="00386E47">
        <w:rPr>
          <w:rFonts w:asciiTheme="majorHAnsi" w:eastAsia="Calibri" w:hAnsiTheme="majorHAnsi"/>
          <w:sz w:val="20"/>
          <w:szCs w:val="20"/>
          <w:lang w:val="es-US"/>
        </w:rPr>
        <w:t xml:space="preserve">Dicha </w:t>
      </w:r>
      <w:r w:rsidR="00430A40" w:rsidRPr="00386E47">
        <w:rPr>
          <w:rFonts w:asciiTheme="majorHAnsi" w:eastAsia="Calibri" w:hAnsiTheme="majorHAnsi"/>
          <w:sz w:val="20"/>
          <w:szCs w:val="20"/>
          <w:lang w:val="es-US"/>
        </w:rPr>
        <w:lastRenderedPageBreak/>
        <w:t xml:space="preserve">norma </w:t>
      </w:r>
      <w:r w:rsidRPr="00386E47">
        <w:rPr>
          <w:rFonts w:asciiTheme="majorHAnsi" w:eastAsia="Calibri" w:hAnsiTheme="majorHAnsi"/>
          <w:sz w:val="20"/>
          <w:szCs w:val="20"/>
          <w:lang w:val="es-US"/>
        </w:rPr>
        <w:t xml:space="preserve">indica expresamente que Argentina reconoce su responsabilidad por las violaciones </w:t>
      </w:r>
      <w:r w:rsidRPr="00386E47">
        <w:rPr>
          <w:rFonts w:asciiTheme="majorHAnsi" w:eastAsia="Calibri" w:hAnsiTheme="majorHAnsi"/>
          <w:color w:val="000000"/>
          <w:sz w:val="20"/>
          <w:szCs w:val="20"/>
          <w:lang w:val="es-VE"/>
        </w:rPr>
        <w:t>del derecho a la vida, a la integridad física, a las garantías judiciales y a la protección judicial y al deber de garantía del artículo 1(1) de la Convención</w:t>
      </w:r>
      <w:r w:rsidR="00430A40" w:rsidRPr="00386E47">
        <w:rPr>
          <w:rFonts w:asciiTheme="majorHAnsi" w:eastAsia="Calibri" w:hAnsiTheme="majorHAnsi"/>
          <w:sz w:val="20"/>
          <w:szCs w:val="20"/>
          <w:lang w:val="es-US"/>
        </w:rPr>
        <w:t xml:space="preserve">. </w:t>
      </w:r>
    </w:p>
    <w:p w14:paraId="0DCCB6FA" w14:textId="77777777" w:rsidR="00430A40" w:rsidRPr="00386E47" w:rsidRDefault="00430A40" w:rsidP="00E552C5">
      <w:pPr>
        <w:jc w:val="both"/>
        <w:rPr>
          <w:rFonts w:asciiTheme="majorHAnsi" w:eastAsia="Calibri" w:hAnsiTheme="majorHAnsi"/>
          <w:color w:val="000000"/>
          <w:sz w:val="20"/>
          <w:szCs w:val="20"/>
          <w:lang w:val="es-US"/>
        </w:rPr>
      </w:pPr>
    </w:p>
    <w:p w14:paraId="01944587" w14:textId="77777777" w:rsidR="009F70EA" w:rsidRPr="00386E47" w:rsidRDefault="009F70EA" w:rsidP="003A5860">
      <w:pPr>
        <w:numPr>
          <w:ilvl w:val="0"/>
          <w:numId w:val="55"/>
        </w:numPr>
        <w:tabs>
          <w:tab w:val="left" w:pos="567"/>
        </w:tabs>
        <w:ind w:left="0" w:firstLine="0"/>
        <w:jc w:val="both"/>
        <w:rPr>
          <w:rFonts w:asciiTheme="majorHAnsi" w:eastAsia="Calibri" w:hAnsiTheme="majorHAnsi"/>
          <w:sz w:val="20"/>
          <w:szCs w:val="20"/>
          <w:lang w:val="es-US"/>
        </w:rPr>
      </w:pPr>
      <w:r w:rsidRPr="00386E47">
        <w:rPr>
          <w:rFonts w:asciiTheme="majorHAnsi" w:eastAsia="Calibri" w:hAnsiTheme="majorHAnsi"/>
          <w:sz w:val="20"/>
          <w:szCs w:val="20"/>
          <w:lang w:val="es-US"/>
        </w:rPr>
        <w:t xml:space="preserve">En atención a su reconocimiento de responsabilidad, el Estado </w:t>
      </w:r>
      <w:r w:rsidR="00430A40" w:rsidRPr="00386E47">
        <w:rPr>
          <w:rFonts w:asciiTheme="majorHAnsi" w:eastAsia="Calibri" w:hAnsiTheme="majorHAnsi"/>
          <w:sz w:val="20"/>
          <w:szCs w:val="20"/>
          <w:lang w:val="es-US"/>
        </w:rPr>
        <w:t>sostuvo</w:t>
      </w:r>
      <w:r w:rsidRPr="00386E47">
        <w:rPr>
          <w:rFonts w:asciiTheme="majorHAnsi" w:eastAsia="Calibri" w:hAnsiTheme="majorHAnsi"/>
          <w:sz w:val="20"/>
          <w:szCs w:val="20"/>
          <w:lang w:val="es-US"/>
        </w:rPr>
        <w:t xml:space="preserve"> que resultaba innecesario formular observaciones relativas al fondo del caso y ratificó en una serie de oportunidades su voluntad de reabrir el proceso de diálogo con las víctimas a fin de avanzar de manera conjunta en el cumplimiento de los puntos de acuerdo pactados. </w:t>
      </w:r>
    </w:p>
    <w:p w14:paraId="303C0211" w14:textId="77777777" w:rsidR="009F70EA" w:rsidRPr="00386E47" w:rsidRDefault="009F70EA" w:rsidP="00E552C5">
      <w:pPr>
        <w:ind w:left="720"/>
        <w:contextualSpacing/>
        <w:jc w:val="both"/>
        <w:rPr>
          <w:rFonts w:asciiTheme="majorHAnsi" w:eastAsia="Calibri" w:hAnsiTheme="majorHAnsi"/>
          <w:sz w:val="20"/>
          <w:szCs w:val="20"/>
          <w:lang w:val="es-US"/>
        </w:rPr>
      </w:pPr>
    </w:p>
    <w:p w14:paraId="09281E99" w14:textId="77777777" w:rsidR="00AB3DBE" w:rsidRPr="00386E47" w:rsidRDefault="00AB3DBE" w:rsidP="003A5860">
      <w:pPr>
        <w:numPr>
          <w:ilvl w:val="0"/>
          <w:numId w:val="55"/>
        </w:numPr>
        <w:tabs>
          <w:tab w:val="left" w:pos="567"/>
        </w:tabs>
        <w:ind w:left="0" w:firstLine="0"/>
        <w:jc w:val="both"/>
        <w:rPr>
          <w:rFonts w:asciiTheme="majorHAnsi" w:eastAsia="Calibri" w:hAnsiTheme="majorHAnsi"/>
          <w:sz w:val="20"/>
          <w:szCs w:val="20"/>
          <w:lang w:val="es-US"/>
        </w:rPr>
      </w:pPr>
      <w:r w:rsidRPr="00386E47">
        <w:rPr>
          <w:rFonts w:asciiTheme="majorHAnsi" w:eastAsia="Calibri" w:hAnsiTheme="majorHAnsi"/>
          <w:sz w:val="20"/>
          <w:szCs w:val="20"/>
          <w:lang w:val="es-US"/>
        </w:rPr>
        <w:t>En cuanto al cumplimiento de los</w:t>
      </w:r>
      <w:r w:rsidR="009F70EA" w:rsidRPr="00386E47">
        <w:rPr>
          <w:rFonts w:asciiTheme="majorHAnsi" w:eastAsia="Calibri" w:hAnsiTheme="majorHAnsi"/>
          <w:sz w:val="20"/>
          <w:szCs w:val="20"/>
          <w:lang w:val="es-US"/>
        </w:rPr>
        <w:t xml:space="preserve"> compromisos</w:t>
      </w:r>
      <w:r w:rsidRPr="00386E47">
        <w:rPr>
          <w:rFonts w:asciiTheme="majorHAnsi" w:eastAsia="Calibri" w:hAnsiTheme="majorHAnsi"/>
          <w:sz w:val="20"/>
          <w:szCs w:val="20"/>
          <w:lang w:val="es-US"/>
        </w:rPr>
        <w:t xml:space="preserve"> asumidos</w:t>
      </w:r>
      <w:r w:rsidR="009F70EA" w:rsidRPr="00386E47">
        <w:rPr>
          <w:rFonts w:asciiTheme="majorHAnsi" w:eastAsia="Calibri" w:hAnsiTheme="majorHAnsi"/>
          <w:sz w:val="20"/>
          <w:szCs w:val="20"/>
          <w:lang w:val="es-US"/>
        </w:rPr>
        <w:t>,</w:t>
      </w:r>
      <w:r w:rsidRPr="00386E47">
        <w:rPr>
          <w:rFonts w:asciiTheme="majorHAnsi" w:eastAsia="Calibri" w:hAnsiTheme="majorHAnsi"/>
          <w:sz w:val="20"/>
          <w:szCs w:val="20"/>
          <w:lang w:val="es-US"/>
        </w:rPr>
        <w:t xml:space="preserve"> el Estado destacó</w:t>
      </w:r>
      <w:r w:rsidR="009F70EA" w:rsidRPr="00386E47">
        <w:rPr>
          <w:rFonts w:asciiTheme="majorHAnsi" w:eastAsia="Calibri" w:hAnsiTheme="majorHAnsi"/>
          <w:sz w:val="20"/>
          <w:szCs w:val="20"/>
          <w:lang w:val="es-US"/>
        </w:rPr>
        <w:t xml:space="preserve"> </w:t>
      </w:r>
      <w:r w:rsidRPr="00386E47">
        <w:rPr>
          <w:rFonts w:asciiTheme="majorHAnsi" w:eastAsia="Calibri" w:hAnsiTheme="majorHAnsi"/>
          <w:sz w:val="20"/>
          <w:szCs w:val="20"/>
          <w:lang w:val="es-US"/>
        </w:rPr>
        <w:t>en primer t</w:t>
      </w:r>
      <w:r w:rsidR="00215F21" w:rsidRPr="00386E47">
        <w:rPr>
          <w:rFonts w:asciiTheme="majorHAnsi" w:eastAsia="Calibri" w:hAnsiTheme="majorHAnsi"/>
          <w:sz w:val="20"/>
          <w:szCs w:val="20"/>
          <w:lang w:val="es-US"/>
        </w:rPr>
        <w:t>é</w:t>
      </w:r>
      <w:r w:rsidRPr="00386E47">
        <w:rPr>
          <w:rFonts w:asciiTheme="majorHAnsi" w:eastAsia="Calibri" w:hAnsiTheme="majorHAnsi"/>
          <w:sz w:val="20"/>
          <w:szCs w:val="20"/>
          <w:lang w:val="es-US"/>
        </w:rPr>
        <w:t xml:space="preserve">rmino </w:t>
      </w:r>
      <w:r w:rsidR="009F70EA" w:rsidRPr="00386E47">
        <w:rPr>
          <w:rFonts w:asciiTheme="majorHAnsi" w:eastAsia="Calibri" w:hAnsiTheme="majorHAnsi"/>
          <w:sz w:val="20"/>
          <w:szCs w:val="20"/>
          <w:lang w:val="es-US"/>
        </w:rPr>
        <w:t>que el reconocimiento de</w:t>
      </w:r>
      <w:r w:rsidRPr="00386E47">
        <w:rPr>
          <w:rFonts w:asciiTheme="majorHAnsi" w:eastAsia="Calibri" w:hAnsiTheme="majorHAnsi"/>
          <w:sz w:val="20"/>
          <w:szCs w:val="20"/>
          <w:lang w:val="es-US"/>
        </w:rPr>
        <w:t xml:space="preserve"> responsabilidad fue difundido</w:t>
      </w:r>
      <w:r w:rsidR="00096FA6" w:rsidRPr="00386E47">
        <w:rPr>
          <w:rFonts w:asciiTheme="majorHAnsi" w:eastAsia="Calibri" w:hAnsiTheme="majorHAnsi"/>
          <w:sz w:val="20"/>
          <w:szCs w:val="20"/>
          <w:lang w:val="es-US"/>
        </w:rPr>
        <w:t xml:space="preserve"> mediante la publicación del texto del d</w:t>
      </w:r>
      <w:r w:rsidR="009F70EA" w:rsidRPr="00386E47">
        <w:rPr>
          <w:rFonts w:asciiTheme="majorHAnsi" w:eastAsia="Calibri" w:hAnsiTheme="majorHAnsi"/>
          <w:sz w:val="20"/>
          <w:szCs w:val="20"/>
          <w:lang w:val="es-US"/>
        </w:rPr>
        <w:t>ecreto 812 en</w:t>
      </w:r>
      <w:r w:rsidRPr="00386E47">
        <w:rPr>
          <w:rFonts w:asciiTheme="majorHAnsi" w:eastAsia="Calibri" w:hAnsiTheme="majorHAnsi"/>
          <w:sz w:val="20"/>
          <w:szCs w:val="20"/>
          <w:lang w:val="es-US"/>
        </w:rPr>
        <w:t xml:space="preserve"> dos </w:t>
      </w:r>
      <w:r w:rsidR="00C3095B" w:rsidRPr="00386E47">
        <w:rPr>
          <w:rFonts w:asciiTheme="majorHAnsi" w:eastAsia="Calibri" w:hAnsiTheme="majorHAnsi"/>
          <w:sz w:val="20"/>
          <w:szCs w:val="20"/>
          <w:lang w:val="es-US"/>
        </w:rPr>
        <w:t>periódicos</w:t>
      </w:r>
      <w:r w:rsidRPr="00386E47">
        <w:rPr>
          <w:rFonts w:asciiTheme="majorHAnsi" w:eastAsia="Calibri" w:hAnsiTheme="majorHAnsi"/>
          <w:sz w:val="20"/>
          <w:szCs w:val="20"/>
          <w:lang w:val="es-US"/>
        </w:rPr>
        <w:t xml:space="preserve"> de </w:t>
      </w:r>
      <w:r w:rsidR="00C3095B" w:rsidRPr="00386E47">
        <w:rPr>
          <w:rFonts w:asciiTheme="majorHAnsi" w:eastAsia="Calibri" w:hAnsiTheme="majorHAnsi"/>
          <w:sz w:val="20"/>
          <w:szCs w:val="20"/>
          <w:lang w:val="es-US"/>
        </w:rPr>
        <w:t>circulación</w:t>
      </w:r>
      <w:r w:rsidRPr="00386E47">
        <w:rPr>
          <w:rFonts w:asciiTheme="majorHAnsi" w:eastAsia="Calibri" w:hAnsiTheme="majorHAnsi"/>
          <w:sz w:val="20"/>
          <w:szCs w:val="20"/>
          <w:lang w:val="es-US"/>
        </w:rPr>
        <w:t xml:space="preserve"> nacional. Asimismo</w:t>
      </w:r>
      <w:r w:rsidR="00215F21" w:rsidRPr="00386E47">
        <w:rPr>
          <w:rFonts w:asciiTheme="majorHAnsi" w:eastAsia="Calibri" w:hAnsiTheme="majorHAnsi"/>
          <w:sz w:val="20"/>
          <w:szCs w:val="20"/>
          <w:lang w:val="es-US"/>
        </w:rPr>
        <w:t>,</w:t>
      </w:r>
      <w:r w:rsidRPr="00386E47">
        <w:rPr>
          <w:rFonts w:asciiTheme="majorHAnsi" w:eastAsia="Calibri" w:hAnsiTheme="majorHAnsi"/>
          <w:sz w:val="20"/>
          <w:szCs w:val="20"/>
          <w:lang w:val="es-US"/>
        </w:rPr>
        <w:t xml:space="preserve"> </w:t>
      </w:r>
      <w:r w:rsidR="005634D2" w:rsidRPr="00386E47">
        <w:rPr>
          <w:rFonts w:asciiTheme="majorHAnsi" w:eastAsia="Calibri" w:hAnsiTheme="majorHAnsi"/>
          <w:sz w:val="20"/>
          <w:szCs w:val="20"/>
          <w:lang w:val="es-US"/>
        </w:rPr>
        <w:t>informó que</w:t>
      </w:r>
      <w:r w:rsidR="009F70EA" w:rsidRPr="00386E47">
        <w:rPr>
          <w:rFonts w:asciiTheme="majorHAnsi" w:eastAsia="Calibri" w:hAnsiTheme="majorHAnsi"/>
          <w:sz w:val="20"/>
          <w:szCs w:val="20"/>
          <w:lang w:val="es-US"/>
        </w:rPr>
        <w:t xml:space="preserve"> el informe Grossman</w:t>
      </w:r>
      <w:r w:rsidRPr="00386E47">
        <w:rPr>
          <w:rFonts w:asciiTheme="majorHAnsi" w:eastAsia="Calibri" w:hAnsiTheme="majorHAnsi"/>
          <w:sz w:val="20"/>
          <w:szCs w:val="20"/>
          <w:lang w:val="es-US"/>
        </w:rPr>
        <w:t xml:space="preserve"> </w:t>
      </w:r>
      <w:r w:rsidR="009F70EA" w:rsidRPr="00386E47">
        <w:rPr>
          <w:rFonts w:asciiTheme="majorHAnsi" w:eastAsia="Calibri" w:hAnsiTheme="majorHAnsi"/>
          <w:sz w:val="20"/>
          <w:szCs w:val="20"/>
          <w:lang w:val="es-US"/>
        </w:rPr>
        <w:t>se encuentra publicado y disponible en la página web del Ministerio de Justicia y Derechos Humanos</w:t>
      </w:r>
      <w:r w:rsidRPr="00386E47">
        <w:rPr>
          <w:rFonts w:asciiTheme="majorHAnsi" w:eastAsia="Calibri" w:hAnsiTheme="majorHAnsi"/>
          <w:sz w:val="20"/>
          <w:szCs w:val="20"/>
          <w:lang w:val="es-US"/>
        </w:rPr>
        <w:t>.</w:t>
      </w:r>
    </w:p>
    <w:p w14:paraId="632A7915" w14:textId="77777777" w:rsidR="00AB3DBE" w:rsidRPr="00386E47" w:rsidRDefault="00AB3DBE" w:rsidP="00E552C5">
      <w:pPr>
        <w:tabs>
          <w:tab w:val="left" w:pos="567"/>
        </w:tabs>
        <w:jc w:val="both"/>
        <w:rPr>
          <w:rFonts w:asciiTheme="majorHAnsi" w:eastAsia="Calibri" w:hAnsiTheme="majorHAnsi"/>
          <w:sz w:val="20"/>
          <w:szCs w:val="20"/>
          <w:lang w:val="es-US"/>
        </w:rPr>
      </w:pPr>
    </w:p>
    <w:p w14:paraId="6F74043D" w14:textId="77777777" w:rsidR="00B31684" w:rsidRPr="00386E47" w:rsidRDefault="00AB3DBE" w:rsidP="003A5860">
      <w:pPr>
        <w:numPr>
          <w:ilvl w:val="0"/>
          <w:numId w:val="55"/>
        </w:numPr>
        <w:tabs>
          <w:tab w:val="left" w:pos="567"/>
        </w:tabs>
        <w:ind w:left="0" w:firstLine="0"/>
        <w:jc w:val="both"/>
        <w:rPr>
          <w:rFonts w:asciiTheme="majorHAnsi" w:eastAsia="Calibri" w:hAnsiTheme="majorHAnsi"/>
          <w:sz w:val="20"/>
          <w:szCs w:val="20"/>
          <w:lang w:val="es-US"/>
        </w:rPr>
      </w:pPr>
      <w:r w:rsidRPr="00386E47">
        <w:rPr>
          <w:rFonts w:asciiTheme="majorHAnsi" w:eastAsia="Calibri" w:hAnsiTheme="majorHAnsi"/>
          <w:sz w:val="20"/>
          <w:szCs w:val="20"/>
          <w:lang w:val="es-US"/>
        </w:rPr>
        <w:t xml:space="preserve"> Por otra parte,</w:t>
      </w:r>
      <w:r w:rsidR="00215F21" w:rsidRPr="00386E47">
        <w:rPr>
          <w:rFonts w:asciiTheme="majorHAnsi" w:eastAsia="Calibri" w:hAnsiTheme="majorHAnsi"/>
          <w:sz w:val="20"/>
          <w:szCs w:val="20"/>
          <w:lang w:val="es-US"/>
        </w:rPr>
        <w:t xml:space="preserve"> en lo referente a la investigación, el Estado</w:t>
      </w:r>
      <w:r w:rsidRPr="00386E47">
        <w:rPr>
          <w:rFonts w:asciiTheme="majorHAnsi" w:eastAsia="Calibri" w:hAnsiTheme="majorHAnsi"/>
          <w:sz w:val="20"/>
          <w:szCs w:val="20"/>
          <w:lang w:val="es-US"/>
        </w:rPr>
        <w:t xml:space="preserve"> </w:t>
      </w:r>
      <w:r w:rsidR="00215F21" w:rsidRPr="00386E47">
        <w:rPr>
          <w:rFonts w:asciiTheme="majorHAnsi" w:eastAsia="Calibri" w:hAnsiTheme="majorHAnsi"/>
          <w:sz w:val="20"/>
          <w:szCs w:val="20"/>
          <w:lang w:val="es-US"/>
        </w:rPr>
        <w:t xml:space="preserve">informó </w:t>
      </w:r>
      <w:r w:rsidR="009F70EA" w:rsidRPr="00386E47">
        <w:rPr>
          <w:rFonts w:asciiTheme="majorHAnsi" w:eastAsia="Calibri" w:hAnsiTheme="majorHAnsi"/>
          <w:sz w:val="20"/>
          <w:szCs w:val="20"/>
          <w:lang w:val="es-US"/>
        </w:rPr>
        <w:t>que ha dotado de diversos recursos a la Unidad Fiscal</w:t>
      </w:r>
      <w:r w:rsidRPr="00386E47">
        <w:rPr>
          <w:rFonts w:asciiTheme="majorHAnsi" w:eastAsia="Calibri" w:hAnsiTheme="majorHAnsi"/>
          <w:sz w:val="20"/>
          <w:szCs w:val="20"/>
          <w:lang w:val="es-US"/>
        </w:rPr>
        <w:t xml:space="preserve"> encargada de la </w:t>
      </w:r>
      <w:r w:rsidR="00C3095B" w:rsidRPr="00386E47">
        <w:rPr>
          <w:rFonts w:asciiTheme="majorHAnsi" w:eastAsia="Calibri" w:hAnsiTheme="majorHAnsi"/>
          <w:sz w:val="20"/>
          <w:szCs w:val="20"/>
          <w:lang w:val="es-US"/>
        </w:rPr>
        <w:t>Investigación</w:t>
      </w:r>
      <w:r w:rsidRPr="00386E47">
        <w:rPr>
          <w:rFonts w:asciiTheme="majorHAnsi" w:eastAsia="Calibri" w:hAnsiTheme="majorHAnsi"/>
          <w:sz w:val="20"/>
          <w:szCs w:val="20"/>
          <w:lang w:val="es-US"/>
        </w:rPr>
        <w:t xml:space="preserve"> por el Atentado a la AMIA dependiente</w:t>
      </w:r>
      <w:r w:rsidR="009F70EA" w:rsidRPr="00386E47">
        <w:rPr>
          <w:rFonts w:asciiTheme="majorHAnsi" w:eastAsia="Calibri" w:hAnsiTheme="majorHAnsi"/>
          <w:sz w:val="20"/>
          <w:szCs w:val="20"/>
          <w:lang w:val="es-US"/>
        </w:rPr>
        <w:t xml:space="preserve"> del Ministerio Público</w:t>
      </w:r>
      <w:r w:rsidRPr="00386E47">
        <w:rPr>
          <w:rFonts w:asciiTheme="majorHAnsi" w:eastAsia="Calibri" w:hAnsiTheme="majorHAnsi"/>
          <w:sz w:val="20"/>
          <w:szCs w:val="20"/>
          <w:lang w:val="es-US"/>
        </w:rPr>
        <w:t xml:space="preserve"> (UFI</w:t>
      </w:r>
      <w:r w:rsidR="000A4616" w:rsidRPr="00386E47">
        <w:rPr>
          <w:rFonts w:asciiTheme="majorHAnsi" w:eastAsia="Calibri" w:hAnsiTheme="majorHAnsi"/>
          <w:sz w:val="20"/>
          <w:szCs w:val="20"/>
          <w:lang w:val="es-US"/>
        </w:rPr>
        <w:t xml:space="preserve"> </w:t>
      </w:r>
      <w:r w:rsidRPr="00386E47">
        <w:rPr>
          <w:rFonts w:asciiTheme="majorHAnsi" w:eastAsia="Calibri" w:hAnsiTheme="majorHAnsi"/>
          <w:sz w:val="20"/>
          <w:szCs w:val="20"/>
          <w:lang w:val="es-US"/>
        </w:rPr>
        <w:t xml:space="preserve">AMIA) </w:t>
      </w:r>
      <w:r w:rsidR="00215F21" w:rsidRPr="00386E47">
        <w:rPr>
          <w:rFonts w:asciiTheme="majorHAnsi" w:eastAsia="Calibri" w:hAnsiTheme="majorHAnsi"/>
          <w:sz w:val="20"/>
          <w:szCs w:val="20"/>
          <w:lang w:val="es-US"/>
        </w:rPr>
        <w:t>con el</w:t>
      </w:r>
      <w:r w:rsidRPr="00386E47">
        <w:rPr>
          <w:rFonts w:asciiTheme="majorHAnsi" w:eastAsia="Calibri" w:hAnsiTheme="majorHAnsi"/>
          <w:sz w:val="20"/>
          <w:szCs w:val="20"/>
          <w:lang w:val="es-US"/>
        </w:rPr>
        <w:t xml:space="preserve"> fin de garantizar </w:t>
      </w:r>
      <w:r w:rsidR="009F70EA" w:rsidRPr="00386E47">
        <w:rPr>
          <w:rFonts w:asciiTheme="majorHAnsi" w:eastAsia="Calibri" w:hAnsiTheme="majorHAnsi"/>
          <w:sz w:val="20"/>
          <w:szCs w:val="20"/>
          <w:lang w:val="es-US"/>
        </w:rPr>
        <w:t>un relevamiento de toda la información del caso que se encontraba archivada en la Agencia Federal de Inteligencia (AFI)</w:t>
      </w:r>
      <w:r w:rsidRPr="00386E47">
        <w:rPr>
          <w:rFonts w:asciiTheme="majorHAnsi" w:eastAsia="Calibri" w:hAnsiTheme="majorHAnsi"/>
          <w:sz w:val="20"/>
          <w:szCs w:val="20"/>
          <w:lang w:val="es-US"/>
        </w:rPr>
        <w:t xml:space="preserve">. </w:t>
      </w:r>
      <w:r w:rsidR="00B31684" w:rsidRPr="00386E47">
        <w:rPr>
          <w:rFonts w:asciiTheme="majorHAnsi" w:eastAsia="Calibri" w:hAnsiTheme="majorHAnsi"/>
          <w:sz w:val="20"/>
          <w:szCs w:val="20"/>
          <w:lang w:val="es-US"/>
        </w:rPr>
        <w:t xml:space="preserve">En este sentido, el Estado indicó que mediante los decretos 395/15 y 229/17 se dispuso la desclasificación de la totalidad de la documentación, notas, informes y resoluciones relacionadas con la investigación del atentado, la que sería organizada, sistematizada, preservada y analizada por la UFI AMIA.  </w:t>
      </w:r>
    </w:p>
    <w:p w14:paraId="50D38601" w14:textId="77777777" w:rsidR="00B31684" w:rsidRPr="00386E47" w:rsidRDefault="00B31684" w:rsidP="00B31684">
      <w:pPr>
        <w:tabs>
          <w:tab w:val="left" w:pos="567"/>
        </w:tabs>
        <w:jc w:val="both"/>
        <w:rPr>
          <w:rFonts w:asciiTheme="majorHAnsi" w:eastAsia="Calibri" w:hAnsiTheme="majorHAnsi"/>
          <w:sz w:val="20"/>
          <w:szCs w:val="20"/>
          <w:lang w:val="es-US"/>
        </w:rPr>
      </w:pPr>
    </w:p>
    <w:p w14:paraId="5DC8B94A" w14:textId="77777777" w:rsidR="00B31684" w:rsidRPr="00386E47" w:rsidRDefault="00B31684" w:rsidP="003A5860">
      <w:pPr>
        <w:numPr>
          <w:ilvl w:val="0"/>
          <w:numId w:val="55"/>
        </w:numPr>
        <w:tabs>
          <w:tab w:val="left" w:pos="567"/>
        </w:tabs>
        <w:ind w:left="0" w:firstLine="0"/>
        <w:jc w:val="both"/>
        <w:rPr>
          <w:rFonts w:asciiTheme="majorHAnsi" w:eastAsia="Calibri" w:hAnsiTheme="majorHAnsi"/>
          <w:sz w:val="20"/>
          <w:szCs w:val="20"/>
          <w:lang w:val="es-US"/>
        </w:rPr>
      </w:pPr>
      <w:r w:rsidRPr="00386E47">
        <w:rPr>
          <w:rFonts w:asciiTheme="majorHAnsi" w:eastAsia="Calibri" w:hAnsiTheme="majorHAnsi"/>
          <w:sz w:val="20"/>
          <w:szCs w:val="20"/>
          <w:lang w:val="es-US"/>
        </w:rPr>
        <w:t>Por otra parte, el Estado t</w:t>
      </w:r>
      <w:r w:rsidR="00AB3DBE" w:rsidRPr="00386E47">
        <w:rPr>
          <w:rFonts w:asciiTheme="majorHAnsi" w:eastAsia="Calibri" w:hAnsiTheme="majorHAnsi"/>
          <w:sz w:val="20"/>
          <w:szCs w:val="20"/>
          <w:lang w:val="es-US"/>
        </w:rPr>
        <w:t>ambi</w:t>
      </w:r>
      <w:r w:rsidR="00215F21" w:rsidRPr="00386E47">
        <w:rPr>
          <w:rFonts w:asciiTheme="majorHAnsi" w:eastAsia="Calibri" w:hAnsiTheme="majorHAnsi"/>
          <w:sz w:val="20"/>
          <w:szCs w:val="20"/>
          <w:lang w:val="es-US"/>
        </w:rPr>
        <w:t>é</w:t>
      </w:r>
      <w:r w:rsidR="00AB3DBE" w:rsidRPr="00386E47">
        <w:rPr>
          <w:rFonts w:asciiTheme="majorHAnsi" w:eastAsia="Calibri" w:hAnsiTheme="majorHAnsi"/>
          <w:sz w:val="20"/>
          <w:szCs w:val="20"/>
          <w:lang w:val="es-US"/>
        </w:rPr>
        <w:t>n señaló que se fortaleció la Unidad AMIA</w:t>
      </w:r>
      <w:r w:rsidRPr="00386E47">
        <w:rPr>
          <w:rFonts w:asciiTheme="majorHAnsi" w:eastAsia="Calibri" w:hAnsiTheme="majorHAnsi"/>
          <w:sz w:val="20"/>
          <w:szCs w:val="20"/>
          <w:lang w:val="es-US"/>
        </w:rPr>
        <w:t xml:space="preserve"> </w:t>
      </w:r>
      <w:r w:rsidR="00AB3DBE" w:rsidRPr="00386E47">
        <w:rPr>
          <w:rFonts w:asciiTheme="majorHAnsi" w:eastAsia="Calibri" w:hAnsiTheme="majorHAnsi"/>
          <w:sz w:val="20"/>
          <w:szCs w:val="20"/>
          <w:lang w:val="es-US"/>
        </w:rPr>
        <w:t>del Ministerio de Justicia</w:t>
      </w:r>
      <w:r w:rsidR="009F70EA" w:rsidRPr="00386E47">
        <w:rPr>
          <w:rFonts w:asciiTheme="majorHAnsi" w:eastAsia="Calibri" w:hAnsiTheme="majorHAnsi"/>
          <w:sz w:val="20"/>
          <w:szCs w:val="20"/>
          <w:lang w:val="es-US"/>
        </w:rPr>
        <w:t xml:space="preserve">, permitiendo al </w:t>
      </w:r>
      <w:r w:rsidR="00AB3DBE" w:rsidRPr="00386E47">
        <w:rPr>
          <w:rFonts w:asciiTheme="majorHAnsi" w:eastAsia="Calibri" w:hAnsiTheme="majorHAnsi"/>
          <w:sz w:val="20"/>
          <w:szCs w:val="20"/>
          <w:lang w:val="es-US"/>
        </w:rPr>
        <w:t xml:space="preserve">Poder </w:t>
      </w:r>
      <w:r w:rsidR="009F70EA" w:rsidRPr="00386E47">
        <w:rPr>
          <w:rFonts w:asciiTheme="majorHAnsi" w:eastAsia="Calibri" w:hAnsiTheme="majorHAnsi"/>
          <w:sz w:val="20"/>
          <w:szCs w:val="20"/>
          <w:lang w:val="es-US"/>
        </w:rPr>
        <w:t>Ejecutivo tener una participación activa como querellante en los procesos relativos al encubrimiento.</w:t>
      </w:r>
    </w:p>
    <w:p w14:paraId="78793F6B" w14:textId="77777777" w:rsidR="009F70EA" w:rsidRPr="00386E47" w:rsidRDefault="009F70EA" w:rsidP="00B31684">
      <w:pPr>
        <w:tabs>
          <w:tab w:val="left" w:pos="567"/>
        </w:tabs>
        <w:contextualSpacing/>
        <w:jc w:val="both"/>
        <w:rPr>
          <w:rFonts w:asciiTheme="majorHAnsi" w:eastAsia="Calibri" w:hAnsiTheme="majorHAnsi"/>
          <w:sz w:val="20"/>
          <w:szCs w:val="20"/>
          <w:lang w:val="es-US"/>
        </w:rPr>
      </w:pPr>
    </w:p>
    <w:p w14:paraId="5E82EF85" w14:textId="77777777" w:rsidR="009F70EA" w:rsidRPr="00386E47" w:rsidRDefault="009F70EA" w:rsidP="003A5860">
      <w:pPr>
        <w:numPr>
          <w:ilvl w:val="0"/>
          <w:numId w:val="55"/>
        </w:numPr>
        <w:tabs>
          <w:tab w:val="left" w:pos="567"/>
        </w:tabs>
        <w:ind w:left="0" w:firstLine="0"/>
        <w:jc w:val="both"/>
        <w:rPr>
          <w:rFonts w:asciiTheme="majorHAnsi" w:eastAsia="Calibri" w:hAnsiTheme="majorHAnsi"/>
          <w:sz w:val="20"/>
          <w:szCs w:val="20"/>
          <w:lang w:val="es-US"/>
        </w:rPr>
      </w:pPr>
      <w:r w:rsidRPr="00386E47">
        <w:rPr>
          <w:rFonts w:asciiTheme="majorHAnsi" w:eastAsia="Calibri" w:hAnsiTheme="majorHAnsi"/>
          <w:sz w:val="20"/>
          <w:szCs w:val="20"/>
          <w:lang w:val="es-US"/>
        </w:rPr>
        <w:t>En cuanto a las medidas de al</w:t>
      </w:r>
      <w:r w:rsidR="00A20BFC" w:rsidRPr="00386E47">
        <w:rPr>
          <w:rFonts w:asciiTheme="majorHAnsi" w:eastAsia="Calibri" w:hAnsiTheme="majorHAnsi"/>
          <w:sz w:val="20"/>
          <w:szCs w:val="20"/>
          <w:lang w:val="es-US"/>
        </w:rPr>
        <w:t>cance general</w:t>
      </w:r>
      <w:r w:rsidR="00215F21" w:rsidRPr="00386E47">
        <w:rPr>
          <w:rFonts w:asciiTheme="majorHAnsi" w:eastAsia="Calibri" w:hAnsiTheme="majorHAnsi"/>
          <w:sz w:val="20"/>
          <w:szCs w:val="20"/>
          <w:lang w:val="es-US"/>
        </w:rPr>
        <w:t xml:space="preserve"> para evitar la repetición de hechos como los ocurridos</w:t>
      </w:r>
      <w:r w:rsidR="00A20BFC" w:rsidRPr="00386E47">
        <w:rPr>
          <w:rFonts w:asciiTheme="majorHAnsi" w:eastAsia="Calibri" w:hAnsiTheme="majorHAnsi"/>
          <w:sz w:val="20"/>
          <w:szCs w:val="20"/>
          <w:lang w:val="es-US"/>
        </w:rPr>
        <w:t>, el Estado detalló</w:t>
      </w:r>
      <w:r w:rsidRPr="00386E47">
        <w:rPr>
          <w:rFonts w:asciiTheme="majorHAnsi" w:eastAsia="Calibri" w:hAnsiTheme="majorHAnsi"/>
          <w:sz w:val="20"/>
          <w:szCs w:val="20"/>
          <w:lang w:val="es-US"/>
        </w:rPr>
        <w:t xml:space="preserve"> los avances en la creación de una unidad especializada en </w:t>
      </w:r>
      <w:r w:rsidR="00E552C5" w:rsidRPr="00386E47">
        <w:rPr>
          <w:rFonts w:asciiTheme="majorHAnsi" w:eastAsia="Calibri" w:hAnsiTheme="majorHAnsi"/>
          <w:sz w:val="20"/>
          <w:szCs w:val="20"/>
          <w:lang w:val="es-US"/>
        </w:rPr>
        <w:t xml:space="preserve">la </w:t>
      </w:r>
      <w:r w:rsidR="00C3095B" w:rsidRPr="00386E47">
        <w:rPr>
          <w:rFonts w:asciiTheme="majorHAnsi" w:eastAsia="Calibri" w:hAnsiTheme="majorHAnsi"/>
          <w:sz w:val="20"/>
          <w:szCs w:val="20"/>
          <w:lang w:val="es-US"/>
        </w:rPr>
        <w:t>gestión</w:t>
      </w:r>
      <w:r w:rsidR="00E552C5" w:rsidRPr="00386E47">
        <w:rPr>
          <w:rFonts w:asciiTheme="majorHAnsi" w:eastAsia="Calibri" w:hAnsiTheme="majorHAnsi"/>
          <w:sz w:val="20"/>
          <w:szCs w:val="20"/>
          <w:lang w:val="es-US"/>
        </w:rPr>
        <w:t xml:space="preserve"> de emergencias. </w:t>
      </w:r>
      <w:r w:rsidRPr="00386E47">
        <w:rPr>
          <w:rFonts w:asciiTheme="majorHAnsi" w:eastAsia="Calibri" w:hAnsiTheme="majorHAnsi"/>
          <w:sz w:val="20"/>
          <w:szCs w:val="20"/>
          <w:lang w:val="es-US"/>
        </w:rPr>
        <w:t xml:space="preserve">También </w:t>
      </w:r>
      <w:r w:rsidR="00E552C5" w:rsidRPr="00386E47">
        <w:rPr>
          <w:rFonts w:asciiTheme="majorHAnsi" w:eastAsia="Calibri" w:hAnsiTheme="majorHAnsi"/>
          <w:sz w:val="20"/>
          <w:szCs w:val="20"/>
          <w:lang w:val="es-US"/>
        </w:rPr>
        <w:t>mencionó la creación en febrero de 2015 de la Agencia Federal de Inte</w:t>
      </w:r>
      <w:r w:rsidR="009F6B1B" w:rsidRPr="00386E47">
        <w:rPr>
          <w:rFonts w:asciiTheme="majorHAnsi" w:eastAsia="Calibri" w:hAnsiTheme="majorHAnsi"/>
          <w:sz w:val="20"/>
          <w:szCs w:val="20"/>
          <w:lang w:val="es-US"/>
        </w:rPr>
        <w:t>ligencia (AFI) por medio de la L</w:t>
      </w:r>
      <w:r w:rsidR="00E552C5" w:rsidRPr="00386E47">
        <w:rPr>
          <w:rFonts w:asciiTheme="majorHAnsi" w:eastAsia="Calibri" w:hAnsiTheme="majorHAnsi"/>
          <w:sz w:val="20"/>
          <w:szCs w:val="20"/>
          <w:lang w:val="es-US"/>
        </w:rPr>
        <w:t>ey 27.126</w:t>
      </w:r>
      <w:r w:rsidRPr="00386E47">
        <w:rPr>
          <w:rFonts w:asciiTheme="majorHAnsi" w:eastAsia="Calibri" w:hAnsiTheme="majorHAnsi"/>
          <w:sz w:val="20"/>
          <w:szCs w:val="20"/>
          <w:lang w:val="es-US"/>
        </w:rPr>
        <w:t xml:space="preserve">. En cuanto al acceso a la información de inteligencia por los jueces en investigaciones vinculadas con hechos de terrorismo, </w:t>
      </w:r>
      <w:r w:rsidR="00215F21" w:rsidRPr="00386E47">
        <w:rPr>
          <w:rFonts w:asciiTheme="majorHAnsi" w:eastAsia="Calibri" w:hAnsiTheme="majorHAnsi"/>
          <w:sz w:val="20"/>
          <w:szCs w:val="20"/>
          <w:lang w:val="es-US"/>
        </w:rPr>
        <w:t xml:space="preserve">el Estado </w:t>
      </w:r>
      <w:r w:rsidRPr="00386E47">
        <w:rPr>
          <w:rFonts w:asciiTheme="majorHAnsi" w:eastAsia="Calibri" w:hAnsiTheme="majorHAnsi"/>
          <w:sz w:val="20"/>
          <w:szCs w:val="20"/>
          <w:lang w:val="es-US"/>
        </w:rPr>
        <w:t>detall</w:t>
      </w:r>
      <w:r w:rsidR="00215F21" w:rsidRPr="00386E47">
        <w:rPr>
          <w:rFonts w:asciiTheme="majorHAnsi" w:eastAsia="Calibri" w:hAnsiTheme="majorHAnsi"/>
          <w:sz w:val="20"/>
          <w:szCs w:val="20"/>
          <w:lang w:val="es-US"/>
        </w:rPr>
        <w:t>ó</w:t>
      </w:r>
      <w:r w:rsidRPr="00386E47">
        <w:rPr>
          <w:rFonts w:asciiTheme="majorHAnsi" w:eastAsia="Calibri" w:hAnsiTheme="majorHAnsi"/>
          <w:sz w:val="20"/>
          <w:szCs w:val="20"/>
          <w:lang w:val="es-US"/>
        </w:rPr>
        <w:t xml:space="preserve"> los canales institucionales por los que se compartiría la información a partir de la creación de la AFI e inform</w:t>
      </w:r>
      <w:r w:rsidR="00215F21" w:rsidRPr="00386E47">
        <w:rPr>
          <w:rFonts w:asciiTheme="majorHAnsi" w:eastAsia="Calibri" w:hAnsiTheme="majorHAnsi"/>
          <w:sz w:val="20"/>
          <w:szCs w:val="20"/>
          <w:lang w:val="es-US"/>
        </w:rPr>
        <w:t>ó</w:t>
      </w:r>
      <w:r w:rsidRPr="00386E47">
        <w:rPr>
          <w:rFonts w:asciiTheme="majorHAnsi" w:eastAsia="Calibri" w:hAnsiTheme="majorHAnsi"/>
          <w:sz w:val="20"/>
          <w:szCs w:val="20"/>
          <w:lang w:val="es-US"/>
        </w:rPr>
        <w:t xml:space="preserve"> sobre la instauración de una Comisión para la creación de un banco de protección de datos y archivos de inteligencia. </w:t>
      </w:r>
    </w:p>
    <w:p w14:paraId="602BA0B3" w14:textId="77777777" w:rsidR="00E552C5" w:rsidRPr="00386E47" w:rsidRDefault="00E552C5" w:rsidP="00E552C5">
      <w:pPr>
        <w:tabs>
          <w:tab w:val="left" w:pos="567"/>
        </w:tabs>
        <w:jc w:val="both"/>
        <w:rPr>
          <w:rFonts w:asciiTheme="majorHAnsi" w:eastAsia="Calibri" w:hAnsiTheme="majorHAnsi"/>
          <w:sz w:val="20"/>
          <w:szCs w:val="20"/>
          <w:lang w:val="es-US"/>
        </w:rPr>
      </w:pPr>
    </w:p>
    <w:p w14:paraId="04C0D5A3" w14:textId="77777777" w:rsidR="00E552C5" w:rsidRPr="00386E47" w:rsidRDefault="00B31684" w:rsidP="003A5860">
      <w:pPr>
        <w:numPr>
          <w:ilvl w:val="0"/>
          <w:numId w:val="55"/>
        </w:numPr>
        <w:tabs>
          <w:tab w:val="left" w:pos="567"/>
        </w:tabs>
        <w:ind w:left="0" w:firstLine="0"/>
        <w:jc w:val="both"/>
        <w:rPr>
          <w:rFonts w:asciiTheme="majorHAnsi" w:eastAsia="Calibri" w:hAnsiTheme="majorHAnsi"/>
          <w:sz w:val="20"/>
          <w:szCs w:val="20"/>
          <w:lang w:val="es-US"/>
        </w:rPr>
      </w:pPr>
      <w:r w:rsidRPr="00386E47">
        <w:rPr>
          <w:rFonts w:asciiTheme="majorHAnsi" w:eastAsia="Calibri" w:hAnsiTheme="majorHAnsi"/>
          <w:sz w:val="20"/>
          <w:szCs w:val="20"/>
          <w:lang w:val="es-US"/>
        </w:rPr>
        <w:t>Finalmente, y en torno</w:t>
      </w:r>
      <w:r w:rsidR="009F70EA" w:rsidRPr="00386E47">
        <w:rPr>
          <w:rFonts w:asciiTheme="majorHAnsi" w:eastAsia="Calibri" w:hAnsiTheme="majorHAnsi"/>
          <w:sz w:val="20"/>
          <w:szCs w:val="20"/>
          <w:lang w:val="es-US"/>
        </w:rPr>
        <w:t xml:space="preserve"> a las reparaciones </w:t>
      </w:r>
      <w:r w:rsidR="00215F21" w:rsidRPr="00386E47">
        <w:rPr>
          <w:rFonts w:asciiTheme="majorHAnsi" w:eastAsia="Calibri" w:hAnsiTheme="majorHAnsi"/>
          <w:sz w:val="20"/>
          <w:szCs w:val="20"/>
          <w:lang w:val="es-US"/>
        </w:rPr>
        <w:t xml:space="preserve">específicas </w:t>
      </w:r>
      <w:r w:rsidR="009F70EA" w:rsidRPr="00386E47">
        <w:rPr>
          <w:rFonts w:asciiTheme="majorHAnsi" w:eastAsia="Calibri" w:hAnsiTheme="majorHAnsi"/>
          <w:sz w:val="20"/>
          <w:szCs w:val="20"/>
          <w:lang w:val="es-US"/>
        </w:rPr>
        <w:t xml:space="preserve">para las víctimas del </w:t>
      </w:r>
      <w:r w:rsidR="00A20BFC" w:rsidRPr="00386E47">
        <w:rPr>
          <w:rFonts w:asciiTheme="majorHAnsi" w:eastAsia="Calibri" w:hAnsiTheme="majorHAnsi"/>
          <w:sz w:val="20"/>
          <w:szCs w:val="20"/>
          <w:lang w:val="es-US"/>
        </w:rPr>
        <w:t>atentado AMIA, el Estado destacó</w:t>
      </w:r>
      <w:r w:rsidR="009F70EA" w:rsidRPr="00386E47">
        <w:rPr>
          <w:rFonts w:asciiTheme="majorHAnsi" w:eastAsia="Calibri" w:hAnsiTheme="majorHAnsi"/>
          <w:sz w:val="20"/>
          <w:szCs w:val="20"/>
          <w:lang w:val="es-US"/>
        </w:rPr>
        <w:t xml:space="preserve"> la promulgación de la Ley No. 27.139 que establece el derecho de quienes hubieren fallecido o sufrido lesiones graves o gravísimas y sus causahabientes a obtener una</w:t>
      </w:r>
      <w:r w:rsidR="00A20BFC" w:rsidRPr="00386E47">
        <w:rPr>
          <w:rFonts w:asciiTheme="majorHAnsi" w:eastAsia="Calibri" w:hAnsiTheme="majorHAnsi"/>
          <w:sz w:val="20"/>
          <w:szCs w:val="20"/>
          <w:lang w:val="es-US"/>
        </w:rPr>
        <w:t xml:space="preserve"> indemnización</w:t>
      </w:r>
      <w:r w:rsidR="00D86575" w:rsidRPr="00386E47">
        <w:rPr>
          <w:rFonts w:asciiTheme="majorHAnsi" w:eastAsia="Calibri" w:hAnsiTheme="majorHAnsi"/>
          <w:sz w:val="20"/>
          <w:szCs w:val="20"/>
          <w:lang w:val="es-US"/>
        </w:rPr>
        <w:t>.</w:t>
      </w:r>
      <w:r w:rsidR="00A20BFC" w:rsidRPr="00386E47">
        <w:rPr>
          <w:rFonts w:asciiTheme="majorHAnsi" w:eastAsia="Calibri" w:hAnsiTheme="majorHAnsi"/>
          <w:sz w:val="20"/>
          <w:szCs w:val="20"/>
          <w:lang w:val="es-US"/>
        </w:rPr>
        <w:t xml:space="preserve"> Asimismo, indicó</w:t>
      </w:r>
      <w:r w:rsidR="009F70EA" w:rsidRPr="00386E47">
        <w:rPr>
          <w:rFonts w:asciiTheme="majorHAnsi" w:eastAsia="Calibri" w:hAnsiTheme="majorHAnsi"/>
          <w:sz w:val="20"/>
          <w:szCs w:val="20"/>
          <w:lang w:val="es-US"/>
        </w:rPr>
        <w:t xml:space="preserve"> que el pago de costas y honorarios de los procesos nacionales e internacionales ha sido girado al </w:t>
      </w:r>
      <w:r w:rsidR="00E552C5" w:rsidRPr="00386E47">
        <w:rPr>
          <w:rFonts w:asciiTheme="majorHAnsi" w:eastAsia="Calibri" w:hAnsiTheme="majorHAnsi"/>
          <w:sz w:val="20"/>
          <w:szCs w:val="20"/>
          <w:lang w:val="es-US"/>
        </w:rPr>
        <w:t>Ministerio de Justicia</w:t>
      </w:r>
      <w:r w:rsidR="009F70EA" w:rsidRPr="00386E47">
        <w:rPr>
          <w:rFonts w:asciiTheme="majorHAnsi" w:eastAsia="Calibri" w:hAnsiTheme="majorHAnsi"/>
          <w:sz w:val="20"/>
          <w:szCs w:val="20"/>
          <w:lang w:val="es-US"/>
        </w:rPr>
        <w:t xml:space="preserve"> a fin de proseguir su trámite.</w:t>
      </w:r>
    </w:p>
    <w:p w14:paraId="74D08330" w14:textId="77777777" w:rsidR="00E552C5" w:rsidRPr="00386E47" w:rsidRDefault="00E552C5" w:rsidP="00E552C5">
      <w:pPr>
        <w:tabs>
          <w:tab w:val="left" w:pos="567"/>
        </w:tabs>
        <w:jc w:val="both"/>
        <w:rPr>
          <w:rFonts w:asciiTheme="majorHAnsi" w:eastAsia="Calibri" w:hAnsiTheme="majorHAnsi"/>
          <w:sz w:val="20"/>
          <w:szCs w:val="20"/>
          <w:lang w:val="es-US"/>
        </w:rPr>
      </w:pPr>
    </w:p>
    <w:p w14:paraId="7E45B262" w14:textId="77777777" w:rsidR="00E9249A" w:rsidRPr="00386E47" w:rsidRDefault="00201202" w:rsidP="002847DD">
      <w:pPr>
        <w:pStyle w:val="Heading1"/>
        <w:rPr>
          <w:rFonts w:asciiTheme="majorHAnsi" w:hAnsiTheme="majorHAnsi"/>
          <w:b w:val="0"/>
          <w:szCs w:val="22"/>
        </w:rPr>
      </w:pPr>
      <w:bookmarkStart w:id="10" w:name="_Toc51252185"/>
      <w:r w:rsidRPr="00386E47">
        <w:rPr>
          <w:rFonts w:asciiTheme="majorHAnsi" w:hAnsiTheme="majorHAnsi"/>
          <w:szCs w:val="22"/>
        </w:rPr>
        <w:t xml:space="preserve">CONSIDERACIONES SOBRE EL </w:t>
      </w:r>
      <w:r w:rsidR="00E9249A" w:rsidRPr="00386E47">
        <w:rPr>
          <w:rFonts w:asciiTheme="majorHAnsi" w:hAnsiTheme="majorHAnsi"/>
          <w:szCs w:val="22"/>
        </w:rPr>
        <w:t>RECONOCIMIENTO DE RESPONSABILIDAD DEL ESTADO ARGENTINO</w:t>
      </w:r>
      <w:bookmarkEnd w:id="10"/>
    </w:p>
    <w:p w14:paraId="52D953CF" w14:textId="77777777" w:rsidR="00E9249A" w:rsidRPr="00386E47" w:rsidRDefault="00E9249A" w:rsidP="003A5860">
      <w:pPr>
        <w:numPr>
          <w:ilvl w:val="0"/>
          <w:numId w:val="55"/>
        </w:numPr>
        <w:tabs>
          <w:tab w:val="left" w:pos="567"/>
        </w:tabs>
        <w:ind w:left="0" w:firstLine="0"/>
        <w:contextualSpacing/>
        <w:jc w:val="both"/>
        <w:rPr>
          <w:rFonts w:ascii="Cambria" w:eastAsia="Calibri" w:hAnsi="Cambria"/>
          <w:b/>
          <w:sz w:val="20"/>
          <w:szCs w:val="20"/>
          <w:lang w:val="es-US"/>
        </w:rPr>
      </w:pPr>
      <w:r w:rsidRPr="00386E47">
        <w:rPr>
          <w:rFonts w:ascii="Cambria" w:eastAsia="Calibri" w:hAnsi="Cambria"/>
          <w:sz w:val="20"/>
          <w:szCs w:val="20"/>
          <w:lang w:val="es-AR"/>
        </w:rPr>
        <w:t>El</w:t>
      </w:r>
      <w:r w:rsidRPr="00386E47">
        <w:rPr>
          <w:rFonts w:ascii="Cambria" w:eastAsia="Calibri" w:hAnsi="Cambria"/>
          <w:sz w:val="20"/>
          <w:szCs w:val="20"/>
          <w:lang w:val="es-US"/>
        </w:rPr>
        <w:t xml:space="preserve"> Estado reconoció su responsabilidad internacional mediante la firma de un acta acuerdo con los peticionarios y la CIDH el día 4 de marzo de 2005. En dicho documento se consigna que</w:t>
      </w:r>
      <w:r w:rsidRPr="00386E47">
        <w:rPr>
          <w:rFonts w:ascii="Cambria" w:eastAsia="Calibri" w:hAnsi="Cambria"/>
          <w:sz w:val="20"/>
          <w:szCs w:val="20"/>
        </w:rPr>
        <w:t xml:space="preserve">: </w:t>
      </w:r>
      <w:r w:rsidRPr="00386E47">
        <w:rPr>
          <w:rFonts w:ascii="Cambria" w:eastAsia="Calibri" w:hAnsi="Cambria"/>
          <w:sz w:val="20"/>
          <w:szCs w:val="20"/>
          <w:lang w:val="es-US"/>
        </w:rPr>
        <w:t xml:space="preserve">  </w:t>
      </w:r>
    </w:p>
    <w:p w14:paraId="76710FED" w14:textId="77777777" w:rsidR="00E9249A" w:rsidRPr="00386E47" w:rsidRDefault="00E9249A" w:rsidP="00E9249A">
      <w:pPr>
        <w:tabs>
          <w:tab w:val="left" w:pos="426"/>
        </w:tabs>
        <w:contextualSpacing/>
        <w:jc w:val="both"/>
        <w:rPr>
          <w:rFonts w:ascii="Cambria" w:eastAsia="Calibri" w:hAnsi="Cambria"/>
          <w:sz w:val="20"/>
          <w:szCs w:val="20"/>
          <w:lang w:val="es-US"/>
        </w:rPr>
      </w:pPr>
    </w:p>
    <w:p w14:paraId="6A7CEE3B" w14:textId="77777777" w:rsidR="00E9249A" w:rsidRPr="00386E47" w:rsidRDefault="00E9249A" w:rsidP="00E9249A">
      <w:pPr>
        <w:ind w:left="567" w:right="855"/>
        <w:contextualSpacing/>
        <w:jc w:val="both"/>
        <w:rPr>
          <w:rFonts w:ascii="Cambria" w:eastAsia="Calibri" w:hAnsi="Cambria"/>
          <w:sz w:val="18"/>
          <w:szCs w:val="18"/>
          <w:lang w:val="es-US"/>
        </w:rPr>
      </w:pPr>
      <w:r w:rsidRPr="00386E47">
        <w:rPr>
          <w:rFonts w:ascii="Cambria" w:eastAsia="Calibri" w:hAnsi="Cambria"/>
          <w:sz w:val="18"/>
          <w:szCs w:val="18"/>
          <w:lang w:val="es-US"/>
        </w:rPr>
        <w:t xml:space="preserve">El Gobierno reconoce la responsabilidad del Estado argentino por la violación de los derechos humanos denunciada por los peticionarios en la presentación efectuada ante la CIDH en este caso: derecho a la vida (art 4 de la Convención Americana); derecho a la integridad física (art. 5 CA); derecho a las garantías judiciales (art. 8 CA) y derecho a la protección judicial (art. 25 CA); y el deber de garantía (art. 1.1 CA), en los siguientes términos. </w:t>
      </w:r>
    </w:p>
    <w:p w14:paraId="55CC4671" w14:textId="77777777" w:rsidR="00E9249A" w:rsidRPr="00386E47" w:rsidRDefault="00E9249A" w:rsidP="00E9249A">
      <w:pPr>
        <w:ind w:left="567" w:right="855"/>
        <w:contextualSpacing/>
        <w:jc w:val="both"/>
        <w:rPr>
          <w:rFonts w:ascii="Cambria" w:eastAsia="Calibri" w:hAnsi="Cambria"/>
          <w:sz w:val="18"/>
          <w:szCs w:val="18"/>
          <w:lang w:val="es-US"/>
        </w:rPr>
      </w:pPr>
    </w:p>
    <w:p w14:paraId="18B7444E" w14:textId="77777777" w:rsidR="00E9249A" w:rsidRPr="00386E47" w:rsidRDefault="00E9249A" w:rsidP="00E9249A">
      <w:pPr>
        <w:ind w:left="567" w:right="855"/>
        <w:contextualSpacing/>
        <w:jc w:val="both"/>
        <w:rPr>
          <w:rFonts w:ascii="Cambria" w:eastAsia="Calibri" w:hAnsi="Cambria"/>
          <w:sz w:val="18"/>
          <w:szCs w:val="18"/>
          <w:lang w:val="es-US"/>
        </w:rPr>
      </w:pPr>
      <w:r w:rsidRPr="00386E47">
        <w:rPr>
          <w:rFonts w:ascii="Cambria" w:eastAsia="Calibri" w:hAnsi="Cambria"/>
          <w:sz w:val="18"/>
          <w:szCs w:val="18"/>
          <w:lang w:val="es-US"/>
        </w:rPr>
        <w:t xml:space="preserve">En este sentido, el Estado reconoce responsabilidad ya que existió un incumplimiento de la función de prevención por no haber adoptado las medidas idóneas y eficaces para intentar evitar el atentado, teniendo en cuenta que dos años antes se había producido un hecho terrorista contra la embajada de Israel en Argentina. </w:t>
      </w:r>
    </w:p>
    <w:p w14:paraId="49C4235A" w14:textId="77777777" w:rsidR="00E9249A" w:rsidRPr="00386E47" w:rsidRDefault="00E9249A" w:rsidP="00E9249A">
      <w:pPr>
        <w:ind w:left="567" w:right="855"/>
        <w:contextualSpacing/>
        <w:jc w:val="both"/>
        <w:rPr>
          <w:rFonts w:ascii="Cambria" w:eastAsia="Calibri" w:hAnsi="Cambria"/>
          <w:sz w:val="18"/>
          <w:szCs w:val="18"/>
          <w:lang w:val="es-US"/>
        </w:rPr>
      </w:pPr>
    </w:p>
    <w:p w14:paraId="048D0452" w14:textId="77777777" w:rsidR="00E9249A" w:rsidRPr="00386E47" w:rsidRDefault="00E9249A" w:rsidP="00E9249A">
      <w:pPr>
        <w:ind w:left="567" w:right="855"/>
        <w:contextualSpacing/>
        <w:jc w:val="both"/>
        <w:rPr>
          <w:rFonts w:ascii="Cambria" w:eastAsia="Calibri" w:hAnsi="Cambria"/>
          <w:sz w:val="18"/>
          <w:szCs w:val="18"/>
          <w:lang w:val="es-US"/>
        </w:rPr>
      </w:pPr>
      <w:r w:rsidRPr="00386E47">
        <w:rPr>
          <w:rFonts w:ascii="Cambria" w:eastAsia="Calibri" w:hAnsi="Cambria"/>
          <w:sz w:val="18"/>
          <w:szCs w:val="18"/>
          <w:lang w:val="es-US"/>
        </w:rPr>
        <w:lastRenderedPageBreak/>
        <w:t>El Estado reconoce responsabilidad porque existió encubrimiento de los hechos, porque medió un grave y deliberado incumplimiento de la función de investigación del hecho ilícito ocurrido el 18 de julio de 1994, y porque este incumplimiento en materia de investigación adecuada produjo una clara denegatoria de justicia. Todo ello conforme fue declarado por el Tribunal Oral Federal en lo Criminal Nro. 3 de la Ciudad de Buenos Aires en su sentencia de fecha 29 de octubre de 2004.</w:t>
      </w:r>
    </w:p>
    <w:p w14:paraId="30EB825A" w14:textId="77777777" w:rsidR="00E9249A" w:rsidRPr="00386E47" w:rsidRDefault="00E9249A" w:rsidP="00E9249A">
      <w:pPr>
        <w:tabs>
          <w:tab w:val="left" w:pos="567"/>
        </w:tabs>
        <w:contextualSpacing/>
        <w:jc w:val="both"/>
        <w:rPr>
          <w:rFonts w:ascii="Cambria" w:eastAsia="Calibri" w:hAnsi="Cambria"/>
          <w:sz w:val="20"/>
          <w:szCs w:val="20"/>
          <w:lang w:val="es-AR"/>
        </w:rPr>
      </w:pPr>
    </w:p>
    <w:p w14:paraId="55F471E3" w14:textId="77777777" w:rsidR="00E9249A" w:rsidRPr="00386E47" w:rsidRDefault="00201202" w:rsidP="003A5860">
      <w:pPr>
        <w:numPr>
          <w:ilvl w:val="0"/>
          <w:numId w:val="55"/>
        </w:numPr>
        <w:tabs>
          <w:tab w:val="left" w:pos="567"/>
        </w:tabs>
        <w:ind w:left="0" w:firstLine="0"/>
        <w:contextualSpacing/>
        <w:jc w:val="both"/>
        <w:rPr>
          <w:rFonts w:ascii="Cambria" w:eastAsia="Calibri" w:hAnsi="Cambria"/>
          <w:sz w:val="20"/>
          <w:szCs w:val="20"/>
          <w:lang w:val="es-AR"/>
        </w:rPr>
      </w:pPr>
      <w:r w:rsidRPr="00386E47">
        <w:rPr>
          <w:rFonts w:ascii="Cambria" w:eastAsia="Calibri" w:hAnsi="Cambria"/>
          <w:sz w:val="20"/>
          <w:szCs w:val="20"/>
          <w:lang w:val="es-AR"/>
        </w:rPr>
        <w:t xml:space="preserve">La Comisión observa que, </w:t>
      </w:r>
      <w:r w:rsidR="00E9249A" w:rsidRPr="00386E47">
        <w:rPr>
          <w:rFonts w:ascii="Cambria" w:eastAsia="Calibri" w:hAnsi="Cambria"/>
          <w:sz w:val="20"/>
          <w:szCs w:val="20"/>
          <w:lang w:val="es-AR"/>
        </w:rPr>
        <w:t xml:space="preserve">en </w:t>
      </w:r>
      <w:r w:rsidR="00E9249A" w:rsidRPr="00386E47">
        <w:rPr>
          <w:rFonts w:ascii="Cambria" w:hAnsi="Cambria"/>
          <w:sz w:val="20"/>
          <w:szCs w:val="20"/>
          <w:lang w:val="es-US"/>
        </w:rPr>
        <w:t>la audiencia realizada en el</w:t>
      </w:r>
      <w:r w:rsidRPr="00386E47">
        <w:rPr>
          <w:rFonts w:ascii="Cambria" w:hAnsi="Cambria"/>
          <w:sz w:val="20"/>
          <w:szCs w:val="20"/>
          <w:lang w:val="es-US"/>
        </w:rPr>
        <w:t xml:space="preserve"> marco de su</w:t>
      </w:r>
      <w:r w:rsidR="00E9249A" w:rsidRPr="00386E47">
        <w:rPr>
          <w:rFonts w:ascii="Cambria" w:hAnsi="Cambria"/>
          <w:sz w:val="20"/>
          <w:szCs w:val="20"/>
          <w:lang w:val="es-US"/>
        </w:rPr>
        <w:t xml:space="preserve"> 174</w:t>
      </w:r>
      <w:r w:rsidRPr="00386E47">
        <w:rPr>
          <w:rFonts w:ascii="Cambria" w:hAnsi="Cambria"/>
          <w:sz w:val="20"/>
          <w:szCs w:val="20"/>
          <w:lang w:val="es-US"/>
        </w:rPr>
        <w:t>°</w:t>
      </w:r>
      <w:r w:rsidR="00E9249A" w:rsidRPr="00386E47">
        <w:rPr>
          <w:rFonts w:ascii="Cambria" w:hAnsi="Cambria"/>
          <w:sz w:val="20"/>
          <w:szCs w:val="20"/>
          <w:lang w:val="es-US"/>
        </w:rPr>
        <w:t xml:space="preserve"> período de sesiones, el Estado se refirió al reconocimiento de responsabilidad efectuado en el año 2005 y el proceso de solución amistosa concluido en 2012.</w:t>
      </w:r>
      <w:r w:rsidRPr="00386E47">
        <w:rPr>
          <w:rFonts w:ascii="Cambria" w:hAnsi="Cambria"/>
          <w:sz w:val="20"/>
          <w:szCs w:val="20"/>
          <w:lang w:val="es-US"/>
        </w:rPr>
        <w:t xml:space="preserve"> En dicha oportunidad los representantes estatales señalaron</w:t>
      </w:r>
      <w:r w:rsidR="00E9249A" w:rsidRPr="00386E47">
        <w:rPr>
          <w:rFonts w:ascii="Cambria" w:hAnsi="Cambria"/>
          <w:sz w:val="20"/>
          <w:szCs w:val="20"/>
          <w:lang w:val="es-US"/>
        </w:rPr>
        <w:t xml:space="preserve"> que</w:t>
      </w:r>
      <w:r w:rsidRPr="00386E47">
        <w:rPr>
          <w:rFonts w:ascii="Cambria" w:hAnsi="Cambria"/>
          <w:sz w:val="20"/>
          <w:szCs w:val="20"/>
          <w:lang w:val="es-US"/>
        </w:rPr>
        <w:t>, a pesar de la conclusión del proceso de solución amistosa, el</w:t>
      </w:r>
      <w:r w:rsidR="00E9249A" w:rsidRPr="00386E47">
        <w:rPr>
          <w:rFonts w:ascii="Cambria" w:hAnsi="Cambria"/>
          <w:sz w:val="20"/>
          <w:szCs w:val="20"/>
          <w:lang w:val="es-US"/>
        </w:rPr>
        <w:t xml:space="preserve"> Estado siguió avanzando en diversas cuestiones que figuraban en la agenda de trabajo</w:t>
      </w:r>
      <w:r w:rsidRPr="00386E47">
        <w:rPr>
          <w:rFonts w:ascii="Cambria" w:hAnsi="Cambria"/>
          <w:sz w:val="20"/>
          <w:szCs w:val="20"/>
          <w:lang w:val="es-US"/>
        </w:rPr>
        <w:t>, y aseguraron</w:t>
      </w:r>
      <w:r w:rsidR="00E9249A" w:rsidRPr="00386E47">
        <w:rPr>
          <w:rFonts w:ascii="Cambria" w:hAnsi="Cambria"/>
          <w:sz w:val="20"/>
          <w:szCs w:val="20"/>
          <w:lang w:val="es-US"/>
        </w:rPr>
        <w:t xml:space="preserve"> que en escritos posteriores</w:t>
      </w:r>
      <w:r w:rsidRPr="00386E47">
        <w:rPr>
          <w:rFonts w:ascii="Cambria" w:hAnsi="Cambria"/>
          <w:sz w:val="20"/>
          <w:szCs w:val="20"/>
          <w:lang w:val="es-US"/>
        </w:rPr>
        <w:t xml:space="preserve"> se reiteró a los peticionarios la voluntad de retomar un espacio</w:t>
      </w:r>
      <w:r w:rsidR="00E9249A" w:rsidRPr="00386E47">
        <w:rPr>
          <w:rFonts w:ascii="Cambria" w:hAnsi="Cambria"/>
          <w:sz w:val="20"/>
          <w:szCs w:val="20"/>
          <w:lang w:val="es-US"/>
        </w:rPr>
        <w:t xml:space="preserve"> de diálogo. </w:t>
      </w:r>
      <w:r w:rsidRPr="00386E47">
        <w:rPr>
          <w:rFonts w:ascii="Cambria" w:hAnsi="Cambria"/>
          <w:sz w:val="20"/>
          <w:szCs w:val="20"/>
          <w:lang w:val="es-US"/>
        </w:rPr>
        <w:t>Asimismo, refiriéndose tanto a los</w:t>
      </w:r>
      <w:r w:rsidR="00E9249A" w:rsidRPr="00386E47">
        <w:rPr>
          <w:rFonts w:ascii="Cambria" w:hAnsi="Cambria"/>
          <w:sz w:val="20"/>
          <w:szCs w:val="20"/>
          <w:lang w:val="es-US"/>
        </w:rPr>
        <w:t xml:space="preserve"> atentados a la Embajada de Israel y a la sede de la AMIA,</w:t>
      </w:r>
      <w:r w:rsidRPr="00386E47">
        <w:rPr>
          <w:rFonts w:ascii="Cambria" w:hAnsi="Cambria"/>
          <w:sz w:val="20"/>
          <w:szCs w:val="20"/>
          <w:lang w:val="es-US"/>
        </w:rPr>
        <w:t xml:space="preserve"> </w:t>
      </w:r>
      <w:r w:rsidR="009A0110" w:rsidRPr="00386E47">
        <w:rPr>
          <w:rFonts w:ascii="Cambria" w:hAnsi="Cambria"/>
          <w:sz w:val="20"/>
          <w:szCs w:val="20"/>
          <w:lang w:val="es-US"/>
        </w:rPr>
        <w:t>puntualizaron</w:t>
      </w:r>
      <w:r w:rsidR="00E9249A" w:rsidRPr="00386E47">
        <w:rPr>
          <w:rFonts w:ascii="Cambria" w:hAnsi="Cambria"/>
          <w:sz w:val="20"/>
          <w:szCs w:val="20"/>
          <w:lang w:val="es-US"/>
        </w:rPr>
        <w:t xml:space="preserve"> que: </w:t>
      </w:r>
    </w:p>
    <w:p w14:paraId="1DC1FE57" w14:textId="77777777" w:rsidR="00E9249A" w:rsidRPr="00386E47" w:rsidRDefault="00E9249A" w:rsidP="00E9249A">
      <w:pPr>
        <w:tabs>
          <w:tab w:val="left" w:pos="567"/>
        </w:tabs>
        <w:contextualSpacing/>
        <w:jc w:val="both"/>
        <w:rPr>
          <w:rFonts w:ascii="Cambria" w:eastAsia="Calibri" w:hAnsi="Cambria"/>
          <w:sz w:val="20"/>
          <w:szCs w:val="20"/>
          <w:lang w:val="es-AR"/>
        </w:rPr>
      </w:pPr>
    </w:p>
    <w:p w14:paraId="36470029" w14:textId="77777777" w:rsidR="00E9249A" w:rsidRPr="00386E47" w:rsidRDefault="00E9249A" w:rsidP="00C3095B">
      <w:pPr>
        <w:tabs>
          <w:tab w:val="left" w:pos="567"/>
        </w:tabs>
        <w:ind w:left="540" w:right="855"/>
        <w:contextualSpacing/>
        <w:jc w:val="both"/>
        <w:rPr>
          <w:rFonts w:ascii="Cambria" w:hAnsi="Cambria"/>
          <w:sz w:val="18"/>
          <w:szCs w:val="18"/>
          <w:lang w:val="es-US"/>
        </w:rPr>
      </w:pPr>
      <w:r w:rsidRPr="00386E47">
        <w:rPr>
          <w:rFonts w:ascii="Cambria" w:hAnsi="Cambria"/>
          <w:sz w:val="18"/>
          <w:szCs w:val="18"/>
          <w:lang w:val="es-US"/>
        </w:rPr>
        <w:t xml:space="preserve">las deficiencias políticas, policiales, de seguridad, los servicios de inteligencia y el poder judicial, quedaron desnudos el 17 de marzo de 1992, y lo que es imperdonable continuaron así, habilitando que a dos años de ocurrido el primer ataque, Buenos Aires sea escenario de un nuevo atentado. Bajo ese signo se desarrollaron los primeros años de investigación, o no investigación, a cargo de un juez federal sin ninguna experiencia ni formación en terrorismo internacional al igual que el resto de sus colegas, un Poder Judicial vetusto en sus estructuras tanto técnicas como de recursos humanos, fuerzas de seguridad e inteligencia más preocupadas por encubrir sus propios delitos y desviar la investigación que en aportar elementos probatorios, y un Poder Ejecutivo que, en el mejor de los casos, no estuvo a la altura. </w:t>
      </w:r>
    </w:p>
    <w:p w14:paraId="5CDDF358" w14:textId="77777777" w:rsidR="00E9249A" w:rsidRPr="00386E47" w:rsidRDefault="00E9249A" w:rsidP="00E9249A">
      <w:pPr>
        <w:tabs>
          <w:tab w:val="left" w:pos="567"/>
        </w:tabs>
        <w:ind w:left="540" w:right="900"/>
        <w:contextualSpacing/>
        <w:jc w:val="both"/>
        <w:rPr>
          <w:rFonts w:ascii="Cambria" w:hAnsi="Cambria"/>
          <w:sz w:val="20"/>
          <w:szCs w:val="20"/>
          <w:lang w:val="es-US"/>
        </w:rPr>
      </w:pPr>
    </w:p>
    <w:p w14:paraId="49CD57A0" w14:textId="77777777" w:rsidR="00E9249A" w:rsidRPr="00386E47" w:rsidRDefault="009A0110" w:rsidP="003A5860">
      <w:pPr>
        <w:numPr>
          <w:ilvl w:val="0"/>
          <w:numId w:val="55"/>
        </w:numPr>
        <w:tabs>
          <w:tab w:val="left" w:pos="567"/>
        </w:tabs>
        <w:ind w:left="0" w:firstLine="0"/>
        <w:contextualSpacing/>
        <w:jc w:val="both"/>
        <w:rPr>
          <w:rFonts w:ascii="Cambria" w:eastAsia="Calibri" w:hAnsi="Cambria"/>
          <w:sz w:val="20"/>
          <w:szCs w:val="20"/>
          <w:lang w:val="es-AR"/>
        </w:rPr>
      </w:pPr>
      <w:r w:rsidRPr="00386E47">
        <w:rPr>
          <w:rFonts w:ascii="Cambria" w:hAnsi="Cambria"/>
          <w:sz w:val="20"/>
          <w:szCs w:val="20"/>
          <w:lang w:val="es-US"/>
        </w:rPr>
        <w:t>Adicionalmente, los representantes de</w:t>
      </w:r>
      <w:r w:rsidR="00E9249A" w:rsidRPr="00386E47">
        <w:rPr>
          <w:rFonts w:ascii="Cambria" w:hAnsi="Cambria"/>
          <w:sz w:val="20"/>
          <w:szCs w:val="20"/>
          <w:lang w:val="es-US"/>
        </w:rPr>
        <w:t>l Estado d</w:t>
      </w:r>
      <w:r w:rsidRPr="00386E47">
        <w:rPr>
          <w:rFonts w:ascii="Cambria" w:hAnsi="Cambria"/>
          <w:sz w:val="20"/>
          <w:szCs w:val="20"/>
          <w:lang w:val="es-US"/>
        </w:rPr>
        <w:t>e Argentina agregaron</w:t>
      </w:r>
      <w:r w:rsidR="00E9249A" w:rsidRPr="00386E47">
        <w:rPr>
          <w:rFonts w:ascii="Cambria" w:hAnsi="Cambria"/>
          <w:sz w:val="20"/>
          <w:szCs w:val="20"/>
          <w:lang w:val="es-US"/>
        </w:rPr>
        <w:t xml:space="preserve"> que:</w:t>
      </w:r>
    </w:p>
    <w:p w14:paraId="65A77B1A" w14:textId="77777777" w:rsidR="00E9249A" w:rsidRPr="00386E47" w:rsidRDefault="00E9249A" w:rsidP="00E9249A">
      <w:pPr>
        <w:tabs>
          <w:tab w:val="left" w:pos="567"/>
        </w:tabs>
        <w:contextualSpacing/>
        <w:jc w:val="both"/>
        <w:rPr>
          <w:rFonts w:ascii="Cambria" w:hAnsi="Cambria"/>
          <w:sz w:val="20"/>
          <w:szCs w:val="20"/>
          <w:lang w:val="es-AR"/>
        </w:rPr>
      </w:pPr>
    </w:p>
    <w:p w14:paraId="652A7673" w14:textId="77777777" w:rsidR="00E9249A" w:rsidRPr="00386E47" w:rsidRDefault="00E9249A" w:rsidP="00E9249A">
      <w:pPr>
        <w:tabs>
          <w:tab w:val="left" w:pos="567"/>
        </w:tabs>
        <w:ind w:left="540" w:right="810"/>
        <w:contextualSpacing/>
        <w:jc w:val="both"/>
        <w:rPr>
          <w:rFonts w:ascii="Cambria" w:eastAsia="Calibri" w:hAnsi="Cambria"/>
          <w:sz w:val="18"/>
          <w:szCs w:val="18"/>
          <w:lang w:val="es-AR"/>
        </w:rPr>
      </w:pPr>
      <w:r w:rsidRPr="00386E47">
        <w:rPr>
          <w:rFonts w:ascii="Cambria" w:hAnsi="Cambria"/>
          <w:sz w:val="18"/>
          <w:szCs w:val="18"/>
          <w:lang w:val="es-US"/>
        </w:rPr>
        <w:t xml:space="preserve">claramente los mecanismos del Estado no estuvieron a la altura ni en la prevención de los hechos, más habiendo tenido como antecedente al atentado a la sede de la Embajada de Israel en Buenos Aires, ni en asegurar una investigación judicial que pudiera dar respuesta eficiente a las víctimas y a la sociedad. Esto determinó el reconocimiento de responsabilidad mediante el Decreto Nacional 812 de 2005. </w:t>
      </w:r>
    </w:p>
    <w:p w14:paraId="290F0A19" w14:textId="77777777" w:rsidR="00E9249A" w:rsidRPr="00386E47" w:rsidRDefault="00E9249A" w:rsidP="00E9249A">
      <w:pPr>
        <w:jc w:val="both"/>
        <w:rPr>
          <w:rFonts w:ascii="Cambria" w:hAnsi="Cambria"/>
          <w:sz w:val="20"/>
          <w:szCs w:val="20"/>
          <w:lang w:val="es-US"/>
        </w:rPr>
      </w:pPr>
    </w:p>
    <w:p w14:paraId="41031F46" w14:textId="77777777" w:rsidR="009A0110" w:rsidRPr="00386E47" w:rsidRDefault="009A0110" w:rsidP="00E9249A">
      <w:pPr>
        <w:numPr>
          <w:ilvl w:val="0"/>
          <w:numId w:val="55"/>
        </w:numPr>
        <w:tabs>
          <w:tab w:val="left" w:pos="567"/>
        </w:tabs>
        <w:ind w:left="0" w:firstLine="0"/>
        <w:contextualSpacing/>
        <w:jc w:val="both"/>
        <w:rPr>
          <w:rFonts w:ascii="Cambria" w:hAnsi="Cambria"/>
          <w:sz w:val="20"/>
          <w:szCs w:val="20"/>
          <w:lang w:val="es-US"/>
        </w:rPr>
      </w:pPr>
      <w:r w:rsidRPr="00386E47">
        <w:rPr>
          <w:rFonts w:ascii="Cambria" w:hAnsi="Cambria"/>
          <w:sz w:val="20"/>
          <w:szCs w:val="20"/>
          <w:lang w:val="es-US"/>
        </w:rPr>
        <w:t>En la misma audiencia</w:t>
      </w:r>
      <w:r w:rsidR="00E9249A" w:rsidRPr="00386E47">
        <w:rPr>
          <w:rFonts w:ascii="Cambria" w:hAnsi="Cambria"/>
          <w:sz w:val="20"/>
          <w:szCs w:val="20"/>
          <w:lang w:val="es-US"/>
        </w:rPr>
        <w:t>, el Estado se ref</w:t>
      </w:r>
      <w:r w:rsidRPr="00386E47">
        <w:rPr>
          <w:rFonts w:ascii="Cambria" w:hAnsi="Cambria"/>
          <w:sz w:val="20"/>
          <w:szCs w:val="20"/>
          <w:lang w:val="es-US"/>
        </w:rPr>
        <w:t xml:space="preserve">irió al juicio de encubrimiento. Al respecto, los representantes indicaron </w:t>
      </w:r>
      <w:r w:rsidR="00E9249A" w:rsidRPr="00386E47">
        <w:rPr>
          <w:rFonts w:ascii="Cambria" w:hAnsi="Cambria"/>
          <w:sz w:val="20"/>
          <w:szCs w:val="20"/>
          <w:lang w:val="es-US"/>
        </w:rPr>
        <w:t>que el juicio oral comenzó en agosto de 2015 ante el Tribuna</w:t>
      </w:r>
      <w:r w:rsidRPr="00386E47">
        <w:rPr>
          <w:rFonts w:ascii="Cambria" w:hAnsi="Cambria"/>
          <w:sz w:val="20"/>
          <w:szCs w:val="20"/>
          <w:lang w:val="es-US"/>
        </w:rPr>
        <w:t>l Oral en lo Criminal Federal de Buenos Aires No. 2, el cual dictó su veredicto en febrero de 2019. Asimismo, señalaron</w:t>
      </w:r>
      <w:r w:rsidR="00E9249A" w:rsidRPr="00386E47">
        <w:rPr>
          <w:rFonts w:ascii="Cambria" w:hAnsi="Cambria"/>
          <w:sz w:val="20"/>
          <w:szCs w:val="20"/>
          <w:lang w:val="es-US"/>
        </w:rPr>
        <w:t xml:space="preserve"> que en primera instancia se dictaron varias condenas que dan cuenta de</w:t>
      </w:r>
      <w:r w:rsidRPr="00386E47">
        <w:rPr>
          <w:rFonts w:ascii="Cambria" w:hAnsi="Cambria"/>
          <w:sz w:val="20"/>
          <w:szCs w:val="20"/>
          <w:lang w:val="es-US"/>
        </w:rPr>
        <w:t xml:space="preserve"> una serie de</w:t>
      </w:r>
      <w:r w:rsidR="00E9249A" w:rsidRPr="00386E47">
        <w:rPr>
          <w:rFonts w:ascii="Cambria" w:hAnsi="Cambria"/>
          <w:sz w:val="20"/>
          <w:szCs w:val="20"/>
          <w:lang w:val="es-US"/>
        </w:rPr>
        <w:t xml:space="preserve"> maniobra</w:t>
      </w:r>
      <w:r w:rsidRPr="00386E47">
        <w:rPr>
          <w:rFonts w:ascii="Cambria" w:hAnsi="Cambria"/>
          <w:sz w:val="20"/>
          <w:szCs w:val="20"/>
          <w:lang w:val="es-US"/>
        </w:rPr>
        <w:t>s</w:t>
      </w:r>
      <w:r w:rsidR="00E9249A" w:rsidRPr="00386E47">
        <w:rPr>
          <w:rFonts w:ascii="Cambria" w:hAnsi="Cambria"/>
          <w:sz w:val="20"/>
          <w:szCs w:val="20"/>
          <w:lang w:val="es-US"/>
        </w:rPr>
        <w:t xml:space="preserve"> de encubrimiento,</w:t>
      </w:r>
      <w:r w:rsidRPr="00386E47">
        <w:rPr>
          <w:rFonts w:ascii="Cambria" w:hAnsi="Cambria"/>
          <w:sz w:val="20"/>
          <w:szCs w:val="20"/>
          <w:lang w:val="es-US"/>
        </w:rPr>
        <w:t xml:space="preserve"> de</w:t>
      </w:r>
      <w:r w:rsidR="00E9249A" w:rsidRPr="00386E47">
        <w:rPr>
          <w:rFonts w:ascii="Cambria" w:hAnsi="Cambria"/>
          <w:sz w:val="20"/>
          <w:szCs w:val="20"/>
          <w:lang w:val="es-US"/>
        </w:rPr>
        <w:t xml:space="preserve"> acciones incompatibles con los deberes de funcionarios públicos y </w:t>
      </w:r>
      <w:r w:rsidRPr="00386E47">
        <w:rPr>
          <w:rFonts w:ascii="Cambria" w:hAnsi="Cambria"/>
          <w:sz w:val="20"/>
          <w:szCs w:val="20"/>
          <w:lang w:val="es-US"/>
        </w:rPr>
        <w:t>de otros delitos e indicaron</w:t>
      </w:r>
      <w:r w:rsidR="00E9249A" w:rsidRPr="00386E47">
        <w:rPr>
          <w:rFonts w:ascii="Cambria" w:hAnsi="Cambria"/>
          <w:sz w:val="20"/>
          <w:szCs w:val="20"/>
          <w:lang w:val="es-US"/>
        </w:rPr>
        <w:t xml:space="preserve"> que el caso se encontraba en trámite en la etapa recursiva.</w:t>
      </w:r>
      <w:r w:rsidRPr="00386E47">
        <w:rPr>
          <w:rFonts w:ascii="Cambria" w:hAnsi="Cambria"/>
          <w:sz w:val="20"/>
          <w:szCs w:val="20"/>
          <w:lang w:val="es-US"/>
        </w:rPr>
        <w:t xml:space="preserve"> </w:t>
      </w:r>
    </w:p>
    <w:p w14:paraId="2FD39121" w14:textId="77777777" w:rsidR="009A0110" w:rsidRPr="00386E47" w:rsidRDefault="009A0110" w:rsidP="009A0110">
      <w:pPr>
        <w:tabs>
          <w:tab w:val="left" w:pos="567"/>
        </w:tabs>
        <w:contextualSpacing/>
        <w:jc w:val="both"/>
        <w:rPr>
          <w:rFonts w:ascii="Cambria" w:hAnsi="Cambria"/>
          <w:sz w:val="20"/>
          <w:szCs w:val="20"/>
          <w:lang w:val="es-US"/>
        </w:rPr>
      </w:pPr>
    </w:p>
    <w:p w14:paraId="62736A84" w14:textId="77777777" w:rsidR="00E9249A" w:rsidRPr="00386E47" w:rsidRDefault="009A0110" w:rsidP="00E9249A">
      <w:pPr>
        <w:numPr>
          <w:ilvl w:val="0"/>
          <w:numId w:val="55"/>
        </w:numPr>
        <w:tabs>
          <w:tab w:val="left" w:pos="567"/>
        </w:tabs>
        <w:ind w:left="0" w:firstLine="0"/>
        <w:contextualSpacing/>
        <w:jc w:val="both"/>
        <w:rPr>
          <w:rFonts w:ascii="Cambria" w:hAnsi="Cambria"/>
          <w:sz w:val="20"/>
          <w:szCs w:val="20"/>
          <w:lang w:val="es-US"/>
        </w:rPr>
      </w:pPr>
      <w:r w:rsidRPr="00386E47">
        <w:rPr>
          <w:rFonts w:ascii="Cambria" w:hAnsi="Cambria"/>
          <w:sz w:val="20"/>
          <w:szCs w:val="20"/>
          <w:lang w:val="es-US"/>
        </w:rPr>
        <w:t>Por otro lado, señalaron</w:t>
      </w:r>
      <w:r w:rsidR="00E9249A" w:rsidRPr="00386E47">
        <w:rPr>
          <w:rFonts w:ascii="Cambria" w:hAnsi="Cambria"/>
          <w:sz w:val="20"/>
          <w:szCs w:val="20"/>
          <w:lang w:val="es-US"/>
        </w:rPr>
        <w:t xml:space="preserve"> que gran parte de los esfuerzos actuales se refieren a colaborar y encontrar los elementos necesarios para avanzar en el procesamiento de la información desclasificada de la Secretaría de Inteligencia, producto de varios decretos.</w:t>
      </w:r>
      <w:r w:rsidRPr="00386E47">
        <w:rPr>
          <w:rFonts w:ascii="Cambria" w:hAnsi="Cambria"/>
          <w:sz w:val="20"/>
          <w:szCs w:val="20"/>
          <w:lang w:val="es-US"/>
        </w:rPr>
        <w:t xml:space="preserve"> Finalmente, se refirieron</w:t>
      </w:r>
      <w:r w:rsidR="00E9249A" w:rsidRPr="00386E47">
        <w:rPr>
          <w:rFonts w:ascii="Cambria" w:hAnsi="Cambria"/>
          <w:sz w:val="20"/>
          <w:szCs w:val="20"/>
          <w:lang w:val="es-US"/>
        </w:rPr>
        <w:t xml:space="preserve"> también a </w:t>
      </w:r>
      <w:r w:rsidRPr="00386E47">
        <w:rPr>
          <w:rFonts w:ascii="Cambria" w:hAnsi="Cambria"/>
          <w:sz w:val="20"/>
          <w:szCs w:val="20"/>
          <w:lang w:val="es-US"/>
        </w:rPr>
        <w:t xml:space="preserve">los </w:t>
      </w:r>
      <w:r w:rsidR="00E9249A" w:rsidRPr="00386E47">
        <w:rPr>
          <w:rFonts w:ascii="Cambria" w:hAnsi="Cambria"/>
          <w:sz w:val="20"/>
          <w:szCs w:val="20"/>
          <w:lang w:val="es-US"/>
        </w:rPr>
        <w:t xml:space="preserve">esfuerzos </w:t>
      </w:r>
      <w:r w:rsidRPr="00386E47">
        <w:rPr>
          <w:rFonts w:ascii="Cambria" w:hAnsi="Cambria"/>
          <w:sz w:val="20"/>
          <w:szCs w:val="20"/>
          <w:lang w:val="es-US"/>
        </w:rPr>
        <w:t xml:space="preserve">realizados </w:t>
      </w:r>
      <w:r w:rsidR="00E9249A" w:rsidRPr="00386E47">
        <w:rPr>
          <w:rFonts w:ascii="Cambria" w:hAnsi="Cambria"/>
          <w:sz w:val="20"/>
          <w:szCs w:val="20"/>
          <w:lang w:val="es-US"/>
        </w:rPr>
        <w:t xml:space="preserve">para la recuperación de archivos, indicando que actualmente se ha procesado el 40% del material </w:t>
      </w:r>
      <w:r w:rsidRPr="00386E47">
        <w:rPr>
          <w:rFonts w:ascii="Cambria" w:hAnsi="Cambria"/>
          <w:sz w:val="20"/>
          <w:szCs w:val="20"/>
          <w:lang w:val="es-US"/>
        </w:rPr>
        <w:t>documental, y</w:t>
      </w:r>
      <w:r w:rsidR="00E9249A" w:rsidRPr="00386E47">
        <w:rPr>
          <w:rFonts w:ascii="Cambria" w:hAnsi="Cambria"/>
          <w:sz w:val="20"/>
          <w:szCs w:val="20"/>
          <w:lang w:val="es-US"/>
        </w:rPr>
        <w:t xml:space="preserve"> para procesar material documental de audio y video que se encuentra en el archivo </w:t>
      </w:r>
      <w:r w:rsidRPr="00386E47">
        <w:rPr>
          <w:rFonts w:ascii="Cambria" w:hAnsi="Cambria"/>
          <w:sz w:val="20"/>
          <w:szCs w:val="20"/>
          <w:lang w:val="es-US"/>
        </w:rPr>
        <w:t xml:space="preserve">ubicado en el edificio </w:t>
      </w:r>
      <w:r w:rsidR="00E9249A" w:rsidRPr="00386E47">
        <w:rPr>
          <w:rFonts w:ascii="Cambria" w:hAnsi="Cambria"/>
          <w:sz w:val="20"/>
          <w:szCs w:val="20"/>
          <w:lang w:val="es-US"/>
        </w:rPr>
        <w:t xml:space="preserve">Barolo. </w:t>
      </w:r>
      <w:r w:rsidRPr="00386E47">
        <w:rPr>
          <w:rFonts w:ascii="Cambria" w:hAnsi="Cambria"/>
          <w:sz w:val="20"/>
          <w:szCs w:val="20"/>
          <w:lang w:val="es-US"/>
        </w:rPr>
        <w:t>Por último, mencionaron un numero de</w:t>
      </w:r>
      <w:r w:rsidR="00E9249A" w:rsidRPr="00386E47">
        <w:rPr>
          <w:rFonts w:ascii="Cambria" w:hAnsi="Cambria"/>
          <w:sz w:val="20"/>
          <w:szCs w:val="20"/>
          <w:lang w:val="es-US"/>
        </w:rPr>
        <w:t xml:space="preserve"> medidas legislativas </w:t>
      </w:r>
      <w:r w:rsidRPr="00386E47">
        <w:rPr>
          <w:rFonts w:ascii="Cambria" w:hAnsi="Cambria"/>
          <w:sz w:val="20"/>
          <w:szCs w:val="20"/>
          <w:lang w:val="es-US"/>
        </w:rPr>
        <w:t>impulsadas para beneficio de las</w:t>
      </w:r>
      <w:r w:rsidR="00E9249A" w:rsidRPr="00386E47">
        <w:rPr>
          <w:rFonts w:ascii="Cambria" w:hAnsi="Cambria"/>
          <w:sz w:val="20"/>
          <w:szCs w:val="20"/>
          <w:lang w:val="es-US"/>
        </w:rPr>
        <w:t xml:space="preserve"> víctimas, así como el juicio en ausencia y </w:t>
      </w:r>
      <w:r w:rsidR="00770388" w:rsidRPr="00386E47">
        <w:rPr>
          <w:rFonts w:ascii="Cambria" w:hAnsi="Cambria"/>
          <w:sz w:val="20"/>
          <w:szCs w:val="20"/>
          <w:lang w:val="es-US"/>
        </w:rPr>
        <w:t xml:space="preserve">otras medidas de cooperación internacional para avanzar </w:t>
      </w:r>
      <w:r w:rsidR="00C3095B" w:rsidRPr="00386E47">
        <w:rPr>
          <w:rFonts w:ascii="Cambria" w:hAnsi="Cambria"/>
          <w:sz w:val="20"/>
          <w:szCs w:val="20"/>
          <w:lang w:val="es-US"/>
        </w:rPr>
        <w:t>en el</w:t>
      </w:r>
      <w:r w:rsidR="00770388" w:rsidRPr="00386E47">
        <w:rPr>
          <w:rFonts w:ascii="Cambria" w:hAnsi="Cambria"/>
          <w:sz w:val="20"/>
          <w:szCs w:val="20"/>
          <w:lang w:val="es-US"/>
        </w:rPr>
        <w:t xml:space="preserve"> proceso penal.</w:t>
      </w:r>
    </w:p>
    <w:p w14:paraId="00CA2765" w14:textId="77777777" w:rsidR="00201202" w:rsidRPr="00386E47" w:rsidRDefault="00201202" w:rsidP="00201202">
      <w:pPr>
        <w:tabs>
          <w:tab w:val="left" w:pos="567"/>
        </w:tabs>
        <w:contextualSpacing/>
        <w:jc w:val="both"/>
        <w:rPr>
          <w:rFonts w:ascii="Cambria" w:hAnsi="Cambria"/>
          <w:sz w:val="20"/>
          <w:szCs w:val="20"/>
          <w:lang w:val="es-US"/>
        </w:rPr>
      </w:pPr>
    </w:p>
    <w:p w14:paraId="6655EE35" w14:textId="77777777" w:rsidR="00E9249A" w:rsidRPr="00386E47" w:rsidRDefault="00E9249A" w:rsidP="003A5860">
      <w:pPr>
        <w:numPr>
          <w:ilvl w:val="0"/>
          <w:numId w:val="55"/>
        </w:numPr>
        <w:tabs>
          <w:tab w:val="left" w:pos="567"/>
        </w:tabs>
        <w:ind w:left="0" w:firstLine="0"/>
        <w:contextualSpacing/>
        <w:jc w:val="both"/>
        <w:rPr>
          <w:rFonts w:ascii="Cambria" w:eastAsia="Calibri" w:hAnsi="Cambria"/>
          <w:sz w:val="20"/>
          <w:szCs w:val="20"/>
          <w:lang w:val="es-AR"/>
        </w:rPr>
      </w:pPr>
      <w:r w:rsidRPr="00386E47">
        <w:rPr>
          <w:rFonts w:ascii="Cambria" w:eastAsia="Calibri" w:hAnsi="Cambria"/>
          <w:sz w:val="20"/>
          <w:szCs w:val="20"/>
          <w:lang w:val="es-AR"/>
        </w:rPr>
        <w:t>La Comisión, al igual que lo hizo al momento de suscribirse el acta acuerdo del 4 de marzo de 2005,  expresa su beneplácito por el reconocimiento de responsabilidad efectuado por el Estado argentino, toda vez que significa una medida conducente para garantizar la plena vigencia de los derechos, de conformidad con los  principios que inspiran el Sistema Interamericano de Derechos Humanos</w:t>
      </w:r>
      <w:r w:rsidRPr="00386E47">
        <w:rPr>
          <w:rStyle w:val="FootnoteReference"/>
          <w:rFonts w:ascii="Cambria" w:eastAsia="Calibri" w:hAnsi="Cambria"/>
          <w:sz w:val="20"/>
          <w:szCs w:val="20"/>
          <w:lang w:val="es-AR"/>
        </w:rPr>
        <w:footnoteReference w:id="5"/>
      </w:r>
      <w:r w:rsidRPr="00386E47">
        <w:rPr>
          <w:rFonts w:ascii="Cambria" w:eastAsia="Calibri" w:hAnsi="Cambria"/>
          <w:sz w:val="20"/>
          <w:szCs w:val="20"/>
          <w:lang w:val="es-AR"/>
        </w:rPr>
        <w:t>.  La Comisión resalta asimismo que dicho reconocimiento constituye un paso hacia la reivindicación de los derechos de las víctimas del atentado y sus familiares.</w:t>
      </w:r>
    </w:p>
    <w:p w14:paraId="09A06104" w14:textId="77777777" w:rsidR="00E9249A" w:rsidRPr="00386E47" w:rsidRDefault="00E9249A" w:rsidP="00E9249A">
      <w:pPr>
        <w:tabs>
          <w:tab w:val="left" w:pos="567"/>
        </w:tabs>
        <w:contextualSpacing/>
        <w:jc w:val="both"/>
        <w:rPr>
          <w:rFonts w:ascii="Cambria" w:eastAsia="Calibri" w:hAnsi="Cambria"/>
          <w:sz w:val="20"/>
          <w:szCs w:val="20"/>
          <w:lang w:val="es-AR"/>
        </w:rPr>
      </w:pPr>
    </w:p>
    <w:p w14:paraId="68B69BC2" w14:textId="77777777" w:rsidR="00E9249A" w:rsidRPr="00386E47" w:rsidRDefault="00E9249A" w:rsidP="003A5860">
      <w:pPr>
        <w:numPr>
          <w:ilvl w:val="0"/>
          <w:numId w:val="55"/>
        </w:numPr>
        <w:tabs>
          <w:tab w:val="left" w:pos="567"/>
        </w:tabs>
        <w:ind w:left="0" w:firstLine="0"/>
        <w:contextualSpacing/>
        <w:jc w:val="both"/>
        <w:rPr>
          <w:rFonts w:ascii="Cambria" w:eastAsia="Calibri" w:hAnsi="Cambria"/>
          <w:sz w:val="20"/>
          <w:szCs w:val="20"/>
          <w:lang w:val="es-AR"/>
        </w:rPr>
      </w:pPr>
      <w:r w:rsidRPr="00386E47">
        <w:rPr>
          <w:rFonts w:ascii="Cambria" w:eastAsia="Calibri" w:hAnsi="Cambria"/>
          <w:sz w:val="20"/>
          <w:szCs w:val="20"/>
          <w:lang w:val="es-AR"/>
        </w:rPr>
        <w:lastRenderedPageBreak/>
        <w:t xml:space="preserve">Con respecto al alcance que tiene este reconocimiento de responsabilidad, la Comisión entiende que el Estado argentino aceptó de manera explícita e inequívoca su responsabilidad por el incumplimiento de su deber de prevención </w:t>
      </w:r>
      <w:r w:rsidR="009A0110" w:rsidRPr="00386E47">
        <w:rPr>
          <w:rFonts w:ascii="Cambria" w:eastAsia="Calibri" w:hAnsi="Cambria"/>
          <w:sz w:val="20"/>
          <w:szCs w:val="20"/>
          <w:lang w:val="es-AR"/>
        </w:rPr>
        <w:t>del</w:t>
      </w:r>
      <w:r w:rsidRPr="00386E47">
        <w:rPr>
          <w:rFonts w:ascii="Cambria" w:eastAsia="Calibri" w:hAnsi="Cambria"/>
          <w:sz w:val="20"/>
          <w:szCs w:val="20"/>
          <w:lang w:val="es-AR"/>
        </w:rPr>
        <w:t xml:space="preserve"> atentado contra la AMIA</w:t>
      </w:r>
      <w:r w:rsidR="009A0110" w:rsidRPr="00386E47">
        <w:rPr>
          <w:rFonts w:ascii="Cambria" w:eastAsia="Calibri" w:hAnsi="Cambria"/>
          <w:sz w:val="20"/>
          <w:szCs w:val="20"/>
          <w:lang w:val="es-AR"/>
        </w:rPr>
        <w:t xml:space="preserve">, el cual tuvo como consecuencia </w:t>
      </w:r>
      <w:r w:rsidR="00FD3161" w:rsidRPr="00386E47">
        <w:rPr>
          <w:rFonts w:ascii="Cambria" w:eastAsia="Calibri" w:hAnsi="Cambria"/>
          <w:sz w:val="20"/>
          <w:szCs w:val="20"/>
          <w:lang w:val="es-AR"/>
        </w:rPr>
        <w:t>la muerte</w:t>
      </w:r>
      <w:r w:rsidRPr="00386E47">
        <w:rPr>
          <w:rFonts w:ascii="Cambria" w:eastAsia="Calibri" w:hAnsi="Cambria"/>
          <w:sz w:val="20"/>
          <w:szCs w:val="20"/>
          <w:lang w:val="es-AR"/>
        </w:rPr>
        <w:t xml:space="preserve"> de</w:t>
      </w:r>
      <w:r w:rsidRPr="00386E47">
        <w:rPr>
          <w:rFonts w:ascii="Cambria" w:eastAsia="Calibri" w:hAnsi="Cambria"/>
          <w:sz w:val="20"/>
          <w:szCs w:val="20"/>
          <w:lang w:val="es-ES_tradnl" w:eastAsia="es-ES"/>
        </w:rPr>
        <w:t xml:space="preserve"> </w:t>
      </w:r>
      <w:r w:rsidR="009A0110" w:rsidRPr="00386E47">
        <w:rPr>
          <w:rFonts w:ascii="Cambria" w:eastAsia="Calibri" w:hAnsi="Cambria"/>
          <w:sz w:val="20"/>
          <w:szCs w:val="20"/>
          <w:lang w:val="es-ES_tradnl" w:eastAsia="es-ES"/>
        </w:rPr>
        <w:t xml:space="preserve">85 personas </w:t>
      </w:r>
      <w:r w:rsidR="00FD3161" w:rsidRPr="00386E47">
        <w:rPr>
          <w:rFonts w:ascii="Cambria" w:eastAsia="Calibri" w:hAnsi="Cambria"/>
          <w:sz w:val="20"/>
          <w:szCs w:val="20"/>
          <w:lang w:val="es-ES_tradnl" w:eastAsia="es-ES"/>
        </w:rPr>
        <w:t>y lesiones</w:t>
      </w:r>
      <w:r w:rsidRPr="00386E47">
        <w:rPr>
          <w:rFonts w:ascii="Cambria" w:eastAsia="Calibri" w:hAnsi="Cambria"/>
          <w:sz w:val="20"/>
          <w:szCs w:val="20"/>
          <w:lang w:val="es-ES_tradnl" w:eastAsia="es-ES"/>
        </w:rPr>
        <w:t xml:space="preserve"> </w:t>
      </w:r>
      <w:r w:rsidR="009A0110" w:rsidRPr="00386E47">
        <w:rPr>
          <w:rFonts w:ascii="Cambria" w:eastAsia="Calibri" w:hAnsi="Cambria"/>
          <w:sz w:val="20"/>
          <w:szCs w:val="20"/>
          <w:lang w:val="es-ES_tradnl" w:eastAsia="es-ES"/>
        </w:rPr>
        <w:t>a</w:t>
      </w:r>
      <w:r w:rsidRPr="00386E47">
        <w:rPr>
          <w:rFonts w:ascii="Cambria" w:eastAsia="Calibri" w:hAnsi="Cambria"/>
          <w:sz w:val="20"/>
          <w:szCs w:val="20"/>
          <w:lang w:val="es-ES_tradnl" w:eastAsia="es-ES"/>
        </w:rPr>
        <w:t xml:space="preserve"> al menos a otras 151. Asimismo, la Comisión observa que el Estado reconoció su responsabilidad por no haber investigado de manera adecuada y efectiva los hechos, al existir un grave y</w:t>
      </w:r>
      <w:r w:rsidR="009A0110" w:rsidRPr="00386E47">
        <w:rPr>
          <w:rFonts w:ascii="Cambria" w:eastAsia="Calibri" w:hAnsi="Cambria"/>
          <w:sz w:val="20"/>
          <w:szCs w:val="20"/>
          <w:lang w:val="es-ES_tradnl" w:eastAsia="es-ES"/>
        </w:rPr>
        <w:t xml:space="preserve"> deliberado incumplimiento de su función de investigación</w:t>
      </w:r>
      <w:r w:rsidRPr="00386E47">
        <w:rPr>
          <w:rFonts w:ascii="Cambria" w:eastAsia="Calibri" w:hAnsi="Cambria"/>
          <w:sz w:val="20"/>
          <w:szCs w:val="20"/>
          <w:lang w:val="es-ES_tradnl" w:eastAsia="es-ES"/>
        </w:rPr>
        <w:t>.</w:t>
      </w:r>
    </w:p>
    <w:p w14:paraId="4082625A" w14:textId="77777777" w:rsidR="00E9249A" w:rsidRPr="00386E47" w:rsidRDefault="00E9249A" w:rsidP="00E9249A">
      <w:pPr>
        <w:pStyle w:val="ListParagraph"/>
        <w:rPr>
          <w:rFonts w:eastAsia="Calibri"/>
          <w:sz w:val="20"/>
          <w:szCs w:val="20"/>
          <w:lang w:val="es-ES_tradnl"/>
        </w:rPr>
      </w:pPr>
    </w:p>
    <w:p w14:paraId="650400B8" w14:textId="77777777" w:rsidR="00E9249A" w:rsidRPr="00386E47" w:rsidRDefault="00E9249A" w:rsidP="003A5860">
      <w:pPr>
        <w:numPr>
          <w:ilvl w:val="0"/>
          <w:numId w:val="55"/>
        </w:numPr>
        <w:tabs>
          <w:tab w:val="left" w:pos="567"/>
        </w:tabs>
        <w:ind w:left="0" w:firstLine="0"/>
        <w:contextualSpacing/>
        <w:jc w:val="both"/>
        <w:rPr>
          <w:rFonts w:ascii="Cambria" w:eastAsia="Calibri" w:hAnsi="Cambria"/>
          <w:sz w:val="20"/>
          <w:szCs w:val="20"/>
          <w:lang w:val="es-AR"/>
        </w:rPr>
      </w:pPr>
      <w:r w:rsidRPr="00386E47">
        <w:rPr>
          <w:rFonts w:ascii="Cambria" w:eastAsia="Calibri" w:hAnsi="Cambria"/>
          <w:sz w:val="20"/>
          <w:szCs w:val="20"/>
          <w:lang w:val="es-ES_tradnl" w:eastAsia="es-ES"/>
        </w:rPr>
        <w:t xml:space="preserve">La Comisión nota que </w:t>
      </w:r>
      <w:r w:rsidR="00FD3161" w:rsidRPr="00386E47">
        <w:rPr>
          <w:rFonts w:ascii="Cambria" w:eastAsia="Calibri" w:hAnsi="Cambria"/>
          <w:sz w:val="20"/>
          <w:szCs w:val="20"/>
          <w:lang w:val="es-ES_tradnl" w:eastAsia="es-ES"/>
        </w:rPr>
        <w:t>los representantes del Estado, al hacer</w:t>
      </w:r>
      <w:r w:rsidRPr="00386E47">
        <w:rPr>
          <w:rFonts w:ascii="Cambria" w:eastAsia="Calibri" w:hAnsi="Cambria"/>
          <w:sz w:val="20"/>
          <w:szCs w:val="20"/>
          <w:lang w:val="es-ES_tradnl" w:eastAsia="es-ES"/>
        </w:rPr>
        <w:t xml:space="preserve"> referencia a su reconocimiento de responsabilidad realizado en la última audiencia</w:t>
      </w:r>
      <w:r w:rsidR="00FD3161" w:rsidRPr="00386E47">
        <w:rPr>
          <w:rFonts w:ascii="Cambria" w:eastAsia="Calibri" w:hAnsi="Cambria"/>
          <w:sz w:val="20"/>
          <w:szCs w:val="20"/>
          <w:lang w:val="es-ES_tradnl" w:eastAsia="es-ES"/>
        </w:rPr>
        <w:t>, no se aceptaron</w:t>
      </w:r>
      <w:r w:rsidRPr="00386E47">
        <w:rPr>
          <w:rFonts w:ascii="Cambria" w:eastAsia="Calibri" w:hAnsi="Cambria"/>
          <w:sz w:val="20"/>
          <w:szCs w:val="20"/>
          <w:lang w:val="es-ES_tradnl" w:eastAsia="es-ES"/>
        </w:rPr>
        <w:t xml:space="preserve"> </w:t>
      </w:r>
      <w:r w:rsidR="00FD3161" w:rsidRPr="00386E47">
        <w:rPr>
          <w:rFonts w:ascii="Cambria" w:eastAsia="Calibri" w:hAnsi="Cambria"/>
          <w:sz w:val="20"/>
          <w:szCs w:val="20"/>
          <w:lang w:val="es-AR"/>
        </w:rPr>
        <w:t>de manera clara y explícita la responsabilidad del estado por</w:t>
      </w:r>
      <w:r w:rsidRPr="00386E47">
        <w:rPr>
          <w:rFonts w:ascii="Cambria" w:eastAsia="Calibri" w:hAnsi="Cambria"/>
          <w:sz w:val="20"/>
          <w:szCs w:val="20"/>
          <w:lang w:val="es-AR"/>
        </w:rPr>
        <w:t xml:space="preserve"> </w:t>
      </w:r>
      <w:r w:rsidR="00FD3161" w:rsidRPr="00386E47">
        <w:rPr>
          <w:rFonts w:ascii="Cambria" w:eastAsia="Calibri" w:hAnsi="Cambria"/>
          <w:sz w:val="20"/>
          <w:szCs w:val="20"/>
          <w:lang w:val="es-AR"/>
        </w:rPr>
        <w:t xml:space="preserve">aquellos </w:t>
      </w:r>
      <w:r w:rsidRPr="00386E47">
        <w:rPr>
          <w:rFonts w:ascii="Cambria" w:eastAsia="Calibri" w:hAnsi="Cambria"/>
          <w:sz w:val="20"/>
          <w:szCs w:val="20"/>
          <w:lang w:val="es-AR"/>
        </w:rPr>
        <w:t xml:space="preserve">hechos ocurridos con posterioridad al 4 de marzo de 2005, momento en que </w:t>
      </w:r>
      <w:r w:rsidR="00FD3161" w:rsidRPr="00386E47">
        <w:rPr>
          <w:rFonts w:ascii="Cambria" w:eastAsia="Calibri" w:hAnsi="Cambria"/>
          <w:sz w:val="20"/>
          <w:szCs w:val="20"/>
          <w:lang w:val="es-AR"/>
        </w:rPr>
        <w:t xml:space="preserve">fue suscripta </w:t>
      </w:r>
      <w:r w:rsidRPr="00386E47">
        <w:rPr>
          <w:rFonts w:ascii="Cambria" w:eastAsia="Calibri" w:hAnsi="Cambria"/>
          <w:sz w:val="20"/>
          <w:szCs w:val="20"/>
          <w:lang w:val="es-AR"/>
        </w:rPr>
        <w:t xml:space="preserve">la mencionada acta acuerdo. </w:t>
      </w:r>
      <w:r w:rsidR="00FD3161" w:rsidRPr="00386E47">
        <w:rPr>
          <w:rFonts w:ascii="Cambria" w:eastAsia="Calibri" w:hAnsi="Cambria"/>
          <w:sz w:val="20"/>
          <w:szCs w:val="20"/>
          <w:lang w:val="es-AR"/>
        </w:rPr>
        <w:t>En esta línea, la Comisión entiende que,</w:t>
      </w:r>
      <w:r w:rsidRPr="00386E47">
        <w:rPr>
          <w:rFonts w:ascii="Cambria" w:eastAsia="Calibri" w:hAnsi="Cambria"/>
          <w:sz w:val="20"/>
          <w:szCs w:val="20"/>
          <w:lang w:val="es-AR"/>
        </w:rPr>
        <w:t xml:space="preserve"> </w:t>
      </w:r>
      <w:r w:rsidRPr="00386E47">
        <w:rPr>
          <w:rFonts w:ascii="Cambria" w:eastAsia="Calibri" w:hAnsi="Cambria"/>
          <w:sz w:val="20"/>
          <w:szCs w:val="20"/>
          <w:lang w:val="es-ES_tradnl" w:eastAsia="es-ES"/>
        </w:rPr>
        <w:t xml:space="preserve">si bien el Estado </w:t>
      </w:r>
      <w:r w:rsidR="00FD3161" w:rsidRPr="00386E47">
        <w:rPr>
          <w:rFonts w:ascii="Cambria" w:eastAsia="Calibri" w:hAnsi="Cambria"/>
          <w:sz w:val="20"/>
          <w:szCs w:val="20"/>
          <w:lang w:val="es-ES_tradnl" w:eastAsia="es-ES"/>
        </w:rPr>
        <w:t xml:space="preserve">se pronunció respecto de </w:t>
      </w:r>
      <w:r w:rsidRPr="00386E47">
        <w:rPr>
          <w:rFonts w:ascii="Cambria" w:eastAsia="Calibri" w:hAnsi="Cambria"/>
          <w:sz w:val="20"/>
          <w:szCs w:val="20"/>
          <w:lang w:val="es-ES_tradnl" w:eastAsia="es-ES"/>
        </w:rPr>
        <w:t>algunos hechos</w:t>
      </w:r>
      <w:r w:rsidR="00FD3161" w:rsidRPr="00386E47">
        <w:rPr>
          <w:rFonts w:ascii="Cambria" w:eastAsia="Calibri" w:hAnsi="Cambria"/>
          <w:sz w:val="20"/>
          <w:szCs w:val="20"/>
          <w:lang w:val="es-ES_tradnl" w:eastAsia="es-ES"/>
        </w:rPr>
        <w:t xml:space="preserve"> posteriores a 2005</w:t>
      </w:r>
      <w:r w:rsidRPr="00386E47">
        <w:rPr>
          <w:rFonts w:ascii="Cambria" w:eastAsia="Calibri" w:hAnsi="Cambria"/>
          <w:sz w:val="20"/>
          <w:szCs w:val="20"/>
          <w:lang w:val="es-ES_tradnl" w:eastAsia="es-ES"/>
        </w:rPr>
        <w:t xml:space="preserve">, los mismos no son los suficientemente específicos para comprender las acciones y omisiones de las cuales </w:t>
      </w:r>
      <w:r w:rsidR="00FD3161" w:rsidRPr="00386E47">
        <w:rPr>
          <w:rFonts w:ascii="Cambria" w:eastAsia="Calibri" w:hAnsi="Cambria"/>
          <w:sz w:val="20"/>
          <w:szCs w:val="20"/>
          <w:lang w:val="es-ES_tradnl" w:eastAsia="es-ES"/>
        </w:rPr>
        <w:t>derivaría</w:t>
      </w:r>
      <w:r w:rsidRPr="00386E47">
        <w:rPr>
          <w:rFonts w:ascii="Cambria" w:eastAsia="Calibri" w:hAnsi="Cambria"/>
          <w:sz w:val="20"/>
          <w:szCs w:val="20"/>
          <w:lang w:val="es-ES_tradnl" w:eastAsia="es-ES"/>
        </w:rPr>
        <w:t xml:space="preserve"> su responsabilidad</w:t>
      </w:r>
      <w:r w:rsidR="00FD3161" w:rsidRPr="00386E47">
        <w:rPr>
          <w:rFonts w:ascii="Cambria" w:eastAsia="Calibri" w:hAnsi="Cambria"/>
          <w:sz w:val="20"/>
          <w:szCs w:val="20"/>
          <w:lang w:val="es-ES_tradnl" w:eastAsia="es-ES"/>
        </w:rPr>
        <w:t xml:space="preserve"> internacional</w:t>
      </w:r>
      <w:r w:rsidRPr="00386E47">
        <w:rPr>
          <w:rFonts w:ascii="Cambria" w:eastAsia="Calibri" w:hAnsi="Cambria"/>
          <w:sz w:val="20"/>
          <w:szCs w:val="20"/>
          <w:lang w:val="es-ES_tradnl" w:eastAsia="es-ES"/>
        </w:rPr>
        <w:t xml:space="preserve">, así como su correspondiente alcance y los efectos jurídicos que podrían tener hasta el presente. </w:t>
      </w:r>
    </w:p>
    <w:p w14:paraId="659C6D81" w14:textId="77777777" w:rsidR="00E9249A" w:rsidRPr="00386E47" w:rsidRDefault="00E9249A" w:rsidP="00E9249A">
      <w:pPr>
        <w:pStyle w:val="ListParagraph"/>
        <w:rPr>
          <w:rFonts w:eastAsia="Calibri"/>
          <w:sz w:val="20"/>
          <w:szCs w:val="20"/>
          <w:lang w:val="es-AR"/>
        </w:rPr>
      </w:pPr>
    </w:p>
    <w:p w14:paraId="3D21E5D3" w14:textId="77777777" w:rsidR="00E9249A" w:rsidRPr="00386E47" w:rsidRDefault="00E9249A" w:rsidP="003A5860">
      <w:pPr>
        <w:numPr>
          <w:ilvl w:val="0"/>
          <w:numId w:val="55"/>
        </w:numPr>
        <w:tabs>
          <w:tab w:val="left" w:pos="567"/>
        </w:tabs>
        <w:ind w:left="0" w:firstLine="0"/>
        <w:contextualSpacing/>
        <w:jc w:val="both"/>
        <w:rPr>
          <w:rFonts w:ascii="Cambria" w:eastAsia="Calibri" w:hAnsi="Cambria"/>
          <w:sz w:val="20"/>
          <w:szCs w:val="20"/>
          <w:lang w:val="es-AR"/>
        </w:rPr>
      </w:pPr>
      <w:r w:rsidRPr="00386E47">
        <w:rPr>
          <w:rFonts w:ascii="Cambria" w:eastAsia="Calibri" w:hAnsi="Cambria"/>
          <w:sz w:val="20"/>
          <w:szCs w:val="20"/>
          <w:lang w:val="es-AR"/>
        </w:rPr>
        <w:t xml:space="preserve">En vista de </w:t>
      </w:r>
      <w:r w:rsidR="00FD3161" w:rsidRPr="00386E47">
        <w:rPr>
          <w:rFonts w:ascii="Cambria" w:eastAsia="Calibri" w:hAnsi="Cambria"/>
          <w:sz w:val="20"/>
          <w:szCs w:val="20"/>
          <w:lang w:val="es-AR"/>
        </w:rPr>
        <w:t>la situación descripta con anterioridad</w:t>
      </w:r>
      <w:r w:rsidRPr="00386E47">
        <w:rPr>
          <w:rFonts w:ascii="Cambria" w:eastAsia="Calibri" w:hAnsi="Cambria"/>
          <w:sz w:val="20"/>
          <w:szCs w:val="20"/>
          <w:lang w:val="es-AR"/>
        </w:rPr>
        <w:t xml:space="preserve">, la Comisión considera </w:t>
      </w:r>
      <w:r w:rsidR="00FD3161" w:rsidRPr="00386E47">
        <w:rPr>
          <w:rFonts w:ascii="Cambria" w:eastAsia="Calibri" w:hAnsi="Cambria"/>
          <w:sz w:val="20"/>
          <w:szCs w:val="20"/>
          <w:lang w:val="es-AR"/>
        </w:rPr>
        <w:t>que el reconocimiento de responsabilidad del Estado argentino posee</w:t>
      </w:r>
      <w:r w:rsidRPr="00386E47">
        <w:rPr>
          <w:rFonts w:ascii="Cambria" w:eastAsia="Calibri" w:hAnsi="Cambria"/>
          <w:sz w:val="20"/>
          <w:szCs w:val="20"/>
          <w:lang w:val="es-AR"/>
        </w:rPr>
        <w:t xml:space="preserve"> plenos efectos jurídicos. Sin perjuicio de lo cual, teniendo en cuenta </w:t>
      </w:r>
      <w:r w:rsidR="00FD3161" w:rsidRPr="00386E47">
        <w:rPr>
          <w:rFonts w:ascii="Cambria" w:eastAsia="Calibri" w:hAnsi="Cambria"/>
          <w:sz w:val="20"/>
          <w:szCs w:val="20"/>
          <w:lang w:val="es-AR"/>
        </w:rPr>
        <w:t>el rol</w:t>
      </w:r>
      <w:r w:rsidRPr="00386E47">
        <w:rPr>
          <w:rFonts w:ascii="Cambria" w:eastAsia="Calibri" w:hAnsi="Cambria"/>
          <w:sz w:val="20"/>
          <w:szCs w:val="20"/>
          <w:lang w:val="es-AR"/>
        </w:rPr>
        <w:t xml:space="preserve"> de garante del orden público interamerica</w:t>
      </w:r>
      <w:r w:rsidR="00FD3161" w:rsidRPr="00386E47">
        <w:rPr>
          <w:rFonts w:ascii="Cambria" w:eastAsia="Calibri" w:hAnsi="Cambria"/>
          <w:sz w:val="20"/>
          <w:szCs w:val="20"/>
          <w:lang w:val="es-AR"/>
        </w:rPr>
        <w:t>no de la Comisión, los aspectos que continúan en controversia y la</w:t>
      </w:r>
      <w:r w:rsidRPr="00386E47">
        <w:rPr>
          <w:rFonts w:ascii="Cambria" w:eastAsia="Calibri" w:hAnsi="Cambria"/>
          <w:sz w:val="20"/>
          <w:szCs w:val="20"/>
          <w:lang w:val="es-AR"/>
        </w:rPr>
        <w:t xml:space="preserve"> necesidad de determinar el alcance de la responsabilidad </w:t>
      </w:r>
      <w:r w:rsidR="00FD3161" w:rsidRPr="00386E47">
        <w:rPr>
          <w:rFonts w:ascii="Cambria" w:eastAsia="Calibri" w:hAnsi="Cambria"/>
          <w:sz w:val="20"/>
          <w:szCs w:val="20"/>
          <w:lang w:val="es-AR"/>
        </w:rPr>
        <w:t xml:space="preserve">internacional </w:t>
      </w:r>
      <w:r w:rsidRPr="00386E47">
        <w:rPr>
          <w:rFonts w:ascii="Cambria" w:eastAsia="Calibri" w:hAnsi="Cambria"/>
          <w:sz w:val="20"/>
          <w:szCs w:val="20"/>
          <w:lang w:val="es-AR"/>
        </w:rPr>
        <w:t xml:space="preserve">del Estado argentino </w:t>
      </w:r>
      <w:r w:rsidR="00FD3161" w:rsidRPr="00386E47">
        <w:rPr>
          <w:rFonts w:ascii="Cambria" w:eastAsia="Calibri" w:hAnsi="Cambria"/>
          <w:sz w:val="20"/>
          <w:szCs w:val="20"/>
          <w:lang w:val="es-AR"/>
        </w:rPr>
        <w:t xml:space="preserve">a efectos de  </w:t>
      </w:r>
      <w:r w:rsidRPr="00386E47">
        <w:rPr>
          <w:rFonts w:ascii="Cambria" w:eastAsia="Calibri" w:hAnsi="Cambria"/>
          <w:sz w:val="20"/>
          <w:szCs w:val="20"/>
          <w:lang w:val="es-AR"/>
        </w:rPr>
        <w:t xml:space="preserve"> </w:t>
      </w:r>
      <w:r w:rsidR="00FD3161" w:rsidRPr="00386E47">
        <w:rPr>
          <w:rFonts w:ascii="Cambria" w:eastAsia="Calibri" w:hAnsi="Cambria"/>
          <w:sz w:val="20"/>
          <w:szCs w:val="20"/>
          <w:lang w:val="es-AR"/>
        </w:rPr>
        <w:t>disponer las recomendaciones pertinentes</w:t>
      </w:r>
      <w:r w:rsidRPr="00386E47">
        <w:rPr>
          <w:rFonts w:ascii="Cambria" w:eastAsia="Calibri" w:hAnsi="Cambria"/>
          <w:sz w:val="20"/>
          <w:szCs w:val="20"/>
          <w:lang w:val="es-AR"/>
        </w:rPr>
        <w:t xml:space="preserve">, la Comisión </w:t>
      </w:r>
      <w:r w:rsidR="00FD3161" w:rsidRPr="00386E47">
        <w:rPr>
          <w:rFonts w:ascii="Cambria" w:eastAsia="Calibri" w:hAnsi="Cambria"/>
          <w:sz w:val="20"/>
          <w:szCs w:val="20"/>
          <w:lang w:val="es-AR"/>
        </w:rPr>
        <w:t>concluye</w:t>
      </w:r>
      <w:r w:rsidRPr="00386E47">
        <w:rPr>
          <w:rFonts w:ascii="Cambria" w:eastAsia="Calibri" w:hAnsi="Cambria"/>
          <w:sz w:val="20"/>
          <w:szCs w:val="20"/>
          <w:lang w:val="es-AR"/>
        </w:rPr>
        <w:t xml:space="preserve"> que resulta necesario analizar de manera integral los hechos y todos los elementos de fondo materia del presente asunto.</w:t>
      </w:r>
    </w:p>
    <w:p w14:paraId="587AA213" w14:textId="77777777" w:rsidR="00E9249A" w:rsidRPr="00386E47" w:rsidRDefault="00E9249A" w:rsidP="002847DD">
      <w:pPr>
        <w:rPr>
          <w:lang w:val="es-US"/>
        </w:rPr>
      </w:pPr>
    </w:p>
    <w:p w14:paraId="73A8853F" w14:textId="77777777" w:rsidR="00055252" w:rsidRPr="00386E47" w:rsidRDefault="00055252" w:rsidP="00055252">
      <w:pPr>
        <w:pStyle w:val="Heading1"/>
        <w:rPr>
          <w:rFonts w:asciiTheme="majorHAnsi" w:hAnsiTheme="majorHAnsi"/>
          <w:szCs w:val="22"/>
        </w:rPr>
      </w:pPr>
      <w:bookmarkStart w:id="11" w:name="_Toc51252186"/>
      <w:r w:rsidRPr="00386E47">
        <w:rPr>
          <w:rFonts w:asciiTheme="majorHAnsi" w:hAnsiTheme="majorHAnsi"/>
          <w:szCs w:val="22"/>
        </w:rPr>
        <w:t>ANALISIS DE COMPETENCIA Y ADMISIBILIDAD</w:t>
      </w:r>
      <w:bookmarkEnd w:id="11"/>
      <w:r w:rsidRPr="00386E47">
        <w:rPr>
          <w:rFonts w:asciiTheme="majorHAnsi" w:hAnsiTheme="majorHAnsi"/>
          <w:szCs w:val="22"/>
        </w:rPr>
        <w:t xml:space="preserve"> </w:t>
      </w:r>
    </w:p>
    <w:p w14:paraId="230CB3A1" w14:textId="77777777" w:rsidR="00055252" w:rsidRPr="00386E47" w:rsidRDefault="00055252" w:rsidP="009146F2">
      <w:pPr>
        <w:pStyle w:val="Heading2"/>
        <w:numPr>
          <w:ilvl w:val="0"/>
          <w:numId w:val="67"/>
        </w:numPr>
        <w:rPr>
          <w:rFonts w:asciiTheme="majorHAnsi" w:hAnsiTheme="majorHAnsi"/>
        </w:rPr>
      </w:pPr>
      <w:bookmarkStart w:id="12" w:name="_Toc26215773"/>
      <w:bookmarkStart w:id="13" w:name="_Toc51252187"/>
      <w:r w:rsidRPr="00386E47">
        <w:rPr>
          <w:rFonts w:asciiTheme="majorHAnsi" w:hAnsiTheme="majorHAnsi"/>
        </w:rPr>
        <w:t>Competencia, duplicidad de procedimiento y cosa juzgada internacional.</w:t>
      </w:r>
      <w:bookmarkEnd w:id="12"/>
      <w:bookmarkEnd w:id="13"/>
      <w:r w:rsidRPr="00386E47">
        <w:rPr>
          <w:rFonts w:asciiTheme="majorHAnsi" w:hAnsiTheme="majorHAnsi"/>
        </w:rPr>
        <w:t xml:space="preserve"> </w:t>
      </w:r>
    </w:p>
    <w:p w14:paraId="3953F723" w14:textId="77777777" w:rsidR="00055252" w:rsidRPr="00386E47" w:rsidRDefault="00055252" w:rsidP="00055252">
      <w:pPr>
        <w:rPr>
          <w:rFonts w:asciiTheme="majorHAnsi" w:hAnsiTheme="majorHAnsi"/>
          <w:lang w:val="es-US"/>
        </w:rPr>
      </w:pPr>
    </w:p>
    <w:tbl>
      <w:tblPr>
        <w:tblW w:w="9446" w:type="dxa"/>
        <w:tblInd w:w="108" w:type="dxa"/>
        <w:tblLayout w:type="fixed"/>
        <w:tblLook w:val="0400" w:firstRow="0" w:lastRow="0" w:firstColumn="0" w:lastColumn="0" w:noHBand="0" w:noVBand="1"/>
      </w:tblPr>
      <w:tblGrid>
        <w:gridCol w:w="4723"/>
        <w:gridCol w:w="4723"/>
      </w:tblGrid>
      <w:tr w:rsidR="00055252" w:rsidRPr="00386E47" w14:paraId="5D8C46AA" w14:textId="77777777" w:rsidTr="00055252">
        <w:trPr>
          <w:trHeight w:val="280"/>
        </w:trPr>
        <w:tc>
          <w:tcPr>
            <w:tcW w:w="4723" w:type="dxa"/>
            <w:tcBorders>
              <w:top w:val="single" w:sz="8" w:space="0" w:color="000000"/>
              <w:left w:val="single" w:sz="8" w:space="0" w:color="000000"/>
              <w:bottom w:val="single" w:sz="8" w:space="0" w:color="000000"/>
              <w:right w:val="single" w:sz="8" w:space="0" w:color="000000"/>
            </w:tcBorders>
            <w:shd w:val="clear" w:color="auto" w:fill="386294"/>
            <w:tcMar>
              <w:top w:w="0" w:type="dxa"/>
              <w:left w:w="108" w:type="dxa"/>
              <w:bottom w:w="0" w:type="dxa"/>
              <w:right w:w="108" w:type="dxa"/>
            </w:tcMar>
            <w:vAlign w:val="center"/>
          </w:tcPr>
          <w:p w14:paraId="653CD6C6" w14:textId="77777777" w:rsidR="00055252" w:rsidRPr="00386E47" w:rsidRDefault="00055252" w:rsidP="00055252">
            <w:pPr>
              <w:jc w:val="center"/>
              <w:rPr>
                <w:rFonts w:asciiTheme="majorHAnsi" w:eastAsia="Cambria" w:hAnsiTheme="majorHAnsi" w:cs="Cambria"/>
                <w:color w:val="FFFFFF"/>
                <w:sz w:val="20"/>
                <w:szCs w:val="20"/>
                <w:lang w:val="es-ES"/>
              </w:rPr>
            </w:pPr>
            <w:r w:rsidRPr="00386E47">
              <w:rPr>
                <w:rFonts w:asciiTheme="majorHAnsi" w:eastAsia="Cambria" w:hAnsiTheme="majorHAnsi" w:cs="Cambria"/>
                <w:color w:val="FFFFFF"/>
                <w:sz w:val="20"/>
                <w:szCs w:val="20"/>
                <w:lang w:val="es-ES"/>
              </w:rPr>
              <w:t>Competencia Ratione personae:</w:t>
            </w:r>
          </w:p>
        </w:tc>
        <w:tc>
          <w:tcPr>
            <w:tcW w:w="472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6A085AB2" w14:textId="77777777" w:rsidR="00055252" w:rsidRPr="00386E47" w:rsidRDefault="00055252" w:rsidP="00055252">
            <w:pPr>
              <w:rPr>
                <w:rFonts w:asciiTheme="majorHAnsi" w:eastAsia="Cambria" w:hAnsiTheme="majorHAnsi" w:cs="Cambria"/>
                <w:sz w:val="20"/>
                <w:szCs w:val="20"/>
                <w:lang w:val="es-ES"/>
              </w:rPr>
            </w:pPr>
            <w:r w:rsidRPr="00386E47">
              <w:rPr>
                <w:rFonts w:asciiTheme="majorHAnsi" w:eastAsia="Cambria" w:hAnsiTheme="majorHAnsi" w:cs="Cambria"/>
                <w:sz w:val="20"/>
                <w:szCs w:val="20"/>
                <w:lang w:val="es-ES"/>
              </w:rPr>
              <w:t>Sí.</w:t>
            </w:r>
          </w:p>
        </w:tc>
      </w:tr>
      <w:tr w:rsidR="00055252" w:rsidRPr="00386E47" w14:paraId="43B95471" w14:textId="77777777" w:rsidTr="00055252">
        <w:trPr>
          <w:trHeight w:val="280"/>
        </w:trPr>
        <w:tc>
          <w:tcPr>
            <w:tcW w:w="4723" w:type="dxa"/>
            <w:tcBorders>
              <w:top w:val="nil"/>
              <w:left w:val="single" w:sz="8" w:space="0" w:color="000000"/>
              <w:bottom w:val="single" w:sz="8" w:space="0" w:color="000000"/>
              <w:right w:val="single" w:sz="8" w:space="0" w:color="000000"/>
            </w:tcBorders>
            <w:shd w:val="clear" w:color="auto" w:fill="386294"/>
            <w:tcMar>
              <w:top w:w="0" w:type="dxa"/>
              <w:left w:w="108" w:type="dxa"/>
              <w:bottom w:w="0" w:type="dxa"/>
              <w:right w:w="108" w:type="dxa"/>
            </w:tcMar>
            <w:vAlign w:val="center"/>
          </w:tcPr>
          <w:p w14:paraId="697FC617" w14:textId="77777777" w:rsidR="00055252" w:rsidRPr="00386E47" w:rsidRDefault="00055252" w:rsidP="00055252">
            <w:pPr>
              <w:jc w:val="center"/>
              <w:rPr>
                <w:rFonts w:asciiTheme="majorHAnsi" w:eastAsia="Cambria" w:hAnsiTheme="majorHAnsi" w:cs="Cambria"/>
                <w:color w:val="FFFFFF"/>
                <w:sz w:val="20"/>
                <w:szCs w:val="20"/>
                <w:lang w:val="es-ES"/>
              </w:rPr>
            </w:pPr>
            <w:r w:rsidRPr="00386E47">
              <w:rPr>
                <w:rFonts w:asciiTheme="majorHAnsi" w:eastAsia="Cambria" w:hAnsiTheme="majorHAnsi" w:cs="Cambria"/>
                <w:color w:val="FFFFFF"/>
                <w:sz w:val="20"/>
                <w:szCs w:val="20"/>
                <w:lang w:val="es-ES"/>
              </w:rPr>
              <w:t>Competencia Ratione loci:</w:t>
            </w:r>
          </w:p>
        </w:tc>
        <w:tc>
          <w:tcPr>
            <w:tcW w:w="4723"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65DF547E" w14:textId="77777777" w:rsidR="00055252" w:rsidRPr="00386E47" w:rsidRDefault="00055252" w:rsidP="00055252">
            <w:pPr>
              <w:rPr>
                <w:rFonts w:asciiTheme="majorHAnsi" w:eastAsia="Cambria" w:hAnsiTheme="majorHAnsi" w:cs="Cambria"/>
                <w:sz w:val="20"/>
                <w:szCs w:val="20"/>
                <w:lang w:val="es-ES"/>
              </w:rPr>
            </w:pPr>
            <w:r w:rsidRPr="00386E47">
              <w:rPr>
                <w:rFonts w:asciiTheme="majorHAnsi" w:eastAsia="Cambria" w:hAnsiTheme="majorHAnsi" w:cs="Cambria"/>
                <w:sz w:val="20"/>
                <w:szCs w:val="20"/>
                <w:lang w:val="es-ES"/>
              </w:rPr>
              <w:t>Sí.</w:t>
            </w:r>
          </w:p>
        </w:tc>
      </w:tr>
      <w:tr w:rsidR="00055252" w:rsidRPr="00386E47" w14:paraId="41C43A09" w14:textId="77777777" w:rsidTr="00055252">
        <w:trPr>
          <w:trHeight w:val="280"/>
        </w:trPr>
        <w:tc>
          <w:tcPr>
            <w:tcW w:w="4723" w:type="dxa"/>
            <w:tcBorders>
              <w:top w:val="nil"/>
              <w:left w:val="single" w:sz="8" w:space="0" w:color="000000"/>
              <w:bottom w:val="single" w:sz="8" w:space="0" w:color="000000"/>
              <w:right w:val="single" w:sz="8" w:space="0" w:color="000000"/>
            </w:tcBorders>
            <w:shd w:val="clear" w:color="auto" w:fill="386294"/>
            <w:tcMar>
              <w:top w:w="0" w:type="dxa"/>
              <w:left w:w="108" w:type="dxa"/>
              <w:bottom w:w="0" w:type="dxa"/>
              <w:right w:w="108" w:type="dxa"/>
            </w:tcMar>
            <w:vAlign w:val="center"/>
          </w:tcPr>
          <w:p w14:paraId="37E957C1" w14:textId="77777777" w:rsidR="00055252" w:rsidRPr="00386E47" w:rsidRDefault="00055252" w:rsidP="00055252">
            <w:pPr>
              <w:jc w:val="center"/>
              <w:rPr>
                <w:rFonts w:asciiTheme="majorHAnsi" w:eastAsia="Cambria" w:hAnsiTheme="majorHAnsi" w:cs="Cambria"/>
                <w:color w:val="FFFFFF"/>
                <w:sz w:val="20"/>
                <w:szCs w:val="20"/>
                <w:lang w:val="es-ES"/>
              </w:rPr>
            </w:pPr>
            <w:r w:rsidRPr="00386E47">
              <w:rPr>
                <w:rFonts w:asciiTheme="majorHAnsi" w:eastAsia="Cambria" w:hAnsiTheme="majorHAnsi" w:cs="Cambria"/>
                <w:color w:val="FFFFFF"/>
                <w:sz w:val="20"/>
                <w:szCs w:val="20"/>
                <w:lang w:val="es-ES"/>
              </w:rPr>
              <w:t>Competencia Ratione temporis:</w:t>
            </w:r>
          </w:p>
        </w:tc>
        <w:tc>
          <w:tcPr>
            <w:tcW w:w="4723"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DD865C0" w14:textId="77777777" w:rsidR="00055252" w:rsidRPr="00386E47" w:rsidRDefault="00055252" w:rsidP="00571172">
            <w:pPr>
              <w:rPr>
                <w:rFonts w:asciiTheme="majorHAnsi" w:eastAsia="Cambria" w:hAnsiTheme="majorHAnsi" w:cs="Cambria"/>
                <w:sz w:val="20"/>
                <w:szCs w:val="20"/>
                <w:lang w:val="es-ES"/>
              </w:rPr>
            </w:pPr>
            <w:r w:rsidRPr="00386E47">
              <w:rPr>
                <w:rFonts w:asciiTheme="majorHAnsi" w:eastAsia="Cambria" w:hAnsiTheme="majorHAnsi" w:cs="Cambria"/>
                <w:sz w:val="20"/>
                <w:szCs w:val="20"/>
                <w:lang w:val="es-ES"/>
              </w:rPr>
              <w:t>Sí.</w:t>
            </w:r>
            <w:r w:rsidR="00571172" w:rsidRPr="00386E47">
              <w:rPr>
                <w:rFonts w:asciiTheme="majorHAnsi" w:hAnsiTheme="majorHAnsi"/>
                <w:sz w:val="20"/>
                <w:szCs w:val="20"/>
                <w:lang w:val="es-ES_tradnl" w:eastAsia="es-ES"/>
              </w:rPr>
              <w:t xml:space="preserve"> </w:t>
            </w:r>
          </w:p>
        </w:tc>
      </w:tr>
      <w:tr w:rsidR="00055252" w:rsidRPr="000F00CB" w14:paraId="1DB37985" w14:textId="77777777" w:rsidTr="00055252">
        <w:trPr>
          <w:trHeight w:val="280"/>
        </w:trPr>
        <w:tc>
          <w:tcPr>
            <w:tcW w:w="4723" w:type="dxa"/>
            <w:tcBorders>
              <w:top w:val="nil"/>
              <w:left w:val="single" w:sz="8" w:space="0" w:color="000000"/>
              <w:bottom w:val="single" w:sz="8" w:space="0" w:color="000000"/>
              <w:right w:val="single" w:sz="8" w:space="0" w:color="000000"/>
            </w:tcBorders>
            <w:shd w:val="clear" w:color="auto" w:fill="386294"/>
            <w:tcMar>
              <w:top w:w="0" w:type="dxa"/>
              <w:left w:w="108" w:type="dxa"/>
              <w:bottom w:w="0" w:type="dxa"/>
              <w:right w:w="108" w:type="dxa"/>
            </w:tcMar>
            <w:vAlign w:val="center"/>
          </w:tcPr>
          <w:p w14:paraId="1FF34975" w14:textId="77777777" w:rsidR="00055252" w:rsidRPr="00386E47" w:rsidRDefault="00055252" w:rsidP="00055252">
            <w:pPr>
              <w:jc w:val="center"/>
              <w:rPr>
                <w:rFonts w:asciiTheme="majorHAnsi" w:eastAsia="Cambria" w:hAnsiTheme="majorHAnsi" w:cs="Cambria"/>
                <w:color w:val="FFFFFF"/>
                <w:sz w:val="20"/>
                <w:szCs w:val="20"/>
                <w:lang w:val="es-ES"/>
              </w:rPr>
            </w:pPr>
            <w:r w:rsidRPr="00386E47">
              <w:rPr>
                <w:rFonts w:asciiTheme="majorHAnsi" w:eastAsia="Cambria" w:hAnsiTheme="majorHAnsi" w:cs="Cambria"/>
                <w:color w:val="FFFFFF"/>
                <w:sz w:val="20"/>
                <w:szCs w:val="20"/>
                <w:lang w:val="es-ES"/>
              </w:rPr>
              <w:t>Competencia Ratione materiae:</w:t>
            </w:r>
          </w:p>
        </w:tc>
        <w:tc>
          <w:tcPr>
            <w:tcW w:w="4723"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5355CD58" w14:textId="77777777" w:rsidR="00055252" w:rsidRPr="00386E47" w:rsidRDefault="00055252" w:rsidP="00055252">
            <w:pPr>
              <w:jc w:val="both"/>
              <w:rPr>
                <w:rFonts w:asciiTheme="majorHAnsi" w:eastAsia="Cambria" w:hAnsiTheme="majorHAnsi" w:cs="Cambria"/>
                <w:sz w:val="20"/>
                <w:szCs w:val="20"/>
                <w:lang w:val="es-ES"/>
              </w:rPr>
            </w:pPr>
            <w:r w:rsidRPr="00386E47">
              <w:rPr>
                <w:rFonts w:asciiTheme="majorHAnsi" w:eastAsia="Cambria" w:hAnsiTheme="majorHAnsi" w:cs="Cambria"/>
                <w:sz w:val="20"/>
                <w:szCs w:val="20"/>
                <w:lang w:val="es-ES"/>
              </w:rPr>
              <w:t>Sí.</w:t>
            </w:r>
            <w:r w:rsidR="00571172" w:rsidRPr="00386E47">
              <w:rPr>
                <w:rFonts w:asciiTheme="majorHAnsi" w:hAnsiTheme="majorHAnsi"/>
                <w:sz w:val="20"/>
                <w:szCs w:val="20"/>
                <w:lang w:val="es-ES_tradnl" w:eastAsia="es-ES"/>
              </w:rPr>
              <w:t xml:space="preserve"> Convención Americana sobre Derechos Humanos (depósito de instrumento de ratificación realizado el 5 de septiembre de 1984).</w:t>
            </w:r>
          </w:p>
        </w:tc>
      </w:tr>
      <w:tr w:rsidR="00055252" w:rsidRPr="00386E47" w14:paraId="1486A881" w14:textId="77777777" w:rsidTr="00055252">
        <w:trPr>
          <w:trHeight w:val="580"/>
        </w:trPr>
        <w:tc>
          <w:tcPr>
            <w:tcW w:w="4723" w:type="dxa"/>
            <w:tcBorders>
              <w:top w:val="nil"/>
              <w:left w:val="single" w:sz="8" w:space="0" w:color="000000"/>
              <w:bottom w:val="single" w:sz="8" w:space="0" w:color="000000"/>
              <w:right w:val="single" w:sz="8" w:space="0" w:color="000000"/>
            </w:tcBorders>
            <w:shd w:val="clear" w:color="auto" w:fill="386294"/>
            <w:tcMar>
              <w:top w:w="0" w:type="dxa"/>
              <w:left w:w="108" w:type="dxa"/>
              <w:bottom w:w="0" w:type="dxa"/>
              <w:right w:w="108" w:type="dxa"/>
            </w:tcMar>
            <w:vAlign w:val="center"/>
          </w:tcPr>
          <w:p w14:paraId="0949A0E9" w14:textId="77777777" w:rsidR="00055252" w:rsidRPr="00386E47" w:rsidRDefault="00055252" w:rsidP="00055252">
            <w:pPr>
              <w:jc w:val="center"/>
              <w:rPr>
                <w:rFonts w:asciiTheme="majorHAnsi" w:eastAsia="Cambria" w:hAnsiTheme="majorHAnsi" w:cs="Cambria"/>
                <w:color w:val="FFFFFF"/>
                <w:sz w:val="20"/>
                <w:szCs w:val="20"/>
                <w:lang w:val="es-ES"/>
              </w:rPr>
            </w:pPr>
            <w:r w:rsidRPr="00386E47">
              <w:rPr>
                <w:rFonts w:asciiTheme="majorHAnsi" w:eastAsia="Cambria" w:hAnsiTheme="majorHAnsi" w:cs="Cambria"/>
                <w:color w:val="FFFFFF"/>
                <w:sz w:val="20"/>
                <w:szCs w:val="20"/>
                <w:lang w:val="es-ES"/>
              </w:rPr>
              <w:t>Duplicación de procedimientos y cosa juzgada internacional:</w:t>
            </w:r>
          </w:p>
        </w:tc>
        <w:tc>
          <w:tcPr>
            <w:tcW w:w="4723"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68AEC9F5" w14:textId="77777777" w:rsidR="00055252" w:rsidRPr="00386E47" w:rsidRDefault="00055252" w:rsidP="00055252">
            <w:pPr>
              <w:jc w:val="both"/>
              <w:rPr>
                <w:rFonts w:asciiTheme="majorHAnsi" w:eastAsia="Cambria" w:hAnsiTheme="majorHAnsi" w:cs="Cambria"/>
                <w:sz w:val="20"/>
                <w:szCs w:val="20"/>
                <w:lang w:val="es-ES"/>
              </w:rPr>
            </w:pPr>
            <w:r w:rsidRPr="00386E47">
              <w:rPr>
                <w:rFonts w:asciiTheme="majorHAnsi" w:eastAsia="Cambria" w:hAnsiTheme="majorHAnsi" w:cs="Cambria"/>
                <w:sz w:val="20"/>
                <w:szCs w:val="20"/>
                <w:lang w:val="es-ES"/>
              </w:rPr>
              <w:t>No</w:t>
            </w:r>
          </w:p>
        </w:tc>
      </w:tr>
    </w:tbl>
    <w:p w14:paraId="0CFB10F1" w14:textId="77777777" w:rsidR="00055252" w:rsidRPr="00386E47" w:rsidRDefault="00055252" w:rsidP="00055252">
      <w:pPr>
        <w:spacing w:after="160" w:line="259" w:lineRule="auto"/>
        <w:jc w:val="both"/>
        <w:rPr>
          <w:rFonts w:asciiTheme="majorHAnsi" w:eastAsia="Calibri" w:hAnsiTheme="majorHAnsi"/>
          <w:sz w:val="20"/>
          <w:szCs w:val="20"/>
          <w:lang w:val="es-US"/>
        </w:rPr>
      </w:pPr>
    </w:p>
    <w:p w14:paraId="16C5AA3F" w14:textId="77777777" w:rsidR="00055252" w:rsidRPr="00386E47" w:rsidRDefault="00055252" w:rsidP="009146F2">
      <w:pPr>
        <w:pStyle w:val="Heading2"/>
        <w:numPr>
          <w:ilvl w:val="0"/>
          <w:numId w:val="67"/>
        </w:numPr>
        <w:rPr>
          <w:rFonts w:asciiTheme="majorHAnsi" w:hAnsiTheme="majorHAnsi"/>
        </w:rPr>
      </w:pPr>
      <w:bookmarkStart w:id="14" w:name="_Toc26215774"/>
      <w:bookmarkStart w:id="15" w:name="_Toc51252188"/>
      <w:r w:rsidRPr="00386E47">
        <w:rPr>
          <w:rFonts w:asciiTheme="majorHAnsi" w:hAnsiTheme="majorHAnsi"/>
        </w:rPr>
        <w:t>Agotamiento de los recursos internos y plazo de presentación.</w:t>
      </w:r>
      <w:bookmarkEnd w:id="14"/>
      <w:bookmarkEnd w:id="15"/>
      <w:r w:rsidRPr="00386E47">
        <w:rPr>
          <w:rFonts w:asciiTheme="majorHAnsi" w:hAnsiTheme="majorHAnsi"/>
        </w:rPr>
        <w:t xml:space="preserve"> </w:t>
      </w:r>
    </w:p>
    <w:p w14:paraId="3820EB4F" w14:textId="77777777" w:rsidR="00055252" w:rsidRPr="00386E47" w:rsidRDefault="00055252" w:rsidP="00365006">
      <w:pPr>
        <w:jc w:val="both"/>
        <w:rPr>
          <w:rFonts w:asciiTheme="majorHAnsi" w:eastAsia="Calibri" w:hAnsiTheme="majorHAnsi"/>
          <w:sz w:val="20"/>
          <w:szCs w:val="20"/>
          <w:lang w:val="es-US"/>
        </w:rPr>
      </w:pPr>
    </w:p>
    <w:p w14:paraId="61F006EB" w14:textId="77777777" w:rsidR="00055252" w:rsidRPr="00386E47" w:rsidRDefault="00055252" w:rsidP="003A5860">
      <w:pPr>
        <w:numPr>
          <w:ilvl w:val="0"/>
          <w:numId w:val="55"/>
        </w:numPr>
        <w:tabs>
          <w:tab w:val="left" w:pos="567"/>
        </w:tabs>
        <w:ind w:left="0" w:firstLine="0"/>
        <w:jc w:val="both"/>
        <w:rPr>
          <w:rFonts w:asciiTheme="majorHAnsi" w:eastAsia="Calibri" w:hAnsiTheme="majorHAnsi"/>
          <w:sz w:val="20"/>
          <w:szCs w:val="20"/>
          <w:lang w:val="es-ES"/>
        </w:rPr>
      </w:pPr>
      <w:r w:rsidRPr="00386E47">
        <w:rPr>
          <w:rFonts w:asciiTheme="majorHAnsi" w:eastAsia="Batang" w:hAnsiTheme="majorHAnsi"/>
          <w:sz w:val="20"/>
          <w:szCs w:val="20"/>
          <w:lang w:val="es-ES"/>
        </w:rPr>
        <w:t>De acuerdo al criterio constante de la CIDH, “(…) el análisis sobre los requisitos previstos en los artículos 46 y 47 de la Convención debe hacerse a la luz de la situación vigente al momento en que se pronuncia sobre la admisibilidad o inadmisibilidad del reclamo”</w:t>
      </w:r>
      <w:r w:rsidRPr="00386E47">
        <w:rPr>
          <w:rFonts w:asciiTheme="majorHAnsi" w:hAnsiTheme="majorHAnsi"/>
          <w:sz w:val="20"/>
          <w:szCs w:val="20"/>
          <w:vertAlign w:val="superscript"/>
          <w:lang w:val="es-ES"/>
        </w:rPr>
        <w:footnoteReference w:id="6"/>
      </w:r>
      <w:bookmarkStart w:id="16" w:name="_Toc25252204"/>
      <w:r w:rsidR="00626E71" w:rsidRPr="00386E47">
        <w:rPr>
          <w:rFonts w:asciiTheme="majorHAnsi" w:eastAsia="Batang" w:hAnsiTheme="majorHAnsi"/>
          <w:sz w:val="20"/>
          <w:szCs w:val="20"/>
          <w:lang w:val="es-ES"/>
        </w:rPr>
        <w:t>.</w:t>
      </w:r>
    </w:p>
    <w:p w14:paraId="504661AD" w14:textId="77777777" w:rsidR="00365006" w:rsidRPr="00386E47" w:rsidRDefault="00365006" w:rsidP="00365006">
      <w:pPr>
        <w:tabs>
          <w:tab w:val="left" w:pos="567"/>
        </w:tabs>
        <w:jc w:val="both"/>
        <w:rPr>
          <w:rFonts w:asciiTheme="majorHAnsi" w:eastAsia="Calibri" w:hAnsiTheme="majorHAnsi"/>
          <w:sz w:val="20"/>
          <w:szCs w:val="20"/>
          <w:lang w:val="es-ES"/>
        </w:rPr>
      </w:pPr>
    </w:p>
    <w:p w14:paraId="371E10CD" w14:textId="77777777" w:rsidR="00055252" w:rsidRPr="00386E47" w:rsidRDefault="00055252" w:rsidP="003A5860">
      <w:pPr>
        <w:numPr>
          <w:ilvl w:val="0"/>
          <w:numId w:val="55"/>
        </w:numPr>
        <w:tabs>
          <w:tab w:val="left" w:pos="567"/>
        </w:tabs>
        <w:ind w:left="0" w:firstLine="0"/>
        <w:jc w:val="both"/>
        <w:rPr>
          <w:rFonts w:asciiTheme="majorHAnsi" w:eastAsia="Calibri" w:hAnsiTheme="majorHAnsi"/>
          <w:sz w:val="20"/>
          <w:szCs w:val="20"/>
          <w:lang w:val="es-ES"/>
        </w:rPr>
      </w:pPr>
      <w:r w:rsidRPr="00386E47">
        <w:rPr>
          <w:rFonts w:asciiTheme="majorHAnsi" w:hAnsiTheme="majorHAnsi"/>
          <w:sz w:val="20"/>
          <w:szCs w:val="20"/>
          <w:lang w:val="es-ES"/>
        </w:rPr>
        <w:t>En el presente caso, la parte peticionaria adujo que el caso cumple con la excepción al agotamiento de recursos internos, tanto porque los recursos han sido ineficaces para dar con la verdad de los hechos, como por el retardo excesivo e injustificado de la justicia, debido a la intención del Estado de evitar una verdadera investigación. Indic</w:t>
      </w:r>
      <w:r w:rsidR="00A62052" w:rsidRPr="00386E47">
        <w:rPr>
          <w:rFonts w:asciiTheme="majorHAnsi" w:hAnsiTheme="majorHAnsi"/>
          <w:sz w:val="20"/>
          <w:szCs w:val="20"/>
          <w:lang w:val="es-ES"/>
        </w:rPr>
        <w:t>ó</w:t>
      </w:r>
      <w:r w:rsidRPr="00386E47">
        <w:rPr>
          <w:rFonts w:asciiTheme="majorHAnsi" w:hAnsiTheme="majorHAnsi"/>
          <w:sz w:val="20"/>
          <w:szCs w:val="20"/>
          <w:lang w:val="es-ES"/>
        </w:rPr>
        <w:t xml:space="preserve"> que pasaron 25 años para que se iniciara el juicio oral a la única persona imputada por el atentado y 15 años para que se condenara a los funcionarios involucrados en el desvío y encubrimiento de la investigación del atentado</w:t>
      </w:r>
      <w:r w:rsidR="00A62052" w:rsidRPr="00386E47">
        <w:rPr>
          <w:rFonts w:asciiTheme="majorHAnsi" w:hAnsiTheme="majorHAnsi"/>
          <w:sz w:val="20"/>
          <w:szCs w:val="20"/>
          <w:lang w:val="es-ES"/>
        </w:rPr>
        <w:t xml:space="preserve">, sin </w:t>
      </w:r>
      <w:r w:rsidR="00571172" w:rsidRPr="00386E47">
        <w:rPr>
          <w:rFonts w:asciiTheme="majorHAnsi" w:hAnsiTheme="majorHAnsi"/>
          <w:sz w:val="20"/>
          <w:szCs w:val="20"/>
          <w:lang w:val="es-ES"/>
        </w:rPr>
        <w:t>embargo,</w:t>
      </w:r>
      <w:r w:rsidR="00A62052" w:rsidRPr="00386E47">
        <w:rPr>
          <w:rFonts w:asciiTheme="majorHAnsi" w:hAnsiTheme="majorHAnsi"/>
          <w:sz w:val="20"/>
          <w:szCs w:val="20"/>
          <w:lang w:val="es-ES"/>
        </w:rPr>
        <w:t xml:space="preserve"> no se ha logrado a la fecha determinar la verdad de lo ocurrido, ni sancionar a los responsables</w:t>
      </w:r>
      <w:r w:rsidRPr="00386E47">
        <w:rPr>
          <w:rFonts w:asciiTheme="majorHAnsi" w:hAnsiTheme="majorHAnsi"/>
          <w:sz w:val="20"/>
          <w:szCs w:val="20"/>
          <w:lang w:val="es-ES"/>
        </w:rPr>
        <w:t xml:space="preserve">. </w:t>
      </w:r>
    </w:p>
    <w:p w14:paraId="177751FB" w14:textId="77777777" w:rsidR="00365006" w:rsidRPr="00386E47" w:rsidRDefault="00365006" w:rsidP="00365006">
      <w:pPr>
        <w:tabs>
          <w:tab w:val="left" w:pos="567"/>
        </w:tabs>
        <w:jc w:val="both"/>
        <w:rPr>
          <w:rFonts w:asciiTheme="majorHAnsi" w:eastAsia="Calibri" w:hAnsiTheme="majorHAnsi"/>
          <w:sz w:val="20"/>
          <w:szCs w:val="20"/>
          <w:lang w:val="es-ES"/>
        </w:rPr>
      </w:pPr>
    </w:p>
    <w:p w14:paraId="5790C4ED" w14:textId="77777777" w:rsidR="00055252" w:rsidRPr="00386E47" w:rsidRDefault="00A62052" w:rsidP="003A5860">
      <w:pPr>
        <w:numPr>
          <w:ilvl w:val="0"/>
          <w:numId w:val="55"/>
        </w:numPr>
        <w:tabs>
          <w:tab w:val="left" w:pos="567"/>
        </w:tabs>
        <w:ind w:left="0" w:firstLine="0"/>
        <w:jc w:val="both"/>
        <w:rPr>
          <w:rFonts w:asciiTheme="majorHAnsi" w:eastAsia="Calibri" w:hAnsiTheme="majorHAnsi"/>
          <w:sz w:val="20"/>
          <w:szCs w:val="20"/>
          <w:lang w:val="es-ES"/>
        </w:rPr>
      </w:pPr>
      <w:r w:rsidRPr="00386E47">
        <w:rPr>
          <w:rFonts w:asciiTheme="majorHAnsi" w:eastAsia="Batang" w:hAnsiTheme="majorHAnsi"/>
          <w:sz w:val="20"/>
          <w:szCs w:val="20"/>
          <w:lang w:val="es-ES"/>
        </w:rPr>
        <w:t>En relación con la posición del Estado argentino,</w:t>
      </w:r>
      <w:r w:rsidR="00055252" w:rsidRPr="00386E47">
        <w:rPr>
          <w:rFonts w:asciiTheme="majorHAnsi" w:eastAsia="Batang" w:hAnsiTheme="majorHAnsi"/>
          <w:sz w:val="20"/>
          <w:szCs w:val="20"/>
          <w:lang w:val="es-ES"/>
        </w:rPr>
        <w:t xml:space="preserve"> la Comisión observa que en sus primeras presentaciones alegó falta de agotamiento de los recursos internos; sin embargo, en sus comunicaciones posteriores refirió que, atento a que el Estado argentino asumió responsabilidad internacional mediante Decreto 812/2005, resultaría innecesario formular observaciones relativas al fondo del asunto. El Estado no volvió a presentar observaciones o alegatos respecto a la admisibilidad del caso. </w:t>
      </w:r>
    </w:p>
    <w:p w14:paraId="67DFA185" w14:textId="77777777" w:rsidR="00365006" w:rsidRPr="00386E47" w:rsidRDefault="00365006" w:rsidP="00365006">
      <w:pPr>
        <w:tabs>
          <w:tab w:val="left" w:pos="567"/>
        </w:tabs>
        <w:jc w:val="both"/>
        <w:rPr>
          <w:rFonts w:asciiTheme="majorHAnsi" w:eastAsia="Calibri" w:hAnsiTheme="majorHAnsi"/>
          <w:sz w:val="20"/>
          <w:szCs w:val="20"/>
          <w:lang w:val="es-ES"/>
        </w:rPr>
      </w:pPr>
    </w:p>
    <w:p w14:paraId="09445AF7" w14:textId="77777777" w:rsidR="00055252" w:rsidRPr="00386E47" w:rsidRDefault="00055252" w:rsidP="003A5860">
      <w:pPr>
        <w:numPr>
          <w:ilvl w:val="0"/>
          <w:numId w:val="55"/>
        </w:numPr>
        <w:tabs>
          <w:tab w:val="left" w:pos="567"/>
        </w:tabs>
        <w:ind w:left="0" w:firstLine="0"/>
        <w:jc w:val="both"/>
        <w:rPr>
          <w:rFonts w:asciiTheme="majorHAnsi" w:eastAsia="Calibri" w:hAnsiTheme="majorHAnsi"/>
          <w:sz w:val="20"/>
          <w:szCs w:val="20"/>
          <w:lang w:val="es-ES"/>
        </w:rPr>
      </w:pPr>
      <w:r w:rsidRPr="00386E47">
        <w:rPr>
          <w:rFonts w:asciiTheme="majorHAnsi" w:eastAsia="Batang" w:hAnsiTheme="majorHAnsi"/>
          <w:sz w:val="20"/>
          <w:szCs w:val="20"/>
          <w:lang w:val="es-UY"/>
        </w:rPr>
        <w:t>Tomando en cuenta que han pasado casi 26 añ</w:t>
      </w:r>
      <w:r w:rsidR="000E0C69" w:rsidRPr="00386E47">
        <w:rPr>
          <w:rFonts w:asciiTheme="majorHAnsi" w:eastAsia="Batang" w:hAnsiTheme="majorHAnsi"/>
          <w:sz w:val="20"/>
          <w:szCs w:val="20"/>
          <w:lang w:val="es-UY"/>
        </w:rPr>
        <w:t>os del inicio del proceso penal sin resolución</w:t>
      </w:r>
      <w:r w:rsidRPr="00386E47">
        <w:rPr>
          <w:rFonts w:asciiTheme="majorHAnsi" w:eastAsia="Batang" w:hAnsiTheme="majorHAnsi"/>
          <w:sz w:val="20"/>
          <w:szCs w:val="20"/>
          <w:lang w:val="es-UY"/>
        </w:rPr>
        <w:t xml:space="preserve"> y debiendo ser esa la vía idónea para esclarecer los hechos y responsabilidades, a través de una investigación diligente y de oficio, la Comisión considera que resulta aplicable la excepción prevista en el artículo 46.2 c) de la Convención Americana.</w:t>
      </w:r>
    </w:p>
    <w:p w14:paraId="1E625B92" w14:textId="77777777" w:rsidR="00365006" w:rsidRPr="00386E47" w:rsidRDefault="00365006" w:rsidP="00365006">
      <w:pPr>
        <w:tabs>
          <w:tab w:val="left" w:pos="567"/>
        </w:tabs>
        <w:jc w:val="both"/>
        <w:rPr>
          <w:rFonts w:asciiTheme="majorHAnsi" w:eastAsia="Calibri" w:hAnsiTheme="majorHAnsi"/>
          <w:sz w:val="20"/>
          <w:szCs w:val="20"/>
          <w:lang w:val="es-ES"/>
        </w:rPr>
      </w:pPr>
    </w:p>
    <w:p w14:paraId="3E5FBF77" w14:textId="77777777" w:rsidR="00055252" w:rsidRPr="00386E47" w:rsidRDefault="00055252" w:rsidP="003A5860">
      <w:pPr>
        <w:numPr>
          <w:ilvl w:val="0"/>
          <w:numId w:val="55"/>
        </w:numPr>
        <w:tabs>
          <w:tab w:val="left" w:pos="567"/>
        </w:tabs>
        <w:ind w:left="0" w:firstLine="0"/>
        <w:jc w:val="both"/>
        <w:rPr>
          <w:rFonts w:asciiTheme="majorHAnsi" w:eastAsia="Calibri" w:hAnsiTheme="majorHAnsi"/>
          <w:sz w:val="20"/>
          <w:szCs w:val="20"/>
          <w:lang w:val="es-ES"/>
        </w:rPr>
      </w:pPr>
      <w:r w:rsidRPr="00386E47">
        <w:rPr>
          <w:rFonts w:asciiTheme="majorHAnsi" w:eastAsia="Batang" w:hAnsiTheme="majorHAnsi"/>
          <w:sz w:val="20"/>
          <w:szCs w:val="20"/>
          <w:lang w:val="es-UY"/>
        </w:rPr>
        <w:t>Por su parte, el artículo 32 del Reglamento de la Comisión establece que en los casos en los cuales resulten aplicables las excepciones al previo agotamiento de los recursos internos, la petición deberá presentarse dentro de un plazo razonable, a criterio de la Comisión.</w:t>
      </w:r>
    </w:p>
    <w:p w14:paraId="7A410062" w14:textId="77777777" w:rsidR="00365006" w:rsidRPr="00386E47" w:rsidRDefault="00365006" w:rsidP="00365006">
      <w:pPr>
        <w:tabs>
          <w:tab w:val="left" w:pos="567"/>
        </w:tabs>
        <w:jc w:val="both"/>
        <w:rPr>
          <w:rFonts w:asciiTheme="majorHAnsi" w:eastAsia="Calibri" w:hAnsiTheme="majorHAnsi"/>
          <w:sz w:val="20"/>
          <w:szCs w:val="20"/>
          <w:lang w:val="es-ES"/>
        </w:rPr>
      </w:pPr>
    </w:p>
    <w:p w14:paraId="2AB8ACBC" w14:textId="77777777" w:rsidR="00055252" w:rsidRPr="00386E47" w:rsidRDefault="00055252" w:rsidP="003A5860">
      <w:pPr>
        <w:numPr>
          <w:ilvl w:val="0"/>
          <w:numId w:val="55"/>
        </w:numPr>
        <w:tabs>
          <w:tab w:val="left" w:pos="567"/>
        </w:tabs>
        <w:ind w:left="0" w:firstLine="0"/>
        <w:jc w:val="both"/>
        <w:rPr>
          <w:rFonts w:asciiTheme="majorHAnsi" w:eastAsia="Calibri" w:hAnsiTheme="majorHAnsi"/>
          <w:sz w:val="20"/>
          <w:szCs w:val="20"/>
          <w:lang w:val="es-ES"/>
        </w:rPr>
      </w:pPr>
      <w:r w:rsidRPr="00386E47">
        <w:rPr>
          <w:rFonts w:asciiTheme="majorHAnsi" w:eastAsia="Batang" w:hAnsiTheme="majorHAnsi"/>
          <w:sz w:val="20"/>
          <w:szCs w:val="20"/>
          <w:lang w:val="es-UY"/>
        </w:rPr>
        <w:t xml:space="preserve">En el presente caso, la petición fue recibida el 16 de julio de 1999, cinco años después del atentado y del </w:t>
      </w:r>
      <w:r w:rsidR="000E0C69" w:rsidRPr="00386E47">
        <w:rPr>
          <w:rFonts w:asciiTheme="majorHAnsi" w:eastAsia="Batang" w:hAnsiTheme="majorHAnsi"/>
          <w:sz w:val="20"/>
          <w:szCs w:val="20"/>
          <w:lang w:val="es-UY"/>
        </w:rPr>
        <w:t>inicio</w:t>
      </w:r>
      <w:r w:rsidRPr="00386E47">
        <w:rPr>
          <w:rFonts w:asciiTheme="majorHAnsi" w:eastAsia="Batang" w:hAnsiTheme="majorHAnsi"/>
          <w:sz w:val="20"/>
          <w:szCs w:val="20"/>
          <w:lang w:val="es-UY"/>
        </w:rPr>
        <w:t xml:space="preserve"> de la investigación penal que, como se ha dicho, continúa sin ser resuelto. La Comisión considera que la petición fue presentada dentro de un plazo razonable y que debe darse por satisfecho el requisito de admisibilidad referente al plazo de presentación.</w:t>
      </w:r>
    </w:p>
    <w:p w14:paraId="09C768F7" w14:textId="77777777" w:rsidR="00055252" w:rsidRPr="00386E47" w:rsidRDefault="00055252" w:rsidP="00055252">
      <w:pPr>
        <w:pStyle w:val="ListParagraph"/>
        <w:rPr>
          <w:rFonts w:asciiTheme="majorHAnsi" w:hAnsiTheme="majorHAnsi"/>
          <w:sz w:val="20"/>
          <w:szCs w:val="20"/>
          <w:lang w:val="es-US"/>
        </w:rPr>
      </w:pPr>
    </w:p>
    <w:p w14:paraId="421275D7" w14:textId="77777777" w:rsidR="00055252" w:rsidRPr="00386E47" w:rsidRDefault="00055252" w:rsidP="009146F2">
      <w:pPr>
        <w:pStyle w:val="Heading2"/>
        <w:numPr>
          <w:ilvl w:val="0"/>
          <w:numId w:val="67"/>
        </w:numPr>
        <w:rPr>
          <w:rFonts w:asciiTheme="majorHAnsi" w:hAnsiTheme="majorHAnsi"/>
        </w:rPr>
      </w:pPr>
      <w:bookmarkStart w:id="17" w:name="_Toc26215775"/>
      <w:bookmarkStart w:id="18" w:name="_Toc51252189"/>
      <w:r w:rsidRPr="00386E47">
        <w:rPr>
          <w:rFonts w:asciiTheme="majorHAnsi" w:hAnsiTheme="majorHAnsi"/>
        </w:rPr>
        <w:t>Caracterización de los hechos alegados.</w:t>
      </w:r>
      <w:bookmarkEnd w:id="17"/>
      <w:bookmarkEnd w:id="18"/>
    </w:p>
    <w:p w14:paraId="593F9617" w14:textId="77777777" w:rsidR="00055252" w:rsidRPr="00386E47" w:rsidRDefault="00055252" w:rsidP="00365006">
      <w:pPr>
        <w:pStyle w:val="parrafos"/>
      </w:pPr>
    </w:p>
    <w:p w14:paraId="776DDA27" w14:textId="77777777" w:rsidR="00055252" w:rsidRPr="00386E47" w:rsidRDefault="00055252" w:rsidP="003A5860">
      <w:pPr>
        <w:pStyle w:val="parrafos"/>
        <w:numPr>
          <w:ilvl w:val="0"/>
          <w:numId w:val="55"/>
        </w:numPr>
        <w:tabs>
          <w:tab w:val="clear" w:pos="360"/>
          <w:tab w:val="left" w:pos="567"/>
        </w:tabs>
        <w:ind w:left="0" w:firstLine="0"/>
      </w:pPr>
      <w:r w:rsidRPr="00386E47">
        <w:t>La Comisión considera que los hechos expuestos en el presente caso podr</w:t>
      </w:r>
      <w:r w:rsidR="001C7EBD" w:rsidRPr="00386E47">
        <w:t xml:space="preserve">ían caracterizar la violación de los derechos a </w:t>
      </w:r>
      <w:r w:rsidRPr="00386E47">
        <w:t xml:space="preserve">la vida, a la integridad personal, </w:t>
      </w:r>
      <w:r w:rsidR="00EF0CA9" w:rsidRPr="00386E47">
        <w:t xml:space="preserve">de acceso a la </w:t>
      </w:r>
      <w:r w:rsidR="00C3095B" w:rsidRPr="00386E47">
        <w:t>información</w:t>
      </w:r>
      <w:r w:rsidR="00EF0CA9" w:rsidRPr="00386E47">
        <w:t xml:space="preserve">, </w:t>
      </w:r>
      <w:r w:rsidRPr="00386E47">
        <w:t>a las garantías judiciales y a la protección judicial, establecidos en los artículos 4, 5, 8</w:t>
      </w:r>
      <w:r w:rsidR="00EF0CA9" w:rsidRPr="00386E47">
        <w:t>, 13</w:t>
      </w:r>
      <w:r w:rsidRPr="00386E47">
        <w:t xml:space="preserve"> y 25 de la Convención Americana, en relación con las</w:t>
      </w:r>
      <w:r w:rsidR="00571172" w:rsidRPr="00386E47">
        <w:t xml:space="preserve"> obligaciones establecidas en los artículos </w:t>
      </w:r>
      <w:r w:rsidRPr="00386E47">
        <w:t>1.1</w:t>
      </w:r>
      <w:r w:rsidR="00571172" w:rsidRPr="00386E47">
        <w:t xml:space="preserve"> y 2</w:t>
      </w:r>
      <w:r w:rsidR="00556032" w:rsidRPr="00386E47">
        <w:t xml:space="preserve"> </w:t>
      </w:r>
      <w:r w:rsidRPr="00386E47">
        <w:t xml:space="preserve">del mismo instrumento, en perjuicio de las víctimas individualizadas en el presente informe. Asimismo, en atención al principio </w:t>
      </w:r>
      <w:r w:rsidRPr="00386E47">
        <w:rPr>
          <w:i/>
        </w:rPr>
        <w:t>iura novit curiae</w:t>
      </w:r>
      <w:r w:rsidRPr="00386E47">
        <w:t>, la Comisión determina que los hechos podrían caracterizar la violación al derecho a la igualdad ante la ley, establecido en el artículo 24 de la Convención.</w:t>
      </w:r>
    </w:p>
    <w:p w14:paraId="4C56F64A" w14:textId="77777777" w:rsidR="000F208E" w:rsidRPr="00386E47" w:rsidRDefault="000F208E" w:rsidP="000F208E">
      <w:pPr>
        <w:pStyle w:val="parrafos"/>
        <w:tabs>
          <w:tab w:val="clear" w:pos="360"/>
          <w:tab w:val="left" w:pos="567"/>
        </w:tabs>
      </w:pPr>
    </w:p>
    <w:p w14:paraId="3F3352EB" w14:textId="77777777" w:rsidR="00365006" w:rsidRPr="00386E47" w:rsidRDefault="00365006" w:rsidP="00CE774A">
      <w:pPr>
        <w:pStyle w:val="parrafos"/>
        <w:tabs>
          <w:tab w:val="clear" w:pos="360"/>
          <w:tab w:val="left" w:pos="567"/>
        </w:tabs>
      </w:pPr>
    </w:p>
    <w:p w14:paraId="2F00D9A3" w14:textId="77777777" w:rsidR="000F208E" w:rsidRPr="00386E47" w:rsidRDefault="00365006" w:rsidP="000F208E">
      <w:pPr>
        <w:pStyle w:val="Heading1"/>
        <w:spacing w:line="240" w:lineRule="auto"/>
        <w:rPr>
          <w:rFonts w:asciiTheme="majorHAnsi" w:hAnsiTheme="majorHAnsi"/>
        </w:rPr>
      </w:pPr>
      <w:bookmarkStart w:id="19" w:name="_Toc51252190"/>
      <w:r w:rsidRPr="00386E47">
        <w:rPr>
          <w:rFonts w:asciiTheme="majorHAnsi" w:hAnsiTheme="majorHAnsi"/>
        </w:rPr>
        <w:t>CONSIDERACIONES SOBRE EL FONDO</w:t>
      </w:r>
      <w:bookmarkEnd w:id="19"/>
    </w:p>
    <w:p w14:paraId="4EAA1B01" w14:textId="77777777" w:rsidR="00365006" w:rsidRPr="00386E47" w:rsidRDefault="00365006" w:rsidP="009146F2">
      <w:pPr>
        <w:pStyle w:val="Heading2"/>
        <w:numPr>
          <w:ilvl w:val="0"/>
          <w:numId w:val="68"/>
        </w:numPr>
        <w:rPr>
          <w:rFonts w:asciiTheme="majorHAnsi" w:hAnsiTheme="majorHAnsi"/>
        </w:rPr>
      </w:pPr>
      <w:bookmarkStart w:id="20" w:name="_Toc51252191"/>
      <w:r w:rsidRPr="00386E47">
        <w:rPr>
          <w:rFonts w:asciiTheme="majorHAnsi" w:hAnsiTheme="majorHAnsi"/>
        </w:rPr>
        <w:t xml:space="preserve">Determinaciones </w:t>
      </w:r>
      <w:r w:rsidR="002457E7" w:rsidRPr="00386E47">
        <w:rPr>
          <w:rFonts w:asciiTheme="majorHAnsi" w:hAnsiTheme="majorHAnsi"/>
        </w:rPr>
        <w:t xml:space="preserve">Globales </w:t>
      </w:r>
      <w:r w:rsidRPr="00386E47">
        <w:rPr>
          <w:rFonts w:asciiTheme="majorHAnsi" w:hAnsiTheme="majorHAnsi"/>
        </w:rPr>
        <w:t>de Hecho</w:t>
      </w:r>
      <w:bookmarkEnd w:id="20"/>
      <w:r w:rsidRPr="00386E47">
        <w:rPr>
          <w:rFonts w:asciiTheme="majorHAnsi" w:hAnsiTheme="majorHAnsi"/>
        </w:rPr>
        <w:t xml:space="preserve"> </w:t>
      </w:r>
    </w:p>
    <w:p w14:paraId="6EDAD891" w14:textId="77777777" w:rsidR="00365006" w:rsidRPr="00386E47" w:rsidRDefault="00365006" w:rsidP="00CE774A">
      <w:pPr>
        <w:pStyle w:val="parrafos"/>
        <w:tabs>
          <w:tab w:val="clear" w:pos="360"/>
          <w:tab w:val="left" w:pos="567"/>
        </w:tabs>
      </w:pPr>
    </w:p>
    <w:p w14:paraId="5CB31F65" w14:textId="77777777" w:rsidR="00365006" w:rsidRPr="00386E47" w:rsidRDefault="00365006" w:rsidP="003A5860">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ind w:left="0" w:firstLine="0"/>
        <w:jc w:val="both"/>
        <w:rPr>
          <w:rFonts w:asciiTheme="majorHAnsi" w:eastAsia="Calibri" w:hAnsiTheme="majorHAnsi"/>
          <w:sz w:val="20"/>
          <w:szCs w:val="20"/>
          <w:bdr w:val="none" w:sz="0" w:space="0" w:color="auto"/>
          <w:lang w:val="es-ES_tradnl"/>
        </w:rPr>
      </w:pPr>
      <w:r w:rsidRPr="00386E47">
        <w:rPr>
          <w:rFonts w:asciiTheme="majorHAnsi" w:eastAsia="Arial Unicode MS" w:hAnsiTheme="majorHAnsi" w:cs="Times New Roman"/>
          <w:color w:val="000000" w:themeColor="text1"/>
          <w:sz w:val="20"/>
          <w:szCs w:val="20"/>
          <w:lang w:val="es-VE" w:eastAsia="en-US"/>
        </w:rPr>
        <w:t>La Comisión, de manera coincidente con lo expresado en numerosas ocasiones por los peticionarios y por los representantes del</w:t>
      </w:r>
      <w:r w:rsidRPr="00386E47">
        <w:rPr>
          <w:rFonts w:asciiTheme="majorHAnsi" w:eastAsia="Calibri" w:hAnsiTheme="majorHAnsi"/>
          <w:sz w:val="20"/>
          <w:szCs w:val="20"/>
          <w:bdr w:val="none" w:sz="0" w:space="0" w:color="auto"/>
          <w:lang w:val="es-ES_tradnl"/>
        </w:rPr>
        <w:t xml:space="preserve"> Estado argentino, se ve en la necesidad de iniciar su análisis sobre el fondo subrayando la complejidad fáctica del presente caso, el cual t</w:t>
      </w:r>
      <w:r w:rsidR="00EC07A3" w:rsidRPr="00386E47">
        <w:rPr>
          <w:rFonts w:asciiTheme="majorHAnsi" w:eastAsia="Calibri" w:hAnsiTheme="majorHAnsi"/>
          <w:sz w:val="20"/>
          <w:szCs w:val="20"/>
          <w:bdr w:val="none" w:sz="0" w:space="0" w:color="auto"/>
          <w:lang w:val="es-ES_tradnl"/>
        </w:rPr>
        <w:t xml:space="preserve">iene que ver con </w:t>
      </w:r>
      <w:r w:rsidRPr="00386E47">
        <w:rPr>
          <w:rFonts w:asciiTheme="majorHAnsi" w:eastAsia="Calibri" w:hAnsiTheme="majorHAnsi"/>
          <w:sz w:val="20"/>
          <w:szCs w:val="20"/>
          <w:bdr w:val="none" w:sz="0" w:space="0" w:color="auto"/>
          <w:lang w:val="es-ES_tradnl"/>
        </w:rPr>
        <w:t>uno de los</w:t>
      </w:r>
      <w:r w:rsidR="00E04584" w:rsidRPr="00386E47">
        <w:rPr>
          <w:rFonts w:asciiTheme="majorHAnsi" w:eastAsia="Calibri" w:hAnsiTheme="majorHAnsi"/>
          <w:sz w:val="20"/>
          <w:szCs w:val="20"/>
          <w:bdr w:val="none" w:sz="0" w:space="0" w:color="auto"/>
          <w:lang w:val="es-ES_tradnl"/>
        </w:rPr>
        <w:t xml:space="preserve"> actos terroristas </w:t>
      </w:r>
      <w:r w:rsidR="00D60F39" w:rsidRPr="00386E47">
        <w:rPr>
          <w:rFonts w:asciiTheme="majorHAnsi" w:eastAsia="Calibri" w:hAnsiTheme="majorHAnsi"/>
          <w:sz w:val="20"/>
          <w:szCs w:val="20"/>
          <w:bdr w:val="none" w:sz="0" w:space="0" w:color="auto"/>
          <w:lang w:val="es-ES_tradnl"/>
        </w:rPr>
        <w:t>más</w:t>
      </w:r>
      <w:r w:rsidR="00E04584" w:rsidRPr="00386E47">
        <w:rPr>
          <w:rFonts w:asciiTheme="majorHAnsi" w:eastAsia="Calibri" w:hAnsiTheme="majorHAnsi"/>
          <w:sz w:val="20"/>
          <w:szCs w:val="20"/>
          <w:bdr w:val="none" w:sz="0" w:space="0" w:color="auto"/>
          <w:lang w:val="es-ES_tradnl"/>
        </w:rPr>
        <w:t xml:space="preserve"> graves cometidos</w:t>
      </w:r>
      <w:r w:rsidRPr="00386E47">
        <w:rPr>
          <w:rFonts w:asciiTheme="majorHAnsi" w:eastAsia="Calibri" w:hAnsiTheme="majorHAnsi"/>
          <w:sz w:val="20"/>
          <w:szCs w:val="20"/>
          <w:bdr w:val="none" w:sz="0" w:space="0" w:color="auto"/>
          <w:lang w:val="es-ES_tradnl"/>
        </w:rPr>
        <w:t xml:space="preserve"> a la fecha en </w:t>
      </w:r>
      <w:r w:rsidR="00EC07A3" w:rsidRPr="00386E47">
        <w:rPr>
          <w:rFonts w:asciiTheme="majorHAnsi" w:eastAsia="Calibri" w:hAnsiTheme="majorHAnsi"/>
          <w:sz w:val="20"/>
          <w:szCs w:val="20"/>
          <w:bdr w:val="none" w:sz="0" w:space="0" w:color="auto"/>
          <w:lang w:val="es-ES_tradnl"/>
        </w:rPr>
        <w:t xml:space="preserve">el </w:t>
      </w:r>
      <w:r w:rsidR="008E6933" w:rsidRPr="00386E47">
        <w:rPr>
          <w:rFonts w:asciiTheme="majorHAnsi" w:eastAsia="Calibri" w:hAnsiTheme="majorHAnsi"/>
          <w:sz w:val="20"/>
          <w:szCs w:val="20"/>
          <w:bdr w:val="none" w:sz="0" w:space="0" w:color="auto"/>
          <w:lang w:val="es-ES_tradnl"/>
        </w:rPr>
        <w:t>hemisferio occidental</w:t>
      </w:r>
      <w:r w:rsidRPr="00386E47">
        <w:rPr>
          <w:rFonts w:asciiTheme="majorHAnsi" w:eastAsia="Calibri" w:hAnsiTheme="majorHAnsi"/>
          <w:sz w:val="20"/>
          <w:szCs w:val="20"/>
          <w:bdr w:val="none" w:sz="0" w:space="0" w:color="auto"/>
          <w:lang w:val="es-ES_tradnl"/>
        </w:rPr>
        <w:t>.</w:t>
      </w:r>
      <w:bookmarkEnd w:id="16"/>
    </w:p>
    <w:p w14:paraId="5EC8551C" w14:textId="77777777" w:rsidR="00365006" w:rsidRPr="00386E47" w:rsidRDefault="00365006" w:rsidP="00CE774A">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567"/>
        </w:tabs>
        <w:ind w:left="0"/>
        <w:jc w:val="both"/>
        <w:rPr>
          <w:rFonts w:asciiTheme="majorHAnsi" w:eastAsia="Calibri" w:hAnsiTheme="majorHAnsi"/>
          <w:sz w:val="20"/>
          <w:szCs w:val="20"/>
          <w:bdr w:val="none" w:sz="0" w:space="0" w:color="auto"/>
          <w:lang w:val="es-ES_tradnl"/>
        </w:rPr>
      </w:pPr>
    </w:p>
    <w:p w14:paraId="4675F0D5" w14:textId="77777777" w:rsidR="00365006" w:rsidRPr="00386E47" w:rsidRDefault="009F70EA" w:rsidP="003A5860">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ind w:left="0" w:firstLine="0"/>
        <w:jc w:val="both"/>
        <w:rPr>
          <w:rFonts w:asciiTheme="majorHAnsi" w:eastAsia="Calibri" w:hAnsiTheme="majorHAnsi"/>
          <w:sz w:val="20"/>
          <w:szCs w:val="20"/>
          <w:bdr w:val="none" w:sz="0" w:space="0" w:color="auto"/>
          <w:lang w:val="es-ES_tradnl"/>
        </w:rPr>
      </w:pPr>
      <w:r w:rsidRPr="00386E47">
        <w:rPr>
          <w:rFonts w:asciiTheme="majorHAnsi" w:eastAsia="Calibri" w:hAnsiTheme="majorHAnsi"/>
          <w:sz w:val="20"/>
          <w:szCs w:val="20"/>
          <w:bdr w:val="none" w:sz="0" w:space="0" w:color="auto"/>
          <w:lang w:val="es-ES_tradnl"/>
        </w:rPr>
        <w:t xml:space="preserve">La complejidad </w:t>
      </w:r>
      <w:r w:rsidR="00EC07A3" w:rsidRPr="00386E47">
        <w:rPr>
          <w:rFonts w:asciiTheme="majorHAnsi" w:eastAsia="Calibri" w:hAnsiTheme="majorHAnsi"/>
          <w:sz w:val="20"/>
          <w:szCs w:val="20"/>
          <w:bdr w:val="none" w:sz="0" w:space="0" w:color="auto"/>
          <w:lang w:val="es-ES_tradnl"/>
        </w:rPr>
        <w:t>intrínseca a la naturaleza de este</w:t>
      </w:r>
      <w:r w:rsidRPr="00386E47">
        <w:rPr>
          <w:rFonts w:asciiTheme="majorHAnsi" w:eastAsia="Calibri" w:hAnsiTheme="majorHAnsi"/>
          <w:sz w:val="20"/>
          <w:szCs w:val="20"/>
          <w:bdr w:val="none" w:sz="0" w:space="0" w:color="auto"/>
          <w:lang w:val="es-ES_tradnl"/>
        </w:rPr>
        <w:t xml:space="preserve"> he</w:t>
      </w:r>
      <w:r w:rsidR="00EE7D5A" w:rsidRPr="00386E47">
        <w:rPr>
          <w:rFonts w:asciiTheme="majorHAnsi" w:eastAsia="Calibri" w:hAnsiTheme="majorHAnsi"/>
          <w:sz w:val="20"/>
          <w:szCs w:val="20"/>
          <w:bdr w:val="none" w:sz="0" w:space="0" w:color="auto"/>
          <w:lang w:val="es-ES_tradnl"/>
        </w:rPr>
        <w:t xml:space="preserve">cho delictivo se ve agravada </w:t>
      </w:r>
      <w:r w:rsidRPr="00386E47">
        <w:rPr>
          <w:rFonts w:asciiTheme="majorHAnsi" w:eastAsia="Calibri" w:hAnsiTheme="majorHAnsi"/>
          <w:sz w:val="20"/>
          <w:szCs w:val="20"/>
          <w:bdr w:val="none" w:sz="0" w:space="0" w:color="auto"/>
          <w:lang w:val="es-ES_tradnl"/>
        </w:rPr>
        <w:t>si se contemplan las múltiples alternativas procesales acontecidas a l</w:t>
      </w:r>
      <w:r w:rsidR="00EC07A3" w:rsidRPr="00386E47">
        <w:rPr>
          <w:rFonts w:asciiTheme="majorHAnsi" w:eastAsia="Calibri" w:hAnsiTheme="majorHAnsi"/>
          <w:sz w:val="20"/>
          <w:szCs w:val="20"/>
          <w:bdr w:val="none" w:sz="0" w:space="0" w:color="auto"/>
          <w:lang w:val="es-ES_tradnl"/>
        </w:rPr>
        <w:t>o largo de más de 25 años de</w:t>
      </w:r>
      <w:r w:rsidRPr="00386E47">
        <w:rPr>
          <w:rFonts w:asciiTheme="majorHAnsi" w:eastAsia="Calibri" w:hAnsiTheme="majorHAnsi"/>
          <w:sz w:val="20"/>
          <w:szCs w:val="20"/>
          <w:bdr w:val="none" w:sz="0" w:space="0" w:color="auto"/>
          <w:lang w:val="es-ES_tradnl"/>
        </w:rPr>
        <w:t xml:space="preserve"> </w:t>
      </w:r>
      <w:r w:rsidR="00B70198" w:rsidRPr="00386E47">
        <w:rPr>
          <w:rFonts w:asciiTheme="majorHAnsi" w:eastAsia="Calibri" w:hAnsiTheme="majorHAnsi"/>
          <w:sz w:val="20"/>
          <w:szCs w:val="20"/>
          <w:bdr w:val="none" w:sz="0" w:space="0" w:color="auto"/>
          <w:lang w:val="es-ES_tradnl"/>
        </w:rPr>
        <w:t xml:space="preserve">investigación </w:t>
      </w:r>
      <w:r w:rsidRPr="00386E47">
        <w:rPr>
          <w:rFonts w:asciiTheme="majorHAnsi" w:eastAsia="Calibri" w:hAnsiTheme="majorHAnsi"/>
          <w:sz w:val="20"/>
          <w:szCs w:val="20"/>
          <w:bdr w:val="none" w:sz="0" w:space="0" w:color="auto"/>
          <w:lang w:val="es-ES_tradnl"/>
        </w:rPr>
        <w:t>judicial</w:t>
      </w:r>
      <w:r w:rsidR="00EC07A3" w:rsidRPr="00386E47">
        <w:rPr>
          <w:rFonts w:asciiTheme="majorHAnsi" w:eastAsia="Calibri" w:hAnsiTheme="majorHAnsi"/>
          <w:sz w:val="20"/>
          <w:szCs w:val="20"/>
          <w:bdr w:val="none" w:sz="0" w:space="0" w:color="auto"/>
          <w:lang w:val="es-ES_tradnl"/>
        </w:rPr>
        <w:t>. Dicha instrucción fue</w:t>
      </w:r>
      <w:r w:rsidRPr="00386E47">
        <w:rPr>
          <w:rFonts w:asciiTheme="majorHAnsi" w:eastAsia="Calibri" w:hAnsiTheme="majorHAnsi"/>
          <w:sz w:val="20"/>
          <w:szCs w:val="20"/>
          <w:bdr w:val="none" w:sz="0" w:space="0" w:color="auto"/>
          <w:lang w:val="es-ES_tradnl"/>
        </w:rPr>
        <w:t xml:space="preserve"> </w:t>
      </w:r>
      <w:r w:rsidR="00B70198" w:rsidRPr="00386E47">
        <w:rPr>
          <w:rFonts w:asciiTheme="majorHAnsi" w:eastAsia="Calibri" w:hAnsiTheme="majorHAnsi"/>
          <w:sz w:val="20"/>
          <w:szCs w:val="20"/>
          <w:bdr w:val="none" w:sz="0" w:space="0" w:color="auto"/>
          <w:lang w:val="es-ES_tradnl"/>
        </w:rPr>
        <w:t xml:space="preserve">conducida </w:t>
      </w:r>
      <w:r w:rsidRPr="00386E47">
        <w:rPr>
          <w:rFonts w:asciiTheme="majorHAnsi" w:eastAsia="Calibri" w:hAnsiTheme="majorHAnsi"/>
          <w:sz w:val="20"/>
          <w:szCs w:val="20"/>
          <w:bdr w:val="none" w:sz="0" w:space="0" w:color="auto"/>
          <w:lang w:val="es-ES_tradnl"/>
        </w:rPr>
        <w:t>por magistrad</w:t>
      </w:r>
      <w:r w:rsidR="00EC07A3" w:rsidRPr="00386E47">
        <w:rPr>
          <w:rFonts w:asciiTheme="majorHAnsi" w:eastAsia="Calibri" w:hAnsiTheme="majorHAnsi"/>
          <w:sz w:val="20"/>
          <w:szCs w:val="20"/>
          <w:bdr w:val="none" w:sz="0" w:space="0" w:color="auto"/>
          <w:lang w:val="es-ES_tradnl"/>
        </w:rPr>
        <w:t>os de diversas instancias</w:t>
      </w:r>
      <w:r w:rsidR="00E04584" w:rsidRPr="00386E47">
        <w:rPr>
          <w:rFonts w:asciiTheme="majorHAnsi" w:eastAsia="Calibri" w:hAnsiTheme="majorHAnsi"/>
          <w:sz w:val="20"/>
          <w:szCs w:val="20"/>
          <w:bdr w:val="none" w:sz="0" w:space="0" w:color="auto"/>
          <w:lang w:val="es-ES_tradnl"/>
        </w:rPr>
        <w:t xml:space="preserve">; </w:t>
      </w:r>
      <w:r w:rsidR="00EC07A3" w:rsidRPr="00386E47">
        <w:rPr>
          <w:rFonts w:asciiTheme="majorHAnsi" w:eastAsia="Calibri" w:hAnsiTheme="majorHAnsi"/>
          <w:sz w:val="20"/>
          <w:szCs w:val="20"/>
          <w:bdr w:val="none" w:sz="0" w:space="0" w:color="auto"/>
          <w:lang w:val="es-ES_tradnl"/>
        </w:rPr>
        <w:t xml:space="preserve">en ella </w:t>
      </w:r>
      <w:r w:rsidRPr="00386E47">
        <w:rPr>
          <w:rFonts w:asciiTheme="majorHAnsi" w:eastAsia="Calibri" w:hAnsiTheme="majorHAnsi"/>
          <w:sz w:val="20"/>
          <w:szCs w:val="20"/>
          <w:bdr w:val="none" w:sz="0" w:space="0" w:color="auto"/>
          <w:lang w:val="es-ES_tradnl"/>
        </w:rPr>
        <w:t>intervinieron representantes de todos los poderes públicos del Estado</w:t>
      </w:r>
      <w:r w:rsidR="00E04584" w:rsidRPr="00386E47">
        <w:rPr>
          <w:rFonts w:asciiTheme="majorHAnsi" w:eastAsia="Calibri" w:hAnsiTheme="majorHAnsi"/>
          <w:sz w:val="20"/>
          <w:szCs w:val="20"/>
          <w:bdr w:val="none" w:sz="0" w:space="0" w:color="auto"/>
          <w:lang w:val="es-ES_tradnl"/>
        </w:rPr>
        <w:t xml:space="preserve"> </w:t>
      </w:r>
      <w:r w:rsidRPr="00386E47">
        <w:rPr>
          <w:rFonts w:asciiTheme="majorHAnsi" w:eastAsia="Calibri" w:hAnsiTheme="majorHAnsi"/>
          <w:sz w:val="20"/>
          <w:szCs w:val="20"/>
          <w:bdr w:val="none" w:sz="0" w:space="0" w:color="auto"/>
          <w:lang w:val="es-ES_tradnl"/>
        </w:rPr>
        <w:t xml:space="preserve">argentino y en </w:t>
      </w:r>
      <w:r w:rsidR="00E04584" w:rsidRPr="00386E47">
        <w:rPr>
          <w:rFonts w:asciiTheme="majorHAnsi" w:eastAsia="Calibri" w:hAnsiTheme="majorHAnsi"/>
          <w:sz w:val="20"/>
          <w:szCs w:val="20"/>
          <w:bdr w:val="none" w:sz="0" w:space="0" w:color="auto"/>
          <w:lang w:val="es-ES_tradnl"/>
        </w:rPr>
        <w:t>su</w:t>
      </w:r>
      <w:r w:rsidR="00B70198" w:rsidRPr="00386E47">
        <w:rPr>
          <w:rFonts w:asciiTheme="majorHAnsi" w:eastAsia="Calibri" w:hAnsiTheme="majorHAnsi"/>
          <w:sz w:val="20"/>
          <w:szCs w:val="20"/>
          <w:bdr w:val="none" w:sz="0" w:space="0" w:color="auto"/>
          <w:lang w:val="es-ES_tradnl"/>
        </w:rPr>
        <w:t xml:space="preserve"> seno</w:t>
      </w:r>
      <w:r w:rsidRPr="00386E47">
        <w:rPr>
          <w:rFonts w:asciiTheme="majorHAnsi" w:eastAsia="Calibri" w:hAnsiTheme="majorHAnsi"/>
          <w:sz w:val="20"/>
          <w:szCs w:val="20"/>
          <w:bdr w:val="none" w:sz="0" w:space="0" w:color="auto"/>
          <w:lang w:val="es-ES_tradnl"/>
        </w:rPr>
        <w:t xml:space="preserve"> se generó un cons</w:t>
      </w:r>
      <w:r w:rsidR="00F761B7" w:rsidRPr="00386E47">
        <w:rPr>
          <w:rFonts w:asciiTheme="majorHAnsi" w:eastAsia="Calibri" w:hAnsiTheme="majorHAnsi"/>
          <w:sz w:val="20"/>
          <w:szCs w:val="20"/>
          <w:bdr w:val="none" w:sz="0" w:space="0" w:color="auto"/>
          <w:lang w:val="es-ES_tradnl"/>
        </w:rPr>
        <w:t>iderable volumen de información.</w:t>
      </w:r>
    </w:p>
    <w:p w14:paraId="35A4F72B" w14:textId="77777777" w:rsidR="00365006" w:rsidRPr="00386E47" w:rsidRDefault="00365006" w:rsidP="00CE774A">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567"/>
        </w:tabs>
        <w:ind w:left="0"/>
        <w:jc w:val="both"/>
        <w:rPr>
          <w:rFonts w:asciiTheme="majorHAnsi" w:eastAsia="Calibri" w:hAnsiTheme="majorHAnsi"/>
          <w:sz w:val="20"/>
          <w:szCs w:val="20"/>
          <w:bdr w:val="none" w:sz="0" w:space="0" w:color="auto"/>
          <w:lang w:val="es-ES_tradnl"/>
        </w:rPr>
      </w:pPr>
    </w:p>
    <w:p w14:paraId="14AAF3A8" w14:textId="77777777" w:rsidR="009F70EA" w:rsidRPr="00386E47" w:rsidRDefault="00EE7D5A" w:rsidP="003A5860">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ind w:left="0" w:firstLine="0"/>
        <w:jc w:val="both"/>
        <w:rPr>
          <w:rFonts w:asciiTheme="majorHAnsi" w:eastAsia="Calibri" w:hAnsiTheme="majorHAnsi"/>
          <w:sz w:val="20"/>
          <w:szCs w:val="20"/>
          <w:bdr w:val="none" w:sz="0" w:space="0" w:color="auto"/>
          <w:lang w:val="es-ES_tradnl"/>
        </w:rPr>
      </w:pPr>
      <w:r w:rsidRPr="00386E47">
        <w:rPr>
          <w:rFonts w:asciiTheme="majorHAnsi" w:eastAsia="Calibri" w:hAnsiTheme="majorHAnsi"/>
          <w:sz w:val="20"/>
          <w:szCs w:val="20"/>
          <w:bdr w:val="none" w:sz="0" w:space="0" w:color="auto"/>
          <w:lang w:val="es-ES_tradnl"/>
        </w:rPr>
        <w:t xml:space="preserve">Por consiguiente, </w:t>
      </w:r>
      <w:r w:rsidR="009F70EA" w:rsidRPr="00386E47">
        <w:rPr>
          <w:rFonts w:asciiTheme="majorHAnsi" w:eastAsia="Calibri" w:hAnsiTheme="majorHAnsi"/>
          <w:sz w:val="20"/>
          <w:szCs w:val="20"/>
          <w:bdr w:val="none" w:sz="0" w:space="0" w:color="auto"/>
          <w:lang w:val="es-ES_tradnl"/>
        </w:rPr>
        <w:t xml:space="preserve">y en aras de </w:t>
      </w:r>
      <w:r w:rsidRPr="00386E47">
        <w:rPr>
          <w:rFonts w:asciiTheme="majorHAnsi" w:eastAsia="Calibri" w:hAnsiTheme="majorHAnsi"/>
          <w:sz w:val="20"/>
          <w:szCs w:val="20"/>
          <w:bdr w:val="none" w:sz="0" w:space="0" w:color="auto"/>
          <w:lang w:val="es-ES_tradnl"/>
        </w:rPr>
        <w:t xml:space="preserve">facilitar la </w:t>
      </w:r>
      <w:r w:rsidR="00D42C89" w:rsidRPr="00386E47">
        <w:rPr>
          <w:rFonts w:asciiTheme="majorHAnsi" w:eastAsia="Calibri" w:hAnsiTheme="majorHAnsi"/>
          <w:sz w:val="20"/>
          <w:szCs w:val="20"/>
          <w:bdr w:val="none" w:sz="0" w:space="0" w:color="auto"/>
          <w:lang w:val="es-ES_tradnl"/>
        </w:rPr>
        <w:t xml:space="preserve">comprensión </w:t>
      </w:r>
      <w:r w:rsidR="006F44B1" w:rsidRPr="00386E47">
        <w:rPr>
          <w:rFonts w:asciiTheme="majorHAnsi" w:eastAsia="Calibri" w:hAnsiTheme="majorHAnsi"/>
          <w:sz w:val="20"/>
          <w:szCs w:val="20"/>
          <w:bdr w:val="none" w:sz="0" w:space="0" w:color="auto"/>
          <w:lang w:val="es-ES_tradnl"/>
        </w:rPr>
        <w:t>del presente informe</w:t>
      </w:r>
      <w:r w:rsidR="00D42C89" w:rsidRPr="00386E47">
        <w:rPr>
          <w:rFonts w:asciiTheme="majorHAnsi" w:eastAsia="Calibri" w:hAnsiTheme="majorHAnsi"/>
          <w:sz w:val="20"/>
          <w:szCs w:val="20"/>
          <w:bdr w:val="none" w:sz="0" w:space="0" w:color="auto"/>
          <w:lang w:val="es-ES_tradnl"/>
        </w:rPr>
        <w:t>, la</w:t>
      </w:r>
      <w:r w:rsidR="009F70EA" w:rsidRPr="00386E47">
        <w:rPr>
          <w:rFonts w:asciiTheme="majorHAnsi" w:eastAsia="Calibri" w:hAnsiTheme="majorHAnsi"/>
          <w:sz w:val="20"/>
          <w:szCs w:val="20"/>
          <w:bdr w:val="none" w:sz="0" w:space="0" w:color="auto"/>
          <w:lang w:val="es-ES_tradnl"/>
        </w:rPr>
        <w:t xml:space="preserve"> Comisión ha decidido dedicar este primer apartado a exponer de manera global los principales sucesos </w:t>
      </w:r>
      <w:r w:rsidR="00D42C89" w:rsidRPr="00386E47">
        <w:rPr>
          <w:rFonts w:asciiTheme="majorHAnsi" w:eastAsia="Calibri" w:hAnsiTheme="majorHAnsi"/>
          <w:sz w:val="20"/>
          <w:szCs w:val="20"/>
          <w:bdr w:val="none" w:sz="0" w:space="0" w:color="auto"/>
          <w:lang w:val="es-ES_tradnl"/>
        </w:rPr>
        <w:t xml:space="preserve">relacionados con </w:t>
      </w:r>
      <w:r w:rsidR="006F44B1" w:rsidRPr="00386E47">
        <w:rPr>
          <w:rFonts w:asciiTheme="majorHAnsi" w:eastAsia="Calibri" w:hAnsiTheme="majorHAnsi"/>
          <w:sz w:val="20"/>
          <w:szCs w:val="20"/>
          <w:bdr w:val="none" w:sz="0" w:space="0" w:color="auto"/>
          <w:lang w:val="es-ES_tradnl"/>
        </w:rPr>
        <w:t>el atentado a la AMIA y su investigación</w:t>
      </w:r>
      <w:r w:rsidR="009F70EA" w:rsidRPr="00386E47">
        <w:rPr>
          <w:rFonts w:asciiTheme="majorHAnsi" w:eastAsia="Calibri" w:hAnsiTheme="majorHAnsi"/>
          <w:sz w:val="20"/>
          <w:szCs w:val="20"/>
          <w:bdr w:val="none" w:sz="0" w:space="0" w:color="auto"/>
          <w:lang w:val="es-ES_tradnl"/>
        </w:rPr>
        <w:t>. De esta manera, la Comisión a</w:t>
      </w:r>
      <w:r w:rsidR="006F44B1" w:rsidRPr="00386E47">
        <w:rPr>
          <w:rFonts w:asciiTheme="majorHAnsi" w:eastAsia="Calibri" w:hAnsiTheme="majorHAnsi"/>
          <w:sz w:val="20"/>
          <w:szCs w:val="20"/>
          <w:bdr w:val="none" w:sz="0" w:space="0" w:color="auto"/>
          <w:lang w:val="es-ES_tradnl"/>
        </w:rPr>
        <w:t>punta</w:t>
      </w:r>
      <w:r w:rsidR="009F70EA" w:rsidRPr="00386E47">
        <w:rPr>
          <w:rFonts w:asciiTheme="majorHAnsi" w:eastAsia="Calibri" w:hAnsiTheme="majorHAnsi"/>
          <w:sz w:val="20"/>
          <w:szCs w:val="20"/>
          <w:bdr w:val="none" w:sz="0" w:space="0" w:color="auto"/>
          <w:lang w:val="es-ES_tradnl"/>
        </w:rPr>
        <w:t xml:space="preserve"> a establecer un marco fáctico global sobre el cual</w:t>
      </w:r>
      <w:r w:rsidR="00E04584" w:rsidRPr="00386E47">
        <w:rPr>
          <w:rFonts w:asciiTheme="majorHAnsi" w:eastAsia="Calibri" w:hAnsiTheme="majorHAnsi"/>
          <w:sz w:val="20"/>
          <w:szCs w:val="20"/>
          <w:bdr w:val="none" w:sz="0" w:space="0" w:color="auto"/>
          <w:lang w:val="es-ES_tradnl"/>
        </w:rPr>
        <w:t xml:space="preserve"> -</w:t>
      </w:r>
      <w:r w:rsidR="009F70EA" w:rsidRPr="00386E47">
        <w:rPr>
          <w:rFonts w:asciiTheme="majorHAnsi" w:eastAsia="Calibri" w:hAnsiTheme="majorHAnsi"/>
          <w:sz w:val="20"/>
          <w:szCs w:val="20"/>
          <w:bdr w:val="none" w:sz="0" w:space="0" w:color="auto"/>
          <w:lang w:val="es-ES_tradnl"/>
        </w:rPr>
        <w:t xml:space="preserve"> en los capítulos subsiguientes</w:t>
      </w:r>
      <w:r w:rsidR="00E04584" w:rsidRPr="00386E47">
        <w:rPr>
          <w:rFonts w:asciiTheme="majorHAnsi" w:eastAsia="Calibri" w:hAnsiTheme="majorHAnsi"/>
          <w:sz w:val="20"/>
          <w:szCs w:val="20"/>
          <w:bdr w:val="none" w:sz="0" w:space="0" w:color="auto"/>
          <w:lang w:val="es-ES_tradnl"/>
        </w:rPr>
        <w:t xml:space="preserve"> -</w:t>
      </w:r>
      <w:r w:rsidR="009F70EA" w:rsidRPr="00386E47">
        <w:rPr>
          <w:rFonts w:asciiTheme="majorHAnsi" w:eastAsia="Calibri" w:hAnsiTheme="majorHAnsi"/>
          <w:sz w:val="20"/>
          <w:szCs w:val="20"/>
          <w:bdr w:val="none" w:sz="0" w:space="0" w:color="auto"/>
          <w:lang w:val="es-ES_tradnl"/>
        </w:rPr>
        <w:t xml:space="preserve"> se presenta</w:t>
      </w:r>
      <w:r w:rsidR="00F761B7" w:rsidRPr="00386E47">
        <w:rPr>
          <w:rFonts w:asciiTheme="majorHAnsi" w:eastAsia="Calibri" w:hAnsiTheme="majorHAnsi"/>
          <w:sz w:val="20"/>
          <w:szCs w:val="20"/>
          <w:bdr w:val="none" w:sz="0" w:space="0" w:color="auto"/>
          <w:lang w:val="es-ES_tradnl"/>
        </w:rPr>
        <w:t>rán las determinaciones de hecho relevantes</w:t>
      </w:r>
      <w:r w:rsidR="00D86575" w:rsidRPr="00386E47">
        <w:rPr>
          <w:rFonts w:asciiTheme="majorHAnsi" w:eastAsia="Calibri" w:hAnsiTheme="majorHAnsi"/>
          <w:sz w:val="20"/>
          <w:szCs w:val="20"/>
          <w:bdr w:val="none" w:sz="0" w:space="0" w:color="auto"/>
          <w:lang w:val="es-ES_tradnl"/>
        </w:rPr>
        <w:t xml:space="preserve"> y específicas para tratar cada una de las consideraciones </w:t>
      </w:r>
      <w:r w:rsidR="009F70EA" w:rsidRPr="00386E47">
        <w:rPr>
          <w:rFonts w:asciiTheme="majorHAnsi" w:eastAsia="Calibri" w:hAnsiTheme="majorHAnsi"/>
          <w:sz w:val="20"/>
          <w:szCs w:val="20"/>
          <w:bdr w:val="none" w:sz="0" w:space="0" w:color="auto"/>
          <w:lang w:val="es-ES_tradnl"/>
        </w:rPr>
        <w:t>de derecho y las</w:t>
      </w:r>
      <w:r w:rsidR="006F44B1" w:rsidRPr="00386E47">
        <w:rPr>
          <w:rFonts w:asciiTheme="majorHAnsi" w:eastAsia="Calibri" w:hAnsiTheme="majorHAnsi"/>
          <w:sz w:val="20"/>
          <w:szCs w:val="20"/>
          <w:bdr w:val="none" w:sz="0" w:space="0" w:color="auto"/>
          <w:lang w:val="es-ES_tradnl"/>
        </w:rPr>
        <w:t xml:space="preserve"> subsecuentes </w:t>
      </w:r>
      <w:r w:rsidR="009F70EA" w:rsidRPr="00386E47">
        <w:rPr>
          <w:rFonts w:asciiTheme="majorHAnsi" w:eastAsia="Calibri" w:hAnsiTheme="majorHAnsi"/>
          <w:sz w:val="20"/>
          <w:szCs w:val="20"/>
          <w:bdr w:val="none" w:sz="0" w:space="0" w:color="auto"/>
          <w:lang w:val="es-ES_tradnl"/>
        </w:rPr>
        <w:t xml:space="preserve">conclusiones. </w:t>
      </w:r>
    </w:p>
    <w:p w14:paraId="7D522EFF" w14:textId="77777777" w:rsidR="009F70EA" w:rsidRPr="00386E47" w:rsidRDefault="009F70EA" w:rsidP="0040323D">
      <w:pPr>
        <w:tabs>
          <w:tab w:val="left" w:pos="426"/>
        </w:tabs>
        <w:contextualSpacing/>
        <w:jc w:val="both"/>
        <w:rPr>
          <w:rFonts w:asciiTheme="majorHAnsi" w:eastAsia="Calibri" w:hAnsiTheme="majorHAnsi"/>
          <w:sz w:val="20"/>
          <w:szCs w:val="20"/>
          <w:lang w:val="es-ES_tradnl" w:eastAsia="es-ES"/>
        </w:rPr>
      </w:pPr>
    </w:p>
    <w:p w14:paraId="54E1EAF7" w14:textId="77777777" w:rsidR="009F70EA" w:rsidRPr="00386E47" w:rsidRDefault="009F70EA" w:rsidP="009146F2">
      <w:pPr>
        <w:pStyle w:val="Heading3"/>
        <w:numPr>
          <w:ilvl w:val="1"/>
          <w:numId w:val="68"/>
        </w:numPr>
        <w:ind w:left="284" w:firstLine="0"/>
      </w:pPr>
      <w:bookmarkStart w:id="21" w:name="_Toc51252192"/>
      <w:r w:rsidRPr="00386E47">
        <w:t>El atentado a la</w:t>
      </w:r>
      <w:r w:rsidR="00F761B7" w:rsidRPr="00386E47">
        <w:t xml:space="preserve"> sede de la Asociación Mutual Israelita Argentina</w:t>
      </w:r>
      <w:r w:rsidRPr="00386E47">
        <w:t xml:space="preserve"> y la investigación encabezada por el Juzgado en lo Criminal y Correccional Federal Nro. 9 de la Capital Federal.</w:t>
      </w:r>
      <w:bookmarkEnd w:id="21"/>
      <w:r w:rsidRPr="00386E47">
        <w:t xml:space="preserve">  </w:t>
      </w:r>
    </w:p>
    <w:p w14:paraId="79FFE928" w14:textId="77777777" w:rsidR="009F70EA" w:rsidRPr="00386E47" w:rsidRDefault="009F70EA" w:rsidP="003A5860">
      <w:pPr>
        <w:numPr>
          <w:ilvl w:val="0"/>
          <w:numId w:val="55"/>
        </w:numPr>
        <w:tabs>
          <w:tab w:val="left" w:pos="567"/>
        </w:tabs>
        <w:ind w:left="0" w:firstLine="0"/>
        <w:contextualSpacing/>
        <w:jc w:val="both"/>
        <w:rPr>
          <w:rFonts w:asciiTheme="majorHAnsi" w:eastAsia="Calibri" w:hAnsiTheme="majorHAnsi"/>
          <w:sz w:val="20"/>
          <w:szCs w:val="20"/>
          <w:lang w:val="es-ES_tradnl" w:eastAsia="es-ES"/>
        </w:rPr>
      </w:pPr>
      <w:r w:rsidRPr="00386E47">
        <w:rPr>
          <w:rFonts w:asciiTheme="majorHAnsi" w:eastAsia="Calibri" w:hAnsiTheme="majorHAnsi"/>
          <w:sz w:val="20"/>
          <w:szCs w:val="20"/>
          <w:lang w:val="es-ES_tradnl" w:eastAsia="es-ES"/>
        </w:rPr>
        <w:lastRenderedPageBreak/>
        <w:t>Diversos pronunciamientos judiciales dictados en el orden nacional</w:t>
      </w:r>
      <w:r w:rsidR="00F761B7" w:rsidRPr="00386E47">
        <w:rPr>
          <w:rFonts w:asciiTheme="majorHAnsi" w:eastAsia="Calibri" w:hAnsiTheme="majorHAnsi"/>
          <w:sz w:val="20"/>
          <w:szCs w:val="20"/>
          <w:lang w:val="es-ES_tradnl" w:eastAsia="es-ES"/>
        </w:rPr>
        <w:t xml:space="preserve"> han tenido por acreditado que</w:t>
      </w:r>
      <w:r w:rsidR="00E04584" w:rsidRPr="00386E47">
        <w:rPr>
          <w:rFonts w:asciiTheme="majorHAnsi" w:eastAsia="Calibri" w:hAnsiTheme="majorHAnsi"/>
          <w:sz w:val="20"/>
          <w:szCs w:val="20"/>
          <w:lang w:val="es-ES_tradnl" w:eastAsia="es-ES"/>
        </w:rPr>
        <w:t xml:space="preserve">, </w:t>
      </w:r>
      <w:r w:rsidRPr="00386E47">
        <w:rPr>
          <w:rFonts w:asciiTheme="majorHAnsi" w:eastAsia="Calibri" w:hAnsiTheme="majorHAnsi"/>
          <w:sz w:val="20"/>
          <w:szCs w:val="20"/>
          <w:lang w:val="es-ES_tradnl" w:eastAsia="es-ES"/>
        </w:rPr>
        <w:t>a las 9 horas y 53 minutos del día 18 de julio de 1994, una carga explosiva equivalente a entre 300 y 400 kilos de T.N.T</w:t>
      </w:r>
      <w:r w:rsidR="00F761B7" w:rsidRPr="00386E47">
        <w:rPr>
          <w:rFonts w:asciiTheme="majorHAnsi" w:eastAsia="Calibri" w:hAnsiTheme="majorHAnsi"/>
          <w:sz w:val="20"/>
          <w:szCs w:val="20"/>
          <w:lang w:val="es-ES_tradnl" w:eastAsia="es-ES"/>
        </w:rPr>
        <w:t xml:space="preserve">, </w:t>
      </w:r>
      <w:r w:rsidRPr="00386E47">
        <w:rPr>
          <w:rFonts w:asciiTheme="majorHAnsi" w:eastAsia="Calibri" w:hAnsiTheme="majorHAnsi"/>
          <w:sz w:val="20"/>
          <w:szCs w:val="20"/>
          <w:lang w:val="es-ES_tradnl" w:eastAsia="es-ES"/>
        </w:rPr>
        <w:t>instalada en el interior de un vehículo Renault Trafic</w:t>
      </w:r>
      <w:r w:rsidR="00F761B7" w:rsidRPr="00386E47">
        <w:rPr>
          <w:rFonts w:asciiTheme="majorHAnsi" w:eastAsia="Calibri" w:hAnsiTheme="majorHAnsi"/>
          <w:sz w:val="20"/>
          <w:szCs w:val="20"/>
          <w:lang w:val="es-ES_tradnl" w:eastAsia="es-ES"/>
        </w:rPr>
        <w:t>,</w:t>
      </w:r>
      <w:r w:rsidRPr="00386E47">
        <w:rPr>
          <w:rFonts w:asciiTheme="majorHAnsi" w:eastAsia="Calibri" w:hAnsiTheme="majorHAnsi"/>
          <w:sz w:val="20"/>
          <w:szCs w:val="20"/>
          <w:lang w:val="es-ES_tradnl" w:eastAsia="es-ES"/>
        </w:rPr>
        <w:t xml:space="preserve"> fue detonada en las </w:t>
      </w:r>
      <w:r w:rsidR="00E04584" w:rsidRPr="00386E47">
        <w:rPr>
          <w:rFonts w:asciiTheme="majorHAnsi" w:eastAsia="Calibri" w:hAnsiTheme="majorHAnsi"/>
          <w:sz w:val="20"/>
          <w:szCs w:val="20"/>
          <w:lang w:val="es-ES_tradnl" w:eastAsia="es-ES"/>
        </w:rPr>
        <w:t>inmediaciones</w:t>
      </w:r>
      <w:r w:rsidRPr="00386E47">
        <w:rPr>
          <w:rFonts w:asciiTheme="majorHAnsi" w:eastAsia="Calibri" w:hAnsiTheme="majorHAnsi"/>
          <w:sz w:val="20"/>
          <w:szCs w:val="20"/>
          <w:lang w:val="es-ES_tradnl" w:eastAsia="es-ES"/>
        </w:rPr>
        <w:t xml:space="preserve"> de un edificio ubicado en la calle Pasteur 633 de la ciudad de Buenos Aires, Argentina</w:t>
      </w:r>
      <w:r w:rsidR="00B70198" w:rsidRPr="00386E47">
        <w:rPr>
          <w:rFonts w:asciiTheme="majorHAnsi" w:eastAsia="Calibri" w:hAnsiTheme="majorHAnsi"/>
          <w:sz w:val="20"/>
          <w:szCs w:val="20"/>
          <w:lang w:val="es-ES_tradnl" w:eastAsia="es-ES"/>
        </w:rPr>
        <w:t>. E</w:t>
      </w:r>
      <w:r w:rsidR="00F761B7" w:rsidRPr="00386E47">
        <w:rPr>
          <w:rFonts w:asciiTheme="majorHAnsi" w:eastAsia="Calibri" w:hAnsiTheme="majorHAnsi"/>
          <w:sz w:val="20"/>
          <w:szCs w:val="20"/>
          <w:lang w:val="es-ES_tradnl" w:eastAsia="es-ES"/>
        </w:rPr>
        <w:t xml:space="preserve">ste inmueble </w:t>
      </w:r>
      <w:r w:rsidR="00B70198" w:rsidRPr="00386E47">
        <w:rPr>
          <w:rFonts w:asciiTheme="majorHAnsi" w:eastAsia="Calibri" w:hAnsiTheme="majorHAnsi"/>
          <w:sz w:val="20"/>
          <w:szCs w:val="20"/>
          <w:lang w:val="es-ES_tradnl" w:eastAsia="es-ES"/>
        </w:rPr>
        <w:t xml:space="preserve">albergaba, </w:t>
      </w:r>
      <w:r w:rsidRPr="00386E47">
        <w:rPr>
          <w:rFonts w:asciiTheme="majorHAnsi" w:eastAsia="Calibri" w:hAnsiTheme="majorHAnsi"/>
          <w:sz w:val="20"/>
          <w:szCs w:val="20"/>
          <w:lang w:val="es-ES_tradnl" w:eastAsia="es-ES"/>
        </w:rPr>
        <w:t xml:space="preserve">entre otras </w:t>
      </w:r>
      <w:r w:rsidR="00EC07A3" w:rsidRPr="00386E47">
        <w:rPr>
          <w:rFonts w:asciiTheme="majorHAnsi" w:eastAsia="Calibri" w:hAnsiTheme="majorHAnsi"/>
          <w:sz w:val="20"/>
          <w:szCs w:val="20"/>
          <w:lang w:val="es-ES_tradnl" w:eastAsia="es-ES"/>
        </w:rPr>
        <w:t xml:space="preserve">instituciones, la sede central </w:t>
      </w:r>
      <w:r w:rsidRPr="00386E47">
        <w:rPr>
          <w:rFonts w:asciiTheme="majorHAnsi" w:eastAsia="Calibri" w:hAnsiTheme="majorHAnsi"/>
          <w:sz w:val="20"/>
          <w:szCs w:val="20"/>
          <w:lang w:val="es-ES_tradnl" w:eastAsia="es-ES"/>
        </w:rPr>
        <w:t>de la Asociación Mutual Israelita Argentina (AMIA) y de la Delegación de Asociaciones Israelitas Argentinas (DAIA)</w:t>
      </w:r>
      <w:r w:rsidRPr="00386E47">
        <w:rPr>
          <w:rFonts w:asciiTheme="majorHAnsi" w:eastAsia="Calibri" w:hAnsiTheme="majorHAnsi"/>
          <w:sz w:val="20"/>
          <w:szCs w:val="20"/>
          <w:vertAlign w:val="superscript"/>
          <w:lang w:val="es-ES_tradnl" w:eastAsia="es-ES"/>
        </w:rPr>
        <w:footnoteReference w:id="7"/>
      </w:r>
      <w:r w:rsidRPr="00386E47">
        <w:rPr>
          <w:rFonts w:asciiTheme="majorHAnsi" w:eastAsia="Calibri" w:hAnsiTheme="majorHAnsi"/>
          <w:sz w:val="20"/>
          <w:szCs w:val="20"/>
          <w:lang w:val="es-ES_tradnl" w:eastAsia="es-ES"/>
        </w:rPr>
        <w:t>.</w:t>
      </w:r>
    </w:p>
    <w:p w14:paraId="69A0A528" w14:textId="77777777" w:rsidR="009F70EA" w:rsidRPr="00386E47" w:rsidRDefault="009F70EA" w:rsidP="00CE774A">
      <w:pPr>
        <w:tabs>
          <w:tab w:val="left" w:pos="426"/>
        </w:tabs>
        <w:contextualSpacing/>
        <w:jc w:val="both"/>
        <w:rPr>
          <w:rFonts w:asciiTheme="majorHAnsi" w:eastAsia="Calibri" w:hAnsiTheme="majorHAnsi"/>
          <w:sz w:val="20"/>
          <w:szCs w:val="20"/>
          <w:lang w:val="es-ES_tradnl" w:eastAsia="es-ES"/>
        </w:rPr>
      </w:pPr>
    </w:p>
    <w:p w14:paraId="52ECD2A9" w14:textId="77777777" w:rsidR="009F70EA" w:rsidRPr="00386E47" w:rsidRDefault="002657EC" w:rsidP="003A5860">
      <w:pPr>
        <w:numPr>
          <w:ilvl w:val="0"/>
          <w:numId w:val="55"/>
        </w:numPr>
        <w:tabs>
          <w:tab w:val="left" w:pos="567"/>
        </w:tabs>
        <w:ind w:left="0" w:firstLine="0"/>
        <w:contextualSpacing/>
        <w:jc w:val="both"/>
        <w:rPr>
          <w:rFonts w:asciiTheme="majorHAnsi" w:eastAsia="Calibri" w:hAnsiTheme="majorHAnsi"/>
          <w:sz w:val="20"/>
          <w:szCs w:val="20"/>
          <w:lang w:val="es-ES_tradnl" w:eastAsia="es-ES"/>
        </w:rPr>
      </w:pPr>
      <w:r w:rsidRPr="00386E47">
        <w:rPr>
          <w:rFonts w:asciiTheme="majorHAnsi" w:eastAsia="Calibri" w:hAnsiTheme="majorHAnsi"/>
          <w:sz w:val="20"/>
          <w:szCs w:val="20"/>
          <w:lang w:val="es-ES_tradnl" w:eastAsia="es-ES"/>
        </w:rPr>
        <w:t>La explosión</w:t>
      </w:r>
      <w:r w:rsidR="009F70EA" w:rsidRPr="00386E47">
        <w:rPr>
          <w:rFonts w:asciiTheme="majorHAnsi" w:eastAsia="Calibri" w:hAnsiTheme="majorHAnsi"/>
          <w:sz w:val="20"/>
          <w:szCs w:val="20"/>
          <w:lang w:val="es-ES_tradnl" w:eastAsia="es-ES"/>
        </w:rPr>
        <w:t xml:space="preserve"> provocó el colapso </w:t>
      </w:r>
      <w:r w:rsidR="00B70198" w:rsidRPr="00386E47">
        <w:rPr>
          <w:rFonts w:asciiTheme="majorHAnsi" w:eastAsia="Calibri" w:hAnsiTheme="majorHAnsi"/>
          <w:sz w:val="20"/>
          <w:szCs w:val="20"/>
          <w:lang w:val="es-ES_tradnl" w:eastAsia="es-ES"/>
        </w:rPr>
        <w:t>de parte del</w:t>
      </w:r>
      <w:r w:rsidR="009F70EA" w:rsidRPr="00386E47">
        <w:rPr>
          <w:rFonts w:asciiTheme="majorHAnsi" w:eastAsia="Calibri" w:hAnsiTheme="majorHAnsi"/>
          <w:sz w:val="20"/>
          <w:szCs w:val="20"/>
          <w:lang w:val="es-ES_tradnl" w:eastAsia="es-ES"/>
        </w:rPr>
        <w:t xml:space="preserve"> edificio de Pasteur 633. La subsecuente onda expansiva generada</w:t>
      </w:r>
      <w:r w:rsidR="00E04584" w:rsidRPr="00386E47">
        <w:rPr>
          <w:rFonts w:asciiTheme="majorHAnsi" w:eastAsia="Calibri" w:hAnsiTheme="majorHAnsi"/>
          <w:sz w:val="20"/>
          <w:szCs w:val="20"/>
          <w:lang w:val="es-ES_tradnl" w:eastAsia="es-ES"/>
        </w:rPr>
        <w:t xml:space="preserve"> por el estallido de los explosivos</w:t>
      </w:r>
      <w:r w:rsidR="009F70EA" w:rsidRPr="00386E47">
        <w:rPr>
          <w:rFonts w:asciiTheme="majorHAnsi" w:eastAsia="Calibri" w:hAnsiTheme="majorHAnsi"/>
          <w:sz w:val="20"/>
          <w:szCs w:val="20"/>
          <w:lang w:val="es-ES_tradnl" w:eastAsia="es-ES"/>
        </w:rPr>
        <w:t xml:space="preserve"> causó daños de envergadura en</w:t>
      </w:r>
      <w:r w:rsidR="000C3711" w:rsidRPr="00386E47">
        <w:rPr>
          <w:rFonts w:asciiTheme="majorHAnsi" w:eastAsia="Calibri" w:hAnsiTheme="majorHAnsi"/>
          <w:sz w:val="20"/>
          <w:szCs w:val="20"/>
          <w:lang w:val="es-ES_tradnl" w:eastAsia="es-ES"/>
        </w:rPr>
        <w:t xml:space="preserve"> edificios y</w:t>
      </w:r>
      <w:r w:rsidR="009F70EA" w:rsidRPr="00386E47">
        <w:rPr>
          <w:rFonts w:asciiTheme="majorHAnsi" w:eastAsia="Calibri" w:hAnsiTheme="majorHAnsi"/>
          <w:sz w:val="20"/>
          <w:szCs w:val="20"/>
          <w:lang w:val="es-ES_tradnl" w:eastAsia="es-ES"/>
        </w:rPr>
        <w:t xml:space="preserve"> bienes muebles ubicados en un radio aproximado de 200 metros. Como consecuencia directa</w:t>
      </w:r>
      <w:r w:rsidR="000C3711" w:rsidRPr="00386E47">
        <w:rPr>
          <w:rFonts w:asciiTheme="majorHAnsi" w:eastAsia="Calibri" w:hAnsiTheme="majorHAnsi"/>
          <w:sz w:val="20"/>
          <w:szCs w:val="20"/>
          <w:lang w:val="es-ES_tradnl" w:eastAsia="es-ES"/>
        </w:rPr>
        <w:t xml:space="preserve"> de la explosión</w:t>
      </w:r>
      <w:r w:rsidR="009F70EA" w:rsidRPr="00386E47">
        <w:rPr>
          <w:rFonts w:asciiTheme="majorHAnsi" w:eastAsia="Calibri" w:hAnsiTheme="majorHAnsi"/>
          <w:sz w:val="20"/>
          <w:szCs w:val="20"/>
          <w:lang w:val="es-ES_tradnl" w:eastAsia="es-ES"/>
        </w:rPr>
        <w:t xml:space="preserve">, </w:t>
      </w:r>
      <w:r w:rsidR="00D93236" w:rsidRPr="00386E47">
        <w:rPr>
          <w:rFonts w:asciiTheme="majorHAnsi" w:eastAsia="Calibri" w:hAnsiTheme="majorHAnsi"/>
          <w:sz w:val="20"/>
          <w:szCs w:val="20"/>
          <w:lang w:val="es-ES_tradnl" w:eastAsia="es-ES"/>
        </w:rPr>
        <w:t xml:space="preserve">85 personas perdieron la </w:t>
      </w:r>
      <w:r w:rsidR="00D93236" w:rsidRPr="00386E47">
        <w:rPr>
          <w:rFonts w:asciiTheme="majorHAnsi" w:eastAsia="Calibri" w:hAnsiTheme="majorHAnsi" w:cs="Verdana"/>
          <w:sz w:val="20"/>
          <w:szCs w:val="20"/>
          <w:lang w:val="es-US" w:eastAsia="pt-BR"/>
        </w:rPr>
        <w:t>vida</w:t>
      </w:r>
      <w:r w:rsidR="00D93236" w:rsidRPr="00386E47">
        <w:rPr>
          <w:rStyle w:val="FootnoteReference"/>
          <w:rFonts w:asciiTheme="majorHAnsi" w:eastAsia="Calibri" w:hAnsiTheme="majorHAnsi" w:cs="Verdana"/>
          <w:sz w:val="20"/>
          <w:szCs w:val="20"/>
          <w:lang w:val="es-US" w:eastAsia="pt-BR"/>
        </w:rPr>
        <w:footnoteReference w:id="8"/>
      </w:r>
      <w:r w:rsidR="00D93236" w:rsidRPr="00386E47">
        <w:rPr>
          <w:rFonts w:asciiTheme="majorHAnsi" w:eastAsia="Calibri" w:hAnsiTheme="majorHAnsi" w:cs="Verdana"/>
          <w:sz w:val="20"/>
          <w:szCs w:val="20"/>
          <w:lang w:val="es-US" w:eastAsia="pt-BR"/>
        </w:rPr>
        <w:t xml:space="preserve"> y 151</w:t>
      </w:r>
      <w:r w:rsidR="00D93236" w:rsidRPr="00386E47">
        <w:rPr>
          <w:rStyle w:val="FootnoteReference"/>
          <w:rFonts w:asciiTheme="majorHAnsi" w:eastAsia="Calibri" w:hAnsiTheme="majorHAnsi" w:cs="Verdana"/>
          <w:sz w:val="20"/>
          <w:szCs w:val="20"/>
          <w:lang w:val="es-US" w:eastAsia="pt-BR"/>
        </w:rPr>
        <w:footnoteReference w:id="9"/>
      </w:r>
      <w:r w:rsidR="00D93236" w:rsidRPr="00386E47">
        <w:rPr>
          <w:rFonts w:asciiTheme="majorHAnsi" w:eastAsia="Calibri" w:hAnsiTheme="majorHAnsi" w:cs="Verdana"/>
          <w:sz w:val="20"/>
          <w:szCs w:val="20"/>
          <w:lang w:val="es-US" w:eastAsia="pt-BR"/>
        </w:rPr>
        <w:t xml:space="preserve"> resultaron con heridas de diversa magnitud.</w:t>
      </w:r>
    </w:p>
    <w:p w14:paraId="625A8325" w14:textId="77777777" w:rsidR="009F70EA" w:rsidRPr="00386E47" w:rsidRDefault="009F70EA" w:rsidP="003A5860">
      <w:pPr>
        <w:numPr>
          <w:ilvl w:val="0"/>
          <w:numId w:val="55"/>
        </w:numPr>
        <w:tabs>
          <w:tab w:val="left" w:pos="567"/>
        </w:tabs>
        <w:ind w:left="0" w:firstLine="0"/>
        <w:contextualSpacing/>
        <w:jc w:val="both"/>
        <w:rPr>
          <w:rFonts w:asciiTheme="majorHAnsi" w:eastAsia="Calibri" w:hAnsiTheme="majorHAnsi"/>
          <w:sz w:val="20"/>
          <w:szCs w:val="20"/>
          <w:lang w:val="es-ES_tradnl" w:eastAsia="es-ES"/>
        </w:rPr>
      </w:pPr>
      <w:r w:rsidRPr="00386E47">
        <w:rPr>
          <w:rFonts w:asciiTheme="majorHAnsi" w:eastAsia="Calibri" w:hAnsiTheme="majorHAnsi"/>
          <w:sz w:val="20"/>
          <w:szCs w:val="20"/>
          <w:lang w:val="es-ES_tradnl" w:eastAsia="es-ES"/>
        </w:rPr>
        <w:lastRenderedPageBreak/>
        <w:t xml:space="preserve">La investigación </w:t>
      </w:r>
      <w:r w:rsidR="00880D4C" w:rsidRPr="00386E47">
        <w:rPr>
          <w:rFonts w:asciiTheme="majorHAnsi" w:eastAsia="Calibri" w:hAnsiTheme="majorHAnsi"/>
          <w:sz w:val="20"/>
          <w:szCs w:val="20"/>
          <w:lang w:val="es-ES_tradnl" w:eastAsia="es-ES"/>
        </w:rPr>
        <w:t>criminal</w:t>
      </w:r>
      <w:r w:rsidRPr="00386E47">
        <w:rPr>
          <w:rFonts w:asciiTheme="majorHAnsi" w:eastAsia="Calibri" w:hAnsiTheme="majorHAnsi"/>
          <w:sz w:val="20"/>
          <w:szCs w:val="20"/>
          <w:lang w:val="es-ES_tradnl" w:eastAsia="es-ES"/>
        </w:rPr>
        <w:t xml:space="preserve"> destinada a esclarecer y determinar las responsabilidades </w:t>
      </w:r>
      <w:r w:rsidR="001263D6" w:rsidRPr="00386E47">
        <w:rPr>
          <w:rFonts w:asciiTheme="majorHAnsi" w:eastAsia="Calibri" w:hAnsiTheme="majorHAnsi"/>
          <w:sz w:val="20"/>
          <w:szCs w:val="20"/>
          <w:lang w:val="es-ES_tradnl" w:eastAsia="es-ES"/>
        </w:rPr>
        <w:t>penales por el atentado recayó -</w:t>
      </w:r>
      <w:r w:rsidRPr="00386E47">
        <w:rPr>
          <w:rFonts w:asciiTheme="majorHAnsi" w:eastAsia="Calibri" w:hAnsiTheme="majorHAnsi"/>
          <w:sz w:val="20"/>
          <w:szCs w:val="20"/>
          <w:lang w:val="es-ES_tradnl" w:eastAsia="es-ES"/>
        </w:rPr>
        <w:t xml:space="preserve"> a partir del mismo 18 de julio y en virtud del sistema de turnos vigente para la asignación de causas judiciales -  en el Juzgado en lo Criminal y Correccional Federal Nro. 9 de la Capital Federal a cargo del juez Juan José Galeano. Como representantes del Mini</w:t>
      </w:r>
      <w:r w:rsidR="000C3711" w:rsidRPr="00386E47">
        <w:rPr>
          <w:rFonts w:asciiTheme="majorHAnsi" w:eastAsia="Calibri" w:hAnsiTheme="majorHAnsi"/>
          <w:sz w:val="20"/>
          <w:szCs w:val="20"/>
          <w:lang w:val="es-ES_tradnl" w:eastAsia="es-ES"/>
        </w:rPr>
        <w:t xml:space="preserve">sterio Público Fiscal actuaron </w:t>
      </w:r>
      <w:r w:rsidRPr="00386E47">
        <w:rPr>
          <w:rFonts w:asciiTheme="majorHAnsi" w:eastAsia="Calibri" w:hAnsiTheme="majorHAnsi"/>
          <w:sz w:val="20"/>
          <w:szCs w:val="20"/>
          <w:lang w:val="es-ES_tradnl" w:eastAsia="es-ES"/>
        </w:rPr>
        <w:t>el titular de la Fiscalía en lo Criminal y Correccional Federal Nro. 9 Eamon Mullen y el Fiscal Adjunto</w:t>
      </w:r>
      <w:r w:rsidR="008966B9" w:rsidRPr="00386E47">
        <w:rPr>
          <w:rFonts w:asciiTheme="majorHAnsi" w:eastAsia="Calibri" w:hAnsiTheme="majorHAnsi"/>
          <w:sz w:val="20"/>
          <w:szCs w:val="20"/>
          <w:lang w:val="es-ES_tradnl" w:eastAsia="es-ES"/>
        </w:rPr>
        <w:t>,</w:t>
      </w:r>
      <w:r w:rsidRPr="00386E47">
        <w:rPr>
          <w:rFonts w:asciiTheme="majorHAnsi" w:eastAsia="Calibri" w:hAnsiTheme="majorHAnsi"/>
          <w:sz w:val="20"/>
          <w:szCs w:val="20"/>
          <w:lang w:val="es-ES_tradnl" w:eastAsia="es-ES"/>
        </w:rPr>
        <w:t xml:space="preserve"> José Barbaccia. La instrucción se ri</w:t>
      </w:r>
      <w:r w:rsidR="00B70198" w:rsidRPr="00386E47">
        <w:rPr>
          <w:rFonts w:asciiTheme="majorHAnsi" w:eastAsia="Calibri" w:hAnsiTheme="majorHAnsi"/>
          <w:sz w:val="20"/>
          <w:szCs w:val="20"/>
          <w:lang w:val="es-ES_tradnl" w:eastAsia="es-ES"/>
        </w:rPr>
        <w:t xml:space="preserve">gió por las normas vigentes </w:t>
      </w:r>
      <w:r w:rsidRPr="00386E47">
        <w:rPr>
          <w:rFonts w:asciiTheme="majorHAnsi" w:eastAsia="Calibri" w:hAnsiTheme="majorHAnsi"/>
          <w:sz w:val="20"/>
          <w:szCs w:val="20"/>
          <w:lang w:val="es-ES_tradnl" w:eastAsia="es-ES"/>
        </w:rPr>
        <w:t>en el Código Procesal Penal de la Nación</w:t>
      </w:r>
      <w:r w:rsidRPr="00386E47">
        <w:rPr>
          <w:rFonts w:asciiTheme="majorHAnsi" w:eastAsia="Calibri" w:hAnsiTheme="majorHAnsi"/>
          <w:sz w:val="20"/>
          <w:szCs w:val="20"/>
          <w:vertAlign w:val="superscript"/>
          <w:lang w:val="es-ES_tradnl" w:eastAsia="es-ES"/>
        </w:rPr>
        <w:footnoteReference w:id="10"/>
      </w:r>
      <w:r w:rsidRPr="00386E47">
        <w:rPr>
          <w:rFonts w:asciiTheme="majorHAnsi" w:eastAsia="Calibri" w:hAnsiTheme="majorHAnsi"/>
          <w:sz w:val="20"/>
          <w:szCs w:val="20"/>
          <w:lang w:val="es-ES_tradnl" w:eastAsia="es-ES"/>
        </w:rPr>
        <w:t xml:space="preserve"> </w:t>
      </w:r>
    </w:p>
    <w:p w14:paraId="456615E8" w14:textId="77777777" w:rsidR="009F70EA" w:rsidRPr="00386E47" w:rsidRDefault="009F70EA" w:rsidP="00CE774A">
      <w:pPr>
        <w:tabs>
          <w:tab w:val="left" w:pos="426"/>
        </w:tabs>
        <w:contextualSpacing/>
        <w:jc w:val="both"/>
        <w:rPr>
          <w:rFonts w:asciiTheme="majorHAnsi" w:eastAsia="Calibri" w:hAnsiTheme="majorHAnsi"/>
          <w:sz w:val="20"/>
          <w:szCs w:val="20"/>
          <w:lang w:val="es-ES_tradnl" w:eastAsia="es-ES"/>
        </w:rPr>
      </w:pPr>
    </w:p>
    <w:p w14:paraId="78633B98" w14:textId="77777777" w:rsidR="009F70EA" w:rsidRPr="00386E47" w:rsidRDefault="009F70EA" w:rsidP="003A5860">
      <w:pPr>
        <w:numPr>
          <w:ilvl w:val="0"/>
          <w:numId w:val="55"/>
        </w:numPr>
        <w:tabs>
          <w:tab w:val="left" w:pos="567"/>
        </w:tabs>
        <w:ind w:left="0" w:firstLine="0"/>
        <w:contextualSpacing/>
        <w:jc w:val="both"/>
        <w:rPr>
          <w:rFonts w:asciiTheme="majorHAnsi" w:eastAsia="Calibri" w:hAnsiTheme="majorHAnsi"/>
          <w:sz w:val="20"/>
          <w:szCs w:val="20"/>
          <w:lang w:val="es-ES_tradnl" w:eastAsia="es-ES"/>
        </w:rPr>
      </w:pPr>
      <w:r w:rsidRPr="00386E47">
        <w:rPr>
          <w:rFonts w:asciiTheme="majorHAnsi" w:eastAsia="Calibri" w:hAnsiTheme="majorHAnsi"/>
          <w:sz w:val="20"/>
          <w:szCs w:val="20"/>
          <w:lang w:val="es-ES_tradnl" w:eastAsia="es-ES"/>
        </w:rPr>
        <w:t>Desde los primeros instantes po</w:t>
      </w:r>
      <w:r w:rsidR="000C3711" w:rsidRPr="00386E47">
        <w:rPr>
          <w:rFonts w:asciiTheme="majorHAnsi" w:eastAsia="Calibri" w:hAnsiTheme="majorHAnsi"/>
          <w:sz w:val="20"/>
          <w:szCs w:val="20"/>
          <w:lang w:val="es-ES_tradnl" w:eastAsia="es-ES"/>
        </w:rPr>
        <w:t>steriores al atentado, personal del cuerpo de</w:t>
      </w:r>
      <w:r w:rsidRPr="00386E47">
        <w:rPr>
          <w:rFonts w:asciiTheme="majorHAnsi" w:eastAsia="Calibri" w:hAnsiTheme="majorHAnsi"/>
          <w:sz w:val="20"/>
          <w:szCs w:val="20"/>
          <w:lang w:val="es-ES_tradnl" w:eastAsia="es-ES"/>
        </w:rPr>
        <w:t xml:space="preserve"> bomberos, </w:t>
      </w:r>
      <w:r w:rsidR="000C3711" w:rsidRPr="00386E47">
        <w:rPr>
          <w:rFonts w:asciiTheme="majorHAnsi" w:eastAsia="Calibri" w:hAnsiTheme="majorHAnsi"/>
          <w:sz w:val="20"/>
          <w:szCs w:val="20"/>
          <w:lang w:val="es-ES_tradnl" w:eastAsia="es-ES"/>
        </w:rPr>
        <w:t>de la Policía Federal Argentina, de Defensa Civil</w:t>
      </w:r>
      <w:r w:rsidR="00880D4C" w:rsidRPr="00386E47">
        <w:rPr>
          <w:rFonts w:asciiTheme="majorHAnsi" w:eastAsia="Calibri" w:hAnsiTheme="majorHAnsi"/>
          <w:sz w:val="20"/>
          <w:szCs w:val="20"/>
          <w:lang w:val="es-ES_tradnl" w:eastAsia="es-ES"/>
        </w:rPr>
        <w:t>,</w:t>
      </w:r>
      <w:r w:rsidR="000C3711" w:rsidRPr="00386E47">
        <w:rPr>
          <w:rFonts w:asciiTheme="majorHAnsi" w:eastAsia="Calibri" w:hAnsiTheme="majorHAnsi"/>
          <w:sz w:val="20"/>
          <w:szCs w:val="20"/>
          <w:lang w:val="es-ES_tradnl" w:eastAsia="es-ES"/>
        </w:rPr>
        <w:t xml:space="preserve"> e incluso ciudadanos particulares</w:t>
      </w:r>
      <w:r w:rsidR="00880D4C" w:rsidRPr="00386E47">
        <w:rPr>
          <w:rFonts w:asciiTheme="majorHAnsi" w:eastAsia="Calibri" w:hAnsiTheme="majorHAnsi"/>
          <w:sz w:val="20"/>
          <w:szCs w:val="20"/>
          <w:lang w:val="es-ES_tradnl" w:eastAsia="es-ES"/>
        </w:rPr>
        <w:t xml:space="preserve">, </w:t>
      </w:r>
      <w:r w:rsidRPr="00386E47">
        <w:rPr>
          <w:rFonts w:asciiTheme="majorHAnsi" w:eastAsia="Calibri" w:hAnsiTheme="majorHAnsi"/>
          <w:sz w:val="20"/>
          <w:szCs w:val="20"/>
          <w:lang w:val="es-ES_tradnl" w:eastAsia="es-ES"/>
        </w:rPr>
        <w:t xml:space="preserve">se hicieron presentes en el sitio de la explosión </w:t>
      </w:r>
      <w:r w:rsidR="000C3711" w:rsidRPr="00386E47">
        <w:rPr>
          <w:rFonts w:asciiTheme="majorHAnsi" w:eastAsia="Calibri" w:hAnsiTheme="majorHAnsi"/>
          <w:sz w:val="20"/>
          <w:szCs w:val="20"/>
          <w:lang w:val="es-ES_tradnl" w:eastAsia="es-ES"/>
        </w:rPr>
        <w:t>e iniciaron las labores de búsqueda y rescate de sobrevivientes y la remoción de los escombros. En el marco de esa tarea, e</w:t>
      </w:r>
      <w:r w:rsidRPr="00386E47">
        <w:rPr>
          <w:rFonts w:asciiTheme="majorHAnsi" w:eastAsia="Calibri" w:hAnsiTheme="majorHAnsi"/>
          <w:sz w:val="20"/>
          <w:szCs w:val="20"/>
          <w:lang w:val="es-ES_tradnl" w:eastAsia="es-ES"/>
        </w:rPr>
        <w:t xml:space="preserve">l 25 de julio un equipo de rescatistas </w:t>
      </w:r>
      <w:r w:rsidR="000C3711" w:rsidRPr="00386E47">
        <w:rPr>
          <w:rFonts w:asciiTheme="majorHAnsi" w:eastAsia="Calibri" w:hAnsiTheme="majorHAnsi"/>
          <w:sz w:val="20"/>
          <w:szCs w:val="20"/>
          <w:lang w:val="es-ES_tradnl" w:eastAsia="es-ES"/>
        </w:rPr>
        <w:t>extrajo de</w:t>
      </w:r>
      <w:r w:rsidRPr="00386E47">
        <w:rPr>
          <w:rFonts w:asciiTheme="majorHAnsi" w:eastAsia="Calibri" w:hAnsiTheme="majorHAnsi"/>
          <w:sz w:val="20"/>
          <w:szCs w:val="20"/>
          <w:lang w:val="es-ES_tradnl" w:eastAsia="es-ES"/>
        </w:rPr>
        <w:t xml:space="preserve"> entre los escombros </w:t>
      </w:r>
      <w:r w:rsidR="00880D4C" w:rsidRPr="00386E47">
        <w:rPr>
          <w:rFonts w:asciiTheme="majorHAnsi" w:eastAsia="Calibri" w:hAnsiTheme="majorHAnsi"/>
          <w:sz w:val="20"/>
          <w:szCs w:val="20"/>
          <w:lang w:val="es-ES_tradnl" w:eastAsia="es-ES"/>
        </w:rPr>
        <w:t>una pieza</w:t>
      </w:r>
      <w:r w:rsidRPr="00386E47">
        <w:rPr>
          <w:rFonts w:asciiTheme="majorHAnsi" w:eastAsia="Calibri" w:hAnsiTheme="majorHAnsi"/>
          <w:sz w:val="20"/>
          <w:szCs w:val="20"/>
          <w:lang w:val="es-ES_tradnl" w:eastAsia="es-ES"/>
        </w:rPr>
        <w:t xml:space="preserve"> de motor </w:t>
      </w:r>
      <w:r w:rsidR="00880D4C" w:rsidRPr="00386E47">
        <w:rPr>
          <w:rFonts w:asciiTheme="majorHAnsi" w:eastAsia="Calibri" w:hAnsiTheme="majorHAnsi"/>
          <w:sz w:val="20"/>
          <w:szCs w:val="20"/>
          <w:lang w:val="es-ES_tradnl" w:eastAsia="es-ES"/>
        </w:rPr>
        <w:t xml:space="preserve">que </w:t>
      </w:r>
      <w:r w:rsidR="000E0C69" w:rsidRPr="00386E47">
        <w:rPr>
          <w:rFonts w:asciiTheme="majorHAnsi" w:eastAsia="Calibri" w:hAnsiTheme="majorHAnsi"/>
          <w:sz w:val="20"/>
          <w:szCs w:val="20"/>
          <w:lang w:val="es-ES_tradnl" w:eastAsia="es-ES"/>
        </w:rPr>
        <w:t>tenía</w:t>
      </w:r>
      <w:r w:rsidR="00880D4C" w:rsidRPr="00386E47">
        <w:rPr>
          <w:rFonts w:asciiTheme="majorHAnsi" w:eastAsia="Calibri" w:hAnsiTheme="majorHAnsi"/>
          <w:sz w:val="20"/>
          <w:szCs w:val="20"/>
          <w:lang w:val="es-ES_tradnl" w:eastAsia="es-ES"/>
        </w:rPr>
        <w:t xml:space="preserve"> grabado un </w:t>
      </w:r>
      <w:r w:rsidR="000E0C69" w:rsidRPr="00386E47">
        <w:rPr>
          <w:rFonts w:asciiTheme="majorHAnsi" w:eastAsia="Calibri" w:hAnsiTheme="majorHAnsi"/>
          <w:sz w:val="20"/>
          <w:szCs w:val="20"/>
          <w:lang w:val="es-ES_tradnl" w:eastAsia="es-ES"/>
        </w:rPr>
        <w:t>número</w:t>
      </w:r>
      <w:r w:rsidR="00880D4C" w:rsidRPr="00386E47">
        <w:rPr>
          <w:rFonts w:asciiTheme="majorHAnsi" w:eastAsia="Calibri" w:hAnsiTheme="majorHAnsi"/>
          <w:sz w:val="20"/>
          <w:szCs w:val="20"/>
          <w:lang w:val="es-ES_tradnl" w:eastAsia="es-ES"/>
        </w:rPr>
        <w:t xml:space="preserve"> de serie </w:t>
      </w:r>
      <w:r w:rsidR="000C3711" w:rsidRPr="00386E47">
        <w:rPr>
          <w:rFonts w:asciiTheme="majorHAnsi" w:eastAsia="Calibri" w:hAnsiTheme="majorHAnsi"/>
          <w:sz w:val="20"/>
          <w:szCs w:val="20"/>
          <w:lang w:val="es-ES_tradnl" w:eastAsia="es-ES"/>
        </w:rPr>
        <w:t>compatible con aquellos instalados en los</w:t>
      </w:r>
      <w:r w:rsidRPr="00386E47">
        <w:rPr>
          <w:rFonts w:asciiTheme="majorHAnsi" w:eastAsia="Calibri" w:hAnsiTheme="majorHAnsi"/>
          <w:sz w:val="20"/>
          <w:szCs w:val="20"/>
          <w:lang w:val="es-ES_tradnl" w:eastAsia="es-ES"/>
        </w:rPr>
        <w:t xml:space="preserve"> vehículo</w:t>
      </w:r>
      <w:r w:rsidR="000C3711" w:rsidRPr="00386E47">
        <w:rPr>
          <w:rFonts w:asciiTheme="majorHAnsi" w:eastAsia="Calibri" w:hAnsiTheme="majorHAnsi"/>
          <w:sz w:val="20"/>
          <w:szCs w:val="20"/>
          <w:lang w:val="es-ES_tradnl" w:eastAsia="es-ES"/>
        </w:rPr>
        <w:t>s utilitarios</w:t>
      </w:r>
      <w:r w:rsidRPr="00386E47">
        <w:rPr>
          <w:rFonts w:asciiTheme="majorHAnsi" w:eastAsia="Calibri" w:hAnsiTheme="majorHAnsi"/>
          <w:sz w:val="20"/>
          <w:szCs w:val="20"/>
          <w:lang w:val="es-ES_tradnl" w:eastAsia="es-ES"/>
        </w:rPr>
        <w:t xml:space="preserve"> marca Renault Trafic</w:t>
      </w:r>
      <w:r w:rsidRPr="00386E47">
        <w:rPr>
          <w:rFonts w:asciiTheme="majorHAnsi" w:eastAsia="Calibri" w:hAnsiTheme="majorHAnsi"/>
          <w:sz w:val="20"/>
          <w:szCs w:val="20"/>
          <w:vertAlign w:val="superscript"/>
          <w:lang w:val="es-ES_tradnl" w:eastAsia="es-ES"/>
        </w:rPr>
        <w:footnoteReference w:id="11"/>
      </w:r>
      <w:r w:rsidRPr="00386E47">
        <w:rPr>
          <w:rFonts w:asciiTheme="majorHAnsi" w:eastAsia="Calibri" w:hAnsiTheme="majorHAnsi"/>
          <w:sz w:val="20"/>
          <w:szCs w:val="20"/>
          <w:lang w:val="es-ES_tradnl" w:eastAsia="es-ES"/>
        </w:rPr>
        <w:t xml:space="preserve">. </w:t>
      </w:r>
    </w:p>
    <w:p w14:paraId="11F24004" w14:textId="77777777" w:rsidR="009F70EA" w:rsidRPr="00386E47" w:rsidRDefault="009F70EA" w:rsidP="00CE774A">
      <w:pPr>
        <w:tabs>
          <w:tab w:val="left" w:pos="426"/>
        </w:tabs>
        <w:contextualSpacing/>
        <w:jc w:val="both"/>
        <w:rPr>
          <w:rFonts w:asciiTheme="majorHAnsi" w:eastAsia="Calibri" w:hAnsiTheme="majorHAnsi"/>
          <w:sz w:val="20"/>
          <w:szCs w:val="20"/>
          <w:lang w:val="es-ES_tradnl" w:eastAsia="es-ES"/>
        </w:rPr>
      </w:pPr>
    </w:p>
    <w:p w14:paraId="158E8E6E" w14:textId="77777777" w:rsidR="009F70EA" w:rsidRPr="00386E47" w:rsidRDefault="000C3711" w:rsidP="003A5860">
      <w:pPr>
        <w:numPr>
          <w:ilvl w:val="0"/>
          <w:numId w:val="55"/>
        </w:numPr>
        <w:tabs>
          <w:tab w:val="left" w:pos="567"/>
        </w:tabs>
        <w:ind w:left="0" w:firstLine="0"/>
        <w:contextualSpacing/>
        <w:jc w:val="both"/>
        <w:rPr>
          <w:rFonts w:asciiTheme="majorHAnsi" w:eastAsia="Calibri" w:hAnsiTheme="majorHAnsi"/>
          <w:sz w:val="20"/>
          <w:szCs w:val="20"/>
          <w:lang w:val="es-ES_tradnl" w:eastAsia="es-ES"/>
        </w:rPr>
      </w:pPr>
      <w:r w:rsidRPr="00386E47">
        <w:rPr>
          <w:rFonts w:asciiTheme="majorHAnsi" w:eastAsia="Calibri" w:hAnsiTheme="majorHAnsi"/>
          <w:sz w:val="20"/>
          <w:szCs w:val="20"/>
          <w:lang w:val="es-ES_tradnl" w:eastAsia="es-ES"/>
        </w:rPr>
        <w:t>De acuerdo con el registro</w:t>
      </w:r>
      <w:r w:rsidR="009F70EA" w:rsidRPr="00386E47">
        <w:rPr>
          <w:rFonts w:asciiTheme="majorHAnsi" w:eastAsia="Calibri" w:hAnsiTheme="majorHAnsi"/>
          <w:sz w:val="20"/>
          <w:szCs w:val="20"/>
          <w:lang w:val="es-ES_tradnl" w:eastAsia="es-ES"/>
        </w:rPr>
        <w:t xml:space="preserve"> de la propiedad automotor, el motor secuestrado en </w:t>
      </w:r>
      <w:r w:rsidR="00880D4C" w:rsidRPr="00386E47">
        <w:rPr>
          <w:rFonts w:asciiTheme="majorHAnsi" w:eastAsia="Calibri" w:hAnsiTheme="majorHAnsi"/>
          <w:sz w:val="20"/>
          <w:szCs w:val="20"/>
          <w:lang w:val="es-ES_tradnl" w:eastAsia="es-ES"/>
        </w:rPr>
        <w:t>los restos de la AMIA</w:t>
      </w:r>
      <w:r w:rsidR="009F70EA" w:rsidRPr="00386E47">
        <w:rPr>
          <w:rFonts w:asciiTheme="majorHAnsi" w:eastAsia="Calibri" w:hAnsiTheme="majorHAnsi"/>
          <w:sz w:val="20"/>
          <w:szCs w:val="20"/>
          <w:lang w:val="es-ES_tradnl" w:eastAsia="es-ES"/>
        </w:rPr>
        <w:t xml:space="preserve"> había sido colocado en una R</w:t>
      </w:r>
      <w:r w:rsidRPr="00386E47">
        <w:rPr>
          <w:rFonts w:asciiTheme="majorHAnsi" w:eastAsia="Calibri" w:hAnsiTheme="majorHAnsi"/>
          <w:sz w:val="20"/>
          <w:szCs w:val="20"/>
          <w:lang w:val="es-ES_tradnl" w:eastAsia="es-ES"/>
        </w:rPr>
        <w:t>enault Trafic propiedad de</w:t>
      </w:r>
      <w:r w:rsidR="009F70EA" w:rsidRPr="00386E47">
        <w:rPr>
          <w:rFonts w:asciiTheme="majorHAnsi" w:eastAsia="Calibri" w:hAnsiTheme="majorHAnsi"/>
          <w:sz w:val="20"/>
          <w:szCs w:val="20"/>
          <w:lang w:val="es-ES_tradnl" w:eastAsia="es-ES"/>
        </w:rPr>
        <w:t xml:space="preserve"> u</w:t>
      </w:r>
      <w:r w:rsidR="00EC07A3" w:rsidRPr="00386E47">
        <w:rPr>
          <w:rFonts w:asciiTheme="majorHAnsi" w:eastAsia="Calibri" w:hAnsiTheme="majorHAnsi"/>
          <w:sz w:val="20"/>
          <w:szCs w:val="20"/>
          <w:lang w:val="es-ES_tradnl" w:eastAsia="es-ES"/>
        </w:rPr>
        <w:t>na empresa llamada Messin S.R.L.</w:t>
      </w:r>
      <w:r w:rsidR="009F70EA" w:rsidRPr="00386E47">
        <w:rPr>
          <w:rFonts w:asciiTheme="majorHAnsi" w:eastAsia="Calibri" w:hAnsiTheme="majorHAnsi"/>
          <w:sz w:val="20"/>
          <w:szCs w:val="20"/>
          <w:lang w:val="es-ES_tradnl" w:eastAsia="es-ES"/>
        </w:rPr>
        <w:t xml:space="preserve"> Funcionarios de la entonces Secretaria de Inteligencia del Estado (SIDE) se entrevistaron con representantes de esa empresa, quienes informaron que el 7 de marzo de 1994 la Trafic en cuestión había sufrido un incendio y que, hacia fines de marzo, la empresa aseguradora “Solvencia” había abonado la indemnización correspondiente y se había hecho cargo de</w:t>
      </w:r>
      <w:r w:rsidR="00880D4C" w:rsidRPr="00386E47">
        <w:rPr>
          <w:rFonts w:asciiTheme="majorHAnsi" w:eastAsia="Calibri" w:hAnsiTheme="majorHAnsi"/>
          <w:sz w:val="20"/>
          <w:szCs w:val="20"/>
          <w:lang w:val="es-ES_tradnl" w:eastAsia="es-ES"/>
        </w:rPr>
        <w:t xml:space="preserve"> la tenencia del </w:t>
      </w:r>
      <w:r w:rsidR="009F70EA" w:rsidRPr="00386E47">
        <w:rPr>
          <w:rFonts w:asciiTheme="majorHAnsi" w:eastAsia="Calibri" w:hAnsiTheme="majorHAnsi"/>
          <w:sz w:val="20"/>
          <w:szCs w:val="20"/>
          <w:lang w:val="es-ES_tradnl" w:eastAsia="es-ES"/>
        </w:rPr>
        <w:t>vehículo</w:t>
      </w:r>
      <w:r w:rsidR="009F70EA" w:rsidRPr="00386E47">
        <w:rPr>
          <w:rFonts w:asciiTheme="majorHAnsi" w:eastAsia="Calibri" w:hAnsiTheme="majorHAnsi"/>
          <w:sz w:val="20"/>
          <w:szCs w:val="20"/>
          <w:vertAlign w:val="superscript"/>
          <w:lang w:val="es-ES_tradnl" w:eastAsia="es-ES"/>
        </w:rPr>
        <w:footnoteReference w:id="12"/>
      </w:r>
      <w:r w:rsidR="009F70EA" w:rsidRPr="00386E47">
        <w:rPr>
          <w:rFonts w:asciiTheme="majorHAnsi" w:eastAsia="Calibri" w:hAnsiTheme="majorHAnsi"/>
          <w:sz w:val="20"/>
          <w:szCs w:val="20"/>
          <w:lang w:val="es-ES_tradnl" w:eastAsia="es-ES"/>
        </w:rPr>
        <w:t xml:space="preserve">.   </w:t>
      </w:r>
    </w:p>
    <w:p w14:paraId="18FAD58D" w14:textId="77777777" w:rsidR="009F70EA" w:rsidRPr="00386E47" w:rsidRDefault="009F70EA" w:rsidP="00CE774A">
      <w:pPr>
        <w:tabs>
          <w:tab w:val="left" w:pos="426"/>
        </w:tabs>
        <w:jc w:val="both"/>
        <w:rPr>
          <w:rFonts w:asciiTheme="majorHAnsi" w:eastAsia="Calibri" w:hAnsiTheme="majorHAnsi"/>
          <w:sz w:val="20"/>
          <w:szCs w:val="20"/>
          <w:lang w:val="es-ES_tradnl" w:eastAsia="es-ES"/>
        </w:rPr>
      </w:pPr>
    </w:p>
    <w:p w14:paraId="69DF2F8D" w14:textId="77777777" w:rsidR="00223175" w:rsidRPr="00386E47" w:rsidRDefault="009F70EA" w:rsidP="003A5860">
      <w:pPr>
        <w:numPr>
          <w:ilvl w:val="0"/>
          <w:numId w:val="55"/>
        </w:numPr>
        <w:tabs>
          <w:tab w:val="left" w:pos="567"/>
        </w:tabs>
        <w:ind w:left="0" w:firstLine="0"/>
        <w:contextualSpacing/>
        <w:jc w:val="both"/>
        <w:rPr>
          <w:rFonts w:asciiTheme="majorHAnsi" w:eastAsia="Calibri" w:hAnsiTheme="majorHAnsi"/>
          <w:sz w:val="20"/>
          <w:szCs w:val="20"/>
          <w:lang w:val="es-ES_tradnl" w:eastAsia="es-ES"/>
        </w:rPr>
      </w:pPr>
      <w:r w:rsidRPr="00386E47">
        <w:rPr>
          <w:rFonts w:asciiTheme="majorHAnsi" w:eastAsia="Calibri" w:hAnsiTheme="majorHAnsi"/>
          <w:sz w:val="20"/>
          <w:szCs w:val="20"/>
          <w:lang w:val="es-ES_tradnl" w:eastAsia="es-ES"/>
        </w:rPr>
        <w:t>Investigaciones posteriores arrojaron que la</w:t>
      </w:r>
      <w:r w:rsidR="00223175" w:rsidRPr="00386E47">
        <w:rPr>
          <w:rFonts w:asciiTheme="majorHAnsi" w:eastAsia="Calibri" w:hAnsiTheme="majorHAnsi"/>
          <w:sz w:val="20"/>
          <w:szCs w:val="20"/>
          <w:lang w:val="es-ES_tradnl" w:eastAsia="es-ES"/>
        </w:rPr>
        <w:t xml:space="preserve"> aseguradora “Solvencia” no </w:t>
      </w:r>
      <w:r w:rsidR="00386243" w:rsidRPr="00386E47">
        <w:rPr>
          <w:rFonts w:asciiTheme="majorHAnsi" w:eastAsia="Calibri" w:hAnsiTheme="majorHAnsi"/>
          <w:sz w:val="20"/>
          <w:szCs w:val="20"/>
          <w:lang w:val="es-ES_tradnl" w:eastAsia="es-ES"/>
        </w:rPr>
        <w:t>tramitó la</w:t>
      </w:r>
      <w:r w:rsidR="00223175" w:rsidRPr="00386E47">
        <w:rPr>
          <w:rFonts w:asciiTheme="majorHAnsi" w:eastAsia="Calibri" w:hAnsiTheme="majorHAnsi"/>
          <w:sz w:val="20"/>
          <w:szCs w:val="20"/>
          <w:lang w:val="es-ES_tradnl" w:eastAsia="es-ES"/>
        </w:rPr>
        <w:t xml:space="preserve"> baja </w:t>
      </w:r>
      <w:r w:rsidR="00386243" w:rsidRPr="00386E47">
        <w:rPr>
          <w:rFonts w:asciiTheme="majorHAnsi" w:eastAsia="Calibri" w:hAnsiTheme="majorHAnsi"/>
          <w:sz w:val="20"/>
          <w:szCs w:val="20"/>
          <w:lang w:val="es-ES_tradnl" w:eastAsia="es-ES"/>
        </w:rPr>
        <w:t>de</w:t>
      </w:r>
      <w:r w:rsidR="00880D4C" w:rsidRPr="00386E47">
        <w:rPr>
          <w:rFonts w:asciiTheme="majorHAnsi" w:eastAsia="Calibri" w:hAnsiTheme="majorHAnsi"/>
          <w:sz w:val="20"/>
          <w:szCs w:val="20"/>
          <w:lang w:val="es-ES_tradnl" w:eastAsia="es-ES"/>
        </w:rPr>
        <w:t xml:space="preserve">l vehículo </w:t>
      </w:r>
      <w:r w:rsidR="00223175" w:rsidRPr="00386E47">
        <w:rPr>
          <w:rFonts w:asciiTheme="majorHAnsi" w:eastAsia="Calibri" w:hAnsiTheme="majorHAnsi"/>
          <w:sz w:val="20"/>
          <w:szCs w:val="20"/>
          <w:lang w:val="es-ES_tradnl" w:eastAsia="es-ES"/>
        </w:rPr>
        <w:t xml:space="preserve">del registro </w:t>
      </w:r>
      <w:r w:rsidR="00386243" w:rsidRPr="00386E47">
        <w:rPr>
          <w:rFonts w:asciiTheme="majorHAnsi" w:eastAsia="Calibri" w:hAnsiTheme="majorHAnsi"/>
          <w:sz w:val="20"/>
          <w:szCs w:val="20"/>
          <w:lang w:val="es-ES_tradnl" w:eastAsia="es-ES"/>
        </w:rPr>
        <w:t xml:space="preserve">del automotor </w:t>
      </w:r>
      <w:r w:rsidR="00223175" w:rsidRPr="00386E47">
        <w:rPr>
          <w:rFonts w:asciiTheme="majorHAnsi" w:eastAsia="Calibri" w:hAnsiTheme="majorHAnsi"/>
          <w:sz w:val="20"/>
          <w:szCs w:val="20"/>
          <w:lang w:val="es-ES_tradnl" w:eastAsia="es-ES"/>
        </w:rPr>
        <w:t>tal como era su obligación legal, sino que l</w:t>
      </w:r>
      <w:r w:rsidR="00880D4C" w:rsidRPr="00386E47">
        <w:rPr>
          <w:rFonts w:asciiTheme="majorHAnsi" w:eastAsia="Calibri" w:hAnsiTheme="majorHAnsi"/>
          <w:sz w:val="20"/>
          <w:szCs w:val="20"/>
          <w:lang w:val="es-ES_tradnl" w:eastAsia="es-ES"/>
        </w:rPr>
        <w:t>o</w:t>
      </w:r>
      <w:r w:rsidR="00223175" w:rsidRPr="00386E47">
        <w:rPr>
          <w:rFonts w:asciiTheme="majorHAnsi" w:eastAsia="Calibri" w:hAnsiTheme="majorHAnsi"/>
          <w:sz w:val="20"/>
          <w:szCs w:val="20"/>
          <w:lang w:val="es-ES_tradnl" w:eastAsia="es-ES"/>
        </w:rPr>
        <w:t xml:space="preserve"> transfirió</w:t>
      </w:r>
      <w:r w:rsidR="00386243" w:rsidRPr="00386E47">
        <w:rPr>
          <w:rFonts w:asciiTheme="majorHAnsi" w:eastAsia="Calibri" w:hAnsiTheme="majorHAnsi"/>
          <w:sz w:val="20"/>
          <w:szCs w:val="20"/>
          <w:lang w:val="es-ES_tradnl" w:eastAsia="es-ES"/>
        </w:rPr>
        <w:t xml:space="preserve">, en el estado en que se encontraba, a </w:t>
      </w:r>
      <w:r w:rsidR="00223175" w:rsidRPr="00386E47">
        <w:rPr>
          <w:rFonts w:asciiTheme="majorHAnsi" w:eastAsia="Calibri" w:hAnsiTheme="majorHAnsi"/>
          <w:sz w:val="20"/>
          <w:szCs w:val="20"/>
          <w:lang w:val="es-ES_tradnl" w:eastAsia="es-ES"/>
        </w:rPr>
        <w:t xml:space="preserve">una concesionaria de autos llamada “Automotores Alejandro”. El 4 de julio de 1994, esto es: dos semanas antes del atentado a la AMIA, un hombre llamado Carlos </w:t>
      </w:r>
      <w:r w:rsidR="00880D4C" w:rsidRPr="00386E47">
        <w:rPr>
          <w:rFonts w:asciiTheme="majorHAnsi" w:eastAsia="Calibri" w:hAnsiTheme="majorHAnsi"/>
          <w:sz w:val="20"/>
          <w:szCs w:val="20"/>
          <w:lang w:val="es-ES_tradnl" w:eastAsia="es-ES"/>
        </w:rPr>
        <w:t>Telleldín</w:t>
      </w:r>
      <w:r w:rsidR="00223175" w:rsidRPr="00386E47">
        <w:rPr>
          <w:rFonts w:asciiTheme="majorHAnsi" w:eastAsia="Calibri" w:hAnsiTheme="majorHAnsi"/>
          <w:sz w:val="20"/>
          <w:szCs w:val="20"/>
          <w:lang w:val="es-ES_tradnl" w:eastAsia="es-ES"/>
        </w:rPr>
        <w:t xml:space="preserve"> adquirió la Trafic a manos de “Automotores Alejandro”. El juez instructor dispuso la detención de </w:t>
      </w:r>
      <w:r w:rsidR="00880D4C" w:rsidRPr="00386E47">
        <w:rPr>
          <w:rFonts w:asciiTheme="majorHAnsi" w:eastAsia="Calibri" w:hAnsiTheme="majorHAnsi"/>
          <w:sz w:val="20"/>
          <w:szCs w:val="20"/>
          <w:lang w:val="es-ES_tradnl" w:eastAsia="es-ES"/>
        </w:rPr>
        <w:t>Telleldín</w:t>
      </w:r>
      <w:r w:rsidR="00223175" w:rsidRPr="00386E47">
        <w:rPr>
          <w:rFonts w:asciiTheme="majorHAnsi" w:eastAsia="Calibri" w:hAnsiTheme="majorHAnsi"/>
          <w:sz w:val="20"/>
          <w:szCs w:val="20"/>
          <w:lang w:val="es-ES_tradnl" w:eastAsia="es-ES"/>
        </w:rPr>
        <w:t>, quien fue arrestado el 27 de julio por agentes de la SIDE y de la Policía Federal Argentina en el Aeroparque Jorge Newbery de la ciudad de Buenos Aires</w:t>
      </w:r>
      <w:r w:rsidR="00223175" w:rsidRPr="00386E47">
        <w:rPr>
          <w:rFonts w:asciiTheme="majorHAnsi" w:eastAsia="Calibri" w:hAnsiTheme="majorHAnsi"/>
          <w:sz w:val="20"/>
          <w:szCs w:val="20"/>
          <w:vertAlign w:val="superscript"/>
          <w:lang w:val="es-ES_tradnl" w:eastAsia="es-ES"/>
        </w:rPr>
        <w:footnoteReference w:id="13"/>
      </w:r>
      <w:r w:rsidR="00223175" w:rsidRPr="00386E47">
        <w:rPr>
          <w:rFonts w:asciiTheme="majorHAnsi" w:eastAsia="Calibri" w:hAnsiTheme="majorHAnsi"/>
          <w:sz w:val="20"/>
          <w:szCs w:val="20"/>
          <w:lang w:val="es-ES_tradnl" w:eastAsia="es-ES"/>
        </w:rPr>
        <w:t>.</w:t>
      </w:r>
    </w:p>
    <w:p w14:paraId="3230304E" w14:textId="77777777" w:rsidR="009F70EA" w:rsidRPr="00386E47" w:rsidRDefault="009F70EA" w:rsidP="00CE774A">
      <w:pPr>
        <w:tabs>
          <w:tab w:val="left" w:pos="426"/>
        </w:tabs>
        <w:contextualSpacing/>
        <w:jc w:val="both"/>
        <w:rPr>
          <w:rFonts w:asciiTheme="majorHAnsi" w:eastAsia="Calibri" w:hAnsiTheme="majorHAnsi"/>
          <w:sz w:val="20"/>
          <w:szCs w:val="20"/>
          <w:lang w:val="es-ES_tradnl" w:eastAsia="es-ES"/>
        </w:rPr>
      </w:pPr>
    </w:p>
    <w:p w14:paraId="7DB9F261" w14:textId="77777777" w:rsidR="009F70EA" w:rsidRPr="00386E47" w:rsidRDefault="00223175" w:rsidP="003A5860">
      <w:pPr>
        <w:numPr>
          <w:ilvl w:val="0"/>
          <w:numId w:val="55"/>
        </w:numPr>
        <w:tabs>
          <w:tab w:val="left" w:pos="567"/>
        </w:tabs>
        <w:ind w:left="0" w:firstLine="0"/>
        <w:contextualSpacing/>
        <w:jc w:val="both"/>
        <w:rPr>
          <w:rFonts w:asciiTheme="majorHAnsi" w:eastAsia="Calibri" w:hAnsiTheme="majorHAnsi"/>
          <w:sz w:val="20"/>
          <w:szCs w:val="20"/>
          <w:lang w:val="es-ES_tradnl" w:eastAsia="es-ES"/>
        </w:rPr>
      </w:pPr>
      <w:r w:rsidRPr="00386E47">
        <w:rPr>
          <w:rFonts w:asciiTheme="majorHAnsi" w:eastAsia="Calibri" w:hAnsiTheme="majorHAnsi"/>
          <w:sz w:val="20"/>
          <w:szCs w:val="20"/>
          <w:lang w:val="es-ES_tradnl" w:eastAsia="es-ES"/>
        </w:rPr>
        <w:t>Por espacio de casi</w:t>
      </w:r>
      <w:r w:rsidR="009F70EA" w:rsidRPr="00386E47">
        <w:rPr>
          <w:rFonts w:asciiTheme="majorHAnsi" w:eastAsia="Calibri" w:hAnsiTheme="majorHAnsi"/>
          <w:sz w:val="20"/>
          <w:szCs w:val="20"/>
          <w:lang w:val="es-ES_tradnl" w:eastAsia="es-ES"/>
        </w:rPr>
        <w:t xml:space="preserve"> dos años Carlos </w:t>
      </w:r>
      <w:r w:rsidR="00880D4C" w:rsidRPr="00386E47">
        <w:rPr>
          <w:rFonts w:asciiTheme="majorHAnsi" w:eastAsia="Calibri" w:hAnsiTheme="majorHAnsi"/>
          <w:sz w:val="20"/>
          <w:szCs w:val="20"/>
          <w:lang w:val="es-ES_tradnl" w:eastAsia="es-ES"/>
        </w:rPr>
        <w:t>Telleldín</w:t>
      </w:r>
      <w:r w:rsidR="009F70EA" w:rsidRPr="00386E47">
        <w:rPr>
          <w:rFonts w:asciiTheme="majorHAnsi" w:eastAsia="Calibri" w:hAnsiTheme="majorHAnsi"/>
          <w:sz w:val="20"/>
          <w:szCs w:val="20"/>
          <w:lang w:val="es-ES_tradnl" w:eastAsia="es-ES"/>
        </w:rPr>
        <w:t xml:space="preserve"> fue la única persona </w:t>
      </w:r>
      <w:r w:rsidRPr="00386E47">
        <w:rPr>
          <w:rFonts w:asciiTheme="majorHAnsi" w:eastAsia="Calibri" w:hAnsiTheme="majorHAnsi"/>
          <w:sz w:val="20"/>
          <w:szCs w:val="20"/>
          <w:lang w:val="es-ES_tradnl" w:eastAsia="es-ES"/>
        </w:rPr>
        <w:t xml:space="preserve">detenida y </w:t>
      </w:r>
      <w:r w:rsidR="009F70EA" w:rsidRPr="00386E47">
        <w:rPr>
          <w:rFonts w:asciiTheme="majorHAnsi" w:eastAsia="Calibri" w:hAnsiTheme="majorHAnsi"/>
          <w:sz w:val="20"/>
          <w:szCs w:val="20"/>
          <w:lang w:val="es-ES_tradnl" w:eastAsia="es-ES"/>
        </w:rPr>
        <w:t xml:space="preserve">formalmente acusada de tener algún grado de participación </w:t>
      </w:r>
      <w:r w:rsidRPr="00386E47">
        <w:rPr>
          <w:rFonts w:asciiTheme="majorHAnsi" w:eastAsia="Calibri" w:hAnsiTheme="majorHAnsi"/>
          <w:sz w:val="20"/>
          <w:szCs w:val="20"/>
          <w:lang w:val="es-ES_tradnl" w:eastAsia="es-ES"/>
        </w:rPr>
        <w:t>en</w:t>
      </w:r>
      <w:r w:rsidR="009F70EA" w:rsidRPr="00386E47">
        <w:rPr>
          <w:rFonts w:asciiTheme="majorHAnsi" w:eastAsia="Calibri" w:hAnsiTheme="majorHAnsi"/>
          <w:sz w:val="20"/>
          <w:szCs w:val="20"/>
          <w:lang w:val="es-ES_tradnl" w:eastAsia="es-ES"/>
        </w:rPr>
        <w:t xml:space="preserve"> el atentado. Sobre su persona pendía, concretamente, la acusación de haber entregado la Trafic a aquellos responsables de planificar o perpetrar el </w:t>
      </w:r>
      <w:r w:rsidRPr="00386E47">
        <w:rPr>
          <w:rFonts w:asciiTheme="majorHAnsi" w:eastAsia="Calibri" w:hAnsiTheme="majorHAnsi"/>
          <w:sz w:val="20"/>
          <w:szCs w:val="20"/>
          <w:lang w:val="es-ES_tradnl" w:eastAsia="es-ES"/>
        </w:rPr>
        <w:t>ataque a la AMIA</w:t>
      </w:r>
      <w:r w:rsidR="009F70EA" w:rsidRPr="00386E47">
        <w:rPr>
          <w:rFonts w:asciiTheme="majorHAnsi" w:eastAsia="Calibri" w:hAnsiTheme="majorHAnsi"/>
          <w:sz w:val="20"/>
          <w:szCs w:val="20"/>
          <w:lang w:val="es-ES_tradnl" w:eastAsia="es-ES"/>
        </w:rPr>
        <w:t xml:space="preserve">, a sabiendas de su destino final. </w:t>
      </w:r>
      <w:r w:rsidR="00880D4C" w:rsidRPr="00386E47">
        <w:rPr>
          <w:rFonts w:asciiTheme="majorHAnsi" w:eastAsia="Calibri" w:hAnsiTheme="majorHAnsi"/>
          <w:sz w:val="20"/>
          <w:szCs w:val="20"/>
          <w:lang w:val="es-ES_tradnl" w:eastAsia="es-ES"/>
        </w:rPr>
        <w:t>Telleldín</w:t>
      </w:r>
      <w:r w:rsidR="009F70EA" w:rsidRPr="00386E47">
        <w:rPr>
          <w:rFonts w:asciiTheme="majorHAnsi" w:eastAsia="Calibri" w:hAnsiTheme="majorHAnsi"/>
          <w:sz w:val="20"/>
          <w:szCs w:val="20"/>
          <w:lang w:val="es-ES_tradnl" w:eastAsia="es-ES"/>
        </w:rPr>
        <w:t xml:space="preserve"> fue convocado en cuatro oportunidades a prestar declaración indagatoria durante 1994 y 1995. En ninguna de esas declaraciones aportó datos que permitieran profundizar la investigación</w:t>
      </w:r>
      <w:r w:rsidR="009F70EA" w:rsidRPr="00386E47">
        <w:rPr>
          <w:rFonts w:asciiTheme="majorHAnsi" w:eastAsia="Calibri" w:hAnsiTheme="majorHAnsi"/>
          <w:sz w:val="20"/>
          <w:szCs w:val="20"/>
          <w:vertAlign w:val="superscript"/>
          <w:lang w:val="es-ES_tradnl" w:eastAsia="es-ES"/>
        </w:rPr>
        <w:footnoteReference w:id="14"/>
      </w:r>
      <w:r w:rsidR="009F70EA" w:rsidRPr="00386E47">
        <w:rPr>
          <w:rFonts w:asciiTheme="majorHAnsi" w:eastAsia="Calibri" w:hAnsiTheme="majorHAnsi"/>
          <w:sz w:val="20"/>
          <w:szCs w:val="20"/>
          <w:lang w:val="es-ES_tradnl" w:eastAsia="es-ES"/>
        </w:rPr>
        <w:t xml:space="preserve">. </w:t>
      </w:r>
    </w:p>
    <w:p w14:paraId="61946F78" w14:textId="77777777" w:rsidR="009F70EA" w:rsidRPr="00386E47" w:rsidRDefault="009F70EA" w:rsidP="00CE774A">
      <w:pPr>
        <w:tabs>
          <w:tab w:val="left" w:pos="426"/>
        </w:tabs>
        <w:contextualSpacing/>
        <w:jc w:val="both"/>
        <w:rPr>
          <w:rFonts w:asciiTheme="majorHAnsi" w:eastAsia="Calibri" w:hAnsiTheme="majorHAnsi"/>
          <w:sz w:val="20"/>
          <w:szCs w:val="20"/>
          <w:lang w:val="es-ES_tradnl" w:eastAsia="es-ES"/>
        </w:rPr>
      </w:pPr>
    </w:p>
    <w:p w14:paraId="16852EBB" w14:textId="77777777" w:rsidR="009F70EA" w:rsidRPr="00386E47" w:rsidRDefault="009F70EA" w:rsidP="003A5860">
      <w:pPr>
        <w:numPr>
          <w:ilvl w:val="0"/>
          <w:numId w:val="55"/>
        </w:numPr>
        <w:tabs>
          <w:tab w:val="left" w:pos="567"/>
        </w:tabs>
        <w:ind w:left="0" w:firstLine="0"/>
        <w:contextualSpacing/>
        <w:jc w:val="both"/>
        <w:rPr>
          <w:rFonts w:asciiTheme="majorHAnsi" w:eastAsia="Calibri" w:hAnsiTheme="majorHAnsi"/>
          <w:sz w:val="20"/>
          <w:szCs w:val="20"/>
          <w:lang w:val="es-ES_tradnl" w:eastAsia="es-ES"/>
        </w:rPr>
      </w:pPr>
      <w:r w:rsidRPr="00386E47">
        <w:rPr>
          <w:rFonts w:asciiTheme="majorHAnsi" w:eastAsia="Calibri" w:hAnsiTheme="majorHAnsi"/>
          <w:sz w:val="20"/>
          <w:szCs w:val="20"/>
          <w:lang w:val="es-ES_tradnl" w:eastAsia="es-ES"/>
        </w:rPr>
        <w:t xml:space="preserve">El 5 de julio de 1996 Carlos </w:t>
      </w:r>
      <w:r w:rsidR="00880D4C" w:rsidRPr="00386E47">
        <w:rPr>
          <w:rFonts w:asciiTheme="majorHAnsi" w:eastAsia="Calibri" w:hAnsiTheme="majorHAnsi"/>
          <w:sz w:val="20"/>
          <w:szCs w:val="20"/>
          <w:lang w:val="es-ES_tradnl" w:eastAsia="es-ES"/>
        </w:rPr>
        <w:t>Telleldín</w:t>
      </w:r>
      <w:r w:rsidRPr="00386E47">
        <w:rPr>
          <w:rFonts w:asciiTheme="majorHAnsi" w:eastAsia="Calibri" w:hAnsiTheme="majorHAnsi"/>
          <w:sz w:val="20"/>
          <w:szCs w:val="20"/>
          <w:lang w:val="es-ES_tradnl" w:eastAsia="es-ES"/>
        </w:rPr>
        <w:t xml:space="preserve"> </w:t>
      </w:r>
      <w:r w:rsidR="00365006" w:rsidRPr="00386E47">
        <w:rPr>
          <w:rFonts w:asciiTheme="majorHAnsi" w:eastAsia="Calibri" w:hAnsiTheme="majorHAnsi"/>
          <w:sz w:val="20"/>
          <w:szCs w:val="20"/>
          <w:lang w:val="es-ES_tradnl" w:eastAsia="es-ES"/>
        </w:rPr>
        <w:t>brindó</w:t>
      </w:r>
      <w:r w:rsidR="00223175" w:rsidRPr="00386E47">
        <w:rPr>
          <w:rFonts w:asciiTheme="majorHAnsi" w:eastAsia="Calibri" w:hAnsiTheme="majorHAnsi"/>
          <w:sz w:val="20"/>
          <w:szCs w:val="20"/>
          <w:lang w:val="es-ES_tradnl" w:eastAsia="es-ES"/>
        </w:rPr>
        <w:t xml:space="preserve"> una nueva declaración indagatoria</w:t>
      </w:r>
      <w:r w:rsidRPr="00386E47">
        <w:rPr>
          <w:rFonts w:asciiTheme="majorHAnsi" w:eastAsia="Calibri" w:hAnsiTheme="majorHAnsi"/>
          <w:sz w:val="20"/>
          <w:szCs w:val="20"/>
          <w:lang w:val="es-ES_tradnl" w:eastAsia="es-ES"/>
        </w:rPr>
        <w:t xml:space="preserve"> ante el juez Galeano. En esa oportunidad </w:t>
      </w:r>
      <w:r w:rsidR="00880D4C" w:rsidRPr="00386E47">
        <w:rPr>
          <w:rFonts w:asciiTheme="majorHAnsi" w:eastAsia="Calibri" w:hAnsiTheme="majorHAnsi"/>
          <w:sz w:val="20"/>
          <w:szCs w:val="20"/>
          <w:lang w:val="es-ES_tradnl" w:eastAsia="es-ES"/>
        </w:rPr>
        <w:t>Telleldín</w:t>
      </w:r>
      <w:r w:rsidRPr="00386E47">
        <w:rPr>
          <w:rFonts w:asciiTheme="majorHAnsi" w:eastAsia="Calibri" w:hAnsiTheme="majorHAnsi"/>
          <w:sz w:val="20"/>
          <w:szCs w:val="20"/>
          <w:lang w:val="es-ES_tradnl" w:eastAsia="es-ES"/>
        </w:rPr>
        <w:t xml:space="preserve"> </w:t>
      </w:r>
      <w:r w:rsidRPr="00386E47">
        <w:rPr>
          <w:rFonts w:asciiTheme="majorHAnsi" w:eastAsia="Calibri" w:hAnsiTheme="majorHAnsi"/>
          <w:sz w:val="20"/>
          <w:szCs w:val="20"/>
          <w:lang w:val="es-AR" w:eastAsia="es-ES"/>
        </w:rPr>
        <w:t>“refirió que fue víctima de extorsiones por parte de personal de la Policía Bonaerense, que culminaron en la venta de la camioneta Trafic a una persona que los acompañaba”</w:t>
      </w:r>
      <w:r w:rsidRPr="00386E47">
        <w:rPr>
          <w:rFonts w:asciiTheme="majorHAnsi" w:eastAsia="Calibri" w:hAnsiTheme="majorHAnsi"/>
          <w:sz w:val="20"/>
          <w:szCs w:val="20"/>
          <w:vertAlign w:val="superscript"/>
          <w:lang w:val="es-AR" w:eastAsia="es-ES"/>
        </w:rPr>
        <w:footnoteReference w:id="15"/>
      </w:r>
      <w:r w:rsidRPr="00386E47">
        <w:rPr>
          <w:rFonts w:asciiTheme="majorHAnsi" w:eastAsia="Calibri" w:hAnsiTheme="majorHAnsi"/>
          <w:sz w:val="20"/>
          <w:szCs w:val="20"/>
          <w:lang w:val="es-AR" w:eastAsia="es-ES"/>
        </w:rPr>
        <w:t>. Cuatro policías que revistaban al momento de los hechos en las brigadas de investigaciones de las localidades de Lanús y Vicente López fueron arrestados y acusados de formar parte de la conexión local del atentado</w:t>
      </w:r>
      <w:r w:rsidR="00880D4C" w:rsidRPr="00386E47">
        <w:rPr>
          <w:rStyle w:val="FootnoteReference"/>
          <w:rFonts w:asciiTheme="majorHAnsi" w:eastAsia="Calibri" w:hAnsiTheme="majorHAnsi"/>
          <w:sz w:val="20"/>
          <w:szCs w:val="20"/>
          <w:lang w:val="es-AR" w:eastAsia="es-ES"/>
        </w:rPr>
        <w:footnoteReference w:id="16"/>
      </w:r>
      <w:r w:rsidRPr="00386E47">
        <w:rPr>
          <w:rFonts w:asciiTheme="majorHAnsi" w:eastAsia="Calibri" w:hAnsiTheme="majorHAnsi"/>
          <w:sz w:val="20"/>
          <w:szCs w:val="20"/>
          <w:lang w:val="es-AR" w:eastAsia="es-ES"/>
        </w:rPr>
        <w:t xml:space="preserve">.  </w:t>
      </w:r>
    </w:p>
    <w:p w14:paraId="0E5E7123" w14:textId="77777777" w:rsidR="009F70EA" w:rsidRPr="00386E47" w:rsidRDefault="009F70EA" w:rsidP="00CE774A">
      <w:pPr>
        <w:tabs>
          <w:tab w:val="left" w:pos="426"/>
        </w:tabs>
        <w:contextualSpacing/>
        <w:jc w:val="both"/>
        <w:rPr>
          <w:rFonts w:asciiTheme="majorHAnsi" w:eastAsia="Calibri" w:hAnsiTheme="majorHAnsi"/>
          <w:sz w:val="20"/>
          <w:szCs w:val="20"/>
          <w:lang w:val="es-ES_tradnl" w:eastAsia="es-ES"/>
        </w:rPr>
      </w:pPr>
    </w:p>
    <w:p w14:paraId="5826FDD7" w14:textId="77777777" w:rsidR="009F70EA" w:rsidRPr="00386E47" w:rsidRDefault="009F70EA" w:rsidP="003A5860">
      <w:pPr>
        <w:numPr>
          <w:ilvl w:val="0"/>
          <w:numId w:val="55"/>
        </w:numPr>
        <w:tabs>
          <w:tab w:val="left" w:pos="567"/>
        </w:tabs>
        <w:ind w:left="0" w:firstLine="0"/>
        <w:contextualSpacing/>
        <w:jc w:val="both"/>
        <w:rPr>
          <w:rFonts w:asciiTheme="majorHAnsi" w:eastAsia="Calibri" w:hAnsiTheme="majorHAnsi"/>
          <w:sz w:val="20"/>
          <w:szCs w:val="20"/>
          <w:lang w:val="es-ES_tradnl" w:eastAsia="es-ES"/>
        </w:rPr>
      </w:pPr>
      <w:r w:rsidRPr="00386E47">
        <w:rPr>
          <w:rFonts w:asciiTheme="majorHAnsi" w:eastAsia="Calibri" w:hAnsiTheme="majorHAnsi"/>
          <w:sz w:val="20"/>
          <w:szCs w:val="20"/>
          <w:lang w:val="es-ES_tradnl" w:eastAsia="es-ES"/>
        </w:rPr>
        <w:t xml:space="preserve">En el mes de febrero de 2000 el Juez Galeano decretó la clausura de la instrucción y dictó auto de elevación a juicio oral contra </w:t>
      </w:r>
      <w:r w:rsidR="00880D4C" w:rsidRPr="00386E47">
        <w:rPr>
          <w:rFonts w:asciiTheme="majorHAnsi" w:eastAsia="Calibri" w:hAnsiTheme="majorHAnsi"/>
          <w:sz w:val="20"/>
          <w:szCs w:val="20"/>
          <w:lang w:val="es-ES_tradnl" w:eastAsia="es-ES"/>
        </w:rPr>
        <w:t>Telleldín</w:t>
      </w:r>
      <w:r w:rsidRPr="00386E47">
        <w:rPr>
          <w:rFonts w:asciiTheme="majorHAnsi" w:eastAsia="Calibri" w:hAnsiTheme="majorHAnsi"/>
          <w:sz w:val="20"/>
          <w:szCs w:val="20"/>
          <w:lang w:val="es-ES_tradnl" w:eastAsia="es-ES"/>
        </w:rPr>
        <w:t xml:space="preserve"> y los efectivos policiales que habrían recibido la camioneta Trafic. Otras personas </w:t>
      </w:r>
      <w:r w:rsidRPr="00386E47">
        <w:rPr>
          <w:rFonts w:asciiTheme="majorHAnsi" w:eastAsia="Calibri" w:hAnsiTheme="majorHAnsi"/>
          <w:sz w:val="20"/>
          <w:szCs w:val="20"/>
          <w:lang w:val="es-ES_tradnl" w:eastAsia="es-ES"/>
        </w:rPr>
        <w:lastRenderedPageBreak/>
        <w:t xml:space="preserve">fueron también sometidas a proceso por delitos conexos. El juez de instrucción retuvo en su despacho </w:t>
      </w:r>
      <w:r w:rsidR="00423389" w:rsidRPr="00386E47">
        <w:rPr>
          <w:rFonts w:asciiTheme="majorHAnsi" w:eastAsia="Calibri" w:hAnsiTheme="majorHAnsi"/>
          <w:sz w:val="20"/>
          <w:szCs w:val="20"/>
          <w:lang w:val="es-ES_tradnl" w:eastAsia="es-ES"/>
        </w:rPr>
        <w:t>la porción de la</w:t>
      </w:r>
      <w:r w:rsidRPr="00386E47">
        <w:rPr>
          <w:rFonts w:asciiTheme="majorHAnsi" w:eastAsia="Calibri" w:hAnsiTheme="majorHAnsi"/>
          <w:sz w:val="20"/>
          <w:szCs w:val="20"/>
          <w:lang w:val="es-ES_tradnl" w:eastAsia="es-ES"/>
        </w:rPr>
        <w:t xml:space="preserve"> investigación que apuntaba a determinar el autor o los autores materiales del atentado y los responsables intelectuales locales o internacionales</w:t>
      </w:r>
      <w:r w:rsidR="00F85EB6" w:rsidRPr="00386E47">
        <w:rPr>
          <w:rStyle w:val="FootnoteReference"/>
          <w:rFonts w:asciiTheme="majorHAnsi" w:eastAsia="Calibri" w:hAnsiTheme="majorHAnsi"/>
          <w:sz w:val="20"/>
          <w:szCs w:val="20"/>
          <w:lang w:val="es-ES_tradnl" w:eastAsia="es-ES"/>
        </w:rPr>
        <w:footnoteReference w:id="17"/>
      </w:r>
      <w:r w:rsidRPr="00386E47">
        <w:rPr>
          <w:rFonts w:asciiTheme="majorHAnsi" w:eastAsia="Calibri" w:hAnsiTheme="majorHAnsi"/>
          <w:sz w:val="20"/>
          <w:szCs w:val="20"/>
          <w:lang w:val="es-ES_tradnl" w:eastAsia="es-ES"/>
        </w:rPr>
        <w:t xml:space="preserve">. </w:t>
      </w:r>
    </w:p>
    <w:p w14:paraId="6AE50ECC" w14:textId="77777777" w:rsidR="009F70EA" w:rsidRPr="00386E47" w:rsidRDefault="009F70EA" w:rsidP="00CE774A">
      <w:pPr>
        <w:tabs>
          <w:tab w:val="left" w:pos="426"/>
        </w:tabs>
        <w:contextualSpacing/>
        <w:jc w:val="both"/>
        <w:rPr>
          <w:rFonts w:asciiTheme="majorHAnsi" w:eastAsia="Calibri" w:hAnsiTheme="majorHAnsi"/>
          <w:sz w:val="20"/>
          <w:szCs w:val="20"/>
          <w:lang w:val="es-ES_tradnl" w:eastAsia="es-ES"/>
        </w:rPr>
      </w:pPr>
    </w:p>
    <w:p w14:paraId="7075A550" w14:textId="77777777" w:rsidR="009F70EA" w:rsidRPr="00386E47" w:rsidRDefault="009F70EA" w:rsidP="003A5860">
      <w:pPr>
        <w:numPr>
          <w:ilvl w:val="0"/>
          <w:numId w:val="55"/>
        </w:numPr>
        <w:tabs>
          <w:tab w:val="left" w:pos="567"/>
        </w:tabs>
        <w:ind w:left="0" w:firstLine="0"/>
        <w:contextualSpacing/>
        <w:jc w:val="both"/>
        <w:rPr>
          <w:rFonts w:asciiTheme="majorHAnsi" w:eastAsia="Calibri" w:hAnsiTheme="majorHAnsi"/>
          <w:sz w:val="20"/>
          <w:szCs w:val="20"/>
          <w:lang w:val="es-ES_tradnl" w:eastAsia="es-ES"/>
        </w:rPr>
      </w:pPr>
      <w:r w:rsidRPr="00386E47">
        <w:rPr>
          <w:rFonts w:asciiTheme="majorHAnsi" w:eastAsia="Calibri" w:hAnsiTheme="majorHAnsi"/>
          <w:sz w:val="20"/>
          <w:szCs w:val="20"/>
          <w:lang w:val="es-ES_tradnl" w:eastAsia="es-ES"/>
        </w:rPr>
        <w:t xml:space="preserve">El Tribunal Oral en lo Criminal Federal No. 3 de la Capital Federal (TOF 3) fue sorteado para intervenir </w:t>
      </w:r>
      <w:r w:rsidR="00F85EB6" w:rsidRPr="00386E47">
        <w:rPr>
          <w:rFonts w:asciiTheme="majorHAnsi" w:eastAsia="Calibri" w:hAnsiTheme="majorHAnsi"/>
          <w:sz w:val="20"/>
          <w:szCs w:val="20"/>
          <w:lang w:val="es-ES_tradnl" w:eastAsia="es-ES"/>
        </w:rPr>
        <w:t xml:space="preserve">como tribunal de juicio </w:t>
      </w:r>
      <w:r w:rsidRPr="00386E47">
        <w:rPr>
          <w:rFonts w:asciiTheme="majorHAnsi" w:eastAsia="Calibri" w:hAnsiTheme="majorHAnsi"/>
          <w:sz w:val="20"/>
          <w:szCs w:val="20"/>
          <w:lang w:val="es-ES_tradnl" w:eastAsia="es-ES"/>
        </w:rPr>
        <w:t xml:space="preserve">en la etapa de debate. Las audiencias </w:t>
      </w:r>
      <w:r w:rsidR="00F85EB6" w:rsidRPr="00386E47">
        <w:rPr>
          <w:rFonts w:asciiTheme="majorHAnsi" w:eastAsia="Calibri" w:hAnsiTheme="majorHAnsi"/>
          <w:sz w:val="20"/>
          <w:szCs w:val="20"/>
          <w:lang w:val="es-ES_tradnl" w:eastAsia="es-ES"/>
        </w:rPr>
        <w:t xml:space="preserve">orales </w:t>
      </w:r>
      <w:r w:rsidRPr="00386E47">
        <w:rPr>
          <w:rFonts w:asciiTheme="majorHAnsi" w:eastAsia="Calibri" w:hAnsiTheme="majorHAnsi"/>
          <w:sz w:val="20"/>
          <w:szCs w:val="20"/>
          <w:lang w:val="es-ES_tradnl" w:eastAsia="es-ES"/>
        </w:rPr>
        <w:t xml:space="preserve">comenzaron el 24 de septiembre de 2001. </w:t>
      </w:r>
      <w:r w:rsidR="00F85EB6" w:rsidRPr="00386E47">
        <w:rPr>
          <w:rFonts w:asciiTheme="majorHAnsi" w:eastAsia="Calibri" w:hAnsiTheme="majorHAnsi"/>
          <w:sz w:val="20"/>
          <w:szCs w:val="20"/>
          <w:lang w:val="es-ES_tradnl" w:eastAsia="es-ES"/>
        </w:rPr>
        <w:t>Tal como fue expresado en la introducción, u</w:t>
      </w:r>
      <w:r w:rsidRPr="00386E47">
        <w:rPr>
          <w:rFonts w:asciiTheme="majorHAnsi" w:eastAsia="Calibri" w:hAnsiTheme="majorHAnsi"/>
          <w:sz w:val="20"/>
          <w:szCs w:val="20"/>
          <w:lang w:val="es-ES_tradnl" w:eastAsia="es-ES"/>
        </w:rPr>
        <w:t xml:space="preserve">na representación de la CIDH, encabezada por el comisionado Claudio Grossman, monitoreó el juicio en calidad de veedor y emitió un informe a su término. </w:t>
      </w:r>
    </w:p>
    <w:p w14:paraId="6C53DBFB" w14:textId="77777777" w:rsidR="009F70EA" w:rsidRPr="00386E47" w:rsidRDefault="009F70EA" w:rsidP="00CE774A">
      <w:pPr>
        <w:tabs>
          <w:tab w:val="left" w:pos="426"/>
        </w:tabs>
        <w:contextualSpacing/>
        <w:jc w:val="both"/>
        <w:rPr>
          <w:rFonts w:asciiTheme="majorHAnsi" w:eastAsia="Calibri" w:hAnsiTheme="majorHAnsi"/>
          <w:sz w:val="20"/>
          <w:szCs w:val="20"/>
          <w:lang w:val="es-ES_tradnl" w:eastAsia="es-ES"/>
        </w:rPr>
      </w:pPr>
    </w:p>
    <w:p w14:paraId="682B1801" w14:textId="77777777" w:rsidR="009F70EA" w:rsidRPr="00386E47" w:rsidRDefault="00402D44" w:rsidP="003A5860">
      <w:pPr>
        <w:numPr>
          <w:ilvl w:val="0"/>
          <w:numId w:val="55"/>
        </w:numPr>
        <w:tabs>
          <w:tab w:val="left" w:pos="567"/>
        </w:tabs>
        <w:ind w:left="0" w:firstLine="0"/>
        <w:contextualSpacing/>
        <w:jc w:val="both"/>
        <w:rPr>
          <w:rFonts w:asciiTheme="majorHAnsi" w:eastAsia="Calibri" w:hAnsiTheme="majorHAnsi"/>
          <w:sz w:val="20"/>
          <w:szCs w:val="20"/>
          <w:lang w:val="es-ES_tradnl" w:eastAsia="es-ES"/>
        </w:rPr>
      </w:pPr>
      <w:r w:rsidRPr="00386E47">
        <w:rPr>
          <w:rFonts w:asciiTheme="majorHAnsi" w:eastAsia="Calibri" w:hAnsiTheme="majorHAnsi"/>
          <w:sz w:val="20"/>
          <w:szCs w:val="20"/>
          <w:lang w:val="es-ES_tradnl" w:eastAsia="es-ES"/>
        </w:rPr>
        <w:t>El</w:t>
      </w:r>
      <w:r w:rsidR="009F70EA" w:rsidRPr="00386E47">
        <w:rPr>
          <w:rFonts w:asciiTheme="majorHAnsi" w:eastAsia="Calibri" w:hAnsiTheme="majorHAnsi"/>
          <w:sz w:val="20"/>
          <w:szCs w:val="20"/>
          <w:lang w:val="es-ES_tradnl" w:eastAsia="es-ES"/>
        </w:rPr>
        <w:t xml:space="preserve"> TOF 3 en su sentencia de fecha 29 de octubre de 2004 declaró la nulidad de la investigación</w:t>
      </w:r>
      <w:r w:rsidRPr="00386E47">
        <w:rPr>
          <w:rFonts w:asciiTheme="majorHAnsi" w:eastAsia="Calibri" w:hAnsiTheme="majorHAnsi"/>
          <w:sz w:val="20"/>
          <w:szCs w:val="20"/>
          <w:lang w:val="es-ES_tradnl" w:eastAsia="es-ES"/>
        </w:rPr>
        <w:t xml:space="preserve"> encabezada por el juez</w:t>
      </w:r>
      <w:r w:rsidR="009F70EA" w:rsidRPr="00386E47">
        <w:rPr>
          <w:rFonts w:asciiTheme="majorHAnsi" w:eastAsia="Calibri" w:hAnsiTheme="majorHAnsi"/>
          <w:sz w:val="20"/>
          <w:szCs w:val="20"/>
          <w:lang w:val="es-ES_tradnl" w:eastAsia="es-ES"/>
        </w:rPr>
        <w:t xml:space="preserve"> Galeano y absolvió a todos los acusados. En un comunicado de prensa emitido el mismo día, el Tribunal informó que las pruebas producidas en el debate permitieron arribar a la conclusión que “la indagatoria del 5 de julio de 1996 de Carlos Alberto </w:t>
      </w:r>
      <w:r w:rsidR="00880D4C" w:rsidRPr="00386E47">
        <w:rPr>
          <w:rFonts w:asciiTheme="majorHAnsi" w:eastAsia="Calibri" w:hAnsiTheme="majorHAnsi"/>
          <w:sz w:val="20"/>
          <w:szCs w:val="20"/>
          <w:lang w:val="es-ES_tradnl" w:eastAsia="es-ES"/>
        </w:rPr>
        <w:t>Telleldín</w:t>
      </w:r>
      <w:r w:rsidR="009F70EA" w:rsidRPr="00386E47">
        <w:rPr>
          <w:rFonts w:asciiTheme="majorHAnsi" w:eastAsia="Calibri" w:hAnsiTheme="majorHAnsi"/>
          <w:sz w:val="20"/>
          <w:szCs w:val="20"/>
          <w:lang w:val="es-ES_tradnl" w:eastAsia="es-ES"/>
        </w:rPr>
        <w:t>, en la que involucró en el atentado a sus consortes de causa y por la que percibió la suma de cuatrocientos mil dólares o pesos, fue la culminación de una actividad irregular del Estado dirigida a obtener un responsable, más allá de lo realmente acontecido”</w:t>
      </w:r>
      <w:r w:rsidR="009F70EA" w:rsidRPr="00386E47">
        <w:rPr>
          <w:rFonts w:asciiTheme="majorHAnsi" w:eastAsia="Calibri" w:hAnsiTheme="majorHAnsi"/>
          <w:sz w:val="20"/>
          <w:szCs w:val="20"/>
          <w:vertAlign w:val="superscript"/>
          <w:lang w:val="es-ES_tradnl" w:eastAsia="es-ES"/>
        </w:rPr>
        <w:footnoteReference w:id="18"/>
      </w:r>
      <w:r w:rsidR="009F70EA" w:rsidRPr="00386E47">
        <w:rPr>
          <w:rFonts w:asciiTheme="majorHAnsi" w:eastAsia="Calibri" w:hAnsiTheme="majorHAnsi"/>
          <w:sz w:val="20"/>
          <w:szCs w:val="20"/>
          <w:lang w:val="es-ES_tradnl" w:eastAsia="es-ES"/>
        </w:rPr>
        <w:t xml:space="preserve">.  </w:t>
      </w:r>
    </w:p>
    <w:p w14:paraId="5844C6E3" w14:textId="77777777" w:rsidR="009F70EA" w:rsidRPr="00386E47" w:rsidRDefault="009F70EA" w:rsidP="00CE774A">
      <w:pPr>
        <w:tabs>
          <w:tab w:val="left" w:pos="426"/>
        </w:tabs>
        <w:contextualSpacing/>
        <w:jc w:val="both"/>
        <w:rPr>
          <w:rFonts w:asciiTheme="majorHAnsi" w:eastAsia="Calibri" w:hAnsiTheme="majorHAnsi"/>
          <w:sz w:val="20"/>
          <w:szCs w:val="20"/>
          <w:lang w:val="es-ES_tradnl" w:eastAsia="es-ES"/>
        </w:rPr>
      </w:pPr>
    </w:p>
    <w:p w14:paraId="618EDB36" w14:textId="77777777" w:rsidR="009F70EA" w:rsidRPr="00386E47" w:rsidRDefault="009F70EA" w:rsidP="003A5860">
      <w:pPr>
        <w:numPr>
          <w:ilvl w:val="0"/>
          <w:numId w:val="55"/>
        </w:numPr>
        <w:tabs>
          <w:tab w:val="left" w:pos="567"/>
        </w:tabs>
        <w:ind w:left="0" w:firstLine="0"/>
        <w:contextualSpacing/>
        <w:jc w:val="both"/>
        <w:rPr>
          <w:rFonts w:asciiTheme="majorHAnsi" w:eastAsia="Calibri" w:hAnsiTheme="majorHAnsi"/>
          <w:sz w:val="20"/>
          <w:szCs w:val="20"/>
          <w:lang w:val="es-ES_tradnl" w:eastAsia="es-ES"/>
        </w:rPr>
      </w:pPr>
      <w:r w:rsidRPr="00386E47">
        <w:rPr>
          <w:rFonts w:asciiTheme="majorHAnsi" w:eastAsia="Calibri" w:hAnsiTheme="majorHAnsi"/>
          <w:sz w:val="20"/>
          <w:szCs w:val="20"/>
          <w:lang w:val="es-ES_tradnl" w:eastAsia="es-ES"/>
        </w:rPr>
        <w:t>La decisión del TOF 3 fue recurrida por los representantes del Ministerio Público y por un</w:t>
      </w:r>
      <w:r w:rsidR="00880D4C" w:rsidRPr="00386E47">
        <w:rPr>
          <w:rFonts w:asciiTheme="majorHAnsi" w:eastAsia="Calibri" w:hAnsiTheme="majorHAnsi"/>
          <w:sz w:val="20"/>
          <w:szCs w:val="20"/>
          <w:lang w:val="es-ES_tradnl" w:eastAsia="es-ES"/>
        </w:rPr>
        <w:t>o</w:t>
      </w:r>
      <w:r w:rsidRPr="00386E47">
        <w:rPr>
          <w:rFonts w:asciiTheme="majorHAnsi" w:eastAsia="Calibri" w:hAnsiTheme="majorHAnsi"/>
          <w:sz w:val="20"/>
          <w:szCs w:val="20"/>
          <w:lang w:val="es-ES_tradnl" w:eastAsia="es-ES"/>
        </w:rPr>
        <w:t xml:space="preserve"> de l</w:t>
      </w:r>
      <w:r w:rsidR="00880D4C" w:rsidRPr="00386E47">
        <w:rPr>
          <w:rFonts w:asciiTheme="majorHAnsi" w:eastAsia="Calibri" w:hAnsiTheme="majorHAnsi"/>
          <w:sz w:val="20"/>
          <w:szCs w:val="20"/>
          <w:lang w:val="es-ES_tradnl" w:eastAsia="es-ES"/>
        </w:rPr>
        <w:t>o</w:t>
      </w:r>
      <w:r w:rsidRPr="00386E47">
        <w:rPr>
          <w:rFonts w:asciiTheme="majorHAnsi" w:eastAsia="Calibri" w:hAnsiTheme="majorHAnsi"/>
          <w:sz w:val="20"/>
          <w:szCs w:val="20"/>
          <w:lang w:val="es-ES_tradnl" w:eastAsia="es-ES"/>
        </w:rPr>
        <w:t>s querella</w:t>
      </w:r>
      <w:r w:rsidR="003023CC" w:rsidRPr="00386E47">
        <w:rPr>
          <w:rFonts w:asciiTheme="majorHAnsi" w:eastAsia="Calibri" w:hAnsiTheme="majorHAnsi"/>
          <w:sz w:val="20"/>
          <w:szCs w:val="20"/>
          <w:lang w:val="es-ES_tradnl" w:eastAsia="es-ES"/>
        </w:rPr>
        <w:t>nte</w:t>
      </w:r>
      <w:r w:rsidRPr="00386E47">
        <w:rPr>
          <w:rFonts w:asciiTheme="majorHAnsi" w:eastAsia="Calibri" w:hAnsiTheme="majorHAnsi"/>
          <w:sz w:val="20"/>
          <w:szCs w:val="20"/>
          <w:lang w:val="es-ES_tradnl" w:eastAsia="es-ES"/>
        </w:rPr>
        <w:t>s. El 19 de mayo de 2006 la Sala II de la Cámara Nacional de Casación Penal confirmó la sentencia apelada</w:t>
      </w:r>
      <w:r w:rsidRPr="00386E47">
        <w:rPr>
          <w:rFonts w:asciiTheme="majorHAnsi" w:eastAsia="Calibri" w:hAnsiTheme="majorHAnsi"/>
          <w:sz w:val="20"/>
          <w:szCs w:val="20"/>
          <w:vertAlign w:val="superscript"/>
          <w:lang w:val="es-ES_tradnl" w:eastAsia="es-ES"/>
        </w:rPr>
        <w:footnoteReference w:id="19"/>
      </w:r>
      <w:r w:rsidRPr="00386E47">
        <w:rPr>
          <w:rFonts w:asciiTheme="majorHAnsi" w:eastAsia="Calibri" w:hAnsiTheme="majorHAnsi"/>
          <w:sz w:val="20"/>
          <w:szCs w:val="20"/>
          <w:lang w:val="es-ES_tradnl" w:eastAsia="es-ES"/>
        </w:rPr>
        <w:t xml:space="preserve">. El 27 de mayo de 2009 la Corte Suprema de la Nación declaró procedente el recurso extraordinario </w:t>
      </w:r>
      <w:r w:rsidR="00402D44" w:rsidRPr="00386E47">
        <w:rPr>
          <w:rFonts w:asciiTheme="majorHAnsi" w:eastAsia="Calibri" w:hAnsiTheme="majorHAnsi"/>
          <w:sz w:val="20"/>
          <w:szCs w:val="20"/>
          <w:lang w:val="es-ES_tradnl" w:eastAsia="es-ES"/>
        </w:rPr>
        <w:t xml:space="preserve">presentado por los acusadores </w:t>
      </w:r>
      <w:r w:rsidRPr="00386E47">
        <w:rPr>
          <w:rFonts w:asciiTheme="majorHAnsi" w:eastAsia="Calibri" w:hAnsiTheme="majorHAnsi"/>
          <w:sz w:val="20"/>
          <w:szCs w:val="20"/>
          <w:lang w:val="es-ES_tradnl" w:eastAsia="es-ES"/>
        </w:rPr>
        <w:t>y decidió que la ausencia de imparcialidad del juez Galeano se había verificado solo a partir del 31 de octubre de 1995 - momento en que se inició formalmente la investigación contra los efectivos de la policía bonaerense - y que, por consiguiente, la declaración de nulidad no se extendía a las diligencias de instrucción ocurridas antes de esa fecha</w:t>
      </w:r>
      <w:r w:rsidR="00657C60" w:rsidRPr="00386E47">
        <w:rPr>
          <w:rStyle w:val="FootnoteReference"/>
          <w:rFonts w:asciiTheme="majorHAnsi" w:eastAsia="Calibri" w:hAnsiTheme="majorHAnsi"/>
          <w:sz w:val="20"/>
          <w:szCs w:val="20"/>
          <w:lang w:val="es-ES_tradnl" w:eastAsia="es-ES"/>
        </w:rPr>
        <w:footnoteReference w:id="20"/>
      </w:r>
      <w:r w:rsidRPr="00386E47">
        <w:rPr>
          <w:rFonts w:asciiTheme="majorHAnsi" w:eastAsia="Calibri" w:hAnsiTheme="majorHAnsi"/>
          <w:sz w:val="20"/>
          <w:szCs w:val="20"/>
          <w:lang w:val="es-ES_tradnl" w:eastAsia="es-ES"/>
        </w:rPr>
        <w:t xml:space="preserve">. </w:t>
      </w:r>
    </w:p>
    <w:p w14:paraId="407CA446" w14:textId="77777777" w:rsidR="009F70EA" w:rsidRPr="00386E47" w:rsidRDefault="009F70EA" w:rsidP="00CE774A">
      <w:pPr>
        <w:tabs>
          <w:tab w:val="left" w:pos="426"/>
        </w:tabs>
        <w:contextualSpacing/>
        <w:jc w:val="both"/>
        <w:rPr>
          <w:rFonts w:asciiTheme="majorHAnsi" w:eastAsia="Calibri" w:hAnsiTheme="majorHAnsi"/>
          <w:sz w:val="20"/>
          <w:szCs w:val="20"/>
          <w:lang w:val="es-ES_tradnl" w:eastAsia="es-ES"/>
        </w:rPr>
      </w:pPr>
    </w:p>
    <w:p w14:paraId="08B6DC5D" w14:textId="77777777" w:rsidR="009F70EA" w:rsidRPr="00386E47" w:rsidRDefault="009F70EA" w:rsidP="003A5860">
      <w:pPr>
        <w:numPr>
          <w:ilvl w:val="0"/>
          <w:numId w:val="55"/>
        </w:numPr>
        <w:tabs>
          <w:tab w:val="left" w:pos="567"/>
        </w:tabs>
        <w:ind w:left="0" w:firstLine="0"/>
        <w:contextualSpacing/>
        <w:jc w:val="both"/>
        <w:rPr>
          <w:rFonts w:asciiTheme="majorHAnsi" w:eastAsia="Calibri" w:hAnsiTheme="majorHAnsi"/>
          <w:sz w:val="20"/>
          <w:szCs w:val="20"/>
          <w:lang w:val="es-ES_tradnl" w:eastAsia="es-ES"/>
        </w:rPr>
      </w:pPr>
      <w:r w:rsidRPr="00386E47">
        <w:rPr>
          <w:rFonts w:asciiTheme="majorHAnsi" w:eastAsia="Calibri" w:hAnsiTheme="majorHAnsi"/>
          <w:sz w:val="20"/>
          <w:szCs w:val="20"/>
          <w:lang w:val="es-ES_tradnl" w:eastAsia="es-ES"/>
        </w:rPr>
        <w:t xml:space="preserve">La sentencia de la Corte Suprema de mayo de 2009 tuvo como consecuencia la reanudación de la persecución penal respecto </w:t>
      </w:r>
      <w:r w:rsidR="00EC461B" w:rsidRPr="00386E47">
        <w:rPr>
          <w:rFonts w:asciiTheme="majorHAnsi" w:eastAsia="Calibri" w:hAnsiTheme="majorHAnsi"/>
          <w:sz w:val="20"/>
          <w:szCs w:val="20"/>
          <w:lang w:val="es-ES_tradnl" w:eastAsia="es-ES"/>
        </w:rPr>
        <w:t>de la llamada “conexión local” del atentad</w:t>
      </w:r>
      <w:r w:rsidR="003023CC" w:rsidRPr="00386E47">
        <w:rPr>
          <w:rFonts w:asciiTheme="majorHAnsi" w:eastAsia="Calibri" w:hAnsiTheme="majorHAnsi"/>
          <w:sz w:val="20"/>
          <w:szCs w:val="20"/>
          <w:lang w:val="es-ES_tradnl" w:eastAsia="es-ES"/>
        </w:rPr>
        <w:t>o</w:t>
      </w:r>
      <w:r w:rsidRPr="00386E47">
        <w:rPr>
          <w:rFonts w:asciiTheme="majorHAnsi" w:eastAsia="Calibri" w:hAnsiTheme="majorHAnsi"/>
          <w:sz w:val="20"/>
          <w:szCs w:val="20"/>
          <w:lang w:val="es-ES_tradnl" w:eastAsia="es-ES"/>
        </w:rPr>
        <w:t>. La instrucción se radicó en el Juzgado en lo Criminal y Correccional Nro. 6 a cargo del Juez Rodolfo Canicoba Corral, quien la delegó a la Unidad Fiscal de Investigación al Atentado a la Sede de la AMIA (UFI AMIA) encabezada en ese entonces por el Fiscal General Alberto Nisman</w:t>
      </w:r>
      <w:r w:rsidR="00203A2C" w:rsidRPr="00386E47">
        <w:rPr>
          <w:rStyle w:val="FootnoteReference"/>
          <w:rFonts w:asciiTheme="majorHAnsi" w:eastAsia="Calibri" w:hAnsiTheme="majorHAnsi"/>
          <w:sz w:val="20"/>
          <w:szCs w:val="20"/>
          <w:lang w:val="es-ES_tradnl" w:eastAsia="es-ES"/>
        </w:rPr>
        <w:footnoteReference w:id="21"/>
      </w:r>
      <w:r w:rsidRPr="00386E47">
        <w:rPr>
          <w:rFonts w:asciiTheme="majorHAnsi" w:eastAsia="Calibri" w:hAnsiTheme="majorHAnsi"/>
          <w:sz w:val="20"/>
          <w:szCs w:val="20"/>
          <w:lang w:val="es-ES_tradnl" w:eastAsia="es-ES"/>
        </w:rPr>
        <w:t>. La UFI AMIA ya se hallaba para ese entonces interviniendo en la investigación por los autores materiales y la conexión internacional del atentado (ver infra</w:t>
      </w:r>
      <w:r w:rsidR="00071F87" w:rsidRPr="00386E47">
        <w:rPr>
          <w:rFonts w:asciiTheme="majorHAnsi" w:eastAsia="Calibri" w:hAnsiTheme="majorHAnsi"/>
          <w:sz w:val="20"/>
          <w:szCs w:val="20"/>
          <w:lang w:val="es-ES_tradnl" w:eastAsia="es-ES"/>
        </w:rPr>
        <w:t xml:space="preserve"> </w:t>
      </w:r>
      <w:r w:rsidR="007A4ED3" w:rsidRPr="00386E47">
        <w:rPr>
          <w:rFonts w:asciiTheme="majorHAnsi" w:eastAsia="Calibri" w:hAnsiTheme="majorHAnsi"/>
          <w:sz w:val="20"/>
          <w:szCs w:val="20"/>
          <w:lang w:val="es-ES_tradnl" w:eastAsia="es-ES"/>
        </w:rPr>
        <w:t>párr.</w:t>
      </w:r>
      <w:r w:rsidR="00071F87" w:rsidRPr="00386E47">
        <w:rPr>
          <w:rFonts w:asciiTheme="majorHAnsi" w:eastAsia="Calibri" w:hAnsiTheme="majorHAnsi"/>
          <w:sz w:val="20"/>
          <w:szCs w:val="20"/>
          <w:lang w:val="es-ES_tradnl" w:eastAsia="es-ES"/>
        </w:rPr>
        <w:t xml:space="preserve"> </w:t>
      </w:r>
      <w:r w:rsidR="00880D4C" w:rsidRPr="00386E47">
        <w:rPr>
          <w:rFonts w:asciiTheme="majorHAnsi" w:eastAsia="Calibri" w:hAnsiTheme="majorHAnsi"/>
          <w:sz w:val="20"/>
          <w:szCs w:val="20"/>
          <w:lang w:val="es-ES_tradnl" w:eastAsia="es-ES"/>
        </w:rPr>
        <w:t>69</w:t>
      </w:r>
      <w:r w:rsidR="00071F87" w:rsidRPr="00386E47">
        <w:rPr>
          <w:rFonts w:asciiTheme="majorHAnsi" w:eastAsia="Calibri" w:hAnsiTheme="majorHAnsi"/>
          <w:sz w:val="20"/>
          <w:szCs w:val="20"/>
          <w:lang w:val="es-ES_tradnl" w:eastAsia="es-ES"/>
        </w:rPr>
        <w:t xml:space="preserve"> a 8</w:t>
      </w:r>
      <w:r w:rsidR="00880D4C" w:rsidRPr="00386E47">
        <w:rPr>
          <w:rFonts w:asciiTheme="majorHAnsi" w:eastAsia="Calibri" w:hAnsiTheme="majorHAnsi"/>
          <w:sz w:val="20"/>
          <w:szCs w:val="20"/>
          <w:lang w:val="es-ES_tradnl" w:eastAsia="es-ES"/>
        </w:rPr>
        <w:t>4</w:t>
      </w:r>
      <w:r w:rsidR="00071F87" w:rsidRPr="00386E47">
        <w:rPr>
          <w:rFonts w:asciiTheme="majorHAnsi" w:eastAsia="Calibri" w:hAnsiTheme="majorHAnsi"/>
          <w:sz w:val="20"/>
          <w:szCs w:val="20"/>
          <w:lang w:val="es-ES_tradnl" w:eastAsia="es-ES"/>
        </w:rPr>
        <w:t>)</w:t>
      </w:r>
      <w:r w:rsidRPr="00386E47">
        <w:rPr>
          <w:rFonts w:asciiTheme="majorHAnsi" w:eastAsia="Calibri" w:hAnsiTheme="majorHAnsi"/>
          <w:sz w:val="20"/>
          <w:szCs w:val="20"/>
          <w:lang w:val="es-ES_tradnl" w:eastAsia="es-ES"/>
        </w:rPr>
        <w:t xml:space="preserve"> </w:t>
      </w:r>
    </w:p>
    <w:p w14:paraId="6A308179" w14:textId="77777777" w:rsidR="009F70EA" w:rsidRPr="00386E47" w:rsidRDefault="009F70EA" w:rsidP="00CE774A">
      <w:pPr>
        <w:tabs>
          <w:tab w:val="left" w:pos="426"/>
        </w:tabs>
        <w:contextualSpacing/>
        <w:jc w:val="both"/>
        <w:rPr>
          <w:rFonts w:asciiTheme="majorHAnsi" w:eastAsia="Calibri" w:hAnsiTheme="majorHAnsi"/>
          <w:sz w:val="20"/>
          <w:szCs w:val="20"/>
          <w:lang w:val="es-ES_tradnl" w:eastAsia="es-ES"/>
        </w:rPr>
      </w:pPr>
    </w:p>
    <w:p w14:paraId="61E3E6CE" w14:textId="77777777" w:rsidR="009F70EA" w:rsidRPr="00386E47" w:rsidRDefault="009F70EA" w:rsidP="003A5860">
      <w:pPr>
        <w:numPr>
          <w:ilvl w:val="0"/>
          <w:numId w:val="55"/>
        </w:numPr>
        <w:tabs>
          <w:tab w:val="left" w:pos="567"/>
        </w:tabs>
        <w:ind w:left="0" w:firstLine="0"/>
        <w:contextualSpacing/>
        <w:jc w:val="both"/>
        <w:rPr>
          <w:rFonts w:asciiTheme="majorHAnsi" w:eastAsia="Calibri" w:hAnsiTheme="majorHAnsi"/>
          <w:sz w:val="20"/>
          <w:szCs w:val="20"/>
          <w:lang w:val="es-ES_tradnl" w:eastAsia="es-ES"/>
        </w:rPr>
      </w:pPr>
      <w:r w:rsidRPr="00386E47">
        <w:rPr>
          <w:rFonts w:asciiTheme="majorHAnsi" w:eastAsia="Calibri" w:hAnsiTheme="majorHAnsi"/>
          <w:sz w:val="20"/>
          <w:szCs w:val="20"/>
          <w:lang w:val="es-ES_tradnl" w:eastAsia="es-ES"/>
        </w:rPr>
        <w:t xml:space="preserve">En agosto de 2012 el Fiscal Nisman formuló requerimiento de elevación a juicio respecto de Carlos Alberto </w:t>
      </w:r>
      <w:r w:rsidR="00880D4C" w:rsidRPr="00386E47">
        <w:rPr>
          <w:rFonts w:asciiTheme="majorHAnsi" w:eastAsia="Calibri" w:hAnsiTheme="majorHAnsi"/>
          <w:sz w:val="20"/>
          <w:szCs w:val="20"/>
          <w:lang w:val="es-ES_tradnl" w:eastAsia="es-ES"/>
        </w:rPr>
        <w:t>Telleldín</w:t>
      </w:r>
      <w:r w:rsidRPr="00386E47">
        <w:rPr>
          <w:rFonts w:asciiTheme="majorHAnsi" w:eastAsia="Calibri" w:hAnsiTheme="majorHAnsi"/>
          <w:sz w:val="20"/>
          <w:szCs w:val="20"/>
          <w:lang w:val="es-ES_tradnl" w:eastAsia="es-ES"/>
        </w:rPr>
        <w:t xml:space="preserve"> por el delito de homicid</w:t>
      </w:r>
      <w:r w:rsidR="009230D9" w:rsidRPr="00386E47">
        <w:rPr>
          <w:rFonts w:asciiTheme="majorHAnsi" w:eastAsia="Calibri" w:hAnsiTheme="majorHAnsi"/>
          <w:sz w:val="20"/>
          <w:szCs w:val="20"/>
          <w:lang w:val="es-ES_tradnl" w:eastAsia="es-ES"/>
        </w:rPr>
        <w:t>io calificado,</w:t>
      </w:r>
      <w:r w:rsidRPr="00386E47">
        <w:rPr>
          <w:rFonts w:asciiTheme="majorHAnsi" w:eastAsia="Calibri" w:hAnsiTheme="majorHAnsi"/>
          <w:sz w:val="20"/>
          <w:szCs w:val="20"/>
          <w:lang w:val="es-ES_tradnl" w:eastAsia="es-ES"/>
        </w:rPr>
        <w:t xml:space="preserve"> en concurso ideal con los delitos de lesiones</w:t>
      </w:r>
      <w:r w:rsidR="009230D9" w:rsidRPr="00386E47">
        <w:rPr>
          <w:rFonts w:asciiTheme="majorHAnsi" w:eastAsia="Calibri" w:hAnsiTheme="majorHAnsi"/>
          <w:sz w:val="20"/>
          <w:szCs w:val="20"/>
          <w:lang w:val="es-ES_tradnl" w:eastAsia="es-ES"/>
        </w:rPr>
        <w:t xml:space="preserve"> graves reiteradas, leves reiteradas </w:t>
      </w:r>
      <w:r w:rsidRPr="00386E47">
        <w:rPr>
          <w:rFonts w:asciiTheme="majorHAnsi" w:eastAsia="Calibri" w:hAnsiTheme="majorHAnsi"/>
          <w:sz w:val="20"/>
          <w:szCs w:val="20"/>
          <w:lang w:val="es-ES_tradnl" w:eastAsia="es-ES"/>
        </w:rPr>
        <w:t>y daños múltiples. El Fiscal con</w:t>
      </w:r>
      <w:r w:rsidR="00657C60" w:rsidRPr="00386E47">
        <w:rPr>
          <w:rFonts w:asciiTheme="majorHAnsi" w:eastAsia="Calibri" w:hAnsiTheme="majorHAnsi"/>
          <w:sz w:val="20"/>
          <w:szCs w:val="20"/>
          <w:lang w:val="es-ES_tradnl" w:eastAsia="es-ES"/>
        </w:rPr>
        <w:t xml:space="preserve">cluyó en su dictamen que </w:t>
      </w:r>
      <w:r w:rsidR="00880D4C" w:rsidRPr="00386E47">
        <w:rPr>
          <w:rFonts w:asciiTheme="majorHAnsi" w:eastAsia="Calibri" w:hAnsiTheme="majorHAnsi"/>
          <w:sz w:val="20"/>
          <w:szCs w:val="20"/>
          <w:lang w:val="es-ES_tradnl" w:eastAsia="es-ES"/>
        </w:rPr>
        <w:t>Telleldín</w:t>
      </w:r>
      <w:r w:rsidRPr="00386E47">
        <w:rPr>
          <w:rFonts w:asciiTheme="majorHAnsi" w:eastAsia="Calibri" w:hAnsiTheme="majorHAnsi"/>
          <w:sz w:val="20"/>
          <w:szCs w:val="20"/>
          <w:lang w:val="es-ES_tradnl" w:eastAsia="es-ES"/>
        </w:rPr>
        <w:t xml:space="preserve"> entregó la Trafic “acondicionada para su finalidad criminal, al siguiente eslabón de la cadena terrorista, con conocimiento de quienes eran los que la estaban recibiendo y el fin para el que sería empleada”</w:t>
      </w:r>
      <w:r w:rsidRPr="00386E47">
        <w:rPr>
          <w:rFonts w:asciiTheme="majorHAnsi" w:eastAsia="Calibri" w:hAnsiTheme="majorHAnsi"/>
          <w:sz w:val="20"/>
          <w:szCs w:val="20"/>
          <w:vertAlign w:val="superscript"/>
          <w:lang w:val="es-ES_tradnl" w:eastAsia="es-ES"/>
        </w:rPr>
        <w:footnoteReference w:id="22"/>
      </w:r>
      <w:r w:rsidRPr="00386E47">
        <w:rPr>
          <w:rFonts w:asciiTheme="majorHAnsi" w:eastAsia="Calibri" w:hAnsiTheme="majorHAnsi"/>
          <w:sz w:val="20"/>
          <w:szCs w:val="20"/>
          <w:lang w:val="es-ES_tradnl" w:eastAsia="es-ES"/>
        </w:rPr>
        <w:t xml:space="preserve"> </w:t>
      </w:r>
    </w:p>
    <w:p w14:paraId="7F1A6398" w14:textId="77777777" w:rsidR="009F70EA" w:rsidRPr="00386E47" w:rsidRDefault="009F70EA" w:rsidP="00CE774A">
      <w:pPr>
        <w:tabs>
          <w:tab w:val="left" w:pos="426"/>
        </w:tabs>
        <w:contextualSpacing/>
        <w:jc w:val="both"/>
        <w:rPr>
          <w:rFonts w:asciiTheme="majorHAnsi" w:eastAsia="Calibri" w:hAnsiTheme="majorHAnsi"/>
          <w:sz w:val="20"/>
          <w:szCs w:val="20"/>
          <w:lang w:val="es-ES_tradnl" w:eastAsia="es-ES"/>
        </w:rPr>
      </w:pPr>
    </w:p>
    <w:p w14:paraId="326BBA9A" w14:textId="77777777" w:rsidR="009F70EA" w:rsidRPr="00386E47" w:rsidRDefault="00880D4C" w:rsidP="003A5860">
      <w:pPr>
        <w:numPr>
          <w:ilvl w:val="0"/>
          <w:numId w:val="55"/>
        </w:numPr>
        <w:tabs>
          <w:tab w:val="left" w:pos="567"/>
        </w:tabs>
        <w:ind w:left="0" w:firstLine="0"/>
        <w:contextualSpacing/>
        <w:jc w:val="both"/>
        <w:rPr>
          <w:rFonts w:asciiTheme="majorHAnsi" w:eastAsia="Calibri" w:hAnsiTheme="majorHAnsi"/>
          <w:sz w:val="20"/>
          <w:szCs w:val="20"/>
          <w:lang w:val="es-ES_tradnl" w:eastAsia="es-ES"/>
        </w:rPr>
      </w:pPr>
      <w:r w:rsidRPr="00386E47">
        <w:rPr>
          <w:rFonts w:asciiTheme="majorHAnsi" w:eastAsia="Calibri" w:hAnsiTheme="majorHAnsi"/>
          <w:sz w:val="20"/>
          <w:szCs w:val="20"/>
          <w:lang w:val="es-ES_tradnl" w:eastAsia="es-ES"/>
        </w:rPr>
        <w:t>De acuerdo con lo informado por las partes, e</w:t>
      </w:r>
      <w:r w:rsidR="009F70EA" w:rsidRPr="00386E47">
        <w:rPr>
          <w:rFonts w:asciiTheme="majorHAnsi" w:eastAsia="Calibri" w:hAnsiTheme="majorHAnsi"/>
          <w:sz w:val="20"/>
          <w:szCs w:val="20"/>
          <w:lang w:val="es-ES_tradnl" w:eastAsia="es-ES"/>
        </w:rPr>
        <w:t xml:space="preserve">l segundo juicio oral seguido contra Carlos </w:t>
      </w:r>
      <w:r w:rsidRPr="00386E47">
        <w:rPr>
          <w:rFonts w:asciiTheme="majorHAnsi" w:eastAsia="Calibri" w:hAnsiTheme="majorHAnsi"/>
          <w:sz w:val="20"/>
          <w:szCs w:val="20"/>
          <w:lang w:val="es-ES_tradnl" w:eastAsia="es-ES"/>
        </w:rPr>
        <w:t>Telleldín</w:t>
      </w:r>
      <w:r w:rsidR="009F70EA" w:rsidRPr="00386E47">
        <w:rPr>
          <w:rFonts w:asciiTheme="majorHAnsi" w:eastAsia="Calibri" w:hAnsiTheme="majorHAnsi"/>
          <w:sz w:val="20"/>
          <w:szCs w:val="20"/>
          <w:lang w:val="es-ES_tradnl" w:eastAsia="es-ES"/>
        </w:rPr>
        <w:t xml:space="preserve"> comenzó en mayo de 2019. Al momento de la aprobación de este informe dicho proceso </w:t>
      </w:r>
      <w:r w:rsidR="00657C60" w:rsidRPr="00386E47">
        <w:rPr>
          <w:rFonts w:asciiTheme="majorHAnsi" w:eastAsia="Calibri" w:hAnsiTheme="majorHAnsi"/>
          <w:sz w:val="20"/>
          <w:szCs w:val="20"/>
          <w:lang w:val="es-ES_tradnl" w:eastAsia="es-ES"/>
        </w:rPr>
        <w:t xml:space="preserve">aún </w:t>
      </w:r>
      <w:r w:rsidR="009F70EA" w:rsidRPr="00386E47">
        <w:rPr>
          <w:rFonts w:asciiTheme="majorHAnsi" w:eastAsia="Calibri" w:hAnsiTheme="majorHAnsi"/>
          <w:sz w:val="20"/>
          <w:szCs w:val="20"/>
          <w:lang w:val="es-ES_tradnl" w:eastAsia="es-ES"/>
        </w:rPr>
        <w:t>continúa en trámite</w:t>
      </w:r>
      <w:r w:rsidRPr="00386E47">
        <w:rPr>
          <w:rStyle w:val="FootnoteReference"/>
          <w:rFonts w:asciiTheme="majorHAnsi" w:eastAsia="Calibri" w:hAnsiTheme="majorHAnsi"/>
          <w:sz w:val="20"/>
          <w:szCs w:val="20"/>
          <w:lang w:val="es-ES_tradnl" w:eastAsia="es-ES"/>
        </w:rPr>
        <w:footnoteReference w:id="23"/>
      </w:r>
      <w:r w:rsidR="009F70EA" w:rsidRPr="00386E47">
        <w:rPr>
          <w:rFonts w:asciiTheme="majorHAnsi" w:eastAsia="Calibri" w:hAnsiTheme="majorHAnsi"/>
          <w:sz w:val="20"/>
          <w:szCs w:val="20"/>
          <w:lang w:val="es-ES_tradnl" w:eastAsia="es-ES"/>
        </w:rPr>
        <w:t xml:space="preserve">. </w:t>
      </w:r>
    </w:p>
    <w:p w14:paraId="69E26D80" w14:textId="77777777" w:rsidR="00880D4C" w:rsidRPr="00386E47" w:rsidRDefault="00880D4C" w:rsidP="00880D4C">
      <w:pPr>
        <w:tabs>
          <w:tab w:val="left" w:pos="567"/>
        </w:tabs>
        <w:contextualSpacing/>
        <w:jc w:val="both"/>
        <w:rPr>
          <w:rFonts w:asciiTheme="majorHAnsi" w:eastAsia="Calibri" w:hAnsiTheme="majorHAnsi"/>
          <w:sz w:val="20"/>
          <w:szCs w:val="20"/>
          <w:lang w:val="es-ES_tradnl" w:eastAsia="es-ES"/>
        </w:rPr>
      </w:pPr>
    </w:p>
    <w:p w14:paraId="2E8FB340" w14:textId="77777777" w:rsidR="009F70EA" w:rsidRPr="00386E47" w:rsidRDefault="009F70EA" w:rsidP="009146F2">
      <w:pPr>
        <w:pStyle w:val="Heading3"/>
        <w:numPr>
          <w:ilvl w:val="1"/>
          <w:numId w:val="68"/>
        </w:numPr>
        <w:ind w:left="284" w:firstLine="0"/>
      </w:pPr>
      <w:bookmarkStart w:id="22" w:name="_Toc51252193"/>
      <w:r w:rsidRPr="00386E47">
        <w:t>La investigación delegada en la Unidad Fiscal de Investigación al Atentado a la Sede de la AMIA por el Juzgado en lo Criminal y Correccional Federa</w:t>
      </w:r>
      <w:r w:rsidR="00657C60" w:rsidRPr="00386E47">
        <w:t>l Nro. 6 de la Capital Federal</w:t>
      </w:r>
      <w:bookmarkEnd w:id="22"/>
      <w:r w:rsidR="00657C60" w:rsidRPr="00386E47">
        <w:t xml:space="preserve"> </w:t>
      </w:r>
    </w:p>
    <w:p w14:paraId="59DC595E" w14:textId="77777777" w:rsidR="00F15801" w:rsidRPr="00386E47" w:rsidRDefault="00F15801" w:rsidP="00F761B7">
      <w:pPr>
        <w:tabs>
          <w:tab w:val="left" w:pos="284"/>
        </w:tabs>
        <w:jc w:val="both"/>
        <w:rPr>
          <w:rFonts w:asciiTheme="majorHAnsi" w:eastAsia="Calibri" w:hAnsiTheme="majorHAnsi"/>
          <w:b/>
          <w:sz w:val="20"/>
          <w:szCs w:val="20"/>
          <w:lang w:val="es-ES_tradnl" w:eastAsia="es-ES"/>
        </w:rPr>
      </w:pPr>
    </w:p>
    <w:p w14:paraId="755D510C" w14:textId="77777777" w:rsidR="009F70EA" w:rsidRPr="00386E47" w:rsidRDefault="009F70EA" w:rsidP="003A5860">
      <w:pPr>
        <w:numPr>
          <w:ilvl w:val="0"/>
          <w:numId w:val="55"/>
        </w:numPr>
        <w:tabs>
          <w:tab w:val="left" w:pos="567"/>
        </w:tabs>
        <w:ind w:left="0" w:firstLine="0"/>
        <w:contextualSpacing/>
        <w:jc w:val="both"/>
        <w:rPr>
          <w:rFonts w:asciiTheme="majorHAnsi" w:eastAsia="Calibri" w:hAnsiTheme="majorHAnsi"/>
          <w:sz w:val="20"/>
          <w:szCs w:val="20"/>
          <w:lang w:val="es-ES_tradnl" w:eastAsia="es-ES"/>
        </w:rPr>
      </w:pPr>
      <w:r w:rsidRPr="00386E47">
        <w:rPr>
          <w:rFonts w:asciiTheme="majorHAnsi" w:eastAsia="Calibri" w:hAnsiTheme="majorHAnsi"/>
          <w:sz w:val="20"/>
          <w:szCs w:val="20"/>
          <w:lang w:val="es-ES_tradnl" w:eastAsia="es-ES"/>
        </w:rPr>
        <w:t xml:space="preserve">El 3 de diciembre de 2003, y </w:t>
      </w:r>
      <w:r w:rsidR="00657C60" w:rsidRPr="00386E47">
        <w:rPr>
          <w:rFonts w:asciiTheme="majorHAnsi" w:eastAsia="Calibri" w:hAnsiTheme="majorHAnsi"/>
          <w:sz w:val="20"/>
          <w:szCs w:val="20"/>
          <w:lang w:val="es-ES_tradnl" w:eastAsia="es-ES"/>
        </w:rPr>
        <w:t>como resultado</w:t>
      </w:r>
      <w:r w:rsidRPr="00386E47">
        <w:rPr>
          <w:rFonts w:asciiTheme="majorHAnsi" w:eastAsia="Calibri" w:hAnsiTheme="majorHAnsi"/>
          <w:sz w:val="20"/>
          <w:szCs w:val="20"/>
          <w:lang w:val="es-ES_tradnl" w:eastAsia="es-ES"/>
        </w:rPr>
        <w:t xml:space="preserve"> de la recusación presentada por la querella de </w:t>
      </w:r>
      <w:r w:rsidR="00657C60" w:rsidRPr="00386E47">
        <w:rPr>
          <w:rFonts w:asciiTheme="majorHAnsi" w:eastAsia="Calibri" w:hAnsiTheme="majorHAnsi"/>
          <w:sz w:val="20"/>
          <w:szCs w:val="20"/>
          <w:lang w:val="es-ES_tradnl" w:eastAsia="es-ES"/>
        </w:rPr>
        <w:t xml:space="preserve">la Asociación Civil </w:t>
      </w:r>
      <w:r w:rsidRPr="00386E47">
        <w:rPr>
          <w:rFonts w:asciiTheme="majorHAnsi" w:eastAsia="Calibri" w:hAnsiTheme="majorHAnsi"/>
          <w:sz w:val="20"/>
          <w:szCs w:val="20"/>
          <w:lang w:val="es-ES_tradnl" w:eastAsia="es-ES"/>
        </w:rPr>
        <w:t>Memoria Activa, la Cámara Fe</w:t>
      </w:r>
      <w:r w:rsidR="00F15801" w:rsidRPr="00386E47">
        <w:rPr>
          <w:rFonts w:asciiTheme="majorHAnsi" w:eastAsia="Calibri" w:hAnsiTheme="majorHAnsi"/>
          <w:sz w:val="20"/>
          <w:szCs w:val="20"/>
          <w:lang w:val="es-ES_tradnl" w:eastAsia="es-ES"/>
        </w:rPr>
        <w:t>deral de Apelaciones apartó al J</w:t>
      </w:r>
      <w:r w:rsidRPr="00386E47">
        <w:rPr>
          <w:rFonts w:asciiTheme="majorHAnsi" w:eastAsia="Calibri" w:hAnsiTheme="majorHAnsi"/>
          <w:sz w:val="20"/>
          <w:szCs w:val="20"/>
          <w:lang w:val="es-ES_tradnl" w:eastAsia="es-ES"/>
        </w:rPr>
        <w:t>uez Galeano del conocimiento de aquellos tramos de la investigación que no habían sido elevados a juicio oral. En agosto de 2005 el Jurado de Enjuiciamiento del Consejo de la Magistratura de la Nación resolvió destituir de su cargo al juez Galeano por mal desempeño de sus funciones</w:t>
      </w:r>
      <w:r w:rsidR="004E5DC8" w:rsidRPr="00386E47">
        <w:rPr>
          <w:rFonts w:asciiTheme="majorHAnsi" w:eastAsia="Calibri" w:hAnsiTheme="majorHAnsi"/>
          <w:sz w:val="20"/>
          <w:szCs w:val="20"/>
          <w:lang w:val="es-ES_tradnl" w:eastAsia="es-ES"/>
        </w:rPr>
        <w:t xml:space="preserve"> evidenciado durante la investigación del atentado</w:t>
      </w:r>
      <w:r w:rsidRPr="00386E47">
        <w:rPr>
          <w:rFonts w:asciiTheme="majorHAnsi" w:eastAsia="Calibri" w:hAnsiTheme="majorHAnsi"/>
          <w:sz w:val="20"/>
          <w:szCs w:val="20"/>
          <w:vertAlign w:val="superscript"/>
          <w:lang w:val="es-ES_tradnl" w:eastAsia="es-ES"/>
        </w:rPr>
        <w:footnoteReference w:id="24"/>
      </w:r>
      <w:r w:rsidRPr="00386E47">
        <w:rPr>
          <w:rFonts w:asciiTheme="majorHAnsi" w:eastAsia="Calibri" w:hAnsiTheme="majorHAnsi"/>
          <w:sz w:val="20"/>
          <w:szCs w:val="20"/>
          <w:lang w:val="es-ES_tradnl" w:eastAsia="es-ES"/>
        </w:rPr>
        <w:t xml:space="preserve">. </w:t>
      </w:r>
    </w:p>
    <w:p w14:paraId="17FB3AC3" w14:textId="77777777" w:rsidR="009F70EA" w:rsidRPr="00386E47" w:rsidRDefault="009F70EA" w:rsidP="00CE774A">
      <w:pPr>
        <w:tabs>
          <w:tab w:val="left" w:pos="567"/>
        </w:tabs>
        <w:contextualSpacing/>
        <w:jc w:val="both"/>
        <w:rPr>
          <w:rFonts w:asciiTheme="majorHAnsi" w:eastAsia="Calibri" w:hAnsiTheme="majorHAnsi"/>
          <w:sz w:val="20"/>
          <w:szCs w:val="20"/>
          <w:lang w:val="es-ES_tradnl" w:eastAsia="es-ES"/>
        </w:rPr>
      </w:pPr>
    </w:p>
    <w:p w14:paraId="1C0A18FE" w14:textId="77777777" w:rsidR="009F70EA" w:rsidRPr="00386E47" w:rsidRDefault="009F70EA" w:rsidP="003A5860">
      <w:pPr>
        <w:numPr>
          <w:ilvl w:val="0"/>
          <w:numId w:val="55"/>
        </w:numPr>
        <w:tabs>
          <w:tab w:val="left" w:pos="567"/>
        </w:tabs>
        <w:ind w:left="0" w:firstLine="0"/>
        <w:contextualSpacing/>
        <w:jc w:val="both"/>
        <w:rPr>
          <w:rFonts w:asciiTheme="majorHAnsi" w:eastAsia="Calibri" w:hAnsiTheme="majorHAnsi"/>
          <w:sz w:val="20"/>
          <w:szCs w:val="20"/>
          <w:lang w:val="es-ES_tradnl" w:eastAsia="es-ES"/>
        </w:rPr>
      </w:pPr>
      <w:r w:rsidRPr="00386E47">
        <w:rPr>
          <w:rFonts w:asciiTheme="majorHAnsi" w:eastAsia="Calibri" w:hAnsiTheme="majorHAnsi"/>
          <w:sz w:val="20"/>
          <w:szCs w:val="20"/>
          <w:lang w:val="es-ES_tradnl" w:eastAsia="es-ES"/>
        </w:rPr>
        <w:t xml:space="preserve">La investigación recayó en el titular del Juzgado en lo Criminal y Correccional Nro. 6, el cual decidió delegarla en el representante del Ministerio Público. El objeto procesal de ese expediente se centra en esclarecer la identidad de aquellos autores materiales e intelectuales del atentado. Mediante resolución 84-04 de la Procuración General de la Nación se creó la UFI AMIA con el mandato de “actuar […] en la tramitación de la causa principal en que se investiga el atentado ocurrido el 18 de julio de 1994 […] y en todas las demás causas, que guarden relación con ese </w:t>
      </w:r>
      <w:r w:rsidR="000E0C69" w:rsidRPr="00386E47">
        <w:rPr>
          <w:rFonts w:asciiTheme="majorHAnsi" w:eastAsia="Calibri" w:hAnsiTheme="majorHAnsi"/>
          <w:sz w:val="20"/>
          <w:szCs w:val="20"/>
          <w:lang w:val="es-ES_tradnl" w:eastAsia="es-ES"/>
        </w:rPr>
        <w:t>hecho,</w:t>
      </w:r>
      <w:r w:rsidRPr="00386E47">
        <w:rPr>
          <w:rFonts w:asciiTheme="majorHAnsi" w:eastAsia="Calibri" w:hAnsiTheme="majorHAnsi"/>
          <w:sz w:val="20"/>
          <w:szCs w:val="20"/>
          <w:lang w:val="es-ES_tradnl" w:eastAsia="es-ES"/>
        </w:rPr>
        <w:t xml:space="preserve"> así como aquellas relacionadas con el encubrimiento…”</w:t>
      </w:r>
      <w:r w:rsidR="00F15801" w:rsidRPr="00386E47">
        <w:rPr>
          <w:rFonts w:asciiTheme="majorHAnsi" w:eastAsia="Calibri" w:hAnsiTheme="majorHAnsi"/>
          <w:sz w:val="20"/>
          <w:szCs w:val="20"/>
          <w:lang w:val="es-ES_tradnl" w:eastAsia="es-ES"/>
        </w:rPr>
        <w:t>. Los fiscales</w:t>
      </w:r>
      <w:r w:rsidRPr="00386E47">
        <w:rPr>
          <w:rFonts w:asciiTheme="majorHAnsi" w:eastAsia="Calibri" w:hAnsiTheme="majorHAnsi"/>
          <w:sz w:val="20"/>
          <w:szCs w:val="20"/>
          <w:lang w:val="es-ES_tradnl" w:eastAsia="es-ES"/>
        </w:rPr>
        <w:t xml:space="preserve"> </w:t>
      </w:r>
      <w:r w:rsidR="00D17068" w:rsidRPr="00386E47">
        <w:rPr>
          <w:rFonts w:asciiTheme="majorHAnsi" w:eastAsia="Calibri" w:hAnsiTheme="majorHAnsi"/>
          <w:sz w:val="20"/>
          <w:szCs w:val="20"/>
          <w:lang w:val="es-ES_tradnl" w:eastAsia="es-ES"/>
        </w:rPr>
        <w:t>Martínez</w:t>
      </w:r>
      <w:r w:rsidRPr="00386E47">
        <w:rPr>
          <w:rFonts w:asciiTheme="majorHAnsi" w:eastAsia="Calibri" w:hAnsiTheme="majorHAnsi"/>
          <w:sz w:val="20"/>
          <w:szCs w:val="20"/>
          <w:lang w:val="es-ES_tradnl" w:eastAsia="es-ES"/>
        </w:rPr>
        <w:t xml:space="preserve"> Burgos </w:t>
      </w:r>
      <w:r w:rsidR="00F15801" w:rsidRPr="00386E47">
        <w:rPr>
          <w:rFonts w:asciiTheme="majorHAnsi" w:eastAsia="Calibri" w:hAnsiTheme="majorHAnsi"/>
          <w:sz w:val="20"/>
          <w:szCs w:val="20"/>
          <w:lang w:val="es-ES_tradnl" w:eastAsia="es-ES"/>
        </w:rPr>
        <w:t xml:space="preserve">y Nisman </w:t>
      </w:r>
      <w:r w:rsidRPr="00386E47">
        <w:rPr>
          <w:rFonts w:asciiTheme="majorHAnsi" w:eastAsia="Calibri" w:hAnsiTheme="majorHAnsi"/>
          <w:sz w:val="20"/>
          <w:szCs w:val="20"/>
          <w:lang w:val="es-ES_tradnl" w:eastAsia="es-ES"/>
        </w:rPr>
        <w:t xml:space="preserve">fueron designados para encabezarla. Posteriormente, el Fiscal Nisman quedó a cargo de la investigación de manera exclusiva. </w:t>
      </w:r>
    </w:p>
    <w:p w14:paraId="4A6D8D0F" w14:textId="77777777" w:rsidR="009F70EA" w:rsidRPr="00386E47" w:rsidRDefault="009F70EA" w:rsidP="00347DFB">
      <w:pPr>
        <w:tabs>
          <w:tab w:val="left" w:pos="567"/>
        </w:tabs>
        <w:contextualSpacing/>
        <w:jc w:val="both"/>
        <w:rPr>
          <w:rFonts w:asciiTheme="majorHAnsi" w:eastAsia="Calibri" w:hAnsiTheme="majorHAnsi"/>
          <w:sz w:val="20"/>
          <w:szCs w:val="20"/>
          <w:lang w:val="es-ES_tradnl" w:eastAsia="es-ES"/>
        </w:rPr>
      </w:pPr>
    </w:p>
    <w:p w14:paraId="67C9488C" w14:textId="77777777" w:rsidR="009F70EA" w:rsidRPr="00386E47" w:rsidRDefault="009F70EA" w:rsidP="003A5860">
      <w:pPr>
        <w:numPr>
          <w:ilvl w:val="0"/>
          <w:numId w:val="55"/>
        </w:numPr>
        <w:tabs>
          <w:tab w:val="left" w:pos="567"/>
        </w:tabs>
        <w:ind w:left="0" w:firstLine="0"/>
        <w:contextualSpacing/>
        <w:jc w:val="both"/>
        <w:rPr>
          <w:rFonts w:asciiTheme="majorHAnsi" w:eastAsia="Calibri" w:hAnsiTheme="majorHAnsi"/>
          <w:sz w:val="20"/>
          <w:szCs w:val="20"/>
          <w:lang w:val="es-ES_tradnl" w:eastAsia="es-ES"/>
        </w:rPr>
      </w:pPr>
      <w:r w:rsidRPr="00386E47">
        <w:rPr>
          <w:rFonts w:asciiTheme="majorHAnsi" w:eastAsia="Calibri" w:hAnsiTheme="majorHAnsi"/>
          <w:sz w:val="20"/>
          <w:szCs w:val="20"/>
          <w:lang w:val="es-ES_tradnl" w:eastAsia="es-ES"/>
        </w:rPr>
        <w:t xml:space="preserve">El 25 de octubre de 2006 los fiscales </w:t>
      </w:r>
      <w:r w:rsidR="00D17068" w:rsidRPr="00386E47">
        <w:rPr>
          <w:rFonts w:asciiTheme="majorHAnsi" w:eastAsia="Calibri" w:hAnsiTheme="majorHAnsi"/>
          <w:sz w:val="20"/>
          <w:szCs w:val="20"/>
          <w:lang w:val="es-ES_tradnl" w:eastAsia="es-ES"/>
        </w:rPr>
        <w:t>Martínez</w:t>
      </w:r>
      <w:r w:rsidRPr="00386E47">
        <w:rPr>
          <w:rFonts w:asciiTheme="majorHAnsi" w:eastAsia="Calibri" w:hAnsiTheme="majorHAnsi"/>
          <w:sz w:val="20"/>
          <w:szCs w:val="20"/>
          <w:lang w:val="es-ES_tradnl" w:eastAsia="es-ES"/>
        </w:rPr>
        <w:t xml:space="preserve"> Burgos y Nisman suscribieron un extenso dictamen en el cual consignaron que el avance de la investigación</w:t>
      </w:r>
      <w:r w:rsidR="00F15801" w:rsidRPr="00386E47">
        <w:rPr>
          <w:rFonts w:asciiTheme="majorHAnsi" w:eastAsia="Calibri" w:hAnsiTheme="majorHAnsi"/>
          <w:sz w:val="20"/>
          <w:szCs w:val="20"/>
          <w:lang w:val="es-ES_tradnl" w:eastAsia="es-ES"/>
        </w:rPr>
        <w:t xml:space="preserve"> hasta ese momento</w:t>
      </w:r>
      <w:r w:rsidRPr="00386E47">
        <w:rPr>
          <w:rFonts w:asciiTheme="majorHAnsi" w:eastAsia="Calibri" w:hAnsiTheme="majorHAnsi"/>
          <w:sz w:val="20"/>
          <w:szCs w:val="20"/>
          <w:lang w:val="es-ES_tradnl" w:eastAsia="es-ES"/>
        </w:rPr>
        <w:t xml:space="preserve"> les permitía concluir, en primer lugar, que “el ciudadano libanés y miembro del Hezbollah, Ibrahim Hussein Berro, fue quien condujo el vehículo Renault Trafic que el 18 de julio de 1994 estalló frente a la sede de la AMIA, inmolándose en el hecho”</w:t>
      </w:r>
      <w:r w:rsidRPr="00386E47">
        <w:rPr>
          <w:rFonts w:asciiTheme="majorHAnsi" w:eastAsia="Calibri" w:hAnsiTheme="majorHAnsi"/>
          <w:sz w:val="20"/>
          <w:szCs w:val="20"/>
          <w:vertAlign w:val="superscript"/>
          <w:lang w:val="es-ES_tradnl" w:eastAsia="es-ES"/>
        </w:rPr>
        <w:footnoteReference w:id="25"/>
      </w:r>
      <w:r w:rsidRPr="00386E47">
        <w:rPr>
          <w:rFonts w:asciiTheme="majorHAnsi" w:eastAsia="Calibri" w:hAnsiTheme="majorHAnsi"/>
          <w:sz w:val="20"/>
          <w:szCs w:val="20"/>
          <w:lang w:val="es-ES_tradnl" w:eastAsia="es-ES"/>
        </w:rPr>
        <w:t>. En segundo lugar, los fiscales aseguraron que “la responsabilidad del atentado contra la sede de la AMIA recae sobre quienes, a la sazón, ejercían el gobierno de la República Islámica de Irán […] sus máximas autoridades de entonces fueron quienes tomaron la decisión de llevarlo a cabo, diagramaron su implementación y encomendaron su ejecución a la organización terrorista Hezbollah, agrupación esta última que […] tuvo a su cargo la fase final de la operación que se concretó el 18 de julio de 1994”</w:t>
      </w:r>
      <w:r w:rsidRPr="00386E47">
        <w:rPr>
          <w:rFonts w:asciiTheme="majorHAnsi" w:eastAsia="Calibri" w:hAnsiTheme="majorHAnsi"/>
          <w:sz w:val="20"/>
          <w:szCs w:val="20"/>
          <w:vertAlign w:val="superscript"/>
          <w:lang w:val="es-ES_tradnl" w:eastAsia="es-ES"/>
        </w:rPr>
        <w:footnoteReference w:id="26"/>
      </w:r>
      <w:r w:rsidRPr="00386E47">
        <w:rPr>
          <w:rFonts w:asciiTheme="majorHAnsi" w:eastAsia="Calibri" w:hAnsiTheme="majorHAnsi"/>
          <w:sz w:val="20"/>
          <w:szCs w:val="20"/>
          <w:lang w:val="es-ES_tradnl" w:eastAsia="es-ES"/>
        </w:rPr>
        <w:t xml:space="preserve">. </w:t>
      </w:r>
    </w:p>
    <w:p w14:paraId="2FF1035E" w14:textId="77777777" w:rsidR="009F70EA" w:rsidRPr="00386E47" w:rsidRDefault="009F70EA" w:rsidP="00CE774A">
      <w:pPr>
        <w:tabs>
          <w:tab w:val="left" w:pos="567"/>
        </w:tabs>
        <w:jc w:val="both"/>
        <w:rPr>
          <w:rFonts w:asciiTheme="majorHAnsi" w:eastAsia="Calibri" w:hAnsiTheme="majorHAnsi"/>
          <w:sz w:val="20"/>
          <w:szCs w:val="20"/>
          <w:lang w:val="es-ES_tradnl" w:eastAsia="es-ES"/>
        </w:rPr>
      </w:pPr>
    </w:p>
    <w:p w14:paraId="4C1B0530" w14:textId="77777777" w:rsidR="009F70EA" w:rsidRPr="00386E47" w:rsidRDefault="009F70EA" w:rsidP="003A5860">
      <w:pPr>
        <w:numPr>
          <w:ilvl w:val="0"/>
          <w:numId w:val="55"/>
        </w:numPr>
        <w:tabs>
          <w:tab w:val="left" w:pos="567"/>
        </w:tabs>
        <w:ind w:left="0" w:firstLine="0"/>
        <w:jc w:val="both"/>
        <w:rPr>
          <w:rFonts w:asciiTheme="majorHAnsi" w:eastAsia="Calibri" w:hAnsiTheme="majorHAnsi"/>
          <w:sz w:val="20"/>
          <w:szCs w:val="20"/>
          <w:lang w:val="es-ES_tradnl" w:eastAsia="es-ES"/>
        </w:rPr>
      </w:pPr>
      <w:r w:rsidRPr="00386E47">
        <w:rPr>
          <w:rFonts w:asciiTheme="majorHAnsi" w:eastAsia="Calibri" w:hAnsiTheme="majorHAnsi"/>
          <w:sz w:val="20"/>
          <w:szCs w:val="20"/>
          <w:lang w:val="es-ES_tradnl" w:eastAsia="es-ES"/>
        </w:rPr>
        <w:t>En el</w:t>
      </w:r>
      <w:r w:rsidR="00F15801" w:rsidRPr="00386E47">
        <w:rPr>
          <w:rFonts w:asciiTheme="majorHAnsi" w:eastAsia="Calibri" w:hAnsiTheme="majorHAnsi"/>
          <w:sz w:val="20"/>
          <w:szCs w:val="20"/>
          <w:lang w:val="es-ES_tradnl" w:eastAsia="es-ES"/>
        </w:rPr>
        <w:t xml:space="preserve"> mismo dictamen de fecha</w:t>
      </w:r>
      <w:r w:rsidRPr="00386E47">
        <w:rPr>
          <w:rFonts w:asciiTheme="majorHAnsi" w:eastAsia="Calibri" w:hAnsiTheme="majorHAnsi"/>
          <w:sz w:val="20"/>
          <w:szCs w:val="20"/>
          <w:lang w:val="es-ES_tradnl" w:eastAsia="es-ES"/>
        </w:rPr>
        <w:t xml:space="preserve"> 25 de octubre de 2006 los fiscales intervinientes solicitaron la captura internacional de ocho individuos, s</w:t>
      </w:r>
      <w:r w:rsidR="00F15801" w:rsidRPr="00386E47">
        <w:rPr>
          <w:rFonts w:asciiTheme="majorHAnsi" w:eastAsia="Calibri" w:hAnsiTheme="majorHAnsi"/>
          <w:sz w:val="20"/>
          <w:szCs w:val="20"/>
          <w:lang w:val="es-ES_tradnl" w:eastAsia="es-ES"/>
        </w:rPr>
        <w:t>iete de nacionalidad iraní y un nacional</w:t>
      </w:r>
      <w:r w:rsidRPr="00386E47">
        <w:rPr>
          <w:rFonts w:asciiTheme="majorHAnsi" w:eastAsia="Calibri" w:hAnsiTheme="majorHAnsi"/>
          <w:sz w:val="20"/>
          <w:szCs w:val="20"/>
          <w:lang w:val="es-ES_tradnl" w:eastAsia="es-ES"/>
        </w:rPr>
        <w:t xml:space="preserve"> de la República Libanesa, </w:t>
      </w:r>
      <w:r w:rsidR="00F15801" w:rsidRPr="00386E47">
        <w:rPr>
          <w:rFonts w:asciiTheme="majorHAnsi" w:eastAsia="Calibri" w:hAnsiTheme="majorHAnsi"/>
          <w:sz w:val="20"/>
          <w:szCs w:val="20"/>
          <w:lang w:val="es-ES_tradnl" w:eastAsia="es-ES"/>
        </w:rPr>
        <w:t>las cuales</w:t>
      </w:r>
      <w:r w:rsidRPr="00386E47">
        <w:rPr>
          <w:rFonts w:asciiTheme="majorHAnsi" w:eastAsia="Calibri" w:hAnsiTheme="majorHAnsi"/>
          <w:sz w:val="20"/>
          <w:szCs w:val="20"/>
          <w:lang w:val="es-ES_tradnl" w:eastAsia="es-ES"/>
        </w:rPr>
        <w:t xml:space="preserve"> fueron concedidas por el juez</w:t>
      </w:r>
      <w:r w:rsidR="00787972" w:rsidRPr="00386E47">
        <w:rPr>
          <w:rFonts w:asciiTheme="majorHAnsi" w:eastAsia="Calibri" w:hAnsiTheme="majorHAnsi"/>
          <w:sz w:val="20"/>
          <w:szCs w:val="20"/>
          <w:lang w:val="es-ES_tradnl" w:eastAsia="es-ES"/>
        </w:rPr>
        <w:t xml:space="preserve"> de instrucción</w:t>
      </w:r>
      <w:r w:rsidRPr="00386E47">
        <w:rPr>
          <w:rFonts w:asciiTheme="majorHAnsi" w:eastAsia="Calibri" w:hAnsiTheme="majorHAnsi"/>
          <w:sz w:val="20"/>
          <w:szCs w:val="20"/>
          <w:lang w:val="es-ES_tradnl" w:eastAsia="es-ES"/>
        </w:rPr>
        <w:t>. El 7 de noviembre de 2007 INTERPOL ordenó la inscripción en carácter de notificación roja de las órdenes de captura de seis de las ocho personas señaladas por Nisman y Martínez Burgos</w:t>
      </w:r>
      <w:r w:rsidR="00D17068" w:rsidRPr="00386E47">
        <w:rPr>
          <w:rStyle w:val="FootnoteReference"/>
          <w:rFonts w:asciiTheme="majorHAnsi" w:eastAsia="Calibri" w:hAnsiTheme="majorHAnsi"/>
          <w:sz w:val="20"/>
          <w:szCs w:val="20"/>
          <w:lang w:val="es-ES_tradnl" w:eastAsia="es-ES"/>
        </w:rPr>
        <w:footnoteReference w:id="27"/>
      </w:r>
      <w:r w:rsidR="00B8409B" w:rsidRPr="00386E47">
        <w:rPr>
          <w:rFonts w:asciiTheme="majorHAnsi" w:eastAsia="Calibri" w:hAnsiTheme="majorHAnsi"/>
          <w:sz w:val="20"/>
          <w:szCs w:val="20"/>
          <w:lang w:val="es-ES_tradnl" w:eastAsia="es-ES"/>
        </w:rPr>
        <w:t>.</w:t>
      </w:r>
    </w:p>
    <w:p w14:paraId="43A2ECB0" w14:textId="77777777" w:rsidR="009F70EA" w:rsidRPr="00386E47" w:rsidRDefault="009F70EA" w:rsidP="00CE774A">
      <w:pPr>
        <w:tabs>
          <w:tab w:val="left" w:pos="567"/>
        </w:tabs>
        <w:jc w:val="both"/>
        <w:rPr>
          <w:rFonts w:asciiTheme="majorHAnsi" w:eastAsia="Calibri" w:hAnsiTheme="majorHAnsi"/>
          <w:sz w:val="20"/>
          <w:szCs w:val="20"/>
          <w:lang w:val="es-ES_tradnl" w:eastAsia="es-ES"/>
        </w:rPr>
      </w:pPr>
    </w:p>
    <w:p w14:paraId="5C5EE524" w14:textId="77777777" w:rsidR="009F70EA" w:rsidRPr="00386E47" w:rsidRDefault="009F70EA" w:rsidP="003A5860">
      <w:pPr>
        <w:numPr>
          <w:ilvl w:val="0"/>
          <w:numId w:val="55"/>
        </w:numPr>
        <w:tabs>
          <w:tab w:val="left" w:pos="567"/>
        </w:tabs>
        <w:ind w:left="0" w:firstLine="0"/>
        <w:jc w:val="both"/>
        <w:rPr>
          <w:rFonts w:asciiTheme="majorHAnsi" w:eastAsia="Calibri" w:hAnsiTheme="majorHAnsi"/>
          <w:sz w:val="20"/>
          <w:szCs w:val="20"/>
          <w:lang w:val="es-ES_tradnl" w:eastAsia="es-ES"/>
        </w:rPr>
      </w:pPr>
      <w:r w:rsidRPr="00386E47">
        <w:rPr>
          <w:rFonts w:asciiTheme="majorHAnsi" w:eastAsia="Calibri" w:hAnsiTheme="majorHAnsi"/>
          <w:sz w:val="20"/>
          <w:szCs w:val="20"/>
          <w:lang w:val="es-ES_tradnl" w:eastAsia="es-ES"/>
        </w:rPr>
        <w:t xml:space="preserve">Con fecha 20 de mayo de 2009 la UFI AMIA emitió un nuevo dictamen </w:t>
      </w:r>
      <w:r w:rsidR="00084399" w:rsidRPr="00386E47">
        <w:rPr>
          <w:rFonts w:asciiTheme="majorHAnsi" w:eastAsia="Calibri" w:hAnsiTheme="majorHAnsi"/>
          <w:sz w:val="20"/>
          <w:szCs w:val="20"/>
          <w:lang w:val="es-ES_tradnl" w:eastAsia="es-ES"/>
        </w:rPr>
        <w:t xml:space="preserve">a través </w:t>
      </w:r>
      <w:r w:rsidRPr="00386E47">
        <w:rPr>
          <w:rFonts w:asciiTheme="majorHAnsi" w:eastAsia="Calibri" w:hAnsiTheme="majorHAnsi"/>
          <w:sz w:val="20"/>
          <w:szCs w:val="20"/>
          <w:lang w:val="es-ES_tradnl" w:eastAsia="es-ES"/>
        </w:rPr>
        <w:t>del cual acusó a un hombre de nacionalidad colombiana llamado Samuel Salman</w:t>
      </w:r>
      <w:r w:rsidR="000606B7" w:rsidRPr="00386E47">
        <w:rPr>
          <w:rFonts w:asciiTheme="majorHAnsi" w:eastAsia="Calibri" w:hAnsiTheme="majorHAnsi"/>
          <w:sz w:val="20"/>
          <w:szCs w:val="20"/>
          <w:lang w:val="es-ES_tradnl" w:eastAsia="es-ES"/>
        </w:rPr>
        <w:t xml:space="preserve"> </w:t>
      </w:r>
      <w:r w:rsidRPr="00386E47">
        <w:rPr>
          <w:rFonts w:asciiTheme="majorHAnsi" w:eastAsia="Calibri" w:hAnsiTheme="majorHAnsi"/>
          <w:sz w:val="20"/>
          <w:szCs w:val="20"/>
          <w:lang w:val="es-ES_tradnl" w:eastAsia="es-ES"/>
        </w:rPr>
        <w:t xml:space="preserve">El Reda como el responsable, desde su residencia en la </w:t>
      </w:r>
      <w:r w:rsidR="00A5097A" w:rsidRPr="00386E47">
        <w:rPr>
          <w:rFonts w:asciiTheme="majorHAnsi" w:eastAsia="Calibri" w:hAnsiTheme="majorHAnsi"/>
          <w:sz w:val="20"/>
          <w:szCs w:val="20"/>
          <w:lang w:val="es-ES_tradnl" w:eastAsia="es-ES"/>
        </w:rPr>
        <w:t>zona</w:t>
      </w:r>
      <w:r w:rsidRPr="00386E47">
        <w:rPr>
          <w:rFonts w:asciiTheme="majorHAnsi" w:eastAsia="Calibri" w:hAnsiTheme="majorHAnsi"/>
          <w:sz w:val="20"/>
          <w:szCs w:val="20"/>
          <w:lang w:val="es-ES_tradnl" w:eastAsia="es-ES"/>
        </w:rPr>
        <w:t xml:space="preserve"> de la tripe frontera entre Argentina, Brasil y Paraguay, de </w:t>
      </w:r>
      <w:r w:rsidR="00A5097A" w:rsidRPr="00386E47">
        <w:rPr>
          <w:rFonts w:asciiTheme="majorHAnsi" w:eastAsia="Calibri" w:hAnsiTheme="majorHAnsi"/>
          <w:sz w:val="20"/>
          <w:szCs w:val="20"/>
          <w:lang w:val="es-ES_tradnl" w:eastAsia="es-ES"/>
        </w:rPr>
        <w:t>haber coordinado</w:t>
      </w:r>
      <w:r w:rsidRPr="00386E47">
        <w:rPr>
          <w:rFonts w:asciiTheme="majorHAnsi" w:eastAsia="Calibri" w:hAnsiTheme="majorHAnsi"/>
          <w:sz w:val="20"/>
          <w:szCs w:val="20"/>
          <w:lang w:val="es-ES_tradnl" w:eastAsia="es-ES"/>
        </w:rPr>
        <w:t xml:space="preserve"> “la llegada y la partida, las operaciones de logística y las demás actividades desplegadas por el grupo operativo encargado de ejecutar la fase final del atentado”</w:t>
      </w:r>
      <w:r w:rsidRPr="00386E47">
        <w:rPr>
          <w:rFonts w:asciiTheme="majorHAnsi" w:eastAsia="Calibri" w:hAnsiTheme="majorHAnsi"/>
          <w:sz w:val="20"/>
          <w:szCs w:val="20"/>
          <w:vertAlign w:val="superscript"/>
          <w:lang w:val="es-ES_tradnl" w:eastAsia="es-ES"/>
        </w:rPr>
        <w:footnoteReference w:id="28"/>
      </w:r>
      <w:r w:rsidRPr="00386E47">
        <w:rPr>
          <w:rFonts w:asciiTheme="majorHAnsi" w:eastAsia="Calibri" w:hAnsiTheme="majorHAnsi"/>
          <w:sz w:val="20"/>
          <w:szCs w:val="20"/>
          <w:lang w:val="es-ES_tradnl" w:eastAsia="es-ES"/>
        </w:rPr>
        <w:t>. El 9 de julio de 2009 el juez a cargo de la causa ordenó la captura nacional e internacional de El Reda</w:t>
      </w:r>
      <w:r w:rsidR="00070209" w:rsidRPr="00386E47">
        <w:rPr>
          <w:rFonts w:asciiTheme="majorHAnsi" w:eastAsia="Calibri" w:hAnsiTheme="majorHAnsi"/>
          <w:sz w:val="20"/>
          <w:szCs w:val="20"/>
          <w:lang w:val="es-ES_tradnl" w:eastAsia="es-ES"/>
        </w:rPr>
        <w:t xml:space="preserve"> e INTERPOL emitió una notificación roja</w:t>
      </w:r>
      <w:r w:rsidR="00084399" w:rsidRPr="00386E47">
        <w:rPr>
          <w:rFonts w:asciiTheme="majorHAnsi" w:eastAsia="Calibri" w:hAnsiTheme="majorHAnsi"/>
          <w:sz w:val="20"/>
          <w:szCs w:val="20"/>
          <w:lang w:val="es-ES_tradnl" w:eastAsia="es-ES"/>
        </w:rPr>
        <w:t xml:space="preserve"> contra su persona</w:t>
      </w:r>
      <w:r w:rsidRPr="00386E47">
        <w:rPr>
          <w:rFonts w:asciiTheme="majorHAnsi" w:eastAsia="Calibri" w:hAnsiTheme="majorHAnsi"/>
          <w:sz w:val="20"/>
          <w:szCs w:val="20"/>
          <w:vertAlign w:val="superscript"/>
          <w:lang w:val="es-ES_tradnl" w:eastAsia="es-ES"/>
        </w:rPr>
        <w:footnoteReference w:id="29"/>
      </w:r>
      <w:r w:rsidRPr="00386E47">
        <w:rPr>
          <w:rFonts w:asciiTheme="majorHAnsi" w:eastAsia="Calibri" w:hAnsiTheme="majorHAnsi"/>
          <w:sz w:val="20"/>
          <w:szCs w:val="20"/>
          <w:lang w:val="es-ES_tradnl" w:eastAsia="es-ES"/>
        </w:rPr>
        <w:t xml:space="preserve">.  </w:t>
      </w:r>
    </w:p>
    <w:p w14:paraId="3F8981AD" w14:textId="77777777" w:rsidR="00070209" w:rsidRPr="00386E47" w:rsidRDefault="00070209" w:rsidP="00CE774A">
      <w:pPr>
        <w:tabs>
          <w:tab w:val="left" w:pos="567"/>
        </w:tabs>
        <w:jc w:val="both"/>
        <w:rPr>
          <w:rFonts w:asciiTheme="majorHAnsi" w:eastAsia="Calibri" w:hAnsiTheme="majorHAnsi"/>
          <w:sz w:val="20"/>
          <w:szCs w:val="20"/>
          <w:lang w:val="es-ES_tradnl" w:eastAsia="es-ES"/>
        </w:rPr>
      </w:pPr>
    </w:p>
    <w:p w14:paraId="19409D65" w14:textId="77777777" w:rsidR="009F70EA" w:rsidRPr="00386E47" w:rsidRDefault="009F70EA" w:rsidP="003A5860">
      <w:pPr>
        <w:numPr>
          <w:ilvl w:val="0"/>
          <w:numId w:val="55"/>
        </w:numPr>
        <w:tabs>
          <w:tab w:val="left" w:pos="567"/>
        </w:tabs>
        <w:ind w:left="0" w:firstLine="0"/>
        <w:jc w:val="both"/>
        <w:rPr>
          <w:rFonts w:asciiTheme="majorHAnsi" w:eastAsia="Calibri" w:hAnsiTheme="majorHAnsi"/>
          <w:sz w:val="20"/>
          <w:szCs w:val="20"/>
          <w:lang w:val="es-ES_tradnl" w:eastAsia="es-ES"/>
        </w:rPr>
      </w:pPr>
      <w:r w:rsidRPr="00386E47">
        <w:rPr>
          <w:rFonts w:asciiTheme="majorHAnsi" w:eastAsia="Calibri" w:hAnsiTheme="majorHAnsi"/>
          <w:sz w:val="20"/>
          <w:szCs w:val="20"/>
          <w:lang w:val="es-ES_tradnl" w:eastAsia="es-ES"/>
        </w:rPr>
        <w:t xml:space="preserve">El 27 de enero de 2013, en la ciudad de Adis Abeba, Etiopia, los gobiernos de la República Argentina y la República Islámica de Irán firmaron un Memorándum de Entendimiento “sobre los temas vinculados al ataque terrorista a la sede de la AMIA en Buenos Aires el 18 de Julio de 1994”. El memorándum disponía la creación de una Comisión de la Verdad compuesta por juristas internacionales y representantes de Argentina e Irán, </w:t>
      </w:r>
      <w:r w:rsidR="00070209" w:rsidRPr="00386E47">
        <w:rPr>
          <w:rFonts w:asciiTheme="majorHAnsi" w:eastAsia="Calibri" w:hAnsiTheme="majorHAnsi"/>
          <w:sz w:val="20"/>
          <w:szCs w:val="20"/>
          <w:lang w:val="es-ES_tradnl" w:eastAsia="es-ES"/>
        </w:rPr>
        <w:t xml:space="preserve">con el mandato </w:t>
      </w:r>
      <w:r w:rsidRPr="00386E47">
        <w:rPr>
          <w:rFonts w:asciiTheme="majorHAnsi" w:eastAsia="Calibri" w:hAnsiTheme="majorHAnsi"/>
          <w:sz w:val="20"/>
          <w:szCs w:val="20"/>
          <w:lang w:val="es-ES_tradnl" w:eastAsia="es-ES"/>
        </w:rPr>
        <w:t xml:space="preserve">de analizar la </w:t>
      </w:r>
      <w:r w:rsidR="00082C0F" w:rsidRPr="00386E47">
        <w:rPr>
          <w:rFonts w:asciiTheme="majorHAnsi" w:eastAsia="Calibri" w:hAnsiTheme="majorHAnsi"/>
          <w:sz w:val="20"/>
          <w:szCs w:val="20"/>
          <w:lang w:val="es-ES_tradnl" w:eastAsia="es-ES"/>
        </w:rPr>
        <w:t xml:space="preserve">información presentada por las autoridades </w:t>
      </w:r>
      <w:r w:rsidRPr="00386E47">
        <w:rPr>
          <w:rFonts w:asciiTheme="majorHAnsi" w:eastAsia="Calibri" w:hAnsiTheme="majorHAnsi"/>
          <w:sz w:val="20"/>
          <w:szCs w:val="20"/>
          <w:lang w:val="es-ES_tradnl" w:eastAsia="es-ES"/>
        </w:rPr>
        <w:t xml:space="preserve">de ambos países (art 1). Posteriormente, la Comisión de la Verdad debía “emitir un informe con recomendaciones sobre cómo proceder con el caso” (art 4). </w:t>
      </w:r>
      <w:r w:rsidRPr="00386E47">
        <w:rPr>
          <w:rFonts w:asciiTheme="majorHAnsi" w:eastAsia="Calibri" w:hAnsiTheme="majorHAnsi"/>
          <w:sz w:val="20"/>
          <w:szCs w:val="20"/>
          <w:lang w:val="es-ES_tradnl" w:eastAsia="es-ES"/>
        </w:rPr>
        <w:lastRenderedPageBreak/>
        <w:t xml:space="preserve">El memorándum también establecía que la Comisión de la Verdad “y las autoridades judiciales argentinas e iraníes se encontrarían en Teherán para proceder a interrogar a aquellas personas respecto de las cuales Interpol ha emitido una notificación roja” (art 5). </w:t>
      </w:r>
    </w:p>
    <w:p w14:paraId="5EE2F379" w14:textId="77777777" w:rsidR="009F70EA" w:rsidRPr="00386E47" w:rsidRDefault="009F70EA" w:rsidP="00CE774A">
      <w:pPr>
        <w:tabs>
          <w:tab w:val="left" w:pos="567"/>
        </w:tabs>
        <w:jc w:val="both"/>
        <w:rPr>
          <w:rFonts w:asciiTheme="majorHAnsi" w:eastAsia="Calibri" w:hAnsiTheme="majorHAnsi"/>
          <w:sz w:val="20"/>
          <w:szCs w:val="20"/>
          <w:lang w:val="es-ES_tradnl" w:eastAsia="es-ES"/>
        </w:rPr>
      </w:pPr>
    </w:p>
    <w:p w14:paraId="43A3433F" w14:textId="77777777" w:rsidR="009F70EA" w:rsidRPr="00386E47" w:rsidRDefault="009F70EA" w:rsidP="003A5860">
      <w:pPr>
        <w:numPr>
          <w:ilvl w:val="0"/>
          <w:numId w:val="55"/>
        </w:numPr>
        <w:tabs>
          <w:tab w:val="left" w:pos="567"/>
        </w:tabs>
        <w:ind w:left="0" w:firstLine="0"/>
        <w:jc w:val="both"/>
        <w:rPr>
          <w:rFonts w:asciiTheme="majorHAnsi" w:eastAsia="Calibri" w:hAnsiTheme="majorHAnsi"/>
          <w:sz w:val="20"/>
          <w:szCs w:val="20"/>
          <w:lang w:val="es-ES_tradnl" w:eastAsia="es-ES"/>
        </w:rPr>
      </w:pPr>
      <w:r w:rsidRPr="00386E47">
        <w:rPr>
          <w:rFonts w:asciiTheme="majorHAnsi" w:eastAsia="Calibri" w:hAnsiTheme="majorHAnsi"/>
          <w:sz w:val="20"/>
          <w:szCs w:val="20"/>
          <w:lang w:val="es-ES_tradnl" w:eastAsia="es-ES"/>
        </w:rPr>
        <w:t>El Memorándum de Entendimiento fue aprobado por el Congreso argentino mediante ley 26.843 de fecha 1 de marzo de 2013</w:t>
      </w:r>
      <w:r w:rsidR="00070209" w:rsidRPr="00386E47">
        <w:rPr>
          <w:rFonts w:asciiTheme="majorHAnsi" w:eastAsia="Calibri" w:hAnsiTheme="majorHAnsi"/>
          <w:sz w:val="20"/>
          <w:szCs w:val="20"/>
          <w:vertAlign w:val="superscript"/>
          <w:lang w:val="es-ES_tradnl" w:eastAsia="es-ES"/>
        </w:rPr>
        <w:footnoteReference w:id="30"/>
      </w:r>
      <w:r w:rsidRPr="00386E47">
        <w:rPr>
          <w:rFonts w:asciiTheme="majorHAnsi" w:eastAsia="Calibri" w:hAnsiTheme="majorHAnsi"/>
          <w:sz w:val="20"/>
          <w:szCs w:val="20"/>
          <w:lang w:val="es-ES_tradnl" w:eastAsia="es-ES"/>
        </w:rPr>
        <w:t>. Dicha norma fue declarada inconstitucional por la Sala I de la Cámara Federal en lo Criminal y Correccional</w:t>
      </w:r>
      <w:r w:rsidR="00084399" w:rsidRPr="00386E47">
        <w:rPr>
          <w:rFonts w:asciiTheme="majorHAnsi" w:eastAsia="Calibri" w:hAnsiTheme="majorHAnsi"/>
          <w:sz w:val="20"/>
          <w:szCs w:val="20"/>
          <w:lang w:val="es-ES_tradnl" w:eastAsia="es-ES"/>
        </w:rPr>
        <w:t xml:space="preserve">. La </w:t>
      </w:r>
      <w:r w:rsidRPr="00386E47">
        <w:rPr>
          <w:rFonts w:asciiTheme="majorHAnsi" w:eastAsia="Calibri" w:hAnsiTheme="majorHAnsi"/>
          <w:sz w:val="20"/>
          <w:szCs w:val="20"/>
          <w:lang w:val="es-ES_tradnl" w:eastAsia="es-ES"/>
        </w:rPr>
        <w:t>decisión adquirió calidad de cosa juzgada en diciembre de 2015.</w:t>
      </w:r>
      <w:r w:rsidR="0092651C" w:rsidRPr="00386E47">
        <w:rPr>
          <w:rFonts w:asciiTheme="majorHAnsi" w:eastAsia="Calibri" w:hAnsiTheme="majorHAnsi"/>
          <w:sz w:val="20"/>
          <w:szCs w:val="20"/>
          <w:lang w:val="es-ES_tradnl" w:eastAsia="es-ES"/>
        </w:rPr>
        <w:t xml:space="preserve"> En consecuencia,  l</w:t>
      </w:r>
      <w:r w:rsidRPr="00386E47">
        <w:rPr>
          <w:rFonts w:asciiTheme="majorHAnsi" w:eastAsia="Calibri" w:hAnsiTheme="majorHAnsi"/>
          <w:sz w:val="20"/>
          <w:szCs w:val="20"/>
          <w:lang w:val="es-ES_tradnl" w:eastAsia="es-ES"/>
        </w:rPr>
        <w:t>a Comisión de la Verdad</w:t>
      </w:r>
      <w:r w:rsidR="00845CE0" w:rsidRPr="00386E47">
        <w:rPr>
          <w:rFonts w:asciiTheme="majorHAnsi" w:eastAsia="Calibri" w:hAnsiTheme="majorHAnsi"/>
          <w:sz w:val="20"/>
          <w:szCs w:val="20"/>
          <w:lang w:val="es-ES_tradnl" w:eastAsia="es-ES"/>
        </w:rPr>
        <w:t xml:space="preserve"> </w:t>
      </w:r>
      <w:r w:rsidR="0092651C" w:rsidRPr="00386E47">
        <w:rPr>
          <w:rFonts w:asciiTheme="majorHAnsi" w:eastAsia="Calibri" w:hAnsiTheme="majorHAnsi"/>
          <w:sz w:val="20"/>
          <w:szCs w:val="20"/>
          <w:lang w:val="es-ES_tradnl" w:eastAsia="es-ES"/>
        </w:rPr>
        <w:t>prevista por la ley</w:t>
      </w:r>
      <w:r w:rsidR="00845CE0" w:rsidRPr="00386E47">
        <w:rPr>
          <w:rFonts w:asciiTheme="majorHAnsi" w:eastAsia="Calibri" w:hAnsiTheme="majorHAnsi"/>
          <w:sz w:val="20"/>
          <w:szCs w:val="20"/>
          <w:lang w:val="es-ES_tradnl" w:eastAsia="es-ES"/>
        </w:rPr>
        <w:t xml:space="preserve"> 26.843</w:t>
      </w:r>
      <w:r w:rsidRPr="00386E47">
        <w:rPr>
          <w:rFonts w:asciiTheme="majorHAnsi" w:eastAsia="Calibri" w:hAnsiTheme="majorHAnsi"/>
          <w:sz w:val="20"/>
          <w:szCs w:val="20"/>
          <w:lang w:val="es-ES_tradnl" w:eastAsia="es-ES"/>
        </w:rPr>
        <w:t xml:space="preserve"> nunca fue instalada</w:t>
      </w:r>
      <w:r w:rsidR="00070209" w:rsidRPr="00386E47">
        <w:rPr>
          <w:rStyle w:val="FootnoteReference"/>
          <w:rFonts w:asciiTheme="majorHAnsi" w:eastAsia="Calibri" w:hAnsiTheme="majorHAnsi"/>
          <w:sz w:val="20"/>
          <w:szCs w:val="20"/>
          <w:lang w:val="es-ES_tradnl" w:eastAsia="es-ES"/>
        </w:rPr>
        <w:footnoteReference w:id="31"/>
      </w:r>
      <w:r w:rsidRPr="00386E47">
        <w:rPr>
          <w:rFonts w:asciiTheme="majorHAnsi" w:eastAsia="Calibri" w:hAnsiTheme="majorHAnsi"/>
          <w:sz w:val="20"/>
          <w:szCs w:val="20"/>
          <w:lang w:val="es-ES_tradnl" w:eastAsia="es-ES"/>
        </w:rPr>
        <w:t xml:space="preserve">. </w:t>
      </w:r>
    </w:p>
    <w:p w14:paraId="69579D01" w14:textId="77777777" w:rsidR="009F70EA" w:rsidRPr="00386E47" w:rsidRDefault="009F70EA" w:rsidP="00CE774A">
      <w:pPr>
        <w:tabs>
          <w:tab w:val="left" w:pos="567"/>
        </w:tabs>
        <w:jc w:val="both"/>
        <w:rPr>
          <w:rFonts w:asciiTheme="majorHAnsi" w:eastAsia="Calibri" w:hAnsiTheme="majorHAnsi"/>
          <w:sz w:val="20"/>
          <w:szCs w:val="20"/>
          <w:lang w:val="es-ES_tradnl" w:eastAsia="es-ES"/>
        </w:rPr>
      </w:pPr>
    </w:p>
    <w:p w14:paraId="612F1663" w14:textId="77777777" w:rsidR="00070209" w:rsidRPr="00386E47" w:rsidRDefault="009F70EA" w:rsidP="003A5860">
      <w:pPr>
        <w:numPr>
          <w:ilvl w:val="0"/>
          <w:numId w:val="55"/>
        </w:numPr>
        <w:tabs>
          <w:tab w:val="left" w:pos="567"/>
        </w:tabs>
        <w:ind w:left="0" w:firstLine="0"/>
        <w:jc w:val="both"/>
        <w:rPr>
          <w:rFonts w:asciiTheme="majorHAnsi" w:eastAsia="Calibri" w:hAnsiTheme="majorHAnsi"/>
          <w:sz w:val="20"/>
          <w:szCs w:val="20"/>
          <w:lang w:val="es-ES_tradnl" w:eastAsia="es-ES"/>
        </w:rPr>
      </w:pPr>
      <w:r w:rsidRPr="00386E47">
        <w:rPr>
          <w:rFonts w:asciiTheme="majorHAnsi" w:eastAsia="Calibri" w:hAnsiTheme="majorHAnsi"/>
          <w:sz w:val="20"/>
          <w:szCs w:val="20"/>
          <w:lang w:val="es-ES_tradnl" w:eastAsia="es-ES"/>
        </w:rPr>
        <w:t>El 18 de enero de 2015 el cuerpo del Fiscal Nisman fue hallado sin vida en su domicilio de la ciudad de Buenos Aires. Al momento de la aprobación de este informe las circunstancias de su muerte continúan siendo objeto de una investigación por parte de los tribunales nacionales. En febrero de 2015 la Procuración General de la Nación designó a cargo de la UFI AMIA a un equipo de trabajo compuesto por tres fiscales, quienes, con algunos cambios en su composición,</w:t>
      </w:r>
      <w:r w:rsidR="00CE774A" w:rsidRPr="00386E47">
        <w:rPr>
          <w:rFonts w:asciiTheme="majorHAnsi" w:eastAsia="Calibri" w:hAnsiTheme="majorHAnsi"/>
          <w:sz w:val="20"/>
          <w:szCs w:val="20"/>
          <w:lang w:val="es-ES_tradnl" w:eastAsia="es-ES"/>
        </w:rPr>
        <w:t xml:space="preserve"> </w:t>
      </w:r>
      <w:r w:rsidRPr="00386E47">
        <w:rPr>
          <w:rFonts w:asciiTheme="majorHAnsi" w:eastAsia="Calibri" w:hAnsiTheme="majorHAnsi"/>
          <w:sz w:val="20"/>
          <w:szCs w:val="20"/>
          <w:lang w:val="es-ES_tradnl" w:eastAsia="es-ES"/>
        </w:rPr>
        <w:t xml:space="preserve">encabezan, en la actualidad, la acusación contra Carlos </w:t>
      </w:r>
      <w:r w:rsidR="00084399" w:rsidRPr="00386E47">
        <w:rPr>
          <w:rFonts w:asciiTheme="majorHAnsi" w:eastAsia="Calibri" w:hAnsiTheme="majorHAnsi"/>
          <w:sz w:val="20"/>
          <w:szCs w:val="20"/>
          <w:lang w:val="es-ES_tradnl" w:eastAsia="es-ES"/>
        </w:rPr>
        <w:t>Telleldín</w:t>
      </w:r>
      <w:r w:rsidR="00203A2C" w:rsidRPr="00386E47">
        <w:rPr>
          <w:rFonts w:asciiTheme="majorHAnsi" w:eastAsia="Calibri" w:hAnsiTheme="majorHAnsi"/>
          <w:sz w:val="20"/>
          <w:szCs w:val="20"/>
          <w:lang w:val="es-ES_tradnl" w:eastAsia="es-ES"/>
        </w:rPr>
        <w:t>,</w:t>
      </w:r>
      <w:r w:rsidRPr="00386E47">
        <w:rPr>
          <w:rFonts w:asciiTheme="majorHAnsi" w:eastAsia="Calibri" w:hAnsiTheme="majorHAnsi"/>
          <w:sz w:val="20"/>
          <w:szCs w:val="20"/>
          <w:lang w:val="es-ES_tradnl" w:eastAsia="es-ES"/>
        </w:rPr>
        <w:t xml:space="preserve"> la investigación por los autores materiales e intelectuales del atentado y el litigio de las causas </w:t>
      </w:r>
      <w:r w:rsidR="00845CE0" w:rsidRPr="00386E47">
        <w:rPr>
          <w:rFonts w:asciiTheme="majorHAnsi" w:eastAsia="Calibri" w:hAnsiTheme="majorHAnsi"/>
          <w:sz w:val="20"/>
          <w:szCs w:val="20"/>
          <w:lang w:val="es-ES_tradnl" w:eastAsia="es-ES"/>
        </w:rPr>
        <w:t xml:space="preserve">que se iniciaron a </w:t>
      </w:r>
      <w:r w:rsidRPr="00386E47">
        <w:rPr>
          <w:rFonts w:asciiTheme="majorHAnsi" w:eastAsia="Calibri" w:hAnsiTheme="majorHAnsi"/>
          <w:sz w:val="20"/>
          <w:szCs w:val="20"/>
          <w:lang w:val="es-ES_tradnl" w:eastAsia="es-ES"/>
        </w:rPr>
        <w:t xml:space="preserve"> fin de esclarecer </w:t>
      </w:r>
      <w:r w:rsidR="00203A2C" w:rsidRPr="00386E47">
        <w:rPr>
          <w:rFonts w:asciiTheme="majorHAnsi" w:eastAsia="Calibri" w:hAnsiTheme="majorHAnsi"/>
          <w:sz w:val="20"/>
          <w:szCs w:val="20"/>
          <w:lang w:val="es-ES_tradnl" w:eastAsia="es-ES"/>
        </w:rPr>
        <w:t>las maniobras de</w:t>
      </w:r>
      <w:r w:rsidR="00845CE0" w:rsidRPr="00386E47">
        <w:rPr>
          <w:rFonts w:asciiTheme="majorHAnsi" w:eastAsia="Calibri" w:hAnsiTheme="majorHAnsi"/>
          <w:sz w:val="20"/>
          <w:szCs w:val="20"/>
          <w:lang w:val="es-ES_tradnl" w:eastAsia="es-ES"/>
        </w:rPr>
        <w:t xml:space="preserve"> </w:t>
      </w:r>
      <w:r w:rsidRPr="00386E47">
        <w:rPr>
          <w:rFonts w:asciiTheme="majorHAnsi" w:eastAsia="Calibri" w:hAnsiTheme="majorHAnsi"/>
          <w:sz w:val="20"/>
          <w:szCs w:val="20"/>
          <w:lang w:val="es-ES_tradnl" w:eastAsia="es-ES"/>
        </w:rPr>
        <w:t>encubrimiento</w:t>
      </w:r>
      <w:r w:rsidRPr="00386E47">
        <w:rPr>
          <w:rFonts w:asciiTheme="majorHAnsi" w:eastAsia="Calibri" w:hAnsiTheme="majorHAnsi"/>
          <w:sz w:val="20"/>
          <w:szCs w:val="20"/>
          <w:vertAlign w:val="superscript"/>
          <w:lang w:val="es-ES_tradnl" w:eastAsia="es-ES"/>
        </w:rPr>
        <w:footnoteReference w:id="32"/>
      </w:r>
      <w:r w:rsidRPr="00386E47">
        <w:rPr>
          <w:rFonts w:asciiTheme="majorHAnsi" w:eastAsia="Calibri" w:hAnsiTheme="majorHAnsi"/>
          <w:sz w:val="20"/>
          <w:szCs w:val="20"/>
          <w:lang w:val="es-ES_tradnl" w:eastAsia="es-ES"/>
        </w:rPr>
        <w:t xml:space="preserve">. </w:t>
      </w:r>
    </w:p>
    <w:p w14:paraId="667ACACD" w14:textId="77777777" w:rsidR="00070209" w:rsidRPr="00386E47" w:rsidRDefault="00070209" w:rsidP="00CE774A">
      <w:pPr>
        <w:tabs>
          <w:tab w:val="left" w:pos="426"/>
        </w:tabs>
        <w:jc w:val="both"/>
        <w:rPr>
          <w:rFonts w:asciiTheme="majorHAnsi" w:eastAsia="Calibri" w:hAnsiTheme="majorHAnsi"/>
          <w:sz w:val="20"/>
          <w:szCs w:val="20"/>
          <w:lang w:val="es-ES_tradnl" w:eastAsia="es-ES"/>
        </w:rPr>
      </w:pPr>
    </w:p>
    <w:p w14:paraId="0FC2F776" w14:textId="77777777" w:rsidR="009F70EA" w:rsidRPr="00386E47" w:rsidRDefault="009F70EA" w:rsidP="009146F2">
      <w:pPr>
        <w:pStyle w:val="Heading3"/>
        <w:numPr>
          <w:ilvl w:val="1"/>
          <w:numId w:val="68"/>
        </w:numPr>
        <w:ind w:left="284" w:firstLine="0"/>
      </w:pPr>
      <w:bookmarkStart w:id="23" w:name="_Toc51252194"/>
      <w:r w:rsidRPr="00386E47">
        <w:t>Los procesos por el encubrimiento del atentado</w:t>
      </w:r>
      <w:bookmarkEnd w:id="23"/>
      <w:r w:rsidRPr="00386E47">
        <w:t xml:space="preserve"> </w:t>
      </w:r>
    </w:p>
    <w:p w14:paraId="459C2D4D" w14:textId="77777777" w:rsidR="009F70EA" w:rsidRPr="00386E47" w:rsidRDefault="009F70EA" w:rsidP="003A5860">
      <w:pPr>
        <w:numPr>
          <w:ilvl w:val="0"/>
          <w:numId w:val="55"/>
        </w:numPr>
        <w:tabs>
          <w:tab w:val="left" w:pos="567"/>
        </w:tabs>
        <w:ind w:left="0" w:firstLine="0"/>
        <w:contextualSpacing/>
        <w:jc w:val="both"/>
        <w:rPr>
          <w:rFonts w:asciiTheme="majorHAnsi" w:eastAsia="Calibri" w:hAnsiTheme="majorHAnsi"/>
          <w:sz w:val="20"/>
          <w:szCs w:val="20"/>
          <w:lang w:val="es-ES_tradnl" w:eastAsia="es-ES"/>
        </w:rPr>
      </w:pPr>
      <w:r w:rsidRPr="00386E47">
        <w:rPr>
          <w:rFonts w:asciiTheme="majorHAnsi" w:eastAsia="Calibri" w:hAnsiTheme="majorHAnsi"/>
          <w:sz w:val="20"/>
          <w:szCs w:val="20"/>
          <w:lang w:val="es-ES_tradnl" w:eastAsia="es-ES"/>
        </w:rPr>
        <w:t xml:space="preserve">En el mes de agosto del año 2000 y como resultado del testimonio brindado por un empleado del Juzgado Federal Nro. 9 ante la Comisión Bicameral de Seguimiento de la Investigación de los Atentados a la </w:t>
      </w:r>
      <w:r w:rsidR="00070209" w:rsidRPr="00386E47">
        <w:rPr>
          <w:rFonts w:asciiTheme="majorHAnsi" w:eastAsia="Calibri" w:hAnsiTheme="majorHAnsi"/>
          <w:sz w:val="20"/>
          <w:szCs w:val="20"/>
          <w:lang w:val="es-ES_tradnl" w:eastAsia="es-ES"/>
        </w:rPr>
        <w:t>Embajada de Israel y a la AMIA</w:t>
      </w:r>
      <w:r w:rsidR="00A20875" w:rsidRPr="00386E47">
        <w:rPr>
          <w:rFonts w:asciiTheme="majorHAnsi" w:eastAsia="Calibri" w:hAnsiTheme="majorHAnsi"/>
          <w:sz w:val="20"/>
          <w:szCs w:val="20"/>
          <w:lang w:val="es-ES_tradnl" w:eastAsia="es-ES"/>
        </w:rPr>
        <w:t>,</w:t>
      </w:r>
      <w:r w:rsidR="00070209" w:rsidRPr="00386E47">
        <w:rPr>
          <w:rFonts w:asciiTheme="majorHAnsi" w:eastAsia="Calibri" w:hAnsiTheme="majorHAnsi"/>
          <w:sz w:val="20"/>
          <w:szCs w:val="20"/>
          <w:lang w:val="es-ES_tradnl" w:eastAsia="es-ES"/>
        </w:rPr>
        <w:t xml:space="preserve"> se abrió una</w:t>
      </w:r>
      <w:r w:rsidRPr="00386E47">
        <w:rPr>
          <w:rFonts w:asciiTheme="majorHAnsi" w:eastAsia="Calibri" w:hAnsiTheme="majorHAnsi"/>
          <w:sz w:val="20"/>
          <w:szCs w:val="20"/>
          <w:lang w:val="es-ES_tradnl" w:eastAsia="es-ES"/>
        </w:rPr>
        <w:t xml:space="preserve"> investigación por el presunto delito de encubrimiento del atentado</w:t>
      </w:r>
      <w:r w:rsidR="000606B7" w:rsidRPr="00386E47">
        <w:rPr>
          <w:rStyle w:val="FootnoteReference"/>
          <w:rFonts w:asciiTheme="majorHAnsi" w:eastAsia="Calibri" w:hAnsiTheme="majorHAnsi"/>
          <w:sz w:val="20"/>
          <w:szCs w:val="20"/>
          <w:lang w:val="es-ES_tradnl" w:eastAsia="es-ES"/>
        </w:rPr>
        <w:footnoteReference w:id="33"/>
      </w:r>
      <w:r w:rsidRPr="00386E47">
        <w:rPr>
          <w:rFonts w:asciiTheme="majorHAnsi" w:eastAsia="Calibri" w:hAnsiTheme="majorHAnsi"/>
          <w:sz w:val="20"/>
          <w:szCs w:val="20"/>
          <w:lang w:val="es-ES_tradnl" w:eastAsia="es-ES"/>
        </w:rPr>
        <w:t xml:space="preserve">. </w:t>
      </w:r>
    </w:p>
    <w:p w14:paraId="1382CF19" w14:textId="77777777" w:rsidR="009F70EA" w:rsidRPr="00386E47" w:rsidRDefault="009F70EA" w:rsidP="00CE774A">
      <w:pPr>
        <w:tabs>
          <w:tab w:val="left" w:pos="284"/>
          <w:tab w:val="left" w:pos="426"/>
        </w:tabs>
        <w:contextualSpacing/>
        <w:jc w:val="both"/>
        <w:rPr>
          <w:rFonts w:asciiTheme="majorHAnsi" w:eastAsia="Calibri" w:hAnsiTheme="majorHAnsi"/>
          <w:sz w:val="20"/>
          <w:szCs w:val="20"/>
          <w:lang w:val="es-ES_tradnl" w:eastAsia="es-ES"/>
        </w:rPr>
      </w:pPr>
    </w:p>
    <w:p w14:paraId="1C4FA9AE" w14:textId="77777777" w:rsidR="009F70EA" w:rsidRPr="00386E47" w:rsidRDefault="009F70EA" w:rsidP="003A5860">
      <w:pPr>
        <w:numPr>
          <w:ilvl w:val="0"/>
          <w:numId w:val="55"/>
        </w:numPr>
        <w:tabs>
          <w:tab w:val="left" w:pos="567"/>
        </w:tabs>
        <w:ind w:left="0" w:firstLine="0"/>
        <w:contextualSpacing/>
        <w:jc w:val="both"/>
        <w:rPr>
          <w:rFonts w:asciiTheme="majorHAnsi" w:eastAsia="Calibri" w:hAnsiTheme="majorHAnsi"/>
          <w:sz w:val="20"/>
          <w:szCs w:val="20"/>
          <w:lang w:val="es-ES_tradnl" w:eastAsia="es-ES"/>
        </w:rPr>
      </w:pPr>
      <w:r w:rsidRPr="00386E47">
        <w:rPr>
          <w:rFonts w:asciiTheme="majorHAnsi" w:eastAsia="Calibri" w:hAnsiTheme="majorHAnsi"/>
          <w:sz w:val="20"/>
          <w:szCs w:val="20"/>
          <w:lang w:val="es-ES_tradnl" w:eastAsia="es-ES"/>
        </w:rPr>
        <w:t xml:space="preserve">Esta investigación </w:t>
      </w:r>
      <w:r w:rsidR="00070209" w:rsidRPr="00386E47">
        <w:rPr>
          <w:rFonts w:asciiTheme="majorHAnsi" w:eastAsia="Calibri" w:hAnsiTheme="majorHAnsi"/>
          <w:sz w:val="20"/>
          <w:szCs w:val="20"/>
          <w:lang w:val="es-ES_tradnl" w:eastAsia="es-ES"/>
        </w:rPr>
        <w:t xml:space="preserve">cobró </w:t>
      </w:r>
      <w:r w:rsidR="00A20875" w:rsidRPr="00386E47">
        <w:rPr>
          <w:rFonts w:asciiTheme="majorHAnsi" w:eastAsia="Calibri" w:hAnsiTheme="majorHAnsi"/>
          <w:sz w:val="20"/>
          <w:szCs w:val="20"/>
          <w:lang w:val="es-ES_tradnl" w:eastAsia="es-ES"/>
        </w:rPr>
        <w:t xml:space="preserve">relevancia </w:t>
      </w:r>
      <w:r w:rsidR="00070209" w:rsidRPr="00386E47">
        <w:rPr>
          <w:rFonts w:asciiTheme="majorHAnsi" w:eastAsia="Calibri" w:hAnsiTheme="majorHAnsi"/>
          <w:sz w:val="20"/>
          <w:szCs w:val="20"/>
          <w:lang w:val="es-ES_tradnl" w:eastAsia="es-ES"/>
        </w:rPr>
        <w:t>a partir</w:t>
      </w:r>
      <w:r w:rsidRPr="00386E47">
        <w:rPr>
          <w:rFonts w:asciiTheme="majorHAnsi" w:eastAsia="Calibri" w:hAnsiTheme="majorHAnsi"/>
          <w:sz w:val="20"/>
          <w:szCs w:val="20"/>
          <w:lang w:val="es-ES_tradnl" w:eastAsia="es-ES"/>
        </w:rPr>
        <w:t xml:space="preserve"> de las revelaciones que surgieron durante el debate oral y público llevado a cabo entre los años 2001 y 2004 por el TOF 3 contra Carlos </w:t>
      </w:r>
      <w:r w:rsidR="00084399" w:rsidRPr="00386E47">
        <w:rPr>
          <w:rFonts w:asciiTheme="majorHAnsi" w:eastAsia="Calibri" w:hAnsiTheme="majorHAnsi"/>
          <w:sz w:val="20"/>
          <w:szCs w:val="20"/>
          <w:lang w:val="es-ES_tradnl" w:eastAsia="es-ES"/>
        </w:rPr>
        <w:t>Telleldín</w:t>
      </w:r>
      <w:r w:rsidRPr="00386E47">
        <w:rPr>
          <w:rFonts w:asciiTheme="majorHAnsi" w:eastAsia="Calibri" w:hAnsiTheme="majorHAnsi"/>
          <w:sz w:val="20"/>
          <w:szCs w:val="20"/>
          <w:lang w:val="es-ES_tradnl" w:eastAsia="es-ES"/>
        </w:rPr>
        <w:t xml:space="preserve"> y los policías bonaeren</w:t>
      </w:r>
      <w:r w:rsidR="00070209" w:rsidRPr="00386E47">
        <w:rPr>
          <w:rFonts w:asciiTheme="majorHAnsi" w:eastAsia="Calibri" w:hAnsiTheme="majorHAnsi"/>
          <w:sz w:val="20"/>
          <w:szCs w:val="20"/>
          <w:lang w:val="es-ES_tradnl" w:eastAsia="es-ES"/>
        </w:rPr>
        <w:t>ses. Al t</w:t>
      </w:r>
      <w:r w:rsidR="006A0C6C" w:rsidRPr="00386E47">
        <w:rPr>
          <w:rFonts w:asciiTheme="majorHAnsi" w:eastAsia="Calibri" w:hAnsiTheme="majorHAnsi"/>
          <w:sz w:val="20"/>
          <w:szCs w:val="20"/>
          <w:lang w:val="es-ES_tradnl" w:eastAsia="es-ES"/>
        </w:rPr>
        <w:t>é</w:t>
      </w:r>
      <w:r w:rsidR="00070209" w:rsidRPr="00386E47">
        <w:rPr>
          <w:rFonts w:asciiTheme="majorHAnsi" w:eastAsia="Calibri" w:hAnsiTheme="majorHAnsi"/>
          <w:sz w:val="20"/>
          <w:szCs w:val="20"/>
          <w:lang w:val="es-ES_tradnl" w:eastAsia="es-ES"/>
        </w:rPr>
        <w:t xml:space="preserve">rmino de ese juicio, </w:t>
      </w:r>
      <w:r w:rsidR="006A0C6C" w:rsidRPr="00386E47">
        <w:rPr>
          <w:rFonts w:asciiTheme="majorHAnsi" w:eastAsia="Calibri" w:hAnsiTheme="majorHAnsi"/>
          <w:sz w:val="20"/>
          <w:szCs w:val="20"/>
          <w:lang w:val="es-ES_tradnl" w:eastAsia="es-ES"/>
        </w:rPr>
        <w:t xml:space="preserve">como se ha indicado, </w:t>
      </w:r>
      <w:r w:rsidRPr="00386E47">
        <w:rPr>
          <w:rFonts w:asciiTheme="majorHAnsi" w:eastAsia="Calibri" w:hAnsiTheme="majorHAnsi"/>
          <w:sz w:val="20"/>
          <w:szCs w:val="20"/>
          <w:lang w:val="es-ES_tradnl" w:eastAsia="es-ES"/>
        </w:rPr>
        <w:t>el Tribunal arribó a</w:t>
      </w:r>
      <w:r w:rsidR="00070209" w:rsidRPr="00386E47">
        <w:rPr>
          <w:rFonts w:asciiTheme="majorHAnsi" w:eastAsia="Calibri" w:hAnsiTheme="majorHAnsi"/>
          <w:sz w:val="20"/>
          <w:szCs w:val="20"/>
          <w:lang w:val="es-ES_tradnl" w:eastAsia="es-ES"/>
        </w:rPr>
        <w:t xml:space="preserve"> la conclusión que la hipótesis acusatoria sostenida </w:t>
      </w:r>
      <w:r w:rsidRPr="00386E47">
        <w:rPr>
          <w:rFonts w:asciiTheme="majorHAnsi" w:eastAsia="Calibri" w:hAnsiTheme="majorHAnsi"/>
          <w:sz w:val="20"/>
          <w:szCs w:val="20"/>
          <w:lang w:val="es-ES_tradnl" w:eastAsia="es-ES"/>
        </w:rPr>
        <w:t>por el Juez Galeano y los fiscales “fue armada de manera aviesa, violándose de tal modo no solo la garantía de imparcialidad del juzgador, sino [también] todo el catálogo de principios procesales de inmanente jerarquía constitucional”</w:t>
      </w:r>
      <w:r w:rsidRPr="00386E47">
        <w:rPr>
          <w:rFonts w:asciiTheme="majorHAnsi" w:eastAsia="Calibri" w:hAnsiTheme="majorHAnsi"/>
          <w:sz w:val="20"/>
          <w:szCs w:val="20"/>
          <w:vertAlign w:val="superscript"/>
          <w:lang w:val="es-ES_tradnl" w:eastAsia="es-ES"/>
        </w:rPr>
        <w:footnoteReference w:id="34"/>
      </w:r>
      <w:r w:rsidR="00D1522B" w:rsidRPr="00386E47">
        <w:rPr>
          <w:rFonts w:asciiTheme="majorHAnsi" w:eastAsia="Calibri" w:hAnsiTheme="majorHAnsi"/>
          <w:sz w:val="20"/>
          <w:szCs w:val="20"/>
          <w:lang w:val="es-ES_tradnl" w:eastAsia="es-ES"/>
        </w:rPr>
        <w:t xml:space="preserve"> </w:t>
      </w:r>
      <w:r w:rsidR="00070209" w:rsidRPr="00386E47">
        <w:rPr>
          <w:rFonts w:asciiTheme="majorHAnsi" w:eastAsia="Calibri" w:hAnsiTheme="majorHAnsi"/>
          <w:sz w:val="20"/>
          <w:szCs w:val="20"/>
          <w:lang w:val="es-ES_tradnl" w:eastAsia="es-ES"/>
        </w:rPr>
        <w:t xml:space="preserve">( ver supra </w:t>
      </w:r>
      <w:r w:rsidR="00DC34AB" w:rsidRPr="00386E47">
        <w:rPr>
          <w:rFonts w:asciiTheme="majorHAnsi" w:eastAsia="Calibri" w:hAnsiTheme="majorHAnsi"/>
          <w:sz w:val="20"/>
          <w:szCs w:val="20"/>
          <w:lang w:val="es-ES_tradnl" w:eastAsia="es-ES"/>
        </w:rPr>
        <w:t>párr.</w:t>
      </w:r>
      <w:r w:rsidR="00070209" w:rsidRPr="00386E47">
        <w:rPr>
          <w:rFonts w:asciiTheme="majorHAnsi" w:eastAsia="Calibri" w:hAnsiTheme="majorHAnsi"/>
          <w:sz w:val="20"/>
          <w:szCs w:val="20"/>
          <w:lang w:val="es-ES_tradnl" w:eastAsia="es-ES"/>
        </w:rPr>
        <w:t xml:space="preserve"> </w:t>
      </w:r>
      <w:r w:rsidR="00A20875" w:rsidRPr="00386E47">
        <w:rPr>
          <w:rFonts w:asciiTheme="majorHAnsi" w:eastAsia="Calibri" w:hAnsiTheme="majorHAnsi"/>
          <w:sz w:val="20"/>
          <w:szCs w:val="20"/>
          <w:lang w:val="es-ES_tradnl" w:eastAsia="es-ES"/>
        </w:rPr>
        <w:t>64</w:t>
      </w:r>
      <w:r w:rsidR="00070209" w:rsidRPr="00386E47">
        <w:rPr>
          <w:rFonts w:asciiTheme="majorHAnsi" w:eastAsia="Calibri" w:hAnsiTheme="majorHAnsi"/>
          <w:sz w:val="20"/>
          <w:szCs w:val="20"/>
          <w:lang w:val="es-ES_tradnl" w:eastAsia="es-ES"/>
        </w:rPr>
        <w:t>),</w:t>
      </w:r>
    </w:p>
    <w:p w14:paraId="372D4982" w14:textId="77777777" w:rsidR="009F70EA" w:rsidRPr="00386E47" w:rsidRDefault="009F70EA" w:rsidP="00CE774A">
      <w:pPr>
        <w:tabs>
          <w:tab w:val="left" w:pos="284"/>
          <w:tab w:val="left" w:pos="426"/>
        </w:tabs>
        <w:contextualSpacing/>
        <w:jc w:val="both"/>
        <w:rPr>
          <w:rFonts w:asciiTheme="majorHAnsi" w:eastAsia="Calibri" w:hAnsiTheme="majorHAnsi"/>
          <w:sz w:val="20"/>
          <w:szCs w:val="20"/>
          <w:lang w:val="es-ES_tradnl" w:eastAsia="es-ES"/>
        </w:rPr>
      </w:pPr>
    </w:p>
    <w:p w14:paraId="5F69DD23" w14:textId="77777777" w:rsidR="009F70EA" w:rsidRPr="00386E47" w:rsidRDefault="009F70EA" w:rsidP="003A5860">
      <w:pPr>
        <w:numPr>
          <w:ilvl w:val="0"/>
          <w:numId w:val="55"/>
        </w:numPr>
        <w:tabs>
          <w:tab w:val="left" w:pos="567"/>
        </w:tabs>
        <w:ind w:left="0" w:firstLine="0"/>
        <w:contextualSpacing/>
        <w:jc w:val="both"/>
        <w:rPr>
          <w:rFonts w:asciiTheme="majorHAnsi" w:eastAsia="Calibri" w:hAnsiTheme="majorHAnsi"/>
          <w:sz w:val="20"/>
          <w:szCs w:val="20"/>
          <w:lang w:val="es-ES_tradnl" w:eastAsia="es-ES"/>
        </w:rPr>
      </w:pPr>
      <w:r w:rsidRPr="00386E47">
        <w:rPr>
          <w:rFonts w:asciiTheme="majorHAnsi" w:eastAsia="Calibri" w:hAnsiTheme="majorHAnsi"/>
          <w:sz w:val="20"/>
          <w:szCs w:val="20"/>
          <w:lang w:val="es-ES_tradnl" w:eastAsia="es-ES"/>
        </w:rPr>
        <w:t>Las acciones de encubrimiento del atentado</w:t>
      </w:r>
      <w:r w:rsidR="00226BD0" w:rsidRPr="00386E47">
        <w:rPr>
          <w:rFonts w:asciiTheme="majorHAnsi" w:eastAsia="Calibri" w:hAnsiTheme="majorHAnsi"/>
          <w:sz w:val="20"/>
          <w:szCs w:val="20"/>
          <w:lang w:val="es-ES_tradnl" w:eastAsia="es-ES"/>
        </w:rPr>
        <w:t xml:space="preserve"> de la AMIA investigadas a partir del año 2000 por los</w:t>
      </w:r>
      <w:r w:rsidRPr="00386E47">
        <w:rPr>
          <w:rFonts w:asciiTheme="majorHAnsi" w:eastAsia="Calibri" w:hAnsiTheme="majorHAnsi"/>
          <w:sz w:val="20"/>
          <w:szCs w:val="20"/>
          <w:lang w:val="es-ES_tradnl" w:eastAsia="es-ES"/>
        </w:rPr>
        <w:t xml:space="preserve"> magistrados del </w:t>
      </w:r>
      <w:r w:rsidR="00226BD0" w:rsidRPr="00386E47">
        <w:rPr>
          <w:rFonts w:asciiTheme="majorHAnsi" w:eastAsia="Calibri" w:hAnsiTheme="majorHAnsi"/>
          <w:sz w:val="20"/>
          <w:szCs w:val="20"/>
          <w:lang w:val="es-ES_tradnl" w:eastAsia="es-ES"/>
        </w:rPr>
        <w:t xml:space="preserve">ámbito nacional </w:t>
      </w:r>
      <w:r w:rsidRPr="00386E47">
        <w:rPr>
          <w:rFonts w:asciiTheme="majorHAnsi" w:eastAsia="Calibri" w:hAnsiTheme="majorHAnsi"/>
          <w:sz w:val="20"/>
          <w:szCs w:val="20"/>
          <w:lang w:val="es-ES_tradnl" w:eastAsia="es-ES"/>
        </w:rPr>
        <w:t xml:space="preserve">pueden resumirse, a grandes rasgos, en dos grandes núcleos. </w:t>
      </w:r>
    </w:p>
    <w:p w14:paraId="7B556A8B" w14:textId="77777777" w:rsidR="009F70EA" w:rsidRPr="00386E47" w:rsidRDefault="009F70EA" w:rsidP="00CE774A">
      <w:pPr>
        <w:tabs>
          <w:tab w:val="left" w:pos="284"/>
          <w:tab w:val="left" w:pos="426"/>
        </w:tabs>
        <w:contextualSpacing/>
        <w:jc w:val="both"/>
        <w:rPr>
          <w:rFonts w:asciiTheme="majorHAnsi" w:eastAsia="Calibri" w:hAnsiTheme="majorHAnsi"/>
          <w:sz w:val="20"/>
          <w:szCs w:val="20"/>
          <w:lang w:val="es-ES_tradnl" w:eastAsia="es-ES"/>
        </w:rPr>
      </w:pPr>
    </w:p>
    <w:p w14:paraId="16E546BE" w14:textId="77777777" w:rsidR="009F70EA" w:rsidRPr="00386E47" w:rsidRDefault="009F70EA" w:rsidP="003A5860">
      <w:pPr>
        <w:numPr>
          <w:ilvl w:val="0"/>
          <w:numId w:val="55"/>
        </w:numPr>
        <w:tabs>
          <w:tab w:val="left" w:pos="567"/>
        </w:tabs>
        <w:ind w:left="0" w:firstLine="0"/>
        <w:contextualSpacing/>
        <w:jc w:val="both"/>
        <w:rPr>
          <w:rFonts w:asciiTheme="majorHAnsi" w:eastAsia="Calibri" w:hAnsiTheme="majorHAnsi"/>
          <w:sz w:val="20"/>
          <w:szCs w:val="20"/>
          <w:lang w:val="es-ES_tradnl" w:eastAsia="es-ES"/>
        </w:rPr>
      </w:pPr>
      <w:r w:rsidRPr="00386E47">
        <w:rPr>
          <w:rFonts w:asciiTheme="majorHAnsi" w:eastAsia="Calibri" w:hAnsiTheme="majorHAnsi"/>
          <w:sz w:val="20"/>
          <w:szCs w:val="20"/>
          <w:lang w:val="es-ES_tradnl" w:eastAsia="es-ES"/>
        </w:rPr>
        <w:t xml:space="preserve">En primer término, se investiga la decisión adoptada por el juez Galeano de </w:t>
      </w:r>
      <w:r w:rsidR="0092651C" w:rsidRPr="00386E47">
        <w:rPr>
          <w:rFonts w:asciiTheme="majorHAnsi" w:eastAsia="Calibri" w:hAnsiTheme="majorHAnsi"/>
          <w:sz w:val="20"/>
          <w:szCs w:val="20"/>
          <w:lang w:val="es-ES_tradnl" w:eastAsia="es-ES"/>
        </w:rPr>
        <w:t xml:space="preserve">ordenar el desembolso de </w:t>
      </w:r>
      <w:r w:rsidRPr="00386E47">
        <w:rPr>
          <w:rFonts w:asciiTheme="majorHAnsi" w:eastAsia="Calibri" w:hAnsiTheme="majorHAnsi"/>
          <w:sz w:val="20"/>
          <w:szCs w:val="20"/>
          <w:lang w:val="es-ES_tradnl" w:eastAsia="es-ES"/>
        </w:rPr>
        <w:t>400.000 dólares, provenientes de una partida presupuestaria secreta de la Secretar</w:t>
      </w:r>
      <w:r w:rsidR="006A0C6C" w:rsidRPr="00386E47">
        <w:rPr>
          <w:rFonts w:asciiTheme="majorHAnsi" w:eastAsia="Calibri" w:hAnsiTheme="majorHAnsi"/>
          <w:sz w:val="20"/>
          <w:szCs w:val="20"/>
          <w:lang w:val="es-ES_tradnl" w:eastAsia="es-ES"/>
        </w:rPr>
        <w:t>í</w:t>
      </w:r>
      <w:r w:rsidRPr="00386E47">
        <w:rPr>
          <w:rFonts w:asciiTheme="majorHAnsi" w:eastAsia="Calibri" w:hAnsiTheme="majorHAnsi"/>
          <w:sz w:val="20"/>
          <w:szCs w:val="20"/>
          <w:lang w:val="es-ES_tradnl" w:eastAsia="es-ES"/>
        </w:rPr>
        <w:t>a de Inteligencia del Est</w:t>
      </w:r>
      <w:r w:rsidR="0092651C" w:rsidRPr="00386E47">
        <w:rPr>
          <w:rFonts w:asciiTheme="majorHAnsi" w:eastAsia="Calibri" w:hAnsiTheme="majorHAnsi"/>
          <w:sz w:val="20"/>
          <w:szCs w:val="20"/>
          <w:lang w:val="es-ES_tradnl" w:eastAsia="es-ES"/>
        </w:rPr>
        <w:t xml:space="preserve">ado, </w:t>
      </w:r>
      <w:r w:rsidRPr="00386E47">
        <w:rPr>
          <w:rFonts w:asciiTheme="majorHAnsi" w:eastAsia="Calibri" w:hAnsiTheme="majorHAnsi"/>
          <w:sz w:val="20"/>
          <w:szCs w:val="20"/>
          <w:lang w:val="es-ES_tradnl" w:eastAsia="es-ES"/>
        </w:rPr>
        <w:t xml:space="preserve">al procesado Carlos </w:t>
      </w:r>
      <w:r w:rsidR="000606B7" w:rsidRPr="00386E47">
        <w:rPr>
          <w:rFonts w:asciiTheme="majorHAnsi" w:eastAsia="Calibri" w:hAnsiTheme="majorHAnsi"/>
          <w:sz w:val="20"/>
          <w:szCs w:val="20"/>
          <w:lang w:val="es-ES_tradnl" w:eastAsia="es-ES"/>
        </w:rPr>
        <w:t>Telleldín</w:t>
      </w:r>
      <w:r w:rsidR="006A0C6C" w:rsidRPr="00386E47">
        <w:rPr>
          <w:rFonts w:asciiTheme="majorHAnsi" w:eastAsia="Calibri" w:hAnsiTheme="majorHAnsi"/>
          <w:sz w:val="20"/>
          <w:szCs w:val="20"/>
          <w:lang w:val="es-ES_tradnl" w:eastAsia="es-ES"/>
        </w:rPr>
        <w:t>,</w:t>
      </w:r>
      <w:r w:rsidR="00226BD0" w:rsidRPr="00386E47">
        <w:rPr>
          <w:rFonts w:asciiTheme="majorHAnsi" w:eastAsia="Calibri" w:hAnsiTheme="majorHAnsi"/>
          <w:sz w:val="20"/>
          <w:szCs w:val="20"/>
          <w:lang w:val="es-ES_tradnl" w:eastAsia="es-ES"/>
        </w:rPr>
        <w:t xml:space="preserve"> con el objeto de que</w:t>
      </w:r>
      <w:r w:rsidR="0092651C" w:rsidRPr="00386E47">
        <w:rPr>
          <w:rFonts w:asciiTheme="majorHAnsi" w:eastAsia="Calibri" w:hAnsiTheme="majorHAnsi"/>
          <w:sz w:val="20"/>
          <w:szCs w:val="20"/>
          <w:lang w:val="es-ES_tradnl" w:eastAsia="es-ES"/>
        </w:rPr>
        <w:t xml:space="preserve"> éste</w:t>
      </w:r>
      <w:r w:rsidR="00226BD0" w:rsidRPr="00386E47">
        <w:rPr>
          <w:rFonts w:asciiTheme="majorHAnsi" w:eastAsia="Calibri" w:hAnsiTheme="majorHAnsi"/>
          <w:sz w:val="20"/>
          <w:szCs w:val="20"/>
          <w:lang w:val="es-ES_tradnl" w:eastAsia="es-ES"/>
        </w:rPr>
        <w:t xml:space="preserve"> </w:t>
      </w:r>
      <w:r w:rsidR="0092651C" w:rsidRPr="00386E47">
        <w:rPr>
          <w:rFonts w:asciiTheme="majorHAnsi" w:eastAsia="Calibri" w:hAnsiTheme="majorHAnsi"/>
          <w:sz w:val="20"/>
          <w:szCs w:val="20"/>
          <w:lang w:val="es-ES_tradnl" w:eastAsia="es-ES"/>
        </w:rPr>
        <w:t>declar</w:t>
      </w:r>
      <w:r w:rsidR="006A0C6C" w:rsidRPr="00386E47">
        <w:rPr>
          <w:rFonts w:asciiTheme="majorHAnsi" w:eastAsia="Calibri" w:hAnsiTheme="majorHAnsi"/>
          <w:sz w:val="20"/>
          <w:szCs w:val="20"/>
          <w:lang w:val="es-ES_tradnl" w:eastAsia="es-ES"/>
        </w:rPr>
        <w:t>ara</w:t>
      </w:r>
      <w:r w:rsidR="00226BD0" w:rsidRPr="00386E47">
        <w:rPr>
          <w:rFonts w:asciiTheme="majorHAnsi" w:eastAsia="Calibri" w:hAnsiTheme="majorHAnsi"/>
          <w:sz w:val="20"/>
          <w:szCs w:val="20"/>
          <w:lang w:val="es-ES_tradnl" w:eastAsia="es-ES"/>
        </w:rPr>
        <w:t xml:space="preserve"> haber entregado la camioneta Renault Trafic</w:t>
      </w:r>
      <w:r w:rsidRPr="00386E47">
        <w:rPr>
          <w:rFonts w:asciiTheme="majorHAnsi" w:eastAsia="Calibri" w:hAnsiTheme="majorHAnsi"/>
          <w:sz w:val="20"/>
          <w:szCs w:val="20"/>
          <w:lang w:val="es-ES_tradnl" w:eastAsia="es-ES"/>
        </w:rPr>
        <w:t xml:space="preserve"> </w:t>
      </w:r>
      <w:r w:rsidR="006A0C6C" w:rsidRPr="00386E47">
        <w:rPr>
          <w:rFonts w:asciiTheme="majorHAnsi" w:eastAsia="Calibri" w:hAnsiTheme="majorHAnsi"/>
          <w:sz w:val="20"/>
          <w:szCs w:val="20"/>
          <w:lang w:val="es-ES_tradnl" w:eastAsia="es-ES"/>
        </w:rPr>
        <w:t>-</w:t>
      </w:r>
      <w:r w:rsidR="00D1522B" w:rsidRPr="00386E47">
        <w:rPr>
          <w:rFonts w:asciiTheme="majorHAnsi" w:eastAsia="Calibri" w:hAnsiTheme="majorHAnsi"/>
          <w:sz w:val="20"/>
          <w:szCs w:val="20"/>
          <w:lang w:val="es-ES_tradnl" w:eastAsia="es-ES"/>
        </w:rPr>
        <w:t xml:space="preserve"> </w:t>
      </w:r>
      <w:r w:rsidRPr="00386E47">
        <w:rPr>
          <w:rFonts w:asciiTheme="majorHAnsi" w:eastAsia="Calibri" w:hAnsiTheme="majorHAnsi"/>
          <w:sz w:val="20"/>
          <w:szCs w:val="20"/>
          <w:lang w:val="es-ES_tradnl" w:eastAsia="es-ES"/>
        </w:rPr>
        <w:t>cuyos restos fueron hal</w:t>
      </w:r>
      <w:r w:rsidR="00226BD0" w:rsidRPr="00386E47">
        <w:rPr>
          <w:rFonts w:asciiTheme="majorHAnsi" w:eastAsia="Calibri" w:hAnsiTheme="majorHAnsi"/>
          <w:sz w:val="20"/>
          <w:szCs w:val="20"/>
          <w:lang w:val="es-ES_tradnl" w:eastAsia="es-ES"/>
        </w:rPr>
        <w:t>lados en las ruinas de la AMIA</w:t>
      </w:r>
      <w:r w:rsidR="00D1522B" w:rsidRPr="00386E47">
        <w:rPr>
          <w:rFonts w:asciiTheme="majorHAnsi" w:eastAsia="Calibri" w:hAnsiTheme="majorHAnsi"/>
          <w:sz w:val="20"/>
          <w:szCs w:val="20"/>
          <w:lang w:val="es-ES_tradnl" w:eastAsia="es-ES"/>
        </w:rPr>
        <w:t xml:space="preserve"> </w:t>
      </w:r>
      <w:r w:rsidR="006A0C6C" w:rsidRPr="00386E47">
        <w:rPr>
          <w:rFonts w:asciiTheme="majorHAnsi" w:eastAsia="Calibri" w:hAnsiTheme="majorHAnsi"/>
          <w:sz w:val="20"/>
          <w:szCs w:val="20"/>
          <w:lang w:val="es-ES_tradnl" w:eastAsia="es-ES"/>
        </w:rPr>
        <w:t>-</w:t>
      </w:r>
      <w:r w:rsidR="00226BD0" w:rsidRPr="00386E47">
        <w:rPr>
          <w:rFonts w:asciiTheme="majorHAnsi" w:eastAsia="Calibri" w:hAnsiTheme="majorHAnsi"/>
          <w:sz w:val="20"/>
          <w:szCs w:val="20"/>
          <w:lang w:val="es-ES_tradnl" w:eastAsia="es-ES"/>
        </w:rPr>
        <w:t xml:space="preserve"> a</w:t>
      </w:r>
      <w:r w:rsidR="0092651C" w:rsidRPr="00386E47">
        <w:rPr>
          <w:rFonts w:asciiTheme="majorHAnsi" w:eastAsia="Calibri" w:hAnsiTheme="majorHAnsi"/>
          <w:sz w:val="20"/>
          <w:szCs w:val="20"/>
          <w:lang w:val="es-ES_tradnl" w:eastAsia="es-ES"/>
        </w:rPr>
        <w:t xml:space="preserve"> un grupo de miembros</w:t>
      </w:r>
      <w:r w:rsidRPr="00386E47">
        <w:rPr>
          <w:rFonts w:asciiTheme="majorHAnsi" w:eastAsia="Calibri" w:hAnsiTheme="majorHAnsi"/>
          <w:sz w:val="20"/>
          <w:szCs w:val="20"/>
          <w:lang w:val="es-ES_tradnl" w:eastAsia="es-ES"/>
        </w:rPr>
        <w:t xml:space="preserve"> de la Policía de la Provincia de Buenos Aires, desviando de esa manera la pesquisa por el atentado. </w:t>
      </w:r>
    </w:p>
    <w:p w14:paraId="74D79E64" w14:textId="77777777" w:rsidR="009F70EA" w:rsidRPr="00386E47" w:rsidRDefault="009F70EA" w:rsidP="00CE774A">
      <w:pPr>
        <w:tabs>
          <w:tab w:val="left" w:pos="284"/>
          <w:tab w:val="left" w:pos="426"/>
        </w:tabs>
        <w:contextualSpacing/>
        <w:jc w:val="both"/>
        <w:rPr>
          <w:rFonts w:asciiTheme="majorHAnsi" w:eastAsia="Calibri" w:hAnsiTheme="majorHAnsi"/>
          <w:sz w:val="20"/>
          <w:szCs w:val="20"/>
          <w:lang w:val="es-ES_tradnl" w:eastAsia="es-ES"/>
        </w:rPr>
      </w:pPr>
    </w:p>
    <w:p w14:paraId="0EE46B73" w14:textId="77777777" w:rsidR="009F70EA" w:rsidRPr="00386E47" w:rsidRDefault="009F70EA" w:rsidP="003A5860">
      <w:pPr>
        <w:numPr>
          <w:ilvl w:val="0"/>
          <w:numId w:val="55"/>
        </w:numPr>
        <w:tabs>
          <w:tab w:val="left" w:pos="567"/>
        </w:tabs>
        <w:ind w:left="0" w:firstLine="0"/>
        <w:contextualSpacing/>
        <w:jc w:val="both"/>
        <w:rPr>
          <w:rFonts w:asciiTheme="majorHAnsi" w:eastAsia="Calibri" w:hAnsiTheme="majorHAnsi"/>
          <w:sz w:val="20"/>
          <w:szCs w:val="20"/>
          <w:lang w:val="es-ES_tradnl"/>
        </w:rPr>
      </w:pPr>
      <w:r w:rsidRPr="00386E47">
        <w:rPr>
          <w:rFonts w:asciiTheme="majorHAnsi" w:eastAsia="Calibri" w:hAnsiTheme="majorHAnsi"/>
          <w:sz w:val="20"/>
          <w:szCs w:val="20"/>
          <w:lang w:val="es-ES_tradnl" w:eastAsia="es-ES"/>
        </w:rPr>
        <w:t xml:space="preserve">En segundo lugar, se </w:t>
      </w:r>
      <w:r w:rsidR="00DA203B" w:rsidRPr="00386E47">
        <w:rPr>
          <w:rFonts w:asciiTheme="majorHAnsi" w:eastAsia="Calibri" w:hAnsiTheme="majorHAnsi"/>
          <w:sz w:val="20"/>
          <w:szCs w:val="20"/>
          <w:lang w:val="es-ES_tradnl" w:eastAsia="es-ES"/>
        </w:rPr>
        <w:t>investiga</w:t>
      </w:r>
      <w:r w:rsidRPr="00386E47">
        <w:rPr>
          <w:rFonts w:asciiTheme="majorHAnsi" w:eastAsia="Calibri" w:hAnsiTheme="majorHAnsi"/>
          <w:sz w:val="20"/>
          <w:szCs w:val="20"/>
          <w:lang w:val="es-ES_tradnl" w:eastAsia="es-ES"/>
        </w:rPr>
        <w:t xml:space="preserve"> si los funcionarios judiciales encargados de la investigación -  junto con efectivos policiales que actuaron como auxiliares de la instrucción, ex dirigentes de organizaciones de la comunidad judía en Argentina, agentes de inteligencia y altos funcionarios del Poder Ejecutivo Nacional durante la presidencia de Carlos Menem </w:t>
      </w:r>
      <w:r w:rsidR="00226BD0" w:rsidRPr="00386E47">
        <w:rPr>
          <w:rFonts w:asciiTheme="majorHAnsi" w:eastAsia="Calibri" w:hAnsiTheme="majorHAnsi"/>
          <w:sz w:val="20"/>
          <w:szCs w:val="20"/>
          <w:lang w:val="es-ES_tradnl" w:eastAsia="es-ES"/>
        </w:rPr>
        <w:t>–</w:t>
      </w:r>
      <w:r w:rsidRPr="00386E47">
        <w:rPr>
          <w:rFonts w:asciiTheme="majorHAnsi" w:eastAsia="Calibri" w:hAnsiTheme="majorHAnsi"/>
          <w:sz w:val="20"/>
          <w:szCs w:val="20"/>
          <w:lang w:val="es-ES_tradnl" w:eastAsia="es-ES"/>
        </w:rPr>
        <w:t xml:space="preserve"> </w:t>
      </w:r>
      <w:r w:rsidR="00226BD0" w:rsidRPr="00386E47">
        <w:rPr>
          <w:rFonts w:asciiTheme="majorHAnsi" w:eastAsia="Calibri" w:hAnsiTheme="majorHAnsi"/>
          <w:sz w:val="20"/>
          <w:szCs w:val="20"/>
          <w:lang w:val="es-ES_tradnl" w:eastAsia="es-ES"/>
        </w:rPr>
        <w:t xml:space="preserve"> impidieron la </w:t>
      </w:r>
      <w:r w:rsidRPr="00386E47">
        <w:rPr>
          <w:rFonts w:asciiTheme="majorHAnsi" w:eastAsia="Calibri" w:hAnsiTheme="majorHAnsi"/>
          <w:sz w:val="20"/>
          <w:szCs w:val="20"/>
          <w:lang w:val="es-ES_tradnl" w:eastAsia="es-ES"/>
        </w:rPr>
        <w:t xml:space="preserve"> profundización de una línea de investigación que vinculaba a un ciudadano </w:t>
      </w:r>
      <w:r w:rsidR="00226BD0" w:rsidRPr="00386E47">
        <w:rPr>
          <w:rFonts w:asciiTheme="majorHAnsi" w:eastAsia="Calibri" w:hAnsiTheme="majorHAnsi"/>
          <w:sz w:val="20"/>
          <w:szCs w:val="20"/>
          <w:lang w:val="es-ES_tradnl" w:eastAsia="es-ES"/>
        </w:rPr>
        <w:t xml:space="preserve">argentino </w:t>
      </w:r>
      <w:r w:rsidRPr="00386E47">
        <w:rPr>
          <w:rFonts w:asciiTheme="majorHAnsi" w:eastAsia="Calibri" w:hAnsiTheme="majorHAnsi"/>
          <w:sz w:val="20"/>
          <w:szCs w:val="20"/>
          <w:lang w:val="es-ES_tradnl" w:eastAsia="es-ES"/>
        </w:rPr>
        <w:t xml:space="preserve">de origen sirio llamado Alberto Kanoore Edul y a personas de su entorno con el atentado. </w:t>
      </w:r>
    </w:p>
    <w:p w14:paraId="6BFADDD6" w14:textId="77777777" w:rsidR="009F70EA" w:rsidRPr="00386E47" w:rsidRDefault="009F70EA" w:rsidP="00CE774A">
      <w:pPr>
        <w:tabs>
          <w:tab w:val="left" w:pos="284"/>
        </w:tabs>
        <w:contextualSpacing/>
        <w:jc w:val="both"/>
        <w:rPr>
          <w:rFonts w:asciiTheme="majorHAnsi" w:eastAsia="Calibri" w:hAnsiTheme="majorHAnsi"/>
          <w:sz w:val="20"/>
          <w:szCs w:val="20"/>
          <w:lang w:val="es-ES_tradnl"/>
        </w:rPr>
      </w:pPr>
    </w:p>
    <w:p w14:paraId="121D4A63" w14:textId="77777777" w:rsidR="009F70EA" w:rsidRPr="00386E47" w:rsidRDefault="009F70EA" w:rsidP="003A5860">
      <w:pPr>
        <w:numPr>
          <w:ilvl w:val="0"/>
          <w:numId w:val="55"/>
        </w:numPr>
        <w:tabs>
          <w:tab w:val="left" w:pos="567"/>
        </w:tabs>
        <w:ind w:left="0" w:firstLine="0"/>
        <w:contextualSpacing/>
        <w:jc w:val="both"/>
        <w:rPr>
          <w:rFonts w:asciiTheme="majorHAnsi" w:eastAsia="Calibri" w:hAnsiTheme="majorHAnsi"/>
          <w:sz w:val="20"/>
          <w:szCs w:val="20"/>
          <w:lang w:val="es-ES_tradnl"/>
        </w:rPr>
      </w:pPr>
      <w:r w:rsidRPr="00386E47">
        <w:rPr>
          <w:rFonts w:asciiTheme="majorHAnsi" w:eastAsia="Calibri" w:hAnsiTheme="majorHAnsi"/>
          <w:sz w:val="20"/>
          <w:szCs w:val="20"/>
          <w:lang w:val="es-ES_tradnl"/>
        </w:rPr>
        <w:lastRenderedPageBreak/>
        <w:t>La causa por el encubrimiento fue instruida por diversos magistrados del fuero en lo Criminal y Correccional Federal de la Ciudad de Buenos Aire</w:t>
      </w:r>
      <w:r w:rsidR="00226BD0" w:rsidRPr="00386E47">
        <w:rPr>
          <w:rFonts w:asciiTheme="majorHAnsi" w:eastAsia="Calibri" w:hAnsiTheme="majorHAnsi"/>
          <w:sz w:val="20"/>
          <w:szCs w:val="20"/>
          <w:lang w:val="es-ES_tradnl"/>
        </w:rPr>
        <w:t>s. El 6 de agosto de 2015 se dieron</w:t>
      </w:r>
      <w:r w:rsidRPr="00386E47">
        <w:rPr>
          <w:rFonts w:asciiTheme="majorHAnsi" w:eastAsia="Calibri" w:hAnsiTheme="majorHAnsi"/>
          <w:sz w:val="20"/>
          <w:szCs w:val="20"/>
          <w:lang w:val="es-ES_tradnl"/>
        </w:rPr>
        <w:t xml:space="preserve"> inicio a las audiencias de debate ante el Tribunal Oral en lo Criminal Federal Nro. 2 de la Capital Federal (TOF 2</w:t>
      </w:r>
      <w:r w:rsidR="00226BD0" w:rsidRPr="00386E47">
        <w:rPr>
          <w:rFonts w:asciiTheme="majorHAnsi" w:eastAsia="Calibri" w:hAnsiTheme="majorHAnsi"/>
          <w:sz w:val="20"/>
          <w:szCs w:val="20"/>
          <w:lang w:val="es-ES_tradnl"/>
        </w:rPr>
        <w:t>). El 28 de febrero de 2019 el T</w:t>
      </w:r>
      <w:r w:rsidRPr="00386E47">
        <w:rPr>
          <w:rFonts w:asciiTheme="majorHAnsi" w:eastAsia="Calibri" w:hAnsiTheme="majorHAnsi"/>
          <w:sz w:val="20"/>
          <w:szCs w:val="20"/>
          <w:lang w:val="es-ES_tradnl"/>
        </w:rPr>
        <w:t xml:space="preserve">ribunal comunicó su veredicto y el 3 de mayo del mismo año </w:t>
      </w:r>
      <w:r w:rsidR="00226BD0" w:rsidRPr="00386E47">
        <w:rPr>
          <w:rFonts w:asciiTheme="majorHAnsi" w:eastAsia="Calibri" w:hAnsiTheme="majorHAnsi"/>
          <w:sz w:val="20"/>
          <w:szCs w:val="20"/>
          <w:lang w:val="es-ES_tradnl"/>
        </w:rPr>
        <w:t>difundió</w:t>
      </w:r>
      <w:r w:rsidRPr="00386E47">
        <w:rPr>
          <w:rFonts w:asciiTheme="majorHAnsi" w:eastAsia="Calibri" w:hAnsiTheme="majorHAnsi"/>
          <w:sz w:val="20"/>
          <w:szCs w:val="20"/>
          <w:lang w:val="es-ES_tradnl"/>
        </w:rPr>
        <w:t xml:space="preserve"> los fund</w:t>
      </w:r>
      <w:r w:rsidR="00226BD0" w:rsidRPr="00386E47">
        <w:rPr>
          <w:rFonts w:asciiTheme="majorHAnsi" w:eastAsia="Calibri" w:hAnsiTheme="majorHAnsi"/>
          <w:sz w:val="20"/>
          <w:szCs w:val="20"/>
          <w:lang w:val="es-ES_tradnl"/>
        </w:rPr>
        <w:t xml:space="preserve">amentos de la sentencia. </w:t>
      </w:r>
      <w:r w:rsidR="00F050CD" w:rsidRPr="00386E47">
        <w:rPr>
          <w:rFonts w:asciiTheme="majorHAnsi" w:eastAsia="Calibri" w:hAnsiTheme="majorHAnsi"/>
          <w:sz w:val="20"/>
          <w:szCs w:val="20"/>
          <w:lang w:val="es-ES_tradnl"/>
        </w:rPr>
        <w:t>El TOF</w:t>
      </w:r>
      <w:r w:rsidRPr="00386E47">
        <w:rPr>
          <w:rFonts w:asciiTheme="majorHAnsi" w:eastAsia="Calibri" w:hAnsiTheme="majorHAnsi"/>
          <w:sz w:val="20"/>
          <w:szCs w:val="20"/>
          <w:lang w:val="es-ES_tradnl"/>
        </w:rPr>
        <w:t xml:space="preserve"> 2 </w:t>
      </w:r>
      <w:r w:rsidR="00F050CD" w:rsidRPr="00386E47">
        <w:rPr>
          <w:rFonts w:asciiTheme="majorHAnsi" w:eastAsia="Calibri" w:hAnsiTheme="majorHAnsi"/>
          <w:sz w:val="20"/>
          <w:szCs w:val="20"/>
          <w:lang w:val="es-ES_tradnl"/>
        </w:rPr>
        <w:t xml:space="preserve">consideró que se encontraban </w:t>
      </w:r>
      <w:r w:rsidR="00226BD0" w:rsidRPr="00386E47">
        <w:rPr>
          <w:rFonts w:asciiTheme="majorHAnsi" w:eastAsia="Calibri" w:hAnsiTheme="majorHAnsi"/>
          <w:sz w:val="20"/>
          <w:szCs w:val="20"/>
          <w:lang w:val="es-ES_tradnl"/>
        </w:rPr>
        <w:t xml:space="preserve">acreditadas las acciones descriptas en los párrafos precedentes y </w:t>
      </w:r>
      <w:r w:rsidRPr="00386E47">
        <w:rPr>
          <w:rFonts w:asciiTheme="majorHAnsi" w:eastAsia="Calibri" w:hAnsiTheme="majorHAnsi"/>
          <w:sz w:val="20"/>
          <w:szCs w:val="20"/>
          <w:lang w:val="es-ES_tradnl"/>
        </w:rPr>
        <w:t xml:space="preserve">condenó al ex Juez Juan José Galeano, a los fiscales Mullen y Barbaccia y a funcionarios policiales y de la Secretaria de Inteligencia del Estado a diversas penas de prisión. </w:t>
      </w:r>
      <w:r w:rsidR="00F9366D" w:rsidRPr="00386E47">
        <w:rPr>
          <w:rFonts w:asciiTheme="majorHAnsi" w:eastAsia="Calibri" w:hAnsiTheme="majorHAnsi"/>
          <w:sz w:val="20"/>
          <w:szCs w:val="20"/>
          <w:lang w:val="es-ES_tradnl"/>
        </w:rPr>
        <w:t xml:space="preserve">De acuerdo con la </w:t>
      </w:r>
      <w:r w:rsidR="00F050CD" w:rsidRPr="00386E47">
        <w:rPr>
          <w:rFonts w:asciiTheme="majorHAnsi" w:eastAsia="Calibri" w:hAnsiTheme="majorHAnsi"/>
          <w:sz w:val="20"/>
          <w:szCs w:val="20"/>
          <w:lang w:val="es-ES_tradnl"/>
        </w:rPr>
        <w:t>información</w:t>
      </w:r>
      <w:r w:rsidR="00F9366D" w:rsidRPr="00386E47">
        <w:rPr>
          <w:rFonts w:asciiTheme="majorHAnsi" w:eastAsia="Calibri" w:hAnsiTheme="majorHAnsi"/>
          <w:sz w:val="20"/>
          <w:szCs w:val="20"/>
          <w:lang w:val="es-ES_tradnl"/>
        </w:rPr>
        <w:t xml:space="preserve"> en poder de la </w:t>
      </w:r>
      <w:r w:rsidR="00F050CD" w:rsidRPr="00386E47">
        <w:rPr>
          <w:rFonts w:asciiTheme="majorHAnsi" w:eastAsia="Calibri" w:hAnsiTheme="majorHAnsi"/>
          <w:sz w:val="20"/>
          <w:szCs w:val="20"/>
          <w:lang w:val="es-ES_tradnl"/>
        </w:rPr>
        <w:t>Comisión</w:t>
      </w:r>
      <w:r w:rsidR="00F9366D" w:rsidRPr="00386E47">
        <w:rPr>
          <w:rFonts w:asciiTheme="majorHAnsi" w:eastAsia="Calibri" w:hAnsiTheme="majorHAnsi"/>
          <w:sz w:val="20"/>
          <w:szCs w:val="20"/>
          <w:lang w:val="es-ES_tradnl"/>
        </w:rPr>
        <w:t>, e</w:t>
      </w:r>
      <w:r w:rsidRPr="00386E47">
        <w:rPr>
          <w:rFonts w:asciiTheme="majorHAnsi" w:eastAsia="Calibri" w:hAnsiTheme="majorHAnsi"/>
          <w:sz w:val="20"/>
          <w:szCs w:val="20"/>
          <w:lang w:val="es-ES_tradnl"/>
        </w:rPr>
        <w:t>l momento de</w:t>
      </w:r>
      <w:r w:rsidR="00F9366D" w:rsidRPr="00386E47">
        <w:rPr>
          <w:rFonts w:asciiTheme="majorHAnsi" w:eastAsia="Calibri" w:hAnsiTheme="majorHAnsi"/>
          <w:sz w:val="20"/>
          <w:szCs w:val="20"/>
          <w:lang w:val="es-ES_tradnl"/>
        </w:rPr>
        <w:t xml:space="preserve"> la aprobación de este informe </w:t>
      </w:r>
      <w:r w:rsidRPr="00386E47">
        <w:rPr>
          <w:rFonts w:asciiTheme="majorHAnsi" w:eastAsia="Calibri" w:hAnsiTheme="majorHAnsi"/>
          <w:sz w:val="20"/>
          <w:szCs w:val="20"/>
          <w:lang w:val="es-ES_tradnl"/>
        </w:rPr>
        <w:t xml:space="preserve">la decisión del TOF 2 se encuentra siendo revisada por </w:t>
      </w:r>
      <w:r w:rsidR="00226BD0" w:rsidRPr="00386E47">
        <w:rPr>
          <w:rFonts w:asciiTheme="majorHAnsi" w:eastAsia="Calibri" w:hAnsiTheme="majorHAnsi"/>
          <w:sz w:val="20"/>
          <w:szCs w:val="20"/>
          <w:lang w:val="es-ES_tradnl"/>
        </w:rPr>
        <w:t>los tribunales de alzada</w:t>
      </w:r>
      <w:r w:rsidRPr="00386E47">
        <w:rPr>
          <w:rFonts w:asciiTheme="majorHAnsi" w:eastAsia="Calibri" w:hAnsiTheme="majorHAnsi"/>
          <w:sz w:val="20"/>
          <w:szCs w:val="20"/>
          <w:vertAlign w:val="superscript"/>
          <w:lang w:val="es-ES_tradnl"/>
        </w:rPr>
        <w:footnoteReference w:id="35"/>
      </w:r>
      <w:r w:rsidRPr="00386E47">
        <w:rPr>
          <w:rFonts w:asciiTheme="majorHAnsi" w:eastAsia="Calibri" w:hAnsiTheme="majorHAnsi"/>
          <w:sz w:val="20"/>
          <w:szCs w:val="20"/>
          <w:lang w:val="es-ES_tradnl"/>
        </w:rPr>
        <w:t xml:space="preserve">. </w:t>
      </w:r>
    </w:p>
    <w:p w14:paraId="08BB8452" w14:textId="77777777" w:rsidR="009F70EA" w:rsidRPr="00386E47" w:rsidRDefault="009F70EA" w:rsidP="00CE774A">
      <w:pPr>
        <w:tabs>
          <w:tab w:val="left" w:pos="284"/>
          <w:tab w:val="left" w:pos="426"/>
        </w:tabs>
        <w:contextualSpacing/>
        <w:jc w:val="both"/>
        <w:rPr>
          <w:rFonts w:asciiTheme="majorHAnsi" w:eastAsia="Calibri" w:hAnsiTheme="majorHAnsi"/>
          <w:sz w:val="20"/>
          <w:szCs w:val="20"/>
          <w:lang w:val="es-ES_tradnl"/>
        </w:rPr>
      </w:pPr>
    </w:p>
    <w:p w14:paraId="1CCFF4CA" w14:textId="77777777" w:rsidR="009F70EA" w:rsidRPr="00386E47" w:rsidRDefault="009F70EA" w:rsidP="003A5860">
      <w:pPr>
        <w:numPr>
          <w:ilvl w:val="0"/>
          <w:numId w:val="55"/>
        </w:numPr>
        <w:tabs>
          <w:tab w:val="left" w:pos="567"/>
        </w:tabs>
        <w:ind w:left="0" w:firstLine="0"/>
        <w:contextualSpacing/>
        <w:jc w:val="both"/>
        <w:rPr>
          <w:rFonts w:asciiTheme="majorHAnsi" w:eastAsia="Calibri" w:hAnsiTheme="majorHAnsi"/>
          <w:sz w:val="20"/>
          <w:szCs w:val="20"/>
          <w:lang w:val="es-ES_tradnl"/>
        </w:rPr>
      </w:pPr>
      <w:r w:rsidRPr="00386E47">
        <w:rPr>
          <w:rFonts w:asciiTheme="majorHAnsi" w:eastAsia="Calibri" w:hAnsiTheme="majorHAnsi"/>
          <w:sz w:val="20"/>
          <w:szCs w:val="20"/>
          <w:lang w:val="es-ES_tradnl"/>
        </w:rPr>
        <w:t xml:space="preserve">La Comisión </w:t>
      </w:r>
      <w:r w:rsidR="00F9366D" w:rsidRPr="00386E47">
        <w:rPr>
          <w:rFonts w:asciiTheme="majorHAnsi" w:eastAsia="Calibri" w:hAnsiTheme="majorHAnsi"/>
          <w:sz w:val="20"/>
          <w:szCs w:val="20"/>
          <w:lang w:val="es-ES_tradnl"/>
        </w:rPr>
        <w:t>ha sido informada que</w:t>
      </w:r>
      <w:r w:rsidR="00594429" w:rsidRPr="00386E47">
        <w:rPr>
          <w:rFonts w:asciiTheme="majorHAnsi" w:eastAsia="Calibri" w:hAnsiTheme="majorHAnsi"/>
          <w:sz w:val="20"/>
          <w:szCs w:val="20"/>
          <w:lang w:val="es-ES_tradnl"/>
        </w:rPr>
        <w:t xml:space="preserve"> </w:t>
      </w:r>
      <w:r w:rsidRPr="00386E47">
        <w:rPr>
          <w:rFonts w:asciiTheme="majorHAnsi" w:eastAsia="Calibri" w:hAnsiTheme="majorHAnsi"/>
          <w:sz w:val="20"/>
          <w:szCs w:val="20"/>
          <w:lang w:val="es-ES_tradnl"/>
        </w:rPr>
        <w:t>en los tribunales nacionales</w:t>
      </w:r>
      <w:r w:rsidR="00594429" w:rsidRPr="00386E47">
        <w:rPr>
          <w:rFonts w:asciiTheme="majorHAnsi" w:eastAsia="Calibri" w:hAnsiTheme="majorHAnsi"/>
          <w:sz w:val="20"/>
          <w:szCs w:val="20"/>
          <w:lang w:val="es-ES_tradnl"/>
        </w:rPr>
        <w:t xml:space="preserve"> se encuentran radicados</w:t>
      </w:r>
      <w:r w:rsidRPr="00386E47">
        <w:rPr>
          <w:rFonts w:asciiTheme="majorHAnsi" w:eastAsia="Calibri" w:hAnsiTheme="majorHAnsi"/>
          <w:sz w:val="20"/>
          <w:szCs w:val="20"/>
          <w:lang w:val="es-ES_tradnl"/>
        </w:rPr>
        <w:t xml:space="preserve"> diversos expedientes </w:t>
      </w:r>
      <w:r w:rsidR="00594429" w:rsidRPr="00386E47">
        <w:rPr>
          <w:rFonts w:asciiTheme="majorHAnsi" w:eastAsia="Calibri" w:hAnsiTheme="majorHAnsi"/>
          <w:sz w:val="20"/>
          <w:szCs w:val="20"/>
          <w:lang w:val="es-ES_tradnl"/>
        </w:rPr>
        <w:t>en los que se</w:t>
      </w:r>
      <w:r w:rsidRPr="00386E47">
        <w:rPr>
          <w:rFonts w:asciiTheme="majorHAnsi" w:eastAsia="Calibri" w:hAnsiTheme="majorHAnsi"/>
          <w:sz w:val="20"/>
          <w:szCs w:val="20"/>
          <w:lang w:val="es-ES_tradnl"/>
        </w:rPr>
        <w:t xml:space="preserve"> investiga la responsabilidad penal de un grupo de personas por hechos relacionados con</w:t>
      </w:r>
      <w:r w:rsidR="00594429" w:rsidRPr="00386E47">
        <w:rPr>
          <w:rFonts w:asciiTheme="majorHAnsi" w:eastAsia="Calibri" w:hAnsiTheme="majorHAnsi"/>
          <w:sz w:val="20"/>
          <w:szCs w:val="20"/>
          <w:lang w:val="es-ES_tradnl"/>
        </w:rPr>
        <w:t xml:space="preserve"> el</w:t>
      </w:r>
      <w:r w:rsidRPr="00386E47">
        <w:rPr>
          <w:rFonts w:asciiTheme="majorHAnsi" w:eastAsia="Calibri" w:hAnsiTheme="majorHAnsi"/>
          <w:sz w:val="20"/>
          <w:szCs w:val="20"/>
          <w:lang w:val="es-ES_tradnl"/>
        </w:rPr>
        <w:t xml:space="preserve"> encubrimiento del atentado. Entre las personas que resultan imputadas en esas causas se encuentran los entonces secretarios del Juzgado en lo Criminal Federal 9, funcionarios </w:t>
      </w:r>
      <w:r w:rsidR="009370C2" w:rsidRPr="00386E47">
        <w:rPr>
          <w:rFonts w:asciiTheme="majorHAnsi" w:eastAsia="Calibri" w:hAnsiTheme="majorHAnsi"/>
          <w:sz w:val="20"/>
          <w:szCs w:val="20"/>
          <w:lang w:val="es-ES_tradnl"/>
        </w:rPr>
        <w:t>del Poder Ejecutivo Nacional y otros individuos</w:t>
      </w:r>
      <w:r w:rsidRPr="00386E47">
        <w:rPr>
          <w:rFonts w:asciiTheme="majorHAnsi" w:eastAsia="Calibri" w:hAnsiTheme="majorHAnsi"/>
          <w:sz w:val="20"/>
          <w:szCs w:val="20"/>
          <w:lang w:val="es-ES_tradnl"/>
        </w:rPr>
        <w:t xml:space="preserve"> que </w:t>
      </w:r>
      <w:r w:rsidR="009370C2" w:rsidRPr="00386E47">
        <w:rPr>
          <w:rFonts w:asciiTheme="majorHAnsi" w:eastAsia="Calibri" w:hAnsiTheme="majorHAnsi"/>
          <w:sz w:val="20"/>
          <w:szCs w:val="20"/>
          <w:lang w:val="es-ES_tradnl"/>
        </w:rPr>
        <w:t>participaron de la</w:t>
      </w:r>
      <w:r w:rsidRPr="00386E47">
        <w:rPr>
          <w:rFonts w:asciiTheme="majorHAnsi" w:eastAsia="Calibri" w:hAnsiTheme="majorHAnsi"/>
          <w:sz w:val="20"/>
          <w:szCs w:val="20"/>
          <w:lang w:val="es-ES_tradnl"/>
        </w:rPr>
        <w:t xml:space="preserve"> investigación encabezada por el ex Juez Galeano</w:t>
      </w:r>
      <w:r w:rsidRPr="00386E47">
        <w:rPr>
          <w:rFonts w:asciiTheme="majorHAnsi" w:eastAsia="Calibri" w:hAnsiTheme="majorHAnsi"/>
          <w:sz w:val="20"/>
          <w:szCs w:val="20"/>
          <w:vertAlign w:val="superscript"/>
          <w:lang w:val="es-ES_tradnl"/>
        </w:rPr>
        <w:footnoteReference w:id="36"/>
      </w:r>
      <w:r w:rsidRPr="00386E47">
        <w:rPr>
          <w:rFonts w:asciiTheme="majorHAnsi" w:eastAsia="Calibri" w:hAnsiTheme="majorHAnsi"/>
          <w:sz w:val="20"/>
          <w:szCs w:val="20"/>
          <w:lang w:val="es-ES_tradnl"/>
        </w:rPr>
        <w:t xml:space="preserve">.   </w:t>
      </w:r>
    </w:p>
    <w:p w14:paraId="70EEA94B" w14:textId="77777777" w:rsidR="009F70EA" w:rsidRPr="00386E47" w:rsidRDefault="009F70EA" w:rsidP="00CE774A">
      <w:pPr>
        <w:tabs>
          <w:tab w:val="left" w:pos="284"/>
          <w:tab w:val="left" w:pos="426"/>
          <w:tab w:val="left" w:pos="567"/>
        </w:tabs>
        <w:contextualSpacing/>
        <w:jc w:val="both"/>
        <w:rPr>
          <w:rFonts w:asciiTheme="majorHAnsi" w:eastAsia="Calibri" w:hAnsiTheme="majorHAnsi"/>
          <w:sz w:val="20"/>
          <w:szCs w:val="20"/>
          <w:lang w:val="es-ES_tradnl"/>
        </w:rPr>
      </w:pPr>
    </w:p>
    <w:p w14:paraId="0EE1A021" w14:textId="77777777" w:rsidR="009F70EA" w:rsidRPr="00386E47" w:rsidRDefault="009F70EA" w:rsidP="003A5860">
      <w:pPr>
        <w:numPr>
          <w:ilvl w:val="0"/>
          <w:numId w:val="55"/>
        </w:numPr>
        <w:tabs>
          <w:tab w:val="left" w:pos="567"/>
        </w:tabs>
        <w:ind w:left="0" w:firstLine="0"/>
        <w:contextualSpacing/>
        <w:jc w:val="both"/>
        <w:rPr>
          <w:rFonts w:asciiTheme="majorHAnsi" w:eastAsia="Calibri" w:hAnsiTheme="majorHAnsi"/>
          <w:sz w:val="20"/>
          <w:szCs w:val="20"/>
          <w:lang w:val="es-ES_tradnl"/>
        </w:rPr>
      </w:pPr>
      <w:r w:rsidRPr="00386E47">
        <w:rPr>
          <w:rFonts w:asciiTheme="majorHAnsi" w:eastAsia="Calibri" w:hAnsiTheme="majorHAnsi"/>
          <w:sz w:val="20"/>
          <w:szCs w:val="20"/>
          <w:lang w:val="es-ES_tradnl"/>
        </w:rPr>
        <w:t>Por último, en enero de 2015</w:t>
      </w:r>
      <w:r w:rsidR="00572A62" w:rsidRPr="00386E47">
        <w:rPr>
          <w:rFonts w:asciiTheme="majorHAnsi" w:eastAsia="Calibri" w:hAnsiTheme="majorHAnsi"/>
          <w:sz w:val="20"/>
          <w:szCs w:val="20"/>
          <w:lang w:val="es-ES_tradnl"/>
        </w:rPr>
        <w:t xml:space="preserve">, </w:t>
      </w:r>
      <w:r w:rsidRPr="00386E47">
        <w:rPr>
          <w:rFonts w:asciiTheme="majorHAnsi" w:eastAsia="Calibri" w:hAnsiTheme="majorHAnsi"/>
          <w:sz w:val="20"/>
          <w:szCs w:val="20"/>
          <w:lang w:val="es-ES_tradnl"/>
        </w:rPr>
        <w:t xml:space="preserve">el entonces titular de la UFI AMIA, Alberto Nisman, presentó ante un Juzgado en lo Criminal y Correccional Federal una denuncia penal </w:t>
      </w:r>
      <w:r w:rsidR="00594429" w:rsidRPr="00386E47">
        <w:rPr>
          <w:rFonts w:asciiTheme="majorHAnsi" w:eastAsia="Calibri" w:hAnsiTheme="majorHAnsi"/>
          <w:sz w:val="20"/>
          <w:szCs w:val="20"/>
          <w:lang w:val="es-ES_tradnl"/>
        </w:rPr>
        <w:t>por medio de la</w:t>
      </w:r>
      <w:r w:rsidRPr="00386E47">
        <w:rPr>
          <w:rFonts w:asciiTheme="majorHAnsi" w:eastAsia="Calibri" w:hAnsiTheme="majorHAnsi"/>
          <w:sz w:val="20"/>
          <w:szCs w:val="20"/>
          <w:lang w:val="es-ES_tradnl"/>
        </w:rPr>
        <w:t xml:space="preserve"> cual acusó a diversos funcionario</w:t>
      </w:r>
      <w:r w:rsidR="00594429" w:rsidRPr="00386E47">
        <w:rPr>
          <w:rFonts w:asciiTheme="majorHAnsi" w:eastAsia="Calibri" w:hAnsiTheme="majorHAnsi"/>
          <w:sz w:val="20"/>
          <w:szCs w:val="20"/>
          <w:lang w:val="es-ES_tradnl"/>
        </w:rPr>
        <w:t xml:space="preserve">s estatales e individuos </w:t>
      </w:r>
      <w:r w:rsidR="00FD7F66" w:rsidRPr="00386E47">
        <w:rPr>
          <w:rFonts w:asciiTheme="majorHAnsi" w:eastAsia="Calibri" w:hAnsiTheme="majorHAnsi"/>
          <w:sz w:val="20"/>
          <w:szCs w:val="20"/>
          <w:lang w:val="es-ES_tradnl"/>
        </w:rPr>
        <w:t xml:space="preserve">presuntamente </w:t>
      </w:r>
      <w:r w:rsidR="00594429" w:rsidRPr="00386E47">
        <w:rPr>
          <w:rFonts w:asciiTheme="majorHAnsi" w:eastAsia="Calibri" w:hAnsiTheme="majorHAnsi"/>
          <w:sz w:val="20"/>
          <w:szCs w:val="20"/>
          <w:lang w:val="es-ES_tradnl"/>
        </w:rPr>
        <w:t xml:space="preserve">allegados a ellos </w:t>
      </w:r>
      <w:r w:rsidRPr="00386E47">
        <w:rPr>
          <w:rFonts w:asciiTheme="majorHAnsi" w:eastAsia="Calibri" w:hAnsiTheme="majorHAnsi"/>
          <w:sz w:val="20"/>
          <w:szCs w:val="20"/>
          <w:lang w:val="es-ES_tradnl"/>
        </w:rPr>
        <w:t xml:space="preserve">de haber trazado “un plan delictivo destinado a dotar de impunidad a los imputados de nacionalidad iraní” </w:t>
      </w:r>
      <w:r w:rsidR="008B5505" w:rsidRPr="00386E47">
        <w:rPr>
          <w:rFonts w:asciiTheme="majorHAnsi" w:eastAsia="Calibri" w:hAnsiTheme="majorHAnsi"/>
          <w:sz w:val="20"/>
          <w:szCs w:val="20"/>
          <w:lang w:val="es-ES_tradnl"/>
        </w:rPr>
        <w:t>a partir de</w:t>
      </w:r>
      <w:r w:rsidR="00F050CD" w:rsidRPr="00386E47">
        <w:rPr>
          <w:rFonts w:asciiTheme="majorHAnsi" w:eastAsia="Calibri" w:hAnsiTheme="majorHAnsi"/>
          <w:sz w:val="20"/>
          <w:szCs w:val="20"/>
          <w:lang w:val="es-ES_tradnl"/>
        </w:rPr>
        <w:t xml:space="preserve"> la firma del</w:t>
      </w:r>
      <w:r w:rsidR="008B5505" w:rsidRPr="00386E47">
        <w:rPr>
          <w:rFonts w:asciiTheme="majorHAnsi" w:eastAsia="Calibri" w:hAnsiTheme="majorHAnsi"/>
          <w:sz w:val="20"/>
          <w:szCs w:val="20"/>
          <w:lang w:val="es-ES_tradnl"/>
        </w:rPr>
        <w:t xml:space="preserve"> denominado</w:t>
      </w:r>
      <w:r w:rsidRPr="00386E47">
        <w:rPr>
          <w:rFonts w:asciiTheme="majorHAnsi" w:eastAsia="Calibri" w:hAnsiTheme="majorHAnsi"/>
          <w:sz w:val="20"/>
          <w:szCs w:val="20"/>
          <w:lang w:val="es-ES_tradnl"/>
        </w:rPr>
        <w:t xml:space="preserve"> </w:t>
      </w:r>
      <w:r w:rsidR="008B5505" w:rsidRPr="00386E47">
        <w:rPr>
          <w:rFonts w:asciiTheme="majorHAnsi" w:eastAsia="Calibri" w:hAnsiTheme="majorHAnsi"/>
          <w:sz w:val="20"/>
          <w:szCs w:val="20"/>
          <w:lang w:val="es-ES_tradnl"/>
        </w:rPr>
        <w:t>“</w:t>
      </w:r>
      <w:r w:rsidRPr="00386E47">
        <w:rPr>
          <w:rFonts w:asciiTheme="majorHAnsi" w:eastAsia="Calibri" w:hAnsiTheme="majorHAnsi"/>
          <w:sz w:val="20"/>
          <w:szCs w:val="20"/>
          <w:lang w:val="es-ES_tradnl"/>
        </w:rPr>
        <w:t>Memorándum de Entendimiento entre la República Argentina y la República Islámica de Irán</w:t>
      </w:r>
      <w:r w:rsidR="008B5505" w:rsidRPr="00386E47">
        <w:rPr>
          <w:rFonts w:asciiTheme="majorHAnsi" w:eastAsia="Calibri" w:hAnsiTheme="majorHAnsi"/>
          <w:sz w:val="20"/>
          <w:szCs w:val="20"/>
          <w:lang w:val="es-ES_tradnl"/>
        </w:rPr>
        <w:t xml:space="preserve"> sobre los temas vinculados al ataque terrorista a la sede de la AMIA en Buenos Aires el 18 de julio de 1994”</w:t>
      </w:r>
      <w:r w:rsidR="00FD7F66" w:rsidRPr="00386E47">
        <w:rPr>
          <w:rStyle w:val="FootnoteReference"/>
          <w:rFonts w:asciiTheme="majorHAnsi" w:eastAsia="Calibri" w:hAnsiTheme="majorHAnsi"/>
          <w:sz w:val="20"/>
          <w:szCs w:val="20"/>
          <w:lang w:val="es-ES_tradnl"/>
        </w:rPr>
        <w:footnoteReference w:id="37"/>
      </w:r>
      <w:r w:rsidRPr="00386E47">
        <w:rPr>
          <w:rFonts w:asciiTheme="majorHAnsi" w:eastAsia="Calibri" w:hAnsiTheme="majorHAnsi"/>
          <w:sz w:val="20"/>
          <w:szCs w:val="20"/>
          <w:lang w:val="es-ES_tradnl"/>
        </w:rPr>
        <w:t xml:space="preserve">. La Comisión ha </w:t>
      </w:r>
      <w:r w:rsidR="00633B9B" w:rsidRPr="00386E47">
        <w:rPr>
          <w:rFonts w:asciiTheme="majorHAnsi" w:eastAsia="Calibri" w:hAnsiTheme="majorHAnsi"/>
          <w:sz w:val="20"/>
          <w:szCs w:val="20"/>
          <w:lang w:val="es-ES_tradnl"/>
        </w:rPr>
        <w:t xml:space="preserve">sido informada por los peticionarios </w:t>
      </w:r>
      <w:r w:rsidRPr="00386E47">
        <w:rPr>
          <w:rFonts w:asciiTheme="majorHAnsi" w:eastAsia="Calibri" w:hAnsiTheme="majorHAnsi"/>
          <w:sz w:val="20"/>
          <w:szCs w:val="20"/>
          <w:lang w:val="es-ES_tradnl"/>
        </w:rPr>
        <w:t>que la mencionada denuncia continúa, a la fecha de</w:t>
      </w:r>
      <w:r w:rsidR="00E87276" w:rsidRPr="00386E47">
        <w:rPr>
          <w:rFonts w:asciiTheme="majorHAnsi" w:eastAsia="Calibri" w:hAnsiTheme="majorHAnsi"/>
          <w:sz w:val="20"/>
          <w:szCs w:val="20"/>
          <w:lang w:val="es-ES_tradnl"/>
        </w:rPr>
        <w:t xml:space="preserve"> la aprobación de</w:t>
      </w:r>
      <w:r w:rsidRPr="00386E47">
        <w:rPr>
          <w:rFonts w:asciiTheme="majorHAnsi" w:eastAsia="Calibri" w:hAnsiTheme="majorHAnsi"/>
          <w:sz w:val="20"/>
          <w:szCs w:val="20"/>
          <w:lang w:val="es-ES_tradnl"/>
        </w:rPr>
        <w:t xml:space="preserve"> este informe, siendo investigada por las autoridades judiciales argentinas</w:t>
      </w:r>
      <w:r w:rsidR="008B5505" w:rsidRPr="00386E47">
        <w:rPr>
          <w:rFonts w:asciiTheme="majorHAnsi" w:eastAsia="Calibri" w:hAnsiTheme="majorHAnsi"/>
          <w:sz w:val="20"/>
          <w:szCs w:val="20"/>
          <w:vertAlign w:val="superscript"/>
          <w:lang w:val="es-ES_tradnl"/>
        </w:rPr>
        <w:footnoteReference w:id="38"/>
      </w:r>
      <w:r w:rsidRPr="00386E47">
        <w:rPr>
          <w:rFonts w:asciiTheme="majorHAnsi" w:eastAsia="Calibri" w:hAnsiTheme="majorHAnsi"/>
          <w:sz w:val="20"/>
          <w:szCs w:val="20"/>
          <w:lang w:val="es-ES_tradnl"/>
        </w:rPr>
        <w:t xml:space="preserve">. </w:t>
      </w:r>
    </w:p>
    <w:p w14:paraId="00C8CB76" w14:textId="77777777" w:rsidR="009F70EA" w:rsidRPr="00386E47" w:rsidRDefault="009F70EA" w:rsidP="009F70EA">
      <w:pPr>
        <w:tabs>
          <w:tab w:val="left" w:pos="426"/>
        </w:tabs>
        <w:contextualSpacing/>
        <w:jc w:val="both"/>
        <w:rPr>
          <w:rFonts w:asciiTheme="majorHAnsi" w:eastAsia="Calibri" w:hAnsiTheme="majorHAnsi"/>
          <w:sz w:val="20"/>
          <w:szCs w:val="20"/>
          <w:lang w:val="es-ES_tradnl"/>
        </w:rPr>
      </w:pPr>
    </w:p>
    <w:p w14:paraId="32322D8F" w14:textId="77777777" w:rsidR="00137B1C" w:rsidRPr="00386E47" w:rsidRDefault="0025516D" w:rsidP="009146F2">
      <w:pPr>
        <w:pStyle w:val="Heading2"/>
        <w:numPr>
          <w:ilvl w:val="0"/>
          <w:numId w:val="68"/>
        </w:numPr>
        <w:rPr>
          <w:rFonts w:asciiTheme="majorHAnsi" w:hAnsiTheme="majorHAnsi"/>
        </w:rPr>
      </w:pPr>
      <w:bookmarkStart w:id="24" w:name="_Toc51252195"/>
      <w:r w:rsidRPr="00386E47">
        <w:rPr>
          <w:rFonts w:asciiTheme="majorHAnsi" w:hAnsiTheme="majorHAnsi"/>
        </w:rPr>
        <w:t>Derechos a la vida,</w:t>
      </w:r>
      <w:r w:rsidR="00FB1535" w:rsidRPr="00386E47">
        <w:rPr>
          <w:rFonts w:asciiTheme="majorHAnsi" w:hAnsiTheme="majorHAnsi"/>
        </w:rPr>
        <w:t xml:space="preserve"> a la integridad personal y derecho a la igualdad (artículo</w:t>
      </w:r>
      <w:r w:rsidRPr="00386E47">
        <w:rPr>
          <w:rFonts w:asciiTheme="majorHAnsi" w:hAnsiTheme="majorHAnsi"/>
        </w:rPr>
        <w:t>s 4.1, 5.1 y</w:t>
      </w:r>
      <w:r w:rsidR="00FB1535" w:rsidRPr="00386E47">
        <w:rPr>
          <w:rFonts w:asciiTheme="majorHAnsi" w:hAnsiTheme="majorHAnsi"/>
        </w:rPr>
        <w:t xml:space="preserve"> 24) en relación con los artículos 1.1 de la Convención.</w:t>
      </w:r>
      <w:bookmarkEnd w:id="24"/>
      <w:r w:rsidR="00FB1535" w:rsidRPr="00386E47">
        <w:rPr>
          <w:rFonts w:asciiTheme="majorHAnsi" w:hAnsiTheme="majorHAnsi"/>
        </w:rPr>
        <w:t xml:space="preserve"> </w:t>
      </w:r>
    </w:p>
    <w:p w14:paraId="4A0A8990" w14:textId="77777777" w:rsidR="008B43FD" w:rsidRPr="00386E47" w:rsidRDefault="008B43FD" w:rsidP="00A311A0">
      <w:pPr>
        <w:pStyle w:val="ListParagraph"/>
        <w:tabs>
          <w:tab w:val="left" w:pos="567"/>
        </w:tabs>
        <w:ind w:left="0"/>
        <w:jc w:val="both"/>
        <w:rPr>
          <w:rFonts w:asciiTheme="majorHAnsi" w:hAnsiTheme="majorHAnsi"/>
          <w:lang w:val="es-US"/>
        </w:rPr>
      </w:pPr>
    </w:p>
    <w:p w14:paraId="114C2AA6" w14:textId="77777777" w:rsidR="00021B5D" w:rsidRPr="00386E47" w:rsidRDefault="008B43FD" w:rsidP="0025516D">
      <w:pPr>
        <w:pStyle w:val="ListParagraph"/>
        <w:numPr>
          <w:ilvl w:val="0"/>
          <w:numId w:val="55"/>
        </w:numPr>
        <w:tabs>
          <w:tab w:val="left" w:pos="567"/>
        </w:tabs>
        <w:ind w:left="0" w:firstLine="0"/>
        <w:jc w:val="both"/>
        <w:rPr>
          <w:rFonts w:asciiTheme="majorHAnsi" w:hAnsiTheme="majorHAnsi"/>
          <w:sz w:val="20"/>
          <w:szCs w:val="20"/>
          <w:lang w:val="es-ES"/>
        </w:rPr>
      </w:pPr>
      <w:r w:rsidRPr="00386E47">
        <w:rPr>
          <w:rFonts w:asciiTheme="majorHAnsi" w:hAnsiTheme="majorHAnsi"/>
          <w:sz w:val="20"/>
          <w:szCs w:val="20"/>
          <w:lang w:val="es-ES"/>
        </w:rPr>
        <w:t xml:space="preserve">Los </w:t>
      </w:r>
      <w:r w:rsidRPr="00386E47">
        <w:rPr>
          <w:rFonts w:asciiTheme="majorHAnsi" w:hAnsiTheme="majorHAnsi"/>
          <w:bCs/>
          <w:sz w:val="20"/>
          <w:szCs w:val="20"/>
          <w:lang w:val="es-ES"/>
        </w:rPr>
        <w:t>derechos a la vida e integridad personal</w:t>
      </w:r>
      <w:r w:rsidRPr="00386E47">
        <w:rPr>
          <w:rFonts w:asciiTheme="majorHAnsi" w:hAnsiTheme="majorHAnsi"/>
          <w:sz w:val="20"/>
          <w:szCs w:val="20"/>
          <w:lang w:val="es-ES"/>
        </w:rPr>
        <w:t xml:space="preserve"> se encuentran consagrados en los artículos</w:t>
      </w:r>
      <w:r w:rsidR="00FB1535" w:rsidRPr="00386E47">
        <w:rPr>
          <w:rFonts w:asciiTheme="majorHAnsi" w:hAnsiTheme="majorHAnsi"/>
          <w:sz w:val="20"/>
          <w:szCs w:val="20"/>
          <w:lang w:val="es-ES"/>
        </w:rPr>
        <w:t xml:space="preserve"> 4 y 5</w:t>
      </w:r>
      <w:r w:rsidR="00BE6274" w:rsidRPr="00386E47">
        <w:rPr>
          <w:rFonts w:asciiTheme="majorHAnsi" w:hAnsiTheme="majorHAnsi"/>
          <w:sz w:val="20"/>
          <w:szCs w:val="20"/>
          <w:lang w:val="es-ES"/>
        </w:rPr>
        <w:t xml:space="preserve"> de la Convención Americana sobre Derechos Humanos</w:t>
      </w:r>
      <w:r w:rsidR="00FB1535" w:rsidRPr="00386E47">
        <w:rPr>
          <w:rFonts w:asciiTheme="majorHAnsi" w:hAnsiTheme="majorHAnsi"/>
          <w:sz w:val="20"/>
          <w:szCs w:val="20"/>
          <w:lang w:val="es-ES"/>
        </w:rPr>
        <w:t xml:space="preserve">. </w:t>
      </w:r>
      <w:r w:rsidR="00BE6274" w:rsidRPr="00386E47">
        <w:rPr>
          <w:rFonts w:asciiTheme="majorHAnsi" w:hAnsiTheme="majorHAnsi"/>
          <w:sz w:val="20"/>
          <w:szCs w:val="20"/>
          <w:lang w:val="es-ES"/>
        </w:rPr>
        <w:t>Ellos</w:t>
      </w:r>
      <w:r w:rsidR="00FB1535" w:rsidRPr="00386E47">
        <w:rPr>
          <w:rFonts w:asciiTheme="majorHAnsi" w:hAnsiTheme="majorHAnsi"/>
          <w:sz w:val="20"/>
          <w:szCs w:val="20"/>
          <w:lang w:val="es-ES"/>
        </w:rPr>
        <w:t xml:space="preserve"> revisten un carácter esencial</w:t>
      </w:r>
      <w:r w:rsidR="00BE6274" w:rsidRPr="00386E47">
        <w:rPr>
          <w:rFonts w:asciiTheme="majorHAnsi" w:hAnsiTheme="majorHAnsi"/>
          <w:sz w:val="20"/>
          <w:szCs w:val="20"/>
          <w:lang w:val="es-ES"/>
        </w:rPr>
        <w:t>, ya que</w:t>
      </w:r>
      <w:r w:rsidR="00FB1535" w:rsidRPr="00386E47">
        <w:rPr>
          <w:rFonts w:asciiTheme="majorHAnsi" w:hAnsiTheme="majorHAnsi"/>
          <w:sz w:val="20"/>
          <w:szCs w:val="20"/>
          <w:lang w:val="es-ES"/>
        </w:rPr>
        <w:t>, de conformidad con</w:t>
      </w:r>
      <w:r w:rsidR="00BE6274" w:rsidRPr="00386E47">
        <w:rPr>
          <w:rFonts w:asciiTheme="majorHAnsi" w:hAnsiTheme="majorHAnsi"/>
          <w:sz w:val="20"/>
          <w:szCs w:val="20"/>
          <w:lang w:val="es-ES"/>
        </w:rPr>
        <w:t xml:space="preserve"> el</w:t>
      </w:r>
      <w:r w:rsidR="00FB1535" w:rsidRPr="00386E47">
        <w:rPr>
          <w:rFonts w:asciiTheme="majorHAnsi" w:hAnsiTheme="majorHAnsi"/>
          <w:sz w:val="20"/>
          <w:szCs w:val="20"/>
          <w:lang w:val="es-ES"/>
        </w:rPr>
        <w:t xml:space="preserve"> artículo 27.2 de la Convención</w:t>
      </w:r>
      <w:r w:rsidR="00BE6274" w:rsidRPr="00386E47">
        <w:rPr>
          <w:rFonts w:asciiTheme="majorHAnsi" w:hAnsiTheme="majorHAnsi"/>
          <w:sz w:val="20"/>
          <w:szCs w:val="20"/>
          <w:lang w:val="es-ES"/>
        </w:rPr>
        <w:t>,</w:t>
      </w:r>
      <w:r w:rsidR="00FB1535" w:rsidRPr="00386E47">
        <w:rPr>
          <w:rFonts w:asciiTheme="majorHAnsi" w:hAnsiTheme="majorHAnsi"/>
          <w:sz w:val="20"/>
          <w:szCs w:val="20"/>
          <w:lang w:val="es-ES"/>
        </w:rPr>
        <w:t xml:space="preserve"> forman parte del núcleo inderogable</w:t>
      </w:r>
      <w:r w:rsidR="00BE6274" w:rsidRPr="00386E47">
        <w:rPr>
          <w:rFonts w:asciiTheme="majorHAnsi" w:hAnsiTheme="majorHAnsi"/>
          <w:sz w:val="20"/>
          <w:szCs w:val="20"/>
          <w:lang w:val="es-ES"/>
        </w:rPr>
        <w:t xml:space="preserve"> de derechos que no</w:t>
      </w:r>
      <w:r w:rsidR="00FB1535" w:rsidRPr="00386E47">
        <w:rPr>
          <w:rFonts w:asciiTheme="majorHAnsi" w:hAnsiTheme="majorHAnsi"/>
          <w:sz w:val="20"/>
          <w:szCs w:val="20"/>
          <w:lang w:val="es-ES"/>
        </w:rPr>
        <w:t xml:space="preserve"> pueden ser suspendidos </w:t>
      </w:r>
      <w:r w:rsidR="00BE6274" w:rsidRPr="00386E47">
        <w:rPr>
          <w:rFonts w:asciiTheme="majorHAnsi" w:hAnsiTheme="majorHAnsi"/>
          <w:sz w:val="20"/>
          <w:szCs w:val="20"/>
          <w:lang w:val="es-ES"/>
        </w:rPr>
        <w:t xml:space="preserve">ni siquiera </w:t>
      </w:r>
      <w:r w:rsidR="00FB1535" w:rsidRPr="00386E47">
        <w:rPr>
          <w:rFonts w:asciiTheme="majorHAnsi" w:hAnsiTheme="majorHAnsi"/>
          <w:sz w:val="20"/>
          <w:szCs w:val="20"/>
          <w:lang w:val="es-ES"/>
        </w:rPr>
        <w:t xml:space="preserve">en casos de guerra, peligro público u otras amenazas. </w:t>
      </w:r>
      <w:r w:rsidR="00BE6274" w:rsidRPr="00386E47">
        <w:rPr>
          <w:rFonts w:asciiTheme="majorHAnsi" w:hAnsiTheme="majorHAnsi"/>
          <w:sz w:val="20"/>
          <w:szCs w:val="20"/>
          <w:lang w:val="es-ES"/>
        </w:rPr>
        <w:t>En consecuencia</w:t>
      </w:r>
      <w:r w:rsidR="00021B5D" w:rsidRPr="00386E47">
        <w:rPr>
          <w:rFonts w:asciiTheme="majorHAnsi" w:hAnsiTheme="majorHAnsi"/>
          <w:sz w:val="20"/>
          <w:szCs w:val="20"/>
          <w:lang w:val="es-ES"/>
        </w:rPr>
        <w:t xml:space="preserve">, </w:t>
      </w:r>
      <w:r w:rsidR="00FB1535" w:rsidRPr="00386E47">
        <w:rPr>
          <w:rFonts w:asciiTheme="majorHAnsi" w:hAnsiTheme="majorHAnsi"/>
          <w:sz w:val="20"/>
          <w:szCs w:val="20"/>
          <w:lang w:val="es-ES"/>
        </w:rPr>
        <w:t xml:space="preserve">los Estados </w:t>
      </w:r>
      <w:r w:rsidR="00BE6274" w:rsidRPr="00386E47">
        <w:rPr>
          <w:rFonts w:asciiTheme="majorHAnsi" w:hAnsiTheme="majorHAnsi"/>
          <w:sz w:val="20"/>
          <w:szCs w:val="20"/>
          <w:lang w:val="es-ES"/>
        </w:rPr>
        <w:t xml:space="preserve">tienen </w:t>
      </w:r>
      <w:r w:rsidR="00FB1535" w:rsidRPr="00386E47">
        <w:rPr>
          <w:rFonts w:asciiTheme="majorHAnsi" w:hAnsiTheme="majorHAnsi"/>
          <w:sz w:val="20"/>
          <w:szCs w:val="20"/>
          <w:lang w:val="es-ES"/>
        </w:rPr>
        <w:t>el deber de adoptar todas las medidas que sean necesarias y apropiadas para proteger y preservar los derechos a la vida y a la integridad</w:t>
      </w:r>
      <w:r w:rsidR="00FB1535" w:rsidRPr="00386E47">
        <w:rPr>
          <w:rFonts w:asciiTheme="majorHAnsi" w:hAnsiTheme="majorHAnsi"/>
          <w:sz w:val="20"/>
          <w:szCs w:val="20"/>
          <w:vertAlign w:val="superscript"/>
          <w:lang w:val="es-ES"/>
        </w:rPr>
        <w:footnoteReference w:id="39"/>
      </w:r>
      <w:r w:rsidR="00FB1535" w:rsidRPr="00386E47">
        <w:rPr>
          <w:rFonts w:asciiTheme="majorHAnsi" w:hAnsiTheme="majorHAnsi"/>
          <w:sz w:val="20"/>
          <w:szCs w:val="20"/>
          <w:lang w:val="es-ES"/>
        </w:rPr>
        <w:t xml:space="preserve">. </w:t>
      </w:r>
    </w:p>
    <w:p w14:paraId="320CEF7B" w14:textId="77777777" w:rsidR="00021B5D" w:rsidRPr="00386E47" w:rsidRDefault="00021B5D" w:rsidP="0025516D">
      <w:pPr>
        <w:pStyle w:val="ListParagraph"/>
        <w:tabs>
          <w:tab w:val="left" w:pos="567"/>
        </w:tabs>
        <w:ind w:left="0"/>
        <w:jc w:val="both"/>
        <w:rPr>
          <w:rFonts w:asciiTheme="majorHAnsi" w:hAnsiTheme="majorHAnsi"/>
          <w:sz w:val="20"/>
          <w:szCs w:val="20"/>
          <w:lang w:val="es-ES"/>
        </w:rPr>
      </w:pPr>
    </w:p>
    <w:p w14:paraId="354C1EF8" w14:textId="77777777" w:rsidR="00C93CB2" w:rsidRPr="00386E47" w:rsidRDefault="00021B5D" w:rsidP="0025516D">
      <w:pPr>
        <w:pStyle w:val="ListParagraph"/>
        <w:numPr>
          <w:ilvl w:val="0"/>
          <w:numId w:val="55"/>
        </w:numPr>
        <w:tabs>
          <w:tab w:val="left" w:pos="567"/>
        </w:tabs>
        <w:ind w:left="0" w:firstLine="0"/>
        <w:jc w:val="both"/>
        <w:rPr>
          <w:rFonts w:asciiTheme="majorHAnsi" w:hAnsiTheme="majorHAnsi"/>
          <w:sz w:val="20"/>
          <w:szCs w:val="20"/>
          <w:lang w:val="es-ES"/>
        </w:rPr>
      </w:pPr>
      <w:r w:rsidRPr="00386E47">
        <w:rPr>
          <w:rFonts w:asciiTheme="majorHAnsi" w:hAnsiTheme="majorHAnsi"/>
          <w:sz w:val="20"/>
          <w:szCs w:val="20"/>
          <w:lang w:val="es-ES"/>
        </w:rPr>
        <w:t xml:space="preserve">La Corte Interamericana </w:t>
      </w:r>
      <w:r w:rsidR="00FB1535" w:rsidRPr="00386E47">
        <w:rPr>
          <w:rFonts w:asciiTheme="majorHAnsi" w:hAnsiTheme="majorHAnsi"/>
          <w:sz w:val="20"/>
          <w:szCs w:val="20"/>
          <w:lang w:val="es-ES"/>
        </w:rPr>
        <w:t>ha señalado que la obligación del artículo 1.1 de la Convención en relación con el derecho a la vida “no sólo presupone que ninguna persona sea privada de su vida arbitrariamente (obligación negativa), sino que además requiere que los Estados adopten todas las medidas apropiadas para proteger y preservar el derecho a la vida (obligación positiva), conforme al deber de garantizar el pleno y libre ejercicio de los derechos de todas las personas bajo su jurisdicción”</w:t>
      </w:r>
      <w:r w:rsidR="00FB1535" w:rsidRPr="00386E47">
        <w:rPr>
          <w:rStyle w:val="FootnoteReference"/>
          <w:rFonts w:asciiTheme="majorHAnsi" w:hAnsiTheme="majorHAnsi"/>
          <w:sz w:val="20"/>
          <w:szCs w:val="20"/>
          <w:lang w:val="es-ES"/>
        </w:rPr>
        <w:footnoteReference w:id="40"/>
      </w:r>
      <w:r w:rsidR="00FB1535" w:rsidRPr="00386E47">
        <w:rPr>
          <w:rFonts w:asciiTheme="majorHAnsi" w:hAnsiTheme="majorHAnsi"/>
          <w:sz w:val="20"/>
          <w:szCs w:val="20"/>
          <w:lang w:val="es-ES"/>
        </w:rPr>
        <w:t xml:space="preserve">. Igualmente, </w:t>
      </w:r>
      <w:r w:rsidR="00BE6274" w:rsidRPr="00386E47">
        <w:rPr>
          <w:rFonts w:asciiTheme="majorHAnsi" w:hAnsiTheme="majorHAnsi"/>
          <w:sz w:val="20"/>
          <w:szCs w:val="20"/>
          <w:lang w:val="es-ES"/>
        </w:rPr>
        <w:t>el</w:t>
      </w:r>
      <w:r w:rsidR="00FB1535" w:rsidRPr="00386E47">
        <w:rPr>
          <w:rFonts w:asciiTheme="majorHAnsi" w:hAnsiTheme="majorHAnsi"/>
          <w:sz w:val="20"/>
          <w:szCs w:val="20"/>
          <w:lang w:val="es-ES"/>
        </w:rPr>
        <w:t xml:space="preserve"> derecho a la integridad personal, implica el deber del Estado de prevenir e invest</w:t>
      </w:r>
      <w:r w:rsidR="00BE6274" w:rsidRPr="00386E47">
        <w:rPr>
          <w:rFonts w:asciiTheme="majorHAnsi" w:hAnsiTheme="majorHAnsi"/>
          <w:sz w:val="20"/>
          <w:szCs w:val="20"/>
          <w:lang w:val="es-ES"/>
        </w:rPr>
        <w:t>igar posibles actos de tortura,</w:t>
      </w:r>
      <w:r w:rsidR="00FB1535" w:rsidRPr="00386E47">
        <w:rPr>
          <w:rFonts w:asciiTheme="majorHAnsi" w:hAnsiTheme="majorHAnsi"/>
          <w:sz w:val="20"/>
          <w:szCs w:val="20"/>
          <w:lang w:val="es-ES"/>
        </w:rPr>
        <w:t xml:space="preserve"> otros tratos c</w:t>
      </w:r>
      <w:r w:rsidR="00BE6274" w:rsidRPr="00386E47">
        <w:rPr>
          <w:rFonts w:asciiTheme="majorHAnsi" w:hAnsiTheme="majorHAnsi"/>
          <w:sz w:val="20"/>
          <w:szCs w:val="20"/>
          <w:lang w:val="es-ES"/>
        </w:rPr>
        <w:t xml:space="preserve">rueles, inhumanos o degradantes o actos del estado o de terceros que lesionen la integridad corporal de la persona humana. </w:t>
      </w:r>
    </w:p>
    <w:p w14:paraId="444CEF67" w14:textId="77777777" w:rsidR="00C93CB2" w:rsidRPr="00386E47" w:rsidRDefault="00C93CB2" w:rsidP="0025516D">
      <w:pPr>
        <w:pStyle w:val="ListParagraph"/>
        <w:ind w:left="0"/>
        <w:jc w:val="both"/>
        <w:rPr>
          <w:rFonts w:asciiTheme="majorHAnsi" w:hAnsiTheme="majorHAnsi"/>
          <w:sz w:val="20"/>
          <w:szCs w:val="20"/>
          <w:lang w:val="es-ES"/>
        </w:rPr>
      </w:pPr>
    </w:p>
    <w:p w14:paraId="56891E0E" w14:textId="77777777" w:rsidR="00FB1535" w:rsidRPr="00386E47" w:rsidRDefault="00FB1535" w:rsidP="0025516D">
      <w:pPr>
        <w:pStyle w:val="ListParagraph"/>
        <w:numPr>
          <w:ilvl w:val="0"/>
          <w:numId w:val="55"/>
        </w:numPr>
        <w:tabs>
          <w:tab w:val="left" w:pos="567"/>
        </w:tabs>
        <w:ind w:left="0" w:firstLine="0"/>
        <w:jc w:val="both"/>
        <w:rPr>
          <w:rFonts w:asciiTheme="majorHAnsi" w:hAnsiTheme="majorHAnsi"/>
          <w:sz w:val="20"/>
          <w:szCs w:val="20"/>
          <w:lang w:val="es-ES"/>
        </w:rPr>
      </w:pPr>
      <w:r w:rsidRPr="00386E47">
        <w:rPr>
          <w:rFonts w:asciiTheme="majorHAnsi" w:hAnsiTheme="majorHAnsi"/>
          <w:sz w:val="20"/>
          <w:szCs w:val="20"/>
          <w:lang w:val="es-ES"/>
        </w:rPr>
        <w:t xml:space="preserve">Desde su primera sentencia en un caso contencioso, la Corte Interamericana indicó que: </w:t>
      </w:r>
    </w:p>
    <w:p w14:paraId="6552DE8B" w14:textId="77777777" w:rsidR="00C93CB2" w:rsidRPr="00386E47" w:rsidRDefault="00C93CB2" w:rsidP="0025516D">
      <w:pPr>
        <w:pStyle w:val="ListParagraph"/>
        <w:tabs>
          <w:tab w:val="left" w:pos="567"/>
        </w:tabs>
        <w:ind w:left="0"/>
        <w:jc w:val="both"/>
        <w:rPr>
          <w:rFonts w:asciiTheme="majorHAnsi" w:hAnsiTheme="majorHAnsi"/>
          <w:sz w:val="20"/>
          <w:szCs w:val="20"/>
          <w:lang w:val="es-ES"/>
        </w:rPr>
      </w:pPr>
    </w:p>
    <w:p w14:paraId="37306412" w14:textId="77777777" w:rsidR="00FB1535" w:rsidRPr="00386E47" w:rsidRDefault="00FB1535" w:rsidP="0025516D">
      <w:pPr>
        <w:autoSpaceDE w:val="0"/>
        <w:autoSpaceDN w:val="0"/>
        <w:adjustRightInd w:val="0"/>
        <w:ind w:left="567" w:right="855"/>
        <w:jc w:val="both"/>
        <w:rPr>
          <w:rFonts w:asciiTheme="majorHAnsi" w:eastAsia="Calibri" w:hAnsiTheme="majorHAnsi" w:cs="Verdana"/>
          <w:sz w:val="20"/>
          <w:szCs w:val="20"/>
          <w:lang w:val="es-ES" w:eastAsia="es-ES"/>
        </w:rPr>
      </w:pPr>
      <w:r w:rsidRPr="00386E47">
        <w:rPr>
          <w:rFonts w:asciiTheme="majorHAnsi" w:eastAsia="Calibri" w:hAnsiTheme="majorHAnsi" w:cs="Verdana"/>
          <w:sz w:val="20"/>
          <w:szCs w:val="20"/>
          <w:lang w:val="es-ES" w:eastAsia="es-ES"/>
        </w:rPr>
        <w:lastRenderedPageBreak/>
        <w:t>El artículo 1.1 es fundamental para determinar si una violación de los derechos humanos reconocidos por la Convención puede ser atribuida a un Estado Parte. En efecto, dicho artículo pone a cargo de los Estados Partes los deberes fundamentales de respeto y de garantía, de tal modo que todo menoscabo a los derechos humanos reconocidos en la Convención que pueda ser atribuido, según las reglas del Derecho internacional, a la acción u omisión de cualquier autoridad pública, constituye un</w:t>
      </w:r>
      <w:r w:rsidR="00BE6274" w:rsidRPr="00386E47">
        <w:rPr>
          <w:rFonts w:asciiTheme="majorHAnsi" w:eastAsia="Calibri" w:hAnsiTheme="majorHAnsi" w:cs="Verdana"/>
          <w:sz w:val="20"/>
          <w:szCs w:val="20"/>
          <w:lang w:val="es-ES" w:eastAsia="es-ES"/>
        </w:rPr>
        <w:t xml:space="preserve"> hecho imputable al Estado que </w:t>
      </w:r>
      <w:r w:rsidRPr="00386E47">
        <w:rPr>
          <w:rFonts w:asciiTheme="majorHAnsi" w:eastAsia="Calibri" w:hAnsiTheme="majorHAnsi" w:cs="Verdana"/>
          <w:sz w:val="20"/>
          <w:szCs w:val="20"/>
          <w:lang w:val="es-ES" w:eastAsia="es-ES"/>
        </w:rPr>
        <w:t>compromete su responsabilidad en los términos previstos por la misma Convención</w:t>
      </w:r>
      <w:r w:rsidRPr="00386E47">
        <w:rPr>
          <w:rFonts w:asciiTheme="majorHAnsi" w:eastAsia="Calibri" w:hAnsiTheme="majorHAnsi"/>
          <w:sz w:val="20"/>
          <w:szCs w:val="20"/>
          <w:vertAlign w:val="superscript"/>
          <w:lang w:val="es-ES"/>
        </w:rPr>
        <w:footnoteReference w:id="41"/>
      </w:r>
      <w:r w:rsidRPr="00386E47">
        <w:rPr>
          <w:rFonts w:asciiTheme="majorHAnsi" w:eastAsia="Calibri" w:hAnsiTheme="majorHAnsi" w:cs="Verdana"/>
          <w:sz w:val="20"/>
          <w:szCs w:val="20"/>
          <w:lang w:val="es-ES" w:eastAsia="es-ES"/>
        </w:rPr>
        <w:t>.</w:t>
      </w:r>
    </w:p>
    <w:p w14:paraId="567BDDC1" w14:textId="77777777" w:rsidR="00FB1535" w:rsidRPr="00386E47" w:rsidRDefault="00FB1535" w:rsidP="00FB1535">
      <w:pPr>
        <w:tabs>
          <w:tab w:val="left" w:pos="720"/>
          <w:tab w:val="left" w:pos="1440"/>
        </w:tabs>
        <w:ind w:left="630"/>
        <w:jc w:val="both"/>
        <w:rPr>
          <w:rFonts w:asciiTheme="majorHAnsi" w:eastAsia="Calibri" w:hAnsiTheme="majorHAnsi"/>
          <w:sz w:val="20"/>
          <w:szCs w:val="20"/>
          <w:lang w:val="es-ES"/>
        </w:rPr>
      </w:pPr>
    </w:p>
    <w:p w14:paraId="68F71F6F" w14:textId="77777777" w:rsidR="00F9080A" w:rsidRPr="00386E47" w:rsidRDefault="00FB1535" w:rsidP="003A5860">
      <w:pPr>
        <w:pStyle w:val="parrafos"/>
        <w:numPr>
          <w:ilvl w:val="0"/>
          <w:numId w:val="55"/>
        </w:numPr>
        <w:tabs>
          <w:tab w:val="clear" w:pos="360"/>
          <w:tab w:val="left" w:pos="0"/>
          <w:tab w:val="left" w:pos="567"/>
        </w:tabs>
        <w:ind w:left="0" w:firstLine="0"/>
      </w:pPr>
      <w:r w:rsidRPr="00386E47">
        <w:t xml:space="preserve">La responsabilidad internacional del Estado puede basarse en actos u omisiones de cualquier poder u órgano de éste que </w:t>
      </w:r>
      <w:r w:rsidR="00BE6274" w:rsidRPr="00386E47">
        <w:t xml:space="preserve">violen la Convención Americana </w:t>
      </w:r>
      <w:r w:rsidRPr="00386E47">
        <w:t>y se genera en forma inmediata con el ilícito internacional atribuido. En estos supuestos, para establecer que se ha producido una violación de los derechos de la Convención no se requiere determinar, como ocurre en el derecho penal interno, la culpabilidad de s</w:t>
      </w:r>
      <w:r w:rsidR="00BE6274" w:rsidRPr="00386E47">
        <w:t>us autores o su intencionalidad. De igual manera, tampoco</w:t>
      </w:r>
      <w:r w:rsidRPr="00386E47">
        <w:t xml:space="preserve"> es preciso identificar individualmente a los agentes a los cuales se atribuyen los hechos violatorios. Es suficiente demostrar “que se han verificado acciones u omisiones que hayan permitido la perpetración de esas violaciones o que exista una obligación del Estado que haya sido incumplida por éste”</w:t>
      </w:r>
      <w:r w:rsidRPr="00386E47">
        <w:rPr>
          <w:vertAlign w:val="superscript"/>
        </w:rPr>
        <w:footnoteReference w:id="42"/>
      </w:r>
      <w:r w:rsidRPr="00386E47">
        <w:t>.</w:t>
      </w:r>
    </w:p>
    <w:p w14:paraId="6B7DDBDC" w14:textId="77777777" w:rsidR="00F9080A" w:rsidRPr="00386E47" w:rsidRDefault="00F9080A" w:rsidP="00F9080A">
      <w:pPr>
        <w:pStyle w:val="parrafos"/>
        <w:tabs>
          <w:tab w:val="left" w:pos="0"/>
          <w:tab w:val="left" w:pos="567"/>
        </w:tabs>
      </w:pPr>
    </w:p>
    <w:p w14:paraId="56686E66" w14:textId="77777777" w:rsidR="00F9080A" w:rsidRPr="00386E47" w:rsidRDefault="00FB1535" w:rsidP="003A5860">
      <w:pPr>
        <w:pStyle w:val="parrafos"/>
        <w:numPr>
          <w:ilvl w:val="0"/>
          <w:numId w:val="55"/>
        </w:numPr>
        <w:tabs>
          <w:tab w:val="clear" w:pos="360"/>
          <w:tab w:val="left" w:pos="0"/>
          <w:tab w:val="left" w:pos="567"/>
        </w:tabs>
        <w:ind w:left="0" w:firstLine="0"/>
      </w:pPr>
      <w:r w:rsidRPr="00386E47">
        <w:rPr>
          <w:lang w:val="es-ES"/>
        </w:rPr>
        <w:t>A lo largo del desarrollo jurisprudencial de la Comisión y la Corte, se han definido los contenidos de las obligaciones de respeto y de garantía conforme al artículo 1.1 de la Convención. Sobre la obligación de respeto, la Corte indicó que “conforme al artículo 1.1 es ilícita toda forma de ejercicio del poder público que viole los derechos reconocidos por la Convención. En tal sentido, en toda circunstancia en la cual un órgano o funcionario del Estado o de una institución de carácter público lesione indebidamente uno de tales derechos, se está ante un supuesto de inobservancia del deber de respeto consagrado en ese artículo”</w:t>
      </w:r>
      <w:r w:rsidRPr="00386E47">
        <w:rPr>
          <w:vertAlign w:val="superscript"/>
          <w:lang w:val="es-ES"/>
        </w:rPr>
        <w:footnoteReference w:id="43"/>
      </w:r>
      <w:r w:rsidRPr="00386E47">
        <w:rPr>
          <w:lang w:val="es-ES"/>
        </w:rPr>
        <w:t xml:space="preserve">. </w:t>
      </w:r>
    </w:p>
    <w:p w14:paraId="7F60130C" w14:textId="77777777" w:rsidR="00F9080A" w:rsidRPr="00386E47" w:rsidRDefault="00F9080A" w:rsidP="00F9080A">
      <w:pPr>
        <w:pStyle w:val="ListParagraph"/>
        <w:rPr>
          <w:rFonts w:asciiTheme="majorHAnsi" w:hAnsiTheme="majorHAnsi" w:cs="Verdana"/>
          <w:sz w:val="20"/>
          <w:szCs w:val="20"/>
          <w:lang w:val="es-ES"/>
        </w:rPr>
      </w:pPr>
    </w:p>
    <w:p w14:paraId="23C7A4F4" w14:textId="77777777" w:rsidR="00F9080A" w:rsidRPr="00386E47" w:rsidRDefault="00FB1535" w:rsidP="003A5860">
      <w:pPr>
        <w:pStyle w:val="parrafos"/>
        <w:numPr>
          <w:ilvl w:val="0"/>
          <w:numId w:val="55"/>
        </w:numPr>
        <w:tabs>
          <w:tab w:val="clear" w:pos="360"/>
          <w:tab w:val="left" w:pos="0"/>
          <w:tab w:val="left" w:pos="567"/>
        </w:tabs>
        <w:ind w:left="0" w:firstLine="0"/>
      </w:pPr>
      <w:r w:rsidRPr="00386E47">
        <w:rPr>
          <w:rFonts w:cs="Verdana"/>
          <w:lang w:val="es-ES"/>
        </w:rPr>
        <w:t xml:space="preserve">En cuanto a la obligación de garantía, la Corte </w:t>
      </w:r>
      <w:r w:rsidR="00021B5D" w:rsidRPr="00386E47">
        <w:rPr>
          <w:rFonts w:cs="Verdana"/>
          <w:lang w:val="es-ES"/>
        </w:rPr>
        <w:t xml:space="preserve">Interamericana ha establecido </w:t>
      </w:r>
      <w:r w:rsidRPr="00386E47">
        <w:rPr>
          <w:rFonts w:cs="Verdana"/>
          <w:lang w:val="es-ES"/>
        </w:rPr>
        <w:t xml:space="preserve">que la misma implica el deber de los Estados </w:t>
      </w:r>
      <w:r w:rsidR="000E0C69" w:rsidRPr="00386E47">
        <w:rPr>
          <w:rFonts w:cs="Verdana"/>
          <w:lang w:val="es-ES"/>
        </w:rPr>
        <w:t>Partes de</w:t>
      </w:r>
      <w:r w:rsidRPr="00386E47">
        <w:rPr>
          <w:rFonts w:cs="Verdana"/>
          <w:lang w:val="es-ES"/>
        </w:rPr>
        <w:t xml:space="preserve"> la Convención de organizar todo el aparato gubernamental y, en general, todas las estructuras a través de las cuales se manifiesta el ejercicio del poder público, de manera tal que sean capaces de asegurar jurídicamente el libre y pleno ejercicio de </w:t>
      </w:r>
      <w:r w:rsidRPr="00386E47">
        <w:rPr>
          <w:lang w:val="es-ES"/>
        </w:rPr>
        <w:t>los</w:t>
      </w:r>
      <w:r w:rsidRPr="00386E47">
        <w:rPr>
          <w:rFonts w:cs="Verdana"/>
          <w:lang w:val="es-ES"/>
        </w:rPr>
        <w:t xml:space="preserve"> derechos humanos. Como consecuencia de esta obligación los Estados deben prevenir, investigar y sancionar toda violación de los derechos reconocidos por la Convención y procurar, además, el restablecimiento, si es posible, del derecho conculcado y, en su caso, la reparación de los daños producidos por la violación de los derechos humanos</w:t>
      </w:r>
      <w:r w:rsidRPr="00386E47">
        <w:rPr>
          <w:vertAlign w:val="superscript"/>
        </w:rPr>
        <w:footnoteReference w:id="44"/>
      </w:r>
      <w:r w:rsidRPr="00386E47">
        <w:rPr>
          <w:rFonts w:cs="Verdana"/>
          <w:lang w:val="es-ES"/>
        </w:rPr>
        <w:t xml:space="preserve">. </w:t>
      </w:r>
    </w:p>
    <w:p w14:paraId="3D0FE634" w14:textId="77777777" w:rsidR="00F9080A" w:rsidRPr="00386E47" w:rsidRDefault="00F9080A" w:rsidP="00F9080A">
      <w:pPr>
        <w:pStyle w:val="ListParagraph"/>
        <w:rPr>
          <w:rFonts w:asciiTheme="majorHAnsi" w:hAnsiTheme="majorHAnsi"/>
          <w:sz w:val="20"/>
          <w:szCs w:val="20"/>
          <w:lang w:val="es-ES"/>
        </w:rPr>
      </w:pPr>
    </w:p>
    <w:p w14:paraId="25FF3042" w14:textId="77777777" w:rsidR="00F9080A" w:rsidRPr="00386E47" w:rsidRDefault="00FB1535" w:rsidP="003A5860">
      <w:pPr>
        <w:pStyle w:val="parrafos"/>
        <w:numPr>
          <w:ilvl w:val="0"/>
          <w:numId w:val="55"/>
        </w:numPr>
        <w:tabs>
          <w:tab w:val="clear" w:pos="360"/>
          <w:tab w:val="left" w:pos="0"/>
          <w:tab w:val="left" w:pos="567"/>
        </w:tabs>
        <w:ind w:left="0" w:firstLine="0"/>
      </w:pPr>
      <w:r w:rsidRPr="00386E47">
        <w:rPr>
          <w:lang w:val="es-ES"/>
        </w:rPr>
        <w:t xml:space="preserve">Específicamente, sobre el deber de prevención, la Corte ha indicado que un Estado puede ser responsable por la falta de debida diligencia al no adoptar medidas que prevengan violaciones de derechos humanos cometidas entre particulares dentro de su jurisdicción. Ahora bien, el carácter </w:t>
      </w:r>
      <w:r w:rsidRPr="00386E47">
        <w:rPr>
          <w:i/>
          <w:lang w:val="es-ES"/>
        </w:rPr>
        <w:t>erga omnes</w:t>
      </w:r>
      <w:r w:rsidRPr="00386E47">
        <w:rPr>
          <w:lang w:val="es-ES"/>
        </w:rPr>
        <w:t xml:space="preserve"> </w:t>
      </w:r>
      <w:r w:rsidRPr="00386E47">
        <w:rPr>
          <w:rFonts w:cs="Arial"/>
          <w:lang w:val="es-ES"/>
        </w:rPr>
        <w:t>de</w:t>
      </w:r>
      <w:r w:rsidRPr="00386E47">
        <w:rPr>
          <w:lang w:val="es-ES"/>
        </w:rPr>
        <w:t xml:space="preserve"> las obligaciones convencionales de garantía a cargo de los Estados no implica una </w:t>
      </w:r>
      <w:r w:rsidRPr="00386E47">
        <w:rPr>
          <w:rFonts w:cs="Verdana"/>
          <w:lang w:val="es-ES"/>
        </w:rPr>
        <w:t>responsabilidad</w:t>
      </w:r>
      <w:r w:rsidRPr="00386E47">
        <w:rPr>
          <w:lang w:val="es-ES"/>
        </w:rPr>
        <w:t xml:space="preserve"> ilimitada de los Estados frente a cualquier acto o hecho de particulares</w:t>
      </w:r>
      <w:r w:rsidRPr="00386E47">
        <w:rPr>
          <w:vertAlign w:val="superscript"/>
        </w:rPr>
        <w:footnoteReference w:id="45"/>
      </w:r>
      <w:r w:rsidRPr="00386E47">
        <w:rPr>
          <w:lang w:val="es-ES"/>
        </w:rPr>
        <w:t>. Sus deberes de adoptar medidas de prevención y protección en sus relaciones entre sí</w:t>
      </w:r>
      <w:r w:rsidRPr="00386E47">
        <w:rPr>
          <w:b/>
          <w:lang w:val="es-ES"/>
        </w:rPr>
        <w:t xml:space="preserve"> </w:t>
      </w:r>
      <w:r w:rsidRPr="00386E47">
        <w:rPr>
          <w:lang w:val="es-ES"/>
        </w:rPr>
        <w:t>se encuentran condicionados a i) si el Estado tenía o debía tener conocimiento de una situación de riesgo; ii) si dicho riesgo era real e inmediato; y iii) si el Estado adoptó las medidas que razonablemente se esperaban para evitar que dicho riesgo se verificara</w:t>
      </w:r>
      <w:r w:rsidRPr="00386E47">
        <w:rPr>
          <w:rFonts w:cs="Arial"/>
          <w:vertAlign w:val="superscript"/>
        </w:rPr>
        <w:footnoteReference w:id="46"/>
      </w:r>
      <w:r w:rsidRPr="00386E47">
        <w:rPr>
          <w:lang w:val="es-ES"/>
        </w:rPr>
        <w:t>.</w:t>
      </w:r>
    </w:p>
    <w:p w14:paraId="49EB25DF" w14:textId="77777777" w:rsidR="00F9080A" w:rsidRPr="00386E47" w:rsidRDefault="00F9080A" w:rsidP="00F9080A">
      <w:pPr>
        <w:pStyle w:val="ListParagraph"/>
        <w:rPr>
          <w:rFonts w:asciiTheme="majorHAnsi" w:hAnsiTheme="majorHAnsi"/>
          <w:lang w:val="es-ES"/>
        </w:rPr>
      </w:pPr>
    </w:p>
    <w:p w14:paraId="5D18CA4E" w14:textId="77777777" w:rsidR="00F9080A" w:rsidRPr="00386E47" w:rsidRDefault="00FB1535" w:rsidP="003A5860">
      <w:pPr>
        <w:pStyle w:val="parrafos"/>
        <w:numPr>
          <w:ilvl w:val="0"/>
          <w:numId w:val="55"/>
        </w:numPr>
        <w:tabs>
          <w:tab w:val="clear" w:pos="360"/>
          <w:tab w:val="left" w:pos="0"/>
          <w:tab w:val="left" w:pos="567"/>
        </w:tabs>
        <w:ind w:left="0" w:firstLine="0"/>
      </w:pPr>
      <w:r w:rsidRPr="00386E47">
        <w:rPr>
          <w:lang w:val="es-ES"/>
        </w:rPr>
        <w:lastRenderedPageBreak/>
        <w:t>Igualmente, la Corte ha sostenido que el deber de prevención abarca “todas aquellas medidas de carácter jurídico, político, administrativo y cultural que promuevan la salvaguarda de los derechos humanos y que aseguren que las eventuales violaciones a los mismos sean efectivamente consideradas y tratadas como un hecho ilícito que, como tal, es susceptible de acarrear sanciones para quien las cometa, así como la obligación de indemnizar a las víctimas por sus consecuencias perjudiciales”</w:t>
      </w:r>
      <w:r w:rsidRPr="00386E47">
        <w:rPr>
          <w:vertAlign w:val="superscript"/>
        </w:rPr>
        <w:footnoteReference w:id="47"/>
      </w:r>
      <w:r w:rsidRPr="00386E47">
        <w:rPr>
          <w:lang w:val="es-ES"/>
        </w:rPr>
        <w:t>. Además, ha indicado que la obligación de prevenir es de medio o comportamiento y no se demuestra su incumplimiento por el mero hecho de que un derecho haya sido violado.</w:t>
      </w:r>
    </w:p>
    <w:p w14:paraId="1B15FA90" w14:textId="77777777" w:rsidR="00021B5D" w:rsidRPr="00386E47" w:rsidRDefault="00021B5D" w:rsidP="00A311A0">
      <w:pPr>
        <w:rPr>
          <w:rFonts w:asciiTheme="majorHAnsi" w:hAnsiTheme="majorHAnsi"/>
          <w:lang w:val="es-US"/>
        </w:rPr>
      </w:pPr>
    </w:p>
    <w:p w14:paraId="353A3331" w14:textId="77777777" w:rsidR="00021B5D" w:rsidRPr="00386E47" w:rsidRDefault="00021B5D" w:rsidP="003A5860">
      <w:pPr>
        <w:pStyle w:val="parrafos"/>
        <w:numPr>
          <w:ilvl w:val="0"/>
          <w:numId w:val="55"/>
        </w:numPr>
        <w:tabs>
          <w:tab w:val="clear" w:pos="360"/>
          <w:tab w:val="left" w:pos="567"/>
        </w:tabs>
        <w:ind w:left="0" w:firstLine="0"/>
      </w:pPr>
      <w:r w:rsidRPr="00386E47">
        <w:rPr>
          <w:lang w:val="es-US"/>
        </w:rPr>
        <w:t xml:space="preserve">El </w:t>
      </w:r>
      <w:r w:rsidRPr="00386E47">
        <w:rPr>
          <w:bCs/>
          <w:lang w:val="es-US"/>
        </w:rPr>
        <w:t>principio de igualdad y no discriminación</w:t>
      </w:r>
      <w:r w:rsidRPr="00386E47">
        <w:rPr>
          <w:b/>
          <w:lang w:val="es-US"/>
        </w:rPr>
        <w:t xml:space="preserve"> </w:t>
      </w:r>
      <w:r w:rsidRPr="00386E47">
        <w:t xml:space="preserve">se encuentra reconocido en los artículos 1.1 y 24 de la Convención, tiene un carácter de </w:t>
      </w:r>
      <w:r w:rsidRPr="00386E47">
        <w:rPr>
          <w:i/>
        </w:rPr>
        <w:t>ius cogens</w:t>
      </w:r>
      <w:r w:rsidRPr="00386E47">
        <w:t>, sobre él descansa el andamiaje jurídico del orden público nacional e internacional que permea todo el ordenamiento jurídico. En virtud del principio de igualdad, los Estados deben abstenerse de realizar acciones que de cualquier manera vayan dirigidas, directa o indirectamente, a crear situaciones de discriminación de jure o de facto</w:t>
      </w:r>
      <w:r w:rsidR="00BE6274" w:rsidRPr="00386E47">
        <w:rPr>
          <w:lang w:val="es-US"/>
        </w:rPr>
        <w:t xml:space="preserve">. La </w:t>
      </w:r>
      <w:r w:rsidRPr="00386E47">
        <w:rPr>
          <w:lang w:val="es-US"/>
        </w:rPr>
        <w:t>noción de igualdad, se desprende directamente de la unidad de naturaleza del género humano y es inseparable de la dignidad esencial de la persona, frente a la cual es incompatible toda situación que, por considerar superior a un determinado grupo, conduzca a tratarlo con privilegio; o que, a la inversa, por considerarlo inferior, se lo trate con hostilidad o de cualquier forma lo discrimine del goce de derechos que sí se reconocen a quienes no se consideran incursos en tal situación</w:t>
      </w:r>
      <w:r w:rsidRPr="00386E47">
        <w:rPr>
          <w:vertAlign w:val="superscript"/>
        </w:rPr>
        <w:footnoteReference w:id="48"/>
      </w:r>
      <w:r w:rsidRPr="00386E47">
        <w:rPr>
          <w:lang w:val="es-US"/>
        </w:rPr>
        <w:t xml:space="preserve">. </w:t>
      </w:r>
    </w:p>
    <w:p w14:paraId="14CAA037" w14:textId="77777777" w:rsidR="00021B5D" w:rsidRPr="00386E47" w:rsidRDefault="00021B5D" w:rsidP="00021B5D">
      <w:pPr>
        <w:pStyle w:val="ListParagraph"/>
        <w:rPr>
          <w:rFonts w:asciiTheme="majorHAnsi" w:hAnsiTheme="majorHAnsi"/>
          <w:lang w:val="es-US"/>
        </w:rPr>
      </w:pPr>
    </w:p>
    <w:p w14:paraId="3C712769" w14:textId="77777777" w:rsidR="001B7DE5" w:rsidRPr="00386E47" w:rsidRDefault="00021B5D" w:rsidP="003A5860">
      <w:pPr>
        <w:pStyle w:val="parrafos"/>
        <w:numPr>
          <w:ilvl w:val="0"/>
          <w:numId w:val="55"/>
        </w:numPr>
        <w:tabs>
          <w:tab w:val="clear" w:pos="360"/>
          <w:tab w:val="left" w:pos="567"/>
        </w:tabs>
        <w:ind w:left="0" w:firstLine="0"/>
      </w:pPr>
      <w:r w:rsidRPr="00386E47">
        <w:rPr>
          <w:lang w:val="es-US"/>
        </w:rPr>
        <w:t>Dado que la Convención Americana no tiene una definición explícita de discriminación, la Corte ha tomado en cuenta varios instrumentos de derecho internacional para definirla como “toda distinción, exclusión, restricción o preferencia que se base en determinados motivos, como la raza, el color, el sexo, el idioma, la religión, la opinión política o de otra índole, el origen nacional o social, la propiedad, el nacimiento o cualquier otra condición social, y que tengan por objeto o por resultado anular o menoscabar el reconocimiento, goce o ejercicio, en condiciones de igualdad, de los derechos humanos y libertades fundamentales de todas las personas”</w:t>
      </w:r>
      <w:r w:rsidRPr="00386E47">
        <w:rPr>
          <w:vertAlign w:val="superscript"/>
        </w:rPr>
        <w:footnoteReference w:id="49"/>
      </w:r>
      <w:r w:rsidRPr="00386E47">
        <w:rPr>
          <w:lang w:val="es-US"/>
        </w:rPr>
        <w:t>. Igualmente, es de resaltar que no existe un listado taxativo de categorías prohibidas de discriminación, sino que la expresión “cualquier otra condición social” del artículo 1.1 de la Convención Americana debe ser interpretada en la perspectiva de la opción más favorable a la persona y de la evolución de los derechos fundamentales en el derecho internacional contemporáneo</w:t>
      </w:r>
      <w:r w:rsidRPr="00386E47">
        <w:rPr>
          <w:vertAlign w:val="superscript"/>
        </w:rPr>
        <w:footnoteReference w:id="50"/>
      </w:r>
      <w:r w:rsidRPr="00386E47">
        <w:rPr>
          <w:lang w:val="es-US"/>
        </w:rPr>
        <w:t>.</w:t>
      </w:r>
    </w:p>
    <w:p w14:paraId="5C01C148" w14:textId="77777777" w:rsidR="00A86CFA" w:rsidRPr="00386E47" w:rsidRDefault="00A86CFA" w:rsidP="00A86CFA">
      <w:pPr>
        <w:pStyle w:val="ListParagraph"/>
        <w:rPr>
          <w:rFonts w:asciiTheme="majorHAnsi" w:hAnsiTheme="majorHAnsi"/>
          <w:lang w:val="es-US"/>
        </w:rPr>
      </w:pPr>
    </w:p>
    <w:p w14:paraId="4A60D4B3" w14:textId="77777777" w:rsidR="00A86CFA" w:rsidRPr="00386E47" w:rsidRDefault="00D93236" w:rsidP="003A5860">
      <w:pPr>
        <w:pStyle w:val="parrafos"/>
        <w:numPr>
          <w:ilvl w:val="0"/>
          <w:numId w:val="55"/>
        </w:numPr>
        <w:tabs>
          <w:tab w:val="left" w:pos="567"/>
        </w:tabs>
        <w:ind w:left="0" w:firstLine="0"/>
      </w:pPr>
      <w:r w:rsidRPr="00386E47">
        <w:t xml:space="preserve">Como ha señalado la CIDH, </w:t>
      </w:r>
      <w:r w:rsidR="00A86CFA" w:rsidRPr="00386E47">
        <w:rPr>
          <w:rFonts w:eastAsia="Times New Roman"/>
          <w:lang w:val="es-CO" w:eastAsia="es-ES_tradnl"/>
        </w:rPr>
        <w:t>el desarrollo del derecho a la igualdad y no discriminación permite identificar varias concepciones del mismo. Por ejemplo, una concepción es la relacionada con la prohibición de diferencia de trato arbitraria – entendiendo por diferencia de trato distinción, exclu</w:t>
      </w:r>
      <w:r w:rsidR="00E169C5" w:rsidRPr="00386E47">
        <w:rPr>
          <w:rFonts w:eastAsia="Times New Roman"/>
          <w:lang w:val="es-CO" w:eastAsia="es-ES_tradnl"/>
        </w:rPr>
        <w:t>sión, restricción o preferencia</w:t>
      </w:r>
      <w:r w:rsidR="00A86CFA" w:rsidRPr="00386E47">
        <w:rPr>
          <w:rFonts w:eastAsia="Times New Roman"/>
          <w:lang w:val="es-CO" w:eastAsia="es-ES_tradnl"/>
        </w:rPr>
        <w:t xml:space="preserve">; otra es la relacionada con la obligación de crear condiciones de igualdad real frente a grupos que han sido históricamente excluidos y se encuentran en mayor riesgo de ser discriminados. Asimismo, y vinculado con estas dos concepciones, se encuentra la de discriminación indirecta o impacto desproporcionado </w:t>
      </w:r>
      <w:r w:rsidR="00BE6274" w:rsidRPr="00386E47">
        <w:rPr>
          <w:rFonts w:eastAsia="Times New Roman"/>
          <w:lang w:val="es-CO" w:eastAsia="es-ES_tradnl"/>
        </w:rPr>
        <w:t xml:space="preserve">de normas, acciones o políticas </w:t>
      </w:r>
      <w:r w:rsidR="00A86CFA" w:rsidRPr="00386E47">
        <w:rPr>
          <w:rFonts w:eastAsia="Times New Roman"/>
          <w:lang w:val="es-CO" w:eastAsia="es-ES_tradnl"/>
        </w:rPr>
        <w:t>que parecen neutrales pero que tienen efectos diferenciados en ciertos grupos</w:t>
      </w:r>
      <w:r w:rsidR="00A86CFA" w:rsidRPr="00386E47">
        <w:rPr>
          <w:rStyle w:val="FootnoteReference"/>
          <w:rFonts w:eastAsia="Times New Roman"/>
          <w:lang w:val="es-CO" w:eastAsia="es-ES_tradnl"/>
        </w:rPr>
        <w:footnoteReference w:id="51"/>
      </w:r>
      <w:r w:rsidR="00A86CFA" w:rsidRPr="00386E47">
        <w:rPr>
          <w:rFonts w:eastAsia="Times New Roman"/>
          <w:lang w:val="es-CO" w:eastAsia="es-ES_tradnl"/>
        </w:rPr>
        <w:t xml:space="preserve">. Igualmente, la Corte IDH ha señalado </w:t>
      </w:r>
      <w:r w:rsidR="00A86CFA" w:rsidRPr="00386E47">
        <w:rPr>
          <w:lang w:val="es-US"/>
        </w:rPr>
        <w:t xml:space="preserve">sobre la discriminación indirecta que “el derecho internacional de los derechos humanos no sólo prohíbe políticas y prácticas deliberadamente discriminatorias, sino también aquellas cuyo impacto sea </w:t>
      </w:r>
      <w:r w:rsidR="00A86CFA" w:rsidRPr="00386E47">
        <w:rPr>
          <w:lang w:val="es-US"/>
        </w:rPr>
        <w:lastRenderedPageBreak/>
        <w:t>discriminatorio contra ciertas categorías de personas, aun cuando no se pueda probar la intención discriminatoria”</w:t>
      </w:r>
      <w:r w:rsidR="00A86CFA" w:rsidRPr="00386E47">
        <w:rPr>
          <w:vertAlign w:val="superscript"/>
        </w:rPr>
        <w:footnoteReference w:id="52"/>
      </w:r>
      <w:r w:rsidR="00A86CFA" w:rsidRPr="00386E47">
        <w:rPr>
          <w:lang w:val="es-US"/>
        </w:rPr>
        <w:t>.</w:t>
      </w:r>
    </w:p>
    <w:p w14:paraId="7FCCC64B" w14:textId="77777777" w:rsidR="001B7DE5" w:rsidRPr="00386E47" w:rsidRDefault="001B7DE5" w:rsidP="001B7DE5">
      <w:pPr>
        <w:rPr>
          <w:rFonts w:asciiTheme="majorHAnsi" w:hAnsiTheme="majorHAnsi"/>
          <w:sz w:val="20"/>
          <w:szCs w:val="20"/>
          <w:lang w:val="es-US"/>
        </w:rPr>
      </w:pPr>
    </w:p>
    <w:p w14:paraId="6DE02155" w14:textId="77777777" w:rsidR="001B7DE5" w:rsidRPr="00386E47" w:rsidRDefault="001B7DE5" w:rsidP="003A5860">
      <w:pPr>
        <w:pStyle w:val="parrafos"/>
        <w:numPr>
          <w:ilvl w:val="0"/>
          <w:numId w:val="55"/>
        </w:numPr>
        <w:tabs>
          <w:tab w:val="clear" w:pos="360"/>
          <w:tab w:val="left" w:pos="567"/>
        </w:tabs>
        <w:ind w:left="0" w:firstLine="0"/>
      </w:pPr>
      <w:r w:rsidRPr="00386E47">
        <w:rPr>
          <w:lang w:val="es-US"/>
        </w:rPr>
        <w:t xml:space="preserve">El principio de igualdad en la Convención Americana tiene dos referentes importantes en los artículos 1.1. y 24 de la Convención. Por un lado, el artículo 1.1 de la Convención es una norma de carácter general cuyo contenido se extiende a todas las disposiciones del tratado y dispone la obligación de los Estados Parte de respetar y garantizar el pleno y libre ejercicio de los derechos y libertades allí reconocidos “sin discriminación alguna”. Es decir, cualquiera sea el origen o la forma que asuma, todo tratamiento que pueda ser considerado discriminatorio respecto del ejercicio de cualquiera de los derechos garantizados en la Convención es, </w:t>
      </w:r>
      <w:r w:rsidRPr="00386E47">
        <w:rPr>
          <w:i/>
          <w:lang w:val="es-US"/>
        </w:rPr>
        <w:t>per se</w:t>
      </w:r>
      <w:r w:rsidRPr="00386E47">
        <w:rPr>
          <w:lang w:val="es-US"/>
        </w:rPr>
        <w:t>, incompatible con la misma”</w:t>
      </w:r>
      <w:r w:rsidRPr="00386E47">
        <w:rPr>
          <w:vertAlign w:val="superscript"/>
        </w:rPr>
        <w:footnoteReference w:id="53"/>
      </w:r>
      <w:r w:rsidRPr="00386E47">
        <w:rPr>
          <w:lang w:val="es-US"/>
        </w:rPr>
        <w:t>. Por otro lado, el artículo 24 dispone el derecho de igual protección de la ley, y es aplicable en el caso de que la discriminación se refiera a una protección desigual de la ley interna o su aplicación</w:t>
      </w:r>
      <w:r w:rsidRPr="00386E47">
        <w:rPr>
          <w:vertAlign w:val="superscript"/>
        </w:rPr>
        <w:footnoteReference w:id="54"/>
      </w:r>
      <w:r w:rsidRPr="00386E47">
        <w:rPr>
          <w:lang w:val="es-US"/>
        </w:rPr>
        <w:t xml:space="preserve">. </w:t>
      </w:r>
    </w:p>
    <w:p w14:paraId="4A6B9DE8" w14:textId="77777777" w:rsidR="00362B3C" w:rsidRPr="00386E47" w:rsidRDefault="00362B3C" w:rsidP="00A311A0">
      <w:pPr>
        <w:pStyle w:val="parrafos"/>
        <w:tabs>
          <w:tab w:val="left" w:pos="567"/>
        </w:tabs>
      </w:pPr>
    </w:p>
    <w:p w14:paraId="1D95BA01" w14:textId="77777777" w:rsidR="00362B3C" w:rsidRPr="00386E47" w:rsidRDefault="001A12B0" w:rsidP="009146F2">
      <w:pPr>
        <w:pStyle w:val="ListParagraph"/>
        <w:numPr>
          <w:ilvl w:val="0"/>
          <w:numId w:val="65"/>
        </w:numPr>
        <w:rPr>
          <w:b/>
          <w:sz w:val="20"/>
          <w:szCs w:val="20"/>
          <w:lang w:val="es-AR"/>
        </w:rPr>
      </w:pPr>
      <w:r w:rsidRPr="00386E47">
        <w:rPr>
          <w:b/>
          <w:sz w:val="20"/>
          <w:szCs w:val="20"/>
          <w:lang w:val="es-AR"/>
        </w:rPr>
        <w:t>El deber de prevención en el contexto de l</w:t>
      </w:r>
      <w:r w:rsidR="007A0537" w:rsidRPr="00386E47">
        <w:rPr>
          <w:b/>
          <w:sz w:val="20"/>
          <w:szCs w:val="20"/>
          <w:lang w:val="es-AR"/>
        </w:rPr>
        <w:t>a lucha</w:t>
      </w:r>
      <w:r w:rsidR="00021B5D" w:rsidRPr="00386E47">
        <w:rPr>
          <w:b/>
          <w:sz w:val="20"/>
          <w:szCs w:val="20"/>
          <w:lang w:val="es-AR"/>
        </w:rPr>
        <w:t xml:space="preserve"> contra el terrorismo</w:t>
      </w:r>
    </w:p>
    <w:p w14:paraId="140D8159" w14:textId="77777777" w:rsidR="00F54071" w:rsidRPr="00386E47" w:rsidRDefault="00F54071" w:rsidP="00F54071">
      <w:pPr>
        <w:pStyle w:val="ListParagraph"/>
        <w:rPr>
          <w:b/>
          <w:sz w:val="20"/>
          <w:szCs w:val="20"/>
          <w:lang w:val="es-AR"/>
        </w:rPr>
      </w:pPr>
    </w:p>
    <w:p w14:paraId="6527E3A9" w14:textId="77777777" w:rsidR="00362B3C" w:rsidRPr="00386E47" w:rsidRDefault="00021B5D" w:rsidP="003A5860">
      <w:pPr>
        <w:pStyle w:val="ListParagraph"/>
        <w:numPr>
          <w:ilvl w:val="0"/>
          <w:numId w:val="55"/>
        </w:numPr>
        <w:tabs>
          <w:tab w:val="left" w:pos="567"/>
        </w:tabs>
        <w:ind w:left="0" w:firstLine="0"/>
        <w:jc w:val="both"/>
        <w:rPr>
          <w:rFonts w:asciiTheme="majorHAnsi" w:eastAsia="Times New Roman" w:hAnsiTheme="majorHAnsi"/>
          <w:sz w:val="20"/>
          <w:szCs w:val="20"/>
          <w:shd w:val="clear" w:color="auto" w:fill="FFFFFF"/>
          <w:lang w:val="es-ES" w:eastAsia="es-ES_tradnl"/>
        </w:rPr>
      </w:pPr>
      <w:r w:rsidRPr="00386E47">
        <w:rPr>
          <w:rFonts w:asciiTheme="majorHAnsi" w:hAnsiTheme="majorHAnsi"/>
          <w:sz w:val="20"/>
          <w:szCs w:val="20"/>
          <w:lang w:val="es-ES"/>
        </w:rPr>
        <w:t xml:space="preserve">De </w:t>
      </w:r>
      <w:r w:rsidR="00362B3C" w:rsidRPr="00386E47">
        <w:rPr>
          <w:rFonts w:asciiTheme="majorHAnsi" w:hAnsiTheme="majorHAnsi"/>
          <w:sz w:val="20"/>
          <w:szCs w:val="20"/>
          <w:lang w:val="es-ES"/>
        </w:rPr>
        <w:t xml:space="preserve"> acuerdo con la Convención Interamericana contra el Terrorismo, los actos de terrorismo constituyen “un grave fenómeno delictivo que preocupa profundamente a todos los Estados Miembros, atenta contra la democracia, impide el goce de los derechos humanos y las libertades fundamentales, amenaza la seguridad de los Estados, desestabilizando y socavando las bases de la toda la sociedad, y afecta seriamente el desarrollo económico y social de los Estados de la región”</w:t>
      </w:r>
      <w:r w:rsidR="00362B3C" w:rsidRPr="00386E47">
        <w:rPr>
          <w:rStyle w:val="FootnoteReference"/>
          <w:rFonts w:asciiTheme="majorHAnsi" w:hAnsiTheme="majorHAnsi"/>
          <w:sz w:val="20"/>
          <w:szCs w:val="20"/>
          <w:lang w:val="es-ES"/>
        </w:rPr>
        <w:footnoteReference w:id="55"/>
      </w:r>
      <w:r w:rsidR="00362B3C" w:rsidRPr="00386E47">
        <w:rPr>
          <w:rFonts w:asciiTheme="majorHAnsi" w:hAnsiTheme="majorHAnsi"/>
          <w:sz w:val="20"/>
          <w:szCs w:val="20"/>
          <w:lang w:val="es-ES"/>
        </w:rPr>
        <w:t>. En atención a la gravedad de tales actos, en el derecho internacional existen varios instrumentos encaminados a la</w:t>
      </w:r>
      <w:r w:rsidR="00362B3C" w:rsidRPr="00386E47">
        <w:rPr>
          <w:rFonts w:asciiTheme="majorHAnsi" w:eastAsia="Times New Roman" w:hAnsiTheme="majorHAnsi"/>
          <w:sz w:val="20"/>
          <w:szCs w:val="20"/>
          <w:shd w:val="clear" w:color="auto" w:fill="FFFFFF"/>
          <w:lang w:val="es-ES" w:eastAsia="es-ES_tradnl"/>
        </w:rPr>
        <w:t xml:space="preserve"> prevención, supresión y erradicación de las distintas formas de violencia terrorista.</w:t>
      </w:r>
    </w:p>
    <w:p w14:paraId="4655AA4D" w14:textId="77777777" w:rsidR="00362B3C" w:rsidRPr="00386E47" w:rsidRDefault="00362B3C" w:rsidP="00362B3C">
      <w:pPr>
        <w:pStyle w:val="ListParagraph"/>
        <w:tabs>
          <w:tab w:val="left" w:pos="567"/>
        </w:tabs>
        <w:ind w:left="0"/>
        <w:jc w:val="both"/>
        <w:rPr>
          <w:rFonts w:asciiTheme="majorHAnsi" w:eastAsia="Times New Roman" w:hAnsiTheme="majorHAnsi"/>
          <w:sz w:val="20"/>
          <w:szCs w:val="20"/>
          <w:shd w:val="clear" w:color="auto" w:fill="FFFFFF"/>
          <w:lang w:val="es-ES" w:eastAsia="es-ES_tradnl"/>
        </w:rPr>
      </w:pPr>
    </w:p>
    <w:p w14:paraId="5F7338FE" w14:textId="77777777" w:rsidR="00362B3C" w:rsidRPr="00386E47" w:rsidRDefault="00362B3C" w:rsidP="003A5860">
      <w:pPr>
        <w:pStyle w:val="ListParagraph"/>
        <w:numPr>
          <w:ilvl w:val="0"/>
          <w:numId w:val="55"/>
        </w:numPr>
        <w:tabs>
          <w:tab w:val="left" w:pos="567"/>
        </w:tabs>
        <w:ind w:left="0" w:firstLine="0"/>
        <w:jc w:val="both"/>
        <w:rPr>
          <w:rFonts w:asciiTheme="majorHAnsi" w:eastAsia="Times New Roman" w:hAnsiTheme="majorHAnsi"/>
          <w:sz w:val="20"/>
          <w:szCs w:val="20"/>
          <w:shd w:val="clear" w:color="auto" w:fill="FFFFFF"/>
          <w:lang w:val="es-ES" w:eastAsia="es-ES_tradnl"/>
        </w:rPr>
      </w:pPr>
      <w:r w:rsidRPr="00386E47">
        <w:rPr>
          <w:rFonts w:asciiTheme="majorHAnsi" w:eastAsia="Times New Roman" w:hAnsiTheme="majorHAnsi"/>
          <w:sz w:val="20"/>
          <w:szCs w:val="20"/>
          <w:lang w:val="es-ES" w:eastAsia="es-ES_tradnl"/>
        </w:rPr>
        <w:t>En el marco del derecho internacional público existen 19 instrumentos internacionales relacionados con la lucha contra el terrorismo</w:t>
      </w:r>
      <w:r w:rsidRPr="00386E47">
        <w:rPr>
          <w:rStyle w:val="FootnoteReference"/>
          <w:rFonts w:asciiTheme="majorHAnsi" w:eastAsia="Times New Roman" w:hAnsiTheme="majorHAnsi"/>
          <w:sz w:val="20"/>
          <w:szCs w:val="20"/>
          <w:lang w:val="es-ES" w:eastAsia="es-ES_tradnl"/>
        </w:rPr>
        <w:footnoteReference w:id="56"/>
      </w:r>
      <w:r w:rsidRPr="00386E47">
        <w:rPr>
          <w:rFonts w:asciiTheme="majorHAnsi" w:eastAsia="Times New Roman" w:hAnsiTheme="majorHAnsi"/>
          <w:sz w:val="20"/>
          <w:szCs w:val="20"/>
          <w:lang w:val="es-ES" w:eastAsia="es-ES_tradnl"/>
        </w:rPr>
        <w:t xml:space="preserve">. Algunos de ellos se refieren a aviación civil, protección internacional de agentes diplomáticos, toma de rehenes, protección a material nuclear, navegación marítima, materiales explosivos, bombardeo terrorista, financiación del terrorismo y terrorismo nuclear. </w:t>
      </w:r>
      <w:r w:rsidRPr="00386E47">
        <w:rPr>
          <w:rFonts w:asciiTheme="majorHAnsi" w:hAnsiTheme="majorHAnsi"/>
          <w:sz w:val="20"/>
          <w:szCs w:val="20"/>
          <w:shd w:val="clear" w:color="auto" w:fill="FFFFFF"/>
          <w:lang w:val="es-ES"/>
        </w:rPr>
        <w:t>El conjunto de instrumentos incluye disposiciones que requieren a los Estados partes su cooperación en la prevención de delitos terroristas y la asistencia jurídica mutua en los procesos penales relacionados con delitos terroristas; que los delitos terroristas se incluyan entre los delitos extraditables en todos los tratados de extradición entre Estados partes y que obligan a los Estados partes a no considerar ciertos delitos terroristas como delitos políticos, delitos conexos con un delito político o delitos inspirados por motivos políticos, a los efectos de la extradición</w:t>
      </w:r>
      <w:r w:rsidRPr="00386E47">
        <w:rPr>
          <w:rStyle w:val="FootnoteReference"/>
          <w:rFonts w:asciiTheme="majorHAnsi" w:hAnsiTheme="majorHAnsi"/>
          <w:sz w:val="20"/>
          <w:szCs w:val="20"/>
          <w:shd w:val="clear" w:color="auto" w:fill="FFFFFF"/>
          <w:lang w:val="es-ES"/>
        </w:rPr>
        <w:footnoteReference w:id="57"/>
      </w:r>
      <w:r w:rsidRPr="00386E47">
        <w:rPr>
          <w:rFonts w:asciiTheme="majorHAnsi" w:hAnsiTheme="majorHAnsi"/>
          <w:sz w:val="20"/>
          <w:szCs w:val="20"/>
          <w:shd w:val="clear" w:color="auto" w:fill="FFFFFF"/>
          <w:lang w:val="es-ES"/>
        </w:rPr>
        <w:t>.</w:t>
      </w:r>
      <w:r w:rsidRPr="00386E47">
        <w:rPr>
          <w:rFonts w:asciiTheme="majorHAnsi" w:eastAsia="Times New Roman" w:hAnsiTheme="majorHAnsi"/>
          <w:sz w:val="20"/>
          <w:szCs w:val="20"/>
          <w:lang w:val="es-ES" w:eastAsia="es-ES_tradnl"/>
        </w:rPr>
        <w:t xml:space="preserve"> </w:t>
      </w:r>
    </w:p>
    <w:p w14:paraId="625E4D20" w14:textId="77777777" w:rsidR="00362B3C" w:rsidRPr="00386E47" w:rsidRDefault="00362B3C" w:rsidP="00362B3C">
      <w:pPr>
        <w:pStyle w:val="ListParagraph"/>
        <w:tabs>
          <w:tab w:val="left" w:pos="567"/>
        </w:tabs>
        <w:ind w:left="0"/>
        <w:jc w:val="both"/>
        <w:rPr>
          <w:rFonts w:asciiTheme="majorHAnsi" w:eastAsia="Times New Roman" w:hAnsiTheme="majorHAnsi"/>
          <w:sz w:val="20"/>
          <w:szCs w:val="20"/>
          <w:shd w:val="clear" w:color="auto" w:fill="FFFFFF"/>
          <w:lang w:val="es-ES" w:eastAsia="es-ES_tradnl"/>
        </w:rPr>
      </w:pPr>
    </w:p>
    <w:p w14:paraId="56C1B132" w14:textId="77777777" w:rsidR="00362B3C" w:rsidRPr="00386E47" w:rsidRDefault="00362B3C" w:rsidP="003A5860">
      <w:pPr>
        <w:pStyle w:val="ListParagraph"/>
        <w:numPr>
          <w:ilvl w:val="0"/>
          <w:numId w:val="55"/>
        </w:numPr>
        <w:tabs>
          <w:tab w:val="left" w:pos="567"/>
        </w:tabs>
        <w:ind w:left="0" w:firstLine="0"/>
        <w:jc w:val="both"/>
        <w:rPr>
          <w:rFonts w:asciiTheme="majorHAnsi" w:eastAsia="Times New Roman" w:hAnsiTheme="majorHAnsi"/>
          <w:sz w:val="20"/>
          <w:szCs w:val="20"/>
          <w:shd w:val="clear" w:color="auto" w:fill="FFFFFF"/>
          <w:lang w:val="es-ES" w:eastAsia="es-ES_tradnl"/>
        </w:rPr>
      </w:pPr>
      <w:r w:rsidRPr="00386E47">
        <w:rPr>
          <w:rFonts w:asciiTheme="majorHAnsi" w:hAnsiTheme="majorHAnsi"/>
          <w:sz w:val="20"/>
          <w:szCs w:val="20"/>
          <w:lang w:val="es-ES"/>
        </w:rPr>
        <w:t>La Asamblea General de Naciones Unidas ha emitido resoluciones sobre medidas para eliminar el terrorismo internacional</w:t>
      </w:r>
      <w:r w:rsidRPr="00386E47">
        <w:rPr>
          <w:rStyle w:val="FootnoteReference"/>
          <w:rFonts w:asciiTheme="majorHAnsi" w:hAnsiTheme="majorHAnsi"/>
          <w:sz w:val="20"/>
          <w:szCs w:val="20"/>
          <w:lang w:val="es-ES"/>
        </w:rPr>
        <w:footnoteReference w:id="58"/>
      </w:r>
      <w:r w:rsidRPr="00386E47">
        <w:rPr>
          <w:rFonts w:asciiTheme="majorHAnsi" w:hAnsiTheme="majorHAnsi"/>
          <w:sz w:val="20"/>
          <w:szCs w:val="20"/>
          <w:lang w:val="es-ES"/>
        </w:rPr>
        <w:t>. En específico, la Asamblea General de Naciones Unidas emitió la Resolución A/RES/51/210 de 16 de enero 1997, sobre medidas para eliminar el terrorismo internacional</w:t>
      </w:r>
      <w:r w:rsidRPr="00386E47">
        <w:rPr>
          <w:rStyle w:val="FootnoteReference"/>
          <w:rFonts w:asciiTheme="majorHAnsi" w:hAnsiTheme="majorHAnsi"/>
          <w:sz w:val="20"/>
          <w:szCs w:val="20"/>
          <w:lang w:val="es-ES"/>
        </w:rPr>
        <w:footnoteReference w:id="59"/>
      </w:r>
      <w:r w:rsidRPr="00386E47">
        <w:rPr>
          <w:rFonts w:asciiTheme="majorHAnsi" w:hAnsiTheme="majorHAnsi"/>
          <w:sz w:val="20"/>
          <w:szCs w:val="20"/>
          <w:lang w:val="es-ES"/>
        </w:rPr>
        <w:t xml:space="preserve">. Dicha resolución indica en su segundo </w:t>
      </w:r>
      <w:r w:rsidR="00021B5D" w:rsidRPr="00386E47">
        <w:rPr>
          <w:rFonts w:asciiTheme="majorHAnsi" w:hAnsiTheme="majorHAnsi"/>
          <w:sz w:val="20"/>
          <w:szCs w:val="20"/>
          <w:lang w:val="es-ES"/>
        </w:rPr>
        <w:t>párrafo que</w:t>
      </w:r>
      <w:r w:rsidRPr="00386E47">
        <w:rPr>
          <w:rFonts w:asciiTheme="majorHAnsi" w:hAnsiTheme="majorHAnsi"/>
          <w:sz w:val="20"/>
          <w:szCs w:val="20"/>
          <w:lang w:val="es-ES"/>
        </w:rPr>
        <w:t xml:space="preserve"> “los actos criminales con fines políticos concebidos o planeados para provocar un estado de terror en la población en general, en un grupo de personas o en personas determinadas</w:t>
      </w:r>
      <w:r w:rsidR="00E83758" w:rsidRPr="00386E47">
        <w:rPr>
          <w:rFonts w:asciiTheme="majorHAnsi" w:hAnsiTheme="majorHAnsi"/>
          <w:sz w:val="20"/>
          <w:szCs w:val="20"/>
          <w:lang w:val="es-ES"/>
        </w:rPr>
        <w:t>,</w:t>
      </w:r>
      <w:r w:rsidRPr="00386E47">
        <w:rPr>
          <w:rFonts w:asciiTheme="majorHAnsi" w:hAnsiTheme="majorHAnsi"/>
          <w:sz w:val="20"/>
          <w:szCs w:val="20"/>
          <w:lang w:val="es-ES"/>
        </w:rPr>
        <w:t xml:space="preserve"> son injustificables en todas las circunstancias, cualesquiera sean las consideraciones políticas, filosóficas, ideológicas, raciales, étnicas, religiosas o de cualquier otra índole que se hagan valer para justificarlos”. </w:t>
      </w:r>
    </w:p>
    <w:p w14:paraId="5FB7AC92" w14:textId="77777777" w:rsidR="00362B3C" w:rsidRPr="00386E47" w:rsidRDefault="00362B3C" w:rsidP="00362B3C">
      <w:pPr>
        <w:pStyle w:val="ListParagraph"/>
        <w:rPr>
          <w:rFonts w:asciiTheme="majorHAnsi" w:hAnsiTheme="majorHAnsi"/>
          <w:sz w:val="20"/>
          <w:szCs w:val="20"/>
          <w:lang w:val="es-ES"/>
        </w:rPr>
      </w:pPr>
    </w:p>
    <w:p w14:paraId="24643BFA" w14:textId="77777777" w:rsidR="00362B3C" w:rsidRPr="00386E47" w:rsidRDefault="00362B3C" w:rsidP="003A5860">
      <w:pPr>
        <w:pStyle w:val="ListParagraph"/>
        <w:numPr>
          <w:ilvl w:val="0"/>
          <w:numId w:val="55"/>
        </w:numPr>
        <w:tabs>
          <w:tab w:val="left" w:pos="567"/>
        </w:tabs>
        <w:ind w:left="0" w:firstLine="0"/>
        <w:jc w:val="both"/>
        <w:rPr>
          <w:rFonts w:asciiTheme="majorHAnsi" w:eastAsia="Times New Roman" w:hAnsiTheme="majorHAnsi"/>
          <w:sz w:val="20"/>
          <w:szCs w:val="20"/>
          <w:shd w:val="clear" w:color="auto" w:fill="FFFFFF"/>
          <w:lang w:val="es-ES" w:eastAsia="es-ES_tradnl"/>
        </w:rPr>
      </w:pPr>
      <w:r w:rsidRPr="00386E47">
        <w:rPr>
          <w:rFonts w:asciiTheme="majorHAnsi" w:hAnsiTheme="majorHAnsi"/>
          <w:sz w:val="20"/>
          <w:szCs w:val="20"/>
          <w:lang w:val="es-ES"/>
        </w:rPr>
        <w:lastRenderedPageBreak/>
        <w:t>A su vez, el Consejo de Seguridad ha expedido varias Resoluciones sobre la materia. E</w:t>
      </w:r>
      <w:r w:rsidR="007A0537" w:rsidRPr="00386E47">
        <w:rPr>
          <w:rFonts w:asciiTheme="majorHAnsi" w:hAnsiTheme="majorHAnsi"/>
          <w:sz w:val="20"/>
          <w:szCs w:val="20"/>
          <w:lang w:val="es-ES"/>
        </w:rPr>
        <w:t>specíficamente, e</w:t>
      </w:r>
      <w:r w:rsidRPr="00386E47">
        <w:rPr>
          <w:rFonts w:asciiTheme="majorHAnsi" w:hAnsiTheme="majorHAnsi"/>
          <w:sz w:val="20"/>
          <w:szCs w:val="20"/>
          <w:lang w:val="es-ES"/>
        </w:rPr>
        <w:t xml:space="preserve">n 2001 fue aprobada la Resolución 1373; en 2014 fue aprobada la Resolución 2178 y en 2017 fue aprobada la Resolución 2396. Todas ellas desarrollan medidas de prevención, investigación y cooperación internacional considerando que el terrorismo es una amenaza a la paz y seguridad internacionales. </w:t>
      </w:r>
      <w:r w:rsidRPr="00386E47">
        <w:rPr>
          <w:rFonts w:asciiTheme="majorHAnsi" w:eastAsia="Times New Roman" w:hAnsiTheme="majorHAnsi"/>
          <w:sz w:val="20"/>
          <w:szCs w:val="20"/>
          <w:lang w:val="es-ES" w:eastAsia="es-ES_tradnl"/>
        </w:rPr>
        <w:t>El 8 de septiembre de 2006 la Asamblea General de</w:t>
      </w:r>
      <w:r w:rsidR="00C71E03" w:rsidRPr="00386E47">
        <w:rPr>
          <w:rFonts w:asciiTheme="majorHAnsi" w:eastAsia="Times New Roman" w:hAnsiTheme="majorHAnsi"/>
          <w:sz w:val="20"/>
          <w:szCs w:val="20"/>
          <w:lang w:val="es-ES" w:eastAsia="es-ES_tradnl"/>
        </w:rPr>
        <w:t xml:space="preserve"> las</w:t>
      </w:r>
      <w:r w:rsidRPr="00386E47">
        <w:rPr>
          <w:rFonts w:asciiTheme="majorHAnsi" w:eastAsia="Times New Roman" w:hAnsiTheme="majorHAnsi"/>
          <w:sz w:val="20"/>
          <w:szCs w:val="20"/>
          <w:lang w:val="es-ES" w:eastAsia="es-ES_tradnl"/>
        </w:rPr>
        <w:t xml:space="preserve"> Naciones Unidas aprobó la Estrategia Global de</w:t>
      </w:r>
      <w:r w:rsidR="00084D3B" w:rsidRPr="00386E47">
        <w:rPr>
          <w:rFonts w:asciiTheme="majorHAnsi" w:eastAsia="Times New Roman" w:hAnsiTheme="majorHAnsi"/>
          <w:sz w:val="20"/>
          <w:szCs w:val="20"/>
          <w:lang w:val="es-ES" w:eastAsia="es-ES_tradnl"/>
        </w:rPr>
        <w:t xml:space="preserve"> las Naciones Unidas contra el T</w:t>
      </w:r>
      <w:r w:rsidRPr="00386E47">
        <w:rPr>
          <w:rFonts w:asciiTheme="majorHAnsi" w:eastAsia="Times New Roman" w:hAnsiTheme="majorHAnsi"/>
          <w:sz w:val="20"/>
          <w:szCs w:val="20"/>
          <w:lang w:val="es-ES" w:eastAsia="es-ES_tradnl"/>
        </w:rPr>
        <w:t xml:space="preserve">errorismo </w:t>
      </w:r>
      <w:r w:rsidRPr="00386E47">
        <w:rPr>
          <w:rFonts w:asciiTheme="majorHAnsi" w:hAnsiTheme="majorHAnsi"/>
          <w:sz w:val="20"/>
          <w:szCs w:val="20"/>
          <w:lang w:val="es-ES"/>
        </w:rPr>
        <w:t xml:space="preserve">en cuyo Plan de Acción se </w:t>
      </w:r>
      <w:r w:rsidRPr="00386E47">
        <w:rPr>
          <w:rFonts w:asciiTheme="majorHAnsi" w:eastAsia="Times New Roman" w:hAnsiTheme="majorHAnsi"/>
          <w:sz w:val="20"/>
          <w:szCs w:val="20"/>
          <w:lang w:val="es-ES" w:eastAsia="es-ES_tradnl"/>
        </w:rPr>
        <w:t>incluye</w:t>
      </w:r>
      <w:r w:rsidR="00E830BE" w:rsidRPr="00386E47">
        <w:rPr>
          <w:rFonts w:asciiTheme="majorHAnsi" w:hAnsiTheme="majorHAnsi"/>
          <w:sz w:val="20"/>
          <w:szCs w:val="20"/>
          <w:lang w:val="es-ES"/>
        </w:rPr>
        <w:t xml:space="preserve">n medidas </w:t>
      </w:r>
      <w:r w:rsidRPr="00386E47">
        <w:rPr>
          <w:rFonts w:asciiTheme="majorHAnsi" w:hAnsiTheme="majorHAnsi"/>
          <w:sz w:val="20"/>
          <w:szCs w:val="20"/>
          <w:lang w:val="es-ES"/>
        </w:rPr>
        <w:t xml:space="preserve"> relacionadas con el deber de los Estados de prevenir la ocurrencia de atentados terroristas</w:t>
      </w:r>
      <w:r w:rsidRPr="00386E47">
        <w:rPr>
          <w:rStyle w:val="FootnoteReference"/>
          <w:rFonts w:asciiTheme="majorHAnsi" w:eastAsia="Times New Roman" w:hAnsiTheme="majorHAnsi"/>
          <w:sz w:val="20"/>
          <w:szCs w:val="20"/>
          <w:lang w:val="es-ES" w:eastAsia="es-ES_tradnl"/>
        </w:rPr>
        <w:footnoteReference w:id="60"/>
      </w:r>
      <w:r w:rsidRPr="00386E47">
        <w:rPr>
          <w:rFonts w:asciiTheme="majorHAnsi" w:eastAsia="Times New Roman" w:hAnsiTheme="majorHAnsi"/>
          <w:sz w:val="20"/>
          <w:szCs w:val="20"/>
          <w:lang w:val="es-ES" w:eastAsia="es-ES_tradnl"/>
        </w:rPr>
        <w:t xml:space="preserve">. </w:t>
      </w:r>
    </w:p>
    <w:p w14:paraId="345D9E9E" w14:textId="77777777" w:rsidR="00362B3C" w:rsidRPr="00386E47" w:rsidRDefault="00362B3C" w:rsidP="00362B3C">
      <w:pPr>
        <w:pStyle w:val="ListParagraph"/>
        <w:tabs>
          <w:tab w:val="left" w:pos="567"/>
        </w:tabs>
        <w:ind w:left="0"/>
        <w:jc w:val="both"/>
        <w:rPr>
          <w:rFonts w:asciiTheme="majorHAnsi" w:eastAsia="Times New Roman" w:hAnsiTheme="majorHAnsi"/>
          <w:sz w:val="20"/>
          <w:szCs w:val="20"/>
          <w:shd w:val="clear" w:color="auto" w:fill="FFFFFF"/>
          <w:lang w:val="es-ES" w:eastAsia="es-ES_tradnl"/>
        </w:rPr>
      </w:pPr>
    </w:p>
    <w:p w14:paraId="069AE11A" w14:textId="77777777" w:rsidR="00362B3C" w:rsidRPr="00386E47" w:rsidRDefault="007A0537" w:rsidP="003A5860">
      <w:pPr>
        <w:pStyle w:val="ListParagraph"/>
        <w:numPr>
          <w:ilvl w:val="0"/>
          <w:numId w:val="55"/>
        </w:numPr>
        <w:tabs>
          <w:tab w:val="left" w:pos="567"/>
        </w:tabs>
        <w:ind w:left="0" w:firstLine="0"/>
        <w:jc w:val="both"/>
        <w:rPr>
          <w:rFonts w:asciiTheme="majorHAnsi" w:eastAsia="Times New Roman" w:hAnsiTheme="majorHAnsi"/>
          <w:sz w:val="20"/>
          <w:szCs w:val="20"/>
          <w:shd w:val="clear" w:color="auto" w:fill="FFFFFF"/>
          <w:lang w:val="es-ES" w:eastAsia="es-ES_tradnl"/>
        </w:rPr>
      </w:pPr>
      <w:r w:rsidRPr="00386E47">
        <w:rPr>
          <w:rFonts w:asciiTheme="majorHAnsi" w:hAnsiTheme="majorHAnsi"/>
          <w:sz w:val="20"/>
          <w:szCs w:val="20"/>
          <w:lang w:val="es-ES"/>
        </w:rPr>
        <w:t>Por otra parte, en el ámbito de las Naciones Unidas, los</w:t>
      </w:r>
      <w:r w:rsidR="00362B3C" w:rsidRPr="00386E47">
        <w:rPr>
          <w:rFonts w:asciiTheme="majorHAnsi" w:hAnsiTheme="majorHAnsi"/>
          <w:sz w:val="20"/>
          <w:szCs w:val="20"/>
          <w:lang w:val="es-ES"/>
        </w:rPr>
        <w:t xml:space="preserve"> </w:t>
      </w:r>
      <w:r w:rsidRPr="00386E47">
        <w:rPr>
          <w:rFonts w:asciiTheme="majorHAnsi" w:hAnsiTheme="majorHAnsi"/>
          <w:sz w:val="20"/>
          <w:szCs w:val="20"/>
          <w:lang w:val="es-ES"/>
        </w:rPr>
        <w:t>i</w:t>
      </w:r>
      <w:r w:rsidR="00362B3C" w:rsidRPr="00386E47">
        <w:rPr>
          <w:rFonts w:asciiTheme="majorHAnsi" w:hAnsiTheme="majorHAnsi"/>
          <w:sz w:val="20"/>
          <w:szCs w:val="20"/>
          <w:lang w:val="es-ES"/>
        </w:rPr>
        <w:t xml:space="preserve">nformes de los Relatores de Naciones Unidas </w:t>
      </w:r>
      <w:r w:rsidR="00362B3C" w:rsidRPr="00386E47">
        <w:rPr>
          <w:rFonts w:asciiTheme="majorHAnsi" w:eastAsia="Times New Roman" w:hAnsiTheme="majorHAnsi"/>
          <w:sz w:val="20"/>
          <w:szCs w:val="20"/>
          <w:lang w:val="es-ES" w:eastAsia="es-ES_tradnl"/>
        </w:rPr>
        <w:t>sobre la promoción y la protección de los derechos humanos y las libertades fundamentales en la lucha contra el terrorismo</w:t>
      </w:r>
      <w:r w:rsidRPr="00386E47">
        <w:rPr>
          <w:rFonts w:asciiTheme="majorHAnsi" w:eastAsia="Times New Roman" w:hAnsiTheme="majorHAnsi"/>
          <w:sz w:val="20"/>
          <w:szCs w:val="20"/>
          <w:lang w:val="es-ES" w:eastAsia="es-ES_tradnl"/>
        </w:rPr>
        <w:t xml:space="preserve"> han establecido diversas directrices a los Estados</w:t>
      </w:r>
      <w:r w:rsidR="00362B3C" w:rsidRPr="00386E47">
        <w:rPr>
          <w:rFonts w:asciiTheme="majorHAnsi" w:eastAsia="Times New Roman" w:hAnsiTheme="majorHAnsi"/>
          <w:sz w:val="20"/>
          <w:szCs w:val="20"/>
          <w:lang w:val="es-ES" w:eastAsia="es-ES_tradnl"/>
        </w:rPr>
        <w:t>. En su Informe de 2012, el Relator Esp</w:t>
      </w:r>
      <w:r w:rsidR="007614EA" w:rsidRPr="00386E47">
        <w:rPr>
          <w:rFonts w:asciiTheme="majorHAnsi" w:eastAsia="Times New Roman" w:hAnsiTheme="majorHAnsi"/>
          <w:sz w:val="20"/>
          <w:szCs w:val="20"/>
          <w:lang w:val="es-ES" w:eastAsia="es-ES_tradnl"/>
        </w:rPr>
        <w:t xml:space="preserve">ecial, Ben Emmerson señaló que </w:t>
      </w:r>
      <w:r w:rsidR="00362B3C" w:rsidRPr="00386E47">
        <w:rPr>
          <w:rFonts w:asciiTheme="majorHAnsi" w:hAnsiTheme="majorHAnsi"/>
          <w:sz w:val="20"/>
          <w:szCs w:val="20"/>
          <w:lang w:val="es-ES"/>
        </w:rPr>
        <w:t>“</w:t>
      </w:r>
      <w:r w:rsidR="00362B3C" w:rsidRPr="00386E47">
        <w:rPr>
          <w:rFonts w:asciiTheme="majorHAnsi" w:eastAsia="Times New Roman" w:hAnsiTheme="majorHAnsi"/>
          <w:sz w:val="20"/>
          <w:szCs w:val="20"/>
          <w:lang w:val="es-ES" w:eastAsia="es-ES_tradnl"/>
        </w:rPr>
        <w:t>el deber del Estado de defender la seguridad nacional y su obligación de asegurar la protección de los derechos humanos de quienes están bajo su jurisdicción constituyen una serie de obligaciones complementarias, simultáneas y que se refuerzan entre sí”</w:t>
      </w:r>
      <w:r w:rsidR="00362B3C" w:rsidRPr="00386E47">
        <w:rPr>
          <w:rStyle w:val="FootnoteReference"/>
          <w:rFonts w:asciiTheme="majorHAnsi" w:eastAsia="Times New Roman" w:hAnsiTheme="majorHAnsi"/>
          <w:sz w:val="20"/>
          <w:szCs w:val="20"/>
          <w:lang w:val="es-ES" w:eastAsia="es-ES_tradnl"/>
        </w:rPr>
        <w:footnoteReference w:id="61"/>
      </w:r>
      <w:r w:rsidR="00362B3C" w:rsidRPr="00386E47">
        <w:rPr>
          <w:rFonts w:asciiTheme="majorHAnsi" w:eastAsia="Times New Roman" w:hAnsiTheme="majorHAnsi"/>
          <w:sz w:val="20"/>
          <w:szCs w:val="20"/>
          <w:lang w:val="es-ES" w:eastAsia="es-ES_tradnl"/>
        </w:rPr>
        <w:t xml:space="preserve">. </w:t>
      </w:r>
    </w:p>
    <w:p w14:paraId="7EBA63C7" w14:textId="77777777" w:rsidR="00362B3C" w:rsidRPr="00386E47" w:rsidRDefault="00362B3C" w:rsidP="00362B3C">
      <w:pPr>
        <w:rPr>
          <w:rFonts w:asciiTheme="majorHAnsi" w:eastAsia="Times New Roman" w:hAnsiTheme="majorHAnsi"/>
          <w:sz w:val="20"/>
          <w:szCs w:val="20"/>
          <w:lang w:val="es-ES" w:eastAsia="es-ES_tradnl"/>
        </w:rPr>
      </w:pPr>
    </w:p>
    <w:p w14:paraId="4F92D87B" w14:textId="77777777" w:rsidR="00362B3C" w:rsidRPr="00386E47" w:rsidRDefault="00362B3C" w:rsidP="003A5860">
      <w:pPr>
        <w:pStyle w:val="ListParagraph"/>
        <w:numPr>
          <w:ilvl w:val="0"/>
          <w:numId w:val="55"/>
        </w:numPr>
        <w:tabs>
          <w:tab w:val="left" w:pos="567"/>
        </w:tabs>
        <w:ind w:left="0" w:firstLine="0"/>
        <w:jc w:val="both"/>
        <w:rPr>
          <w:rFonts w:asciiTheme="majorHAnsi" w:eastAsia="Times New Roman" w:hAnsiTheme="majorHAnsi"/>
          <w:sz w:val="20"/>
          <w:szCs w:val="20"/>
          <w:shd w:val="clear" w:color="auto" w:fill="FFFFFF"/>
          <w:lang w:val="es-ES" w:eastAsia="es-ES_tradnl"/>
        </w:rPr>
      </w:pPr>
      <w:r w:rsidRPr="00386E47">
        <w:rPr>
          <w:rFonts w:asciiTheme="majorHAnsi" w:eastAsia="Times New Roman" w:hAnsiTheme="majorHAnsi"/>
          <w:sz w:val="20"/>
          <w:szCs w:val="20"/>
          <w:lang w:val="es-ES" w:eastAsia="es-ES_tradnl"/>
        </w:rPr>
        <w:t>A nivel regional existen</w:t>
      </w:r>
      <w:r w:rsidRPr="00386E47">
        <w:rPr>
          <w:rFonts w:asciiTheme="majorHAnsi" w:hAnsiTheme="majorHAnsi"/>
          <w:sz w:val="20"/>
          <w:szCs w:val="20"/>
          <w:lang w:val="es-ES"/>
        </w:rPr>
        <w:t xml:space="preserve"> también varios instrumentos. El 2 de febrero de 1971, </w:t>
      </w:r>
      <w:r w:rsidRPr="00386E47">
        <w:rPr>
          <w:rStyle w:val="Strong"/>
          <w:rFonts w:asciiTheme="majorHAnsi" w:hAnsiTheme="majorHAnsi" w:cs="Tahoma"/>
          <w:b w:val="0"/>
          <w:bCs w:val="0"/>
          <w:sz w:val="20"/>
          <w:szCs w:val="20"/>
          <w:lang w:val="es-ES"/>
        </w:rPr>
        <w:t xml:space="preserve">la Asamblea General de la OEA aprobó la </w:t>
      </w:r>
      <w:r w:rsidRPr="00386E47">
        <w:rPr>
          <w:rStyle w:val="Strong"/>
          <w:rFonts w:asciiTheme="majorHAnsi" w:hAnsiTheme="majorHAnsi" w:cs="Tahoma"/>
          <w:b w:val="0"/>
          <w:bCs w:val="0"/>
          <w:iCs/>
          <w:sz w:val="20"/>
          <w:szCs w:val="20"/>
          <w:lang w:val="es-ES"/>
        </w:rPr>
        <w:t>Convención para prevenir y sancionar los actos de terrorismo configurados en delitos contra las personas y la extorsión conexa cuando estos tengan trascendencia internacional</w:t>
      </w:r>
      <w:r w:rsidRPr="00386E47">
        <w:rPr>
          <w:rStyle w:val="FootnoteReference"/>
          <w:rFonts w:asciiTheme="majorHAnsi" w:hAnsiTheme="majorHAnsi" w:cs="Tahoma"/>
          <w:iCs/>
          <w:sz w:val="20"/>
          <w:szCs w:val="20"/>
          <w:lang w:val="es-ES"/>
        </w:rPr>
        <w:footnoteReference w:id="62"/>
      </w:r>
      <w:r w:rsidRPr="00386E47">
        <w:rPr>
          <w:rStyle w:val="Strong"/>
          <w:rFonts w:asciiTheme="majorHAnsi" w:hAnsiTheme="majorHAnsi" w:cs="Tahoma"/>
          <w:b w:val="0"/>
          <w:bCs w:val="0"/>
          <w:iCs/>
          <w:sz w:val="20"/>
          <w:szCs w:val="20"/>
          <w:lang w:val="es-ES"/>
        </w:rPr>
        <w:t xml:space="preserve">. </w:t>
      </w:r>
      <w:r w:rsidRPr="00386E47">
        <w:rPr>
          <w:rFonts w:asciiTheme="majorHAnsi" w:hAnsiTheme="majorHAnsi"/>
          <w:sz w:val="20"/>
          <w:szCs w:val="20"/>
          <w:lang w:val="es-ES"/>
        </w:rPr>
        <w:t xml:space="preserve">También la OEA adoptó la Declaración </w:t>
      </w:r>
      <w:r w:rsidR="00E169C5" w:rsidRPr="00386E47">
        <w:rPr>
          <w:rFonts w:asciiTheme="majorHAnsi" w:hAnsiTheme="majorHAnsi"/>
          <w:sz w:val="20"/>
          <w:szCs w:val="20"/>
          <w:lang w:val="es-ES"/>
        </w:rPr>
        <w:t>de Lima para p</w:t>
      </w:r>
      <w:r w:rsidRPr="00386E47">
        <w:rPr>
          <w:rFonts w:asciiTheme="majorHAnsi" w:hAnsiTheme="majorHAnsi"/>
          <w:sz w:val="20"/>
          <w:szCs w:val="20"/>
          <w:lang w:val="es-ES"/>
        </w:rPr>
        <w:t>revenir, combatir y eliminar el terrorismo, que aproximó una definición del terrorismo al señalar aquel “</w:t>
      </w:r>
      <w:r w:rsidRPr="00386E47">
        <w:rPr>
          <w:rFonts w:asciiTheme="majorHAnsi" w:hAnsiTheme="majorHAnsi" w:cs="Tahoma"/>
          <w:sz w:val="20"/>
          <w:szCs w:val="20"/>
          <w:shd w:val="clear" w:color="auto" w:fill="FFFFFF"/>
          <w:lang w:val="es-ES"/>
        </w:rPr>
        <w:t xml:space="preserve">como grave manifestación de violencia deliberada y sistemática dirigida a crear caos y temor en la población, genera muerte y destrucción y constituye una </w:t>
      </w:r>
      <w:r w:rsidR="00D60F39" w:rsidRPr="00386E47">
        <w:rPr>
          <w:rFonts w:asciiTheme="majorHAnsi" w:hAnsiTheme="majorHAnsi" w:cs="Tahoma"/>
          <w:sz w:val="20"/>
          <w:szCs w:val="20"/>
          <w:shd w:val="clear" w:color="auto" w:fill="FFFFFF"/>
          <w:lang w:val="es-ES"/>
        </w:rPr>
        <w:t>actividad delictiva repudiable”</w:t>
      </w:r>
      <w:r w:rsidRPr="00386E47">
        <w:rPr>
          <w:rStyle w:val="FootnoteReference"/>
          <w:rFonts w:asciiTheme="majorHAnsi" w:hAnsiTheme="majorHAnsi"/>
          <w:sz w:val="20"/>
          <w:szCs w:val="20"/>
          <w:lang w:val="es-ES"/>
        </w:rPr>
        <w:footnoteReference w:id="63"/>
      </w:r>
      <w:r w:rsidRPr="00386E47">
        <w:rPr>
          <w:rFonts w:asciiTheme="majorHAnsi" w:hAnsiTheme="majorHAnsi"/>
          <w:sz w:val="20"/>
          <w:szCs w:val="20"/>
          <w:lang w:val="es-ES"/>
        </w:rPr>
        <w:t>.</w:t>
      </w:r>
    </w:p>
    <w:p w14:paraId="4F87C505" w14:textId="77777777" w:rsidR="00362B3C" w:rsidRPr="00386E47" w:rsidRDefault="00362B3C" w:rsidP="00362B3C">
      <w:pPr>
        <w:pStyle w:val="ListParagraph"/>
        <w:rPr>
          <w:rFonts w:asciiTheme="majorHAnsi" w:hAnsiTheme="majorHAnsi"/>
          <w:sz w:val="20"/>
          <w:szCs w:val="20"/>
          <w:shd w:val="clear" w:color="auto" w:fill="FFFFFF"/>
          <w:lang w:val="es-ES"/>
        </w:rPr>
      </w:pPr>
    </w:p>
    <w:p w14:paraId="269E1E98" w14:textId="77777777" w:rsidR="00362B3C" w:rsidRPr="00386E47" w:rsidRDefault="00362B3C" w:rsidP="003A5860">
      <w:pPr>
        <w:pStyle w:val="ListParagraph"/>
        <w:numPr>
          <w:ilvl w:val="0"/>
          <w:numId w:val="55"/>
        </w:numPr>
        <w:tabs>
          <w:tab w:val="left" w:pos="567"/>
        </w:tabs>
        <w:ind w:left="0" w:firstLine="0"/>
        <w:jc w:val="both"/>
        <w:rPr>
          <w:rFonts w:asciiTheme="majorHAnsi" w:eastAsia="Times New Roman" w:hAnsiTheme="majorHAnsi"/>
          <w:sz w:val="20"/>
          <w:szCs w:val="20"/>
          <w:shd w:val="clear" w:color="auto" w:fill="FFFFFF"/>
          <w:lang w:val="es-ES" w:eastAsia="es-ES_tradnl"/>
        </w:rPr>
      </w:pPr>
      <w:r w:rsidRPr="00386E47">
        <w:rPr>
          <w:rFonts w:asciiTheme="majorHAnsi" w:hAnsiTheme="majorHAnsi"/>
          <w:sz w:val="20"/>
          <w:szCs w:val="20"/>
          <w:shd w:val="clear" w:color="auto" w:fill="FFFFFF"/>
          <w:lang w:val="es-ES"/>
        </w:rPr>
        <w:t xml:space="preserve">Igualmente, el 3 de junio de 2002, la Asamblea General de la OEA aprobó la </w:t>
      </w:r>
      <w:r w:rsidRPr="00386E47">
        <w:rPr>
          <w:rFonts w:asciiTheme="majorHAnsi" w:hAnsiTheme="majorHAnsi"/>
          <w:iCs/>
          <w:sz w:val="20"/>
          <w:szCs w:val="20"/>
          <w:shd w:val="clear" w:color="auto" w:fill="FFFFFF"/>
          <w:lang w:val="es-ES"/>
        </w:rPr>
        <w:t>Convención Interamericana contra el Terrorismo</w:t>
      </w:r>
      <w:r w:rsidRPr="00386E47">
        <w:rPr>
          <w:rFonts w:asciiTheme="majorHAnsi" w:hAnsiTheme="majorHAnsi"/>
          <w:sz w:val="20"/>
          <w:szCs w:val="20"/>
          <w:shd w:val="clear" w:color="auto" w:fill="FFFFFF"/>
          <w:lang w:val="es-ES"/>
        </w:rPr>
        <w:t>, con la finalidad y propósito declarados de prevenir, castigar y eliminar el terrorismo</w:t>
      </w:r>
      <w:r w:rsidRPr="00386E47">
        <w:rPr>
          <w:rStyle w:val="FootnoteReference"/>
          <w:rFonts w:asciiTheme="majorHAnsi" w:eastAsia="Times New Roman" w:hAnsiTheme="majorHAnsi"/>
          <w:sz w:val="20"/>
          <w:szCs w:val="20"/>
          <w:shd w:val="clear" w:color="auto" w:fill="FFFFFF"/>
          <w:lang w:val="es-ES" w:eastAsia="es-ES_tradnl"/>
        </w:rPr>
        <w:footnoteReference w:id="64"/>
      </w:r>
      <w:r w:rsidRPr="00386E47">
        <w:rPr>
          <w:rFonts w:asciiTheme="majorHAnsi" w:hAnsiTheme="majorHAnsi"/>
          <w:sz w:val="20"/>
          <w:szCs w:val="20"/>
          <w:shd w:val="clear" w:color="auto" w:fill="FFFFFF"/>
          <w:lang w:val="es-ES"/>
        </w:rPr>
        <w:t>. Dicha Convención establece en su artículo 4 que “</w:t>
      </w:r>
      <w:r w:rsidRPr="00386E47">
        <w:rPr>
          <w:rFonts w:asciiTheme="majorHAnsi" w:hAnsiTheme="majorHAnsi"/>
          <w:sz w:val="20"/>
          <w:szCs w:val="20"/>
          <w:lang w:val="es-ES"/>
        </w:rPr>
        <w:t>cada Estado Parte, en la medida en que no lo haya hecho, deberá establecer un régimen jurídico y administrativo para prevenir, combatir y erradicar la financiación del terrorismo y para lograr una cooperación internacional efectiva al respecto, la cual deberá incluir”</w:t>
      </w:r>
      <w:r w:rsidRPr="00386E47">
        <w:rPr>
          <w:rStyle w:val="FootnoteReference"/>
          <w:rFonts w:asciiTheme="majorHAnsi" w:hAnsiTheme="majorHAnsi"/>
          <w:sz w:val="20"/>
          <w:szCs w:val="20"/>
          <w:lang w:val="es-ES"/>
        </w:rPr>
        <w:footnoteReference w:id="65"/>
      </w:r>
      <w:r w:rsidRPr="00386E47">
        <w:rPr>
          <w:rFonts w:asciiTheme="majorHAnsi" w:hAnsiTheme="majorHAnsi"/>
          <w:sz w:val="20"/>
          <w:szCs w:val="20"/>
          <w:shd w:val="clear" w:color="auto" w:fill="FFFFFF"/>
          <w:lang w:val="es-ES"/>
        </w:rPr>
        <w:t xml:space="preserve">. </w:t>
      </w:r>
    </w:p>
    <w:p w14:paraId="1B087587" w14:textId="77777777" w:rsidR="00362B3C" w:rsidRPr="00386E47" w:rsidRDefault="00362B3C" w:rsidP="00362B3C">
      <w:pPr>
        <w:pStyle w:val="ListParagraph"/>
        <w:rPr>
          <w:rFonts w:asciiTheme="majorHAnsi" w:eastAsia="Times New Roman" w:hAnsiTheme="majorHAnsi"/>
          <w:sz w:val="20"/>
          <w:szCs w:val="20"/>
          <w:shd w:val="clear" w:color="auto" w:fill="FFFFFF"/>
          <w:lang w:val="es-ES" w:eastAsia="es-ES_tradnl"/>
        </w:rPr>
      </w:pPr>
    </w:p>
    <w:p w14:paraId="2E917A62" w14:textId="77777777" w:rsidR="00362B3C" w:rsidRPr="00386E47" w:rsidRDefault="00362B3C" w:rsidP="003A5860">
      <w:pPr>
        <w:pStyle w:val="ListParagraph"/>
        <w:numPr>
          <w:ilvl w:val="0"/>
          <w:numId w:val="55"/>
        </w:numPr>
        <w:tabs>
          <w:tab w:val="left" w:pos="567"/>
        </w:tabs>
        <w:ind w:left="0" w:firstLine="0"/>
        <w:jc w:val="both"/>
        <w:rPr>
          <w:rFonts w:asciiTheme="majorHAnsi" w:eastAsia="Times New Roman" w:hAnsiTheme="majorHAnsi"/>
          <w:sz w:val="20"/>
          <w:szCs w:val="20"/>
          <w:shd w:val="clear" w:color="auto" w:fill="FFFFFF"/>
          <w:lang w:val="es-ES" w:eastAsia="es-ES_tradnl"/>
        </w:rPr>
      </w:pPr>
      <w:r w:rsidRPr="00386E47">
        <w:rPr>
          <w:rFonts w:asciiTheme="majorHAnsi" w:eastAsia="Times New Roman" w:hAnsiTheme="majorHAnsi"/>
          <w:sz w:val="20"/>
          <w:szCs w:val="20"/>
          <w:shd w:val="clear" w:color="auto" w:fill="FFFFFF"/>
          <w:lang w:val="es-ES" w:eastAsia="es-ES_tradnl"/>
        </w:rPr>
        <w:t xml:space="preserve">En el año 2002 la Comisión Interamericana de Derechos Humanos emitió el Informe </w:t>
      </w:r>
      <w:r w:rsidRPr="00386E47">
        <w:rPr>
          <w:rFonts w:asciiTheme="majorHAnsi" w:eastAsia="Times New Roman" w:hAnsiTheme="majorHAnsi"/>
          <w:iCs/>
          <w:sz w:val="20"/>
          <w:szCs w:val="20"/>
          <w:shd w:val="clear" w:color="auto" w:fill="FFFFFF"/>
          <w:lang w:val="es-ES" w:eastAsia="es-ES_tradnl"/>
        </w:rPr>
        <w:t>Terrorismo y Derechos Humanos</w:t>
      </w:r>
      <w:r w:rsidRPr="00386E47">
        <w:rPr>
          <w:rFonts w:asciiTheme="majorHAnsi" w:eastAsia="Times New Roman" w:hAnsiTheme="majorHAnsi"/>
          <w:sz w:val="20"/>
          <w:szCs w:val="20"/>
          <w:shd w:val="clear" w:color="auto" w:fill="FFFFFF"/>
          <w:lang w:val="es-ES" w:eastAsia="es-ES_tradnl"/>
        </w:rPr>
        <w:t>,</w:t>
      </w:r>
      <w:r w:rsidRPr="00386E47">
        <w:rPr>
          <w:rFonts w:asciiTheme="majorHAnsi" w:hAnsiTheme="majorHAnsi"/>
          <w:sz w:val="20"/>
          <w:szCs w:val="20"/>
          <w:shd w:val="clear" w:color="auto" w:fill="FFFFFF"/>
          <w:lang w:val="es-ES"/>
        </w:rPr>
        <w:t xml:space="preserve"> en el cual remarcó que las manifestaciones de violencia terrorista en las Américas, además de plantear una grave amenaza a la protección de los derechos humanos, con frecuencia han afectado a gobiernos e instituciones democráticas; y señaló que el derecho internacional obliga a los Estados miembros a adoptar las medidas necesarias para prevenir el terrorismo y otras formas de violencia y a garantizar la seguridad de sus </w:t>
      </w:r>
      <w:r w:rsidRPr="00386E47">
        <w:rPr>
          <w:rFonts w:asciiTheme="majorHAnsi" w:hAnsiTheme="majorHAnsi"/>
          <w:sz w:val="20"/>
          <w:szCs w:val="20"/>
          <w:shd w:val="clear" w:color="auto" w:fill="FFFFFF"/>
          <w:lang w:val="es-ES"/>
        </w:rPr>
        <w:lastRenderedPageBreak/>
        <w:t>ciudadanos</w:t>
      </w:r>
      <w:r w:rsidRPr="00386E47">
        <w:rPr>
          <w:rStyle w:val="FootnoteReference"/>
          <w:rFonts w:asciiTheme="majorHAnsi" w:hAnsiTheme="majorHAnsi"/>
          <w:sz w:val="20"/>
          <w:szCs w:val="20"/>
          <w:shd w:val="clear" w:color="auto" w:fill="FFFFFF"/>
          <w:lang w:val="es-ES"/>
        </w:rPr>
        <w:footnoteReference w:id="66"/>
      </w:r>
      <w:r w:rsidRPr="00386E47">
        <w:rPr>
          <w:rFonts w:asciiTheme="majorHAnsi" w:hAnsiTheme="majorHAnsi"/>
          <w:sz w:val="20"/>
          <w:szCs w:val="20"/>
          <w:shd w:val="clear" w:color="auto" w:fill="FFFFFF"/>
          <w:lang w:val="es-ES"/>
        </w:rPr>
        <w:t xml:space="preserve">. </w:t>
      </w:r>
      <w:r w:rsidRPr="00386E47">
        <w:rPr>
          <w:rFonts w:asciiTheme="majorHAnsi" w:eastAsia="Times New Roman" w:hAnsiTheme="majorHAnsi"/>
          <w:sz w:val="20"/>
          <w:szCs w:val="20"/>
          <w:shd w:val="clear" w:color="auto" w:fill="FFFFFF"/>
          <w:lang w:val="es-ES" w:eastAsia="es-ES_tradnl"/>
        </w:rPr>
        <w:t xml:space="preserve">Asimismo, reiteró la necesidad de </w:t>
      </w:r>
      <w:r w:rsidRPr="00386E47">
        <w:rPr>
          <w:rFonts w:asciiTheme="majorHAnsi" w:hAnsiTheme="majorHAnsi"/>
          <w:sz w:val="20"/>
          <w:szCs w:val="20"/>
          <w:shd w:val="clear" w:color="auto" w:fill="FFFFFF"/>
          <w:lang w:val="es-ES"/>
        </w:rPr>
        <w:t xml:space="preserve">que los Estados, al adoptar las medidas antiterroristas, </w:t>
      </w:r>
      <w:r w:rsidR="00E169C5" w:rsidRPr="00386E47">
        <w:rPr>
          <w:rFonts w:asciiTheme="majorHAnsi" w:hAnsiTheme="majorHAnsi"/>
          <w:sz w:val="20"/>
          <w:szCs w:val="20"/>
          <w:shd w:val="clear" w:color="auto" w:fill="FFFFFF"/>
          <w:lang w:val="es-ES"/>
        </w:rPr>
        <w:t>cumplan</w:t>
      </w:r>
      <w:r w:rsidRPr="00386E47">
        <w:rPr>
          <w:rFonts w:asciiTheme="majorHAnsi" w:hAnsiTheme="majorHAnsi"/>
          <w:sz w:val="20"/>
          <w:szCs w:val="20"/>
          <w:shd w:val="clear" w:color="auto" w:fill="FFFFFF"/>
          <w:lang w:val="es-ES"/>
        </w:rPr>
        <w:t xml:space="preserve"> con sus obligaciones internacionales, incluyendo las del derecho internacional de los derechos humanos y el derecho humanitario</w:t>
      </w:r>
      <w:r w:rsidRPr="00386E47">
        <w:rPr>
          <w:rStyle w:val="FootnoteReference"/>
          <w:rFonts w:asciiTheme="majorHAnsi" w:hAnsiTheme="majorHAnsi"/>
          <w:sz w:val="20"/>
          <w:szCs w:val="20"/>
          <w:shd w:val="clear" w:color="auto" w:fill="FFFFFF"/>
          <w:lang w:val="es-ES"/>
        </w:rPr>
        <w:footnoteReference w:id="67"/>
      </w:r>
      <w:r w:rsidRPr="00386E47">
        <w:rPr>
          <w:rFonts w:asciiTheme="majorHAnsi" w:hAnsiTheme="majorHAnsi"/>
          <w:sz w:val="20"/>
          <w:szCs w:val="20"/>
          <w:shd w:val="clear" w:color="auto" w:fill="FFFFFF"/>
          <w:lang w:val="es-ES"/>
        </w:rPr>
        <w:t>.</w:t>
      </w:r>
    </w:p>
    <w:p w14:paraId="1E10E03D" w14:textId="77777777" w:rsidR="00362B3C" w:rsidRPr="00386E47" w:rsidRDefault="00362B3C" w:rsidP="00362B3C">
      <w:pPr>
        <w:pStyle w:val="ListParagraph"/>
        <w:rPr>
          <w:rFonts w:asciiTheme="majorHAnsi" w:eastAsia="Times New Roman" w:hAnsiTheme="majorHAnsi"/>
          <w:sz w:val="20"/>
          <w:szCs w:val="20"/>
          <w:lang w:val="es-ES" w:eastAsia="es-ES_tradnl"/>
        </w:rPr>
      </w:pPr>
    </w:p>
    <w:p w14:paraId="08774773" w14:textId="77777777" w:rsidR="00362B3C" w:rsidRPr="00386E47" w:rsidRDefault="00362B3C" w:rsidP="003A5860">
      <w:pPr>
        <w:pStyle w:val="ListParagraph"/>
        <w:numPr>
          <w:ilvl w:val="0"/>
          <w:numId w:val="55"/>
        </w:numPr>
        <w:tabs>
          <w:tab w:val="left" w:pos="567"/>
        </w:tabs>
        <w:ind w:left="0" w:firstLine="0"/>
        <w:jc w:val="both"/>
        <w:rPr>
          <w:rFonts w:asciiTheme="majorHAnsi" w:eastAsia="Times New Roman" w:hAnsiTheme="majorHAnsi"/>
          <w:sz w:val="20"/>
          <w:szCs w:val="20"/>
          <w:shd w:val="clear" w:color="auto" w:fill="FFFFFF"/>
          <w:lang w:val="es-ES" w:eastAsia="es-ES_tradnl"/>
        </w:rPr>
      </w:pPr>
      <w:r w:rsidRPr="00386E47">
        <w:rPr>
          <w:rFonts w:asciiTheme="majorHAnsi" w:eastAsia="Times New Roman" w:hAnsiTheme="majorHAnsi"/>
          <w:sz w:val="20"/>
          <w:szCs w:val="20"/>
          <w:lang w:val="es-ES" w:eastAsia="es-ES_tradnl"/>
        </w:rPr>
        <w:t>Sobre la definición de terrorismo, en dicho</w:t>
      </w:r>
      <w:r w:rsidR="00E169C5" w:rsidRPr="00386E47">
        <w:rPr>
          <w:rFonts w:asciiTheme="majorHAnsi" w:eastAsia="Times New Roman" w:hAnsiTheme="majorHAnsi"/>
          <w:sz w:val="20"/>
          <w:szCs w:val="20"/>
          <w:lang w:val="es-ES" w:eastAsia="es-ES_tradnl"/>
        </w:rPr>
        <w:t xml:space="preserve"> Informe la Comisión señaló que. </w:t>
      </w:r>
      <w:r w:rsidRPr="00386E47">
        <w:rPr>
          <w:rFonts w:asciiTheme="majorHAnsi" w:hAnsiTheme="majorHAnsi"/>
          <w:sz w:val="20"/>
          <w:szCs w:val="20"/>
          <w:shd w:val="clear" w:color="auto" w:fill="FFFFFF"/>
          <w:lang w:val="es-ES"/>
        </w:rPr>
        <w:t xml:space="preserve">a diferencia de la Convención de la ONU contra el terrorismo, </w:t>
      </w:r>
      <w:r w:rsidR="00E169C5" w:rsidRPr="00386E47">
        <w:rPr>
          <w:rFonts w:asciiTheme="majorHAnsi" w:hAnsiTheme="majorHAnsi"/>
          <w:sz w:val="20"/>
          <w:szCs w:val="20"/>
          <w:shd w:val="clear" w:color="auto" w:fill="FFFFFF"/>
          <w:lang w:val="es-ES"/>
        </w:rPr>
        <w:t xml:space="preserve">la Convención Interamericana contra el Terrorismo </w:t>
      </w:r>
      <w:r w:rsidRPr="00386E47">
        <w:rPr>
          <w:rFonts w:asciiTheme="majorHAnsi" w:hAnsiTheme="majorHAnsi"/>
          <w:sz w:val="20"/>
          <w:szCs w:val="20"/>
          <w:shd w:val="clear" w:color="auto" w:fill="FFFFFF"/>
          <w:lang w:val="es-ES"/>
        </w:rPr>
        <w:t xml:space="preserve"> se abstiene de dar una definición pormenorizada del terrorismo y, en cambio, incluye los delitos definidos en diez tratados internacionales sobre terrorismo existentes a la fecha</w:t>
      </w:r>
      <w:r w:rsidRPr="00386E47">
        <w:rPr>
          <w:rStyle w:val="FootnoteReference"/>
          <w:rFonts w:asciiTheme="majorHAnsi" w:hAnsiTheme="majorHAnsi"/>
          <w:sz w:val="20"/>
          <w:szCs w:val="20"/>
          <w:shd w:val="clear" w:color="auto" w:fill="FFFFFF"/>
          <w:lang w:val="es-ES"/>
        </w:rPr>
        <w:footnoteReference w:id="68"/>
      </w:r>
      <w:r w:rsidRPr="00386E47">
        <w:rPr>
          <w:rFonts w:asciiTheme="majorHAnsi" w:hAnsiTheme="majorHAnsi"/>
          <w:sz w:val="20"/>
          <w:szCs w:val="20"/>
          <w:shd w:val="clear" w:color="auto" w:fill="FFFFFF"/>
          <w:lang w:val="es-ES"/>
        </w:rPr>
        <w:t xml:space="preserve">. </w:t>
      </w:r>
      <w:r w:rsidR="007F48A5" w:rsidRPr="00386E47">
        <w:rPr>
          <w:rFonts w:asciiTheme="majorHAnsi" w:eastAsia="Times New Roman" w:hAnsiTheme="majorHAnsi"/>
          <w:sz w:val="20"/>
          <w:szCs w:val="20"/>
          <w:shd w:val="clear" w:color="auto" w:fill="FFFFFF"/>
          <w:lang w:val="es-ES" w:eastAsia="es-ES_tradnl"/>
        </w:rPr>
        <w:t xml:space="preserve"> </w:t>
      </w:r>
      <w:r w:rsidR="007F48A5" w:rsidRPr="00386E47">
        <w:rPr>
          <w:rFonts w:asciiTheme="majorHAnsi" w:eastAsia="Times New Roman" w:hAnsiTheme="majorHAnsi"/>
          <w:sz w:val="20"/>
          <w:szCs w:val="20"/>
          <w:lang w:val="es-ES" w:eastAsia="es-ES_tradnl"/>
        </w:rPr>
        <w:t>L</w:t>
      </w:r>
      <w:r w:rsidRPr="00386E47">
        <w:rPr>
          <w:rFonts w:asciiTheme="majorHAnsi" w:eastAsia="Times New Roman" w:hAnsiTheme="majorHAnsi"/>
          <w:sz w:val="20"/>
          <w:szCs w:val="20"/>
          <w:lang w:val="es-ES" w:eastAsia="es-ES_tradnl"/>
        </w:rPr>
        <w:t>a Comisión señaló:</w:t>
      </w:r>
    </w:p>
    <w:p w14:paraId="62FCBE99" w14:textId="77777777" w:rsidR="00362B3C" w:rsidRPr="00386E47" w:rsidRDefault="00362B3C" w:rsidP="00362B3C">
      <w:pPr>
        <w:pStyle w:val="ListParagraph"/>
        <w:tabs>
          <w:tab w:val="left" w:pos="567"/>
        </w:tabs>
        <w:ind w:left="0"/>
        <w:jc w:val="both"/>
        <w:rPr>
          <w:rFonts w:asciiTheme="majorHAnsi" w:eastAsia="Times New Roman" w:hAnsiTheme="majorHAnsi"/>
          <w:sz w:val="20"/>
          <w:szCs w:val="20"/>
          <w:shd w:val="clear" w:color="auto" w:fill="FFFFFF"/>
          <w:lang w:val="es-ES" w:eastAsia="es-ES_tradnl"/>
        </w:rPr>
      </w:pPr>
    </w:p>
    <w:p w14:paraId="1528D9CA" w14:textId="77777777" w:rsidR="00362B3C" w:rsidRPr="00386E47" w:rsidRDefault="00362B3C" w:rsidP="003676A3">
      <w:pPr>
        <w:pStyle w:val="Quote"/>
        <w:rPr>
          <w:sz w:val="20"/>
          <w:lang w:val="es-US"/>
        </w:rPr>
      </w:pPr>
      <w:r w:rsidRPr="00386E47">
        <w:rPr>
          <w:shd w:val="clear" w:color="auto" w:fill="FFFFFF"/>
        </w:rPr>
        <w:t xml:space="preserve">Al mismo tiempo, el hecho de que el terrorismo no posea, per se, un significado concreto dentro del derecho internacional no significa que constituya una forma de violencia indescriptible o que los Estados no estén sometidos a restricciones, en el marco del derecho internacional, en la configuración de sus respuestas a esa violencia. Al contrario, es posible enumerar varias características frecuentemente asociadas con los incidentes terroristas que ofrecen parámetros suficientes para que los Estados definan y evalúen sus obligaciones internacionales a la hora de responder a esa violencia. Por ejemplo, la Asamblea General de las Naciones Unidas ha elaborado una definición práctica del terrorismo a los efectos de sus distintas resoluciones y declaraciones sobre medidas tendientes a la eliminación del terrorismo, a saber “los actos criminales con fines políticos concebidos o planeados para provocar un estado de terror en la población en general, en un grupo de personas o en personas determinadas (que) son injustificables en todas las circunstancias, cualesquiera sean las consideraciones políticas, filosóficas, ideológicas, raciales, étnicas, religiosas o de cualquier otra índole que se hagan valer para justificarlos”. Éstas y otras autoridades sugieren que los incidentes terroristas pueden describirse en términos de a) la naturaleza e identidad de quienes perpetran el terrorismo; b) la naturaleza e identidad de las víctimas del terrorismo; c) los objetivos del terrorismo y d) los medios empleados para perpetrar la violencia del terror. </w:t>
      </w:r>
      <w:r w:rsidRPr="00386E47">
        <w:rPr>
          <w:lang w:val="es-US"/>
        </w:rPr>
        <w:t xml:space="preserve"> </w:t>
      </w:r>
    </w:p>
    <w:p w14:paraId="5B37C491" w14:textId="77777777" w:rsidR="00362B3C" w:rsidRPr="00386E47" w:rsidRDefault="00362B3C" w:rsidP="00362B3C">
      <w:pPr>
        <w:ind w:left="284" w:right="333"/>
        <w:jc w:val="both"/>
        <w:rPr>
          <w:rFonts w:asciiTheme="majorHAnsi" w:hAnsiTheme="majorHAnsi"/>
          <w:sz w:val="20"/>
          <w:szCs w:val="20"/>
          <w:lang w:val="es-US"/>
        </w:rPr>
      </w:pPr>
    </w:p>
    <w:p w14:paraId="057CD2A2" w14:textId="77777777" w:rsidR="00362B3C" w:rsidRPr="00386E47" w:rsidRDefault="007A0537" w:rsidP="003A5860">
      <w:pPr>
        <w:pStyle w:val="ListParagraph"/>
        <w:numPr>
          <w:ilvl w:val="0"/>
          <w:numId w:val="55"/>
        </w:numPr>
        <w:tabs>
          <w:tab w:val="left" w:pos="567"/>
        </w:tabs>
        <w:ind w:left="0" w:firstLine="0"/>
        <w:jc w:val="both"/>
        <w:rPr>
          <w:rFonts w:asciiTheme="majorHAnsi" w:hAnsiTheme="majorHAnsi"/>
          <w:sz w:val="20"/>
          <w:szCs w:val="20"/>
          <w:lang w:val="es-ES" w:eastAsia="es-ES_tradnl"/>
        </w:rPr>
      </w:pPr>
      <w:r w:rsidRPr="00386E47">
        <w:rPr>
          <w:rFonts w:asciiTheme="majorHAnsi" w:hAnsiTheme="majorHAnsi"/>
          <w:sz w:val="20"/>
          <w:szCs w:val="20"/>
          <w:lang w:val="es-ES" w:eastAsia="es-ES_tradnl"/>
        </w:rPr>
        <w:t>La</w:t>
      </w:r>
      <w:r w:rsidR="00362B3C" w:rsidRPr="00386E47">
        <w:rPr>
          <w:rFonts w:asciiTheme="majorHAnsi" w:hAnsiTheme="majorHAnsi"/>
          <w:sz w:val="20"/>
          <w:szCs w:val="20"/>
          <w:lang w:val="es-ES" w:eastAsia="es-ES_tradnl"/>
        </w:rPr>
        <w:t xml:space="preserve"> Comisión </w:t>
      </w:r>
      <w:r w:rsidR="007F48A5" w:rsidRPr="00386E47">
        <w:rPr>
          <w:rFonts w:asciiTheme="majorHAnsi" w:hAnsiTheme="majorHAnsi"/>
          <w:sz w:val="20"/>
          <w:szCs w:val="20"/>
          <w:lang w:val="es-ES" w:eastAsia="es-ES_tradnl"/>
        </w:rPr>
        <w:t>indicó</w:t>
      </w:r>
      <w:r w:rsidR="00362B3C" w:rsidRPr="00386E47">
        <w:rPr>
          <w:rFonts w:asciiTheme="majorHAnsi" w:hAnsiTheme="majorHAnsi"/>
          <w:sz w:val="20"/>
          <w:szCs w:val="20"/>
          <w:lang w:val="es-ES" w:eastAsia="es-ES_tradnl"/>
        </w:rPr>
        <w:t xml:space="preserve"> que la violencia terrorista puede adquirir muchas formas y variar según contextos de paz o de conflicto armado. </w:t>
      </w:r>
      <w:r w:rsidRPr="00386E47">
        <w:rPr>
          <w:rFonts w:asciiTheme="majorHAnsi" w:hAnsiTheme="majorHAnsi"/>
          <w:sz w:val="20"/>
          <w:szCs w:val="20"/>
          <w:lang w:val="es-ES" w:eastAsia="es-ES_tradnl"/>
        </w:rPr>
        <w:t>Asimismo, resaltó que el</w:t>
      </w:r>
      <w:r w:rsidR="00362B3C" w:rsidRPr="00386E47">
        <w:rPr>
          <w:rFonts w:asciiTheme="majorHAnsi" w:hAnsiTheme="majorHAnsi"/>
          <w:sz w:val="20"/>
          <w:szCs w:val="20"/>
          <w:lang w:val="es-ES_tradnl"/>
        </w:rPr>
        <w:t xml:space="preserve"> comportamiento de actores que no sean Estados, incluyendo los terroristas y grupos terroristas, </w:t>
      </w:r>
      <w:r w:rsidRPr="00386E47">
        <w:rPr>
          <w:rFonts w:asciiTheme="majorHAnsi" w:hAnsiTheme="majorHAnsi"/>
          <w:sz w:val="20"/>
          <w:szCs w:val="20"/>
          <w:lang w:val="es-ES_tradnl"/>
        </w:rPr>
        <w:t xml:space="preserve">tienen implicaciones </w:t>
      </w:r>
      <w:r w:rsidR="00362B3C" w:rsidRPr="00386E47">
        <w:rPr>
          <w:rFonts w:asciiTheme="majorHAnsi" w:hAnsiTheme="majorHAnsi"/>
          <w:sz w:val="20"/>
          <w:szCs w:val="20"/>
          <w:lang w:val="es-ES_tradnl"/>
        </w:rPr>
        <w:t xml:space="preserve"> para la evaluación de las obligaciones de los Estados en materia de la protección de los derechos humanos en el continente”</w:t>
      </w:r>
      <w:r w:rsidR="00362B3C" w:rsidRPr="00386E47">
        <w:rPr>
          <w:rStyle w:val="FootnoteReference"/>
          <w:rFonts w:asciiTheme="majorHAnsi" w:hAnsiTheme="majorHAnsi"/>
          <w:sz w:val="20"/>
          <w:szCs w:val="20"/>
          <w:lang w:val="es-ES_tradnl"/>
        </w:rPr>
        <w:footnoteReference w:id="69"/>
      </w:r>
      <w:r w:rsidR="00362B3C" w:rsidRPr="00386E47">
        <w:rPr>
          <w:rFonts w:asciiTheme="majorHAnsi" w:hAnsiTheme="majorHAnsi"/>
          <w:sz w:val="20"/>
          <w:szCs w:val="20"/>
          <w:lang w:val="es-ES_tradnl"/>
        </w:rPr>
        <w:t>.</w:t>
      </w:r>
      <w:r w:rsidR="00362B3C" w:rsidRPr="00386E47">
        <w:rPr>
          <w:rFonts w:asciiTheme="majorHAnsi" w:hAnsiTheme="majorHAnsi"/>
          <w:sz w:val="20"/>
          <w:szCs w:val="20"/>
          <w:lang w:val="es-ES" w:eastAsia="es-ES_tradnl"/>
        </w:rPr>
        <w:t xml:space="preserve"> </w:t>
      </w:r>
    </w:p>
    <w:p w14:paraId="20A9502B" w14:textId="77777777" w:rsidR="00362B3C" w:rsidRPr="00386E47" w:rsidRDefault="00362B3C" w:rsidP="00362B3C">
      <w:pPr>
        <w:pStyle w:val="ListParagraph"/>
        <w:tabs>
          <w:tab w:val="left" w:pos="567"/>
        </w:tabs>
        <w:ind w:left="0"/>
        <w:jc w:val="both"/>
        <w:rPr>
          <w:rFonts w:asciiTheme="majorHAnsi" w:hAnsiTheme="majorHAnsi"/>
          <w:sz w:val="20"/>
          <w:szCs w:val="20"/>
          <w:lang w:val="es-ES" w:eastAsia="es-ES_tradnl"/>
        </w:rPr>
      </w:pPr>
    </w:p>
    <w:p w14:paraId="1A7547C2" w14:textId="77777777" w:rsidR="007A0537" w:rsidRPr="00386E47" w:rsidRDefault="00362B3C" w:rsidP="003A5860">
      <w:pPr>
        <w:pStyle w:val="ListParagraph"/>
        <w:numPr>
          <w:ilvl w:val="0"/>
          <w:numId w:val="55"/>
        </w:numPr>
        <w:tabs>
          <w:tab w:val="left" w:pos="567"/>
        </w:tabs>
        <w:ind w:left="0" w:firstLine="0"/>
        <w:jc w:val="both"/>
        <w:rPr>
          <w:rFonts w:asciiTheme="majorHAnsi" w:eastAsia="Times New Roman" w:hAnsiTheme="majorHAnsi"/>
          <w:sz w:val="20"/>
          <w:szCs w:val="20"/>
          <w:shd w:val="clear" w:color="auto" w:fill="FFFFFF"/>
          <w:lang w:val="es-ES" w:eastAsia="es-ES_tradnl"/>
        </w:rPr>
      </w:pPr>
      <w:r w:rsidRPr="00386E47">
        <w:rPr>
          <w:rFonts w:asciiTheme="majorHAnsi" w:hAnsiTheme="majorHAnsi"/>
          <w:sz w:val="20"/>
          <w:szCs w:val="20"/>
          <w:lang w:val="es-ES"/>
        </w:rPr>
        <w:t xml:space="preserve">Específicamente, en relación con la responsabilidad internacional de los Estados por la ocurrencia de actos terroristas en su jurisdicción, </w:t>
      </w:r>
      <w:r w:rsidR="007A0537" w:rsidRPr="00386E47">
        <w:rPr>
          <w:rFonts w:asciiTheme="majorHAnsi" w:hAnsiTheme="majorHAnsi"/>
          <w:sz w:val="20"/>
          <w:szCs w:val="20"/>
          <w:lang w:val="es-ES"/>
        </w:rPr>
        <w:t xml:space="preserve">la Comisión señaló </w:t>
      </w:r>
      <w:r w:rsidR="00F54071" w:rsidRPr="00386E47">
        <w:rPr>
          <w:rFonts w:asciiTheme="majorHAnsi" w:hAnsiTheme="majorHAnsi"/>
          <w:sz w:val="20"/>
          <w:szCs w:val="20"/>
          <w:lang w:val="es-ES"/>
        </w:rPr>
        <w:t>que,</w:t>
      </w:r>
      <w:r w:rsidRPr="00386E47">
        <w:rPr>
          <w:rFonts w:asciiTheme="majorHAnsi" w:hAnsiTheme="majorHAnsi"/>
          <w:sz w:val="20"/>
          <w:szCs w:val="20"/>
          <w:lang w:val="es-ES"/>
        </w:rPr>
        <w:t xml:space="preserve"> en el marco de sus obligaciones respecto </w:t>
      </w:r>
      <w:r w:rsidRPr="00386E47">
        <w:rPr>
          <w:rFonts w:asciiTheme="majorHAnsi" w:eastAsia="Times New Roman" w:hAnsiTheme="majorHAnsi"/>
          <w:sz w:val="20"/>
          <w:szCs w:val="20"/>
          <w:lang w:val="es-ES" w:eastAsia="es-ES_tradnl"/>
        </w:rPr>
        <w:t xml:space="preserve">al derecho a la vida, ˝no puede interpretarse de manera de poner al Estado en situación de garante respecto de toda amenaza terrorista, pues ello impondría a las autoridades una carga desproporcionada. Sin embargo, en ciertas </w:t>
      </w:r>
      <w:r w:rsidRPr="00386E47">
        <w:rPr>
          <w:rFonts w:asciiTheme="majorHAnsi" w:eastAsia="Times New Roman" w:hAnsiTheme="majorHAnsi"/>
          <w:sz w:val="20"/>
          <w:szCs w:val="20"/>
          <w:lang w:val="es-ES" w:eastAsia="es-ES_tradnl"/>
        </w:rPr>
        <w:lastRenderedPageBreak/>
        <w:t>circunstancias establecidas, los funcionarios públicos pueden quedar sujetos a una obligación positiva de tomar medidas operacionales para prevenir que ocurra un acto terrorista”</w:t>
      </w:r>
      <w:r w:rsidRPr="00386E47">
        <w:rPr>
          <w:rStyle w:val="FootnoteReference"/>
          <w:rFonts w:asciiTheme="majorHAnsi" w:eastAsia="Times New Roman" w:hAnsiTheme="majorHAnsi"/>
          <w:sz w:val="20"/>
          <w:szCs w:val="20"/>
          <w:lang w:val="es-ES" w:eastAsia="es-ES_tradnl"/>
        </w:rPr>
        <w:footnoteReference w:id="70"/>
      </w:r>
      <w:r w:rsidRPr="00386E47">
        <w:rPr>
          <w:rFonts w:asciiTheme="majorHAnsi" w:eastAsia="Times New Roman" w:hAnsiTheme="majorHAnsi"/>
          <w:sz w:val="20"/>
          <w:szCs w:val="20"/>
          <w:lang w:val="es-ES" w:eastAsia="es-ES_tradnl"/>
        </w:rPr>
        <w:t xml:space="preserve">. </w:t>
      </w:r>
    </w:p>
    <w:p w14:paraId="204E918E" w14:textId="77777777" w:rsidR="007A0537" w:rsidRPr="00386E47" w:rsidRDefault="007A0537" w:rsidP="00A311A0">
      <w:pPr>
        <w:pStyle w:val="ListParagraph"/>
        <w:rPr>
          <w:rFonts w:asciiTheme="majorHAnsi" w:eastAsia="Times New Roman" w:hAnsiTheme="majorHAnsi"/>
          <w:sz w:val="20"/>
          <w:szCs w:val="20"/>
          <w:lang w:val="es-ES" w:eastAsia="es-ES_tradnl"/>
        </w:rPr>
      </w:pPr>
    </w:p>
    <w:p w14:paraId="0132B148" w14:textId="77777777" w:rsidR="00362B3C" w:rsidRPr="00386E47" w:rsidRDefault="007A0537" w:rsidP="003A5860">
      <w:pPr>
        <w:pStyle w:val="ListParagraph"/>
        <w:numPr>
          <w:ilvl w:val="0"/>
          <w:numId w:val="55"/>
        </w:numPr>
        <w:tabs>
          <w:tab w:val="left" w:pos="567"/>
        </w:tabs>
        <w:ind w:left="0" w:firstLine="0"/>
        <w:jc w:val="both"/>
        <w:rPr>
          <w:rFonts w:asciiTheme="majorHAnsi" w:eastAsia="Times New Roman" w:hAnsiTheme="majorHAnsi"/>
          <w:sz w:val="20"/>
          <w:szCs w:val="20"/>
          <w:lang w:val="es-ES" w:eastAsia="es-ES_tradnl"/>
        </w:rPr>
      </w:pPr>
      <w:r w:rsidRPr="00386E47">
        <w:rPr>
          <w:rFonts w:asciiTheme="majorHAnsi" w:eastAsia="Times New Roman" w:hAnsiTheme="majorHAnsi"/>
          <w:sz w:val="20"/>
          <w:szCs w:val="20"/>
          <w:lang w:val="es-ES" w:eastAsia="es-ES_tradnl"/>
        </w:rPr>
        <w:t xml:space="preserve">Específicamente, respecto del deber de prevención, la Comisión observa que a efectos de determinar </w:t>
      </w:r>
      <w:r w:rsidR="00362B3C" w:rsidRPr="00386E47">
        <w:rPr>
          <w:rFonts w:asciiTheme="majorHAnsi" w:eastAsia="Times New Roman" w:hAnsiTheme="majorHAnsi"/>
          <w:sz w:val="20"/>
          <w:szCs w:val="20"/>
          <w:lang w:val="es-ES" w:eastAsia="es-ES_tradnl"/>
        </w:rPr>
        <w:t xml:space="preserve">cuándo el Estado es responsable por ausencia de prevención, el Informe del Relator Especial </w:t>
      </w:r>
      <w:r w:rsidRPr="00386E47">
        <w:rPr>
          <w:rFonts w:asciiTheme="majorHAnsi" w:eastAsia="Times New Roman" w:hAnsiTheme="majorHAnsi"/>
          <w:sz w:val="20"/>
          <w:szCs w:val="20"/>
          <w:lang w:val="es-ES" w:eastAsia="es-ES_tradnl"/>
        </w:rPr>
        <w:t xml:space="preserve">de la ONU </w:t>
      </w:r>
      <w:r w:rsidR="00362B3C" w:rsidRPr="00386E47">
        <w:rPr>
          <w:rFonts w:asciiTheme="majorHAnsi" w:eastAsia="Times New Roman" w:hAnsiTheme="majorHAnsi"/>
          <w:sz w:val="20"/>
          <w:szCs w:val="20"/>
          <w:lang w:val="es-ES" w:eastAsia="es-ES_tradnl"/>
        </w:rPr>
        <w:t>presenta la siguiente metodología de análisis: “i) las autoridades sabían o debían haber sabido ii) que existía al momento correspondiente un peligro real e inmediato, iii) para la vida de una persona o un grupo de individuos bajo su jurisdicción en razón de iv) actos criminales de un tercero y que v) no tomaron, en el ámbito de sus facultades legales y sus recursos disponibles de conformidad con sus obligaciones internacionales, medidas con las cuales, juzgadas en forma objetiva y razonable, se podría haber esperado evitar ese peligro”</w:t>
      </w:r>
      <w:r w:rsidR="00362B3C" w:rsidRPr="00386E47">
        <w:rPr>
          <w:rStyle w:val="FootnoteReference"/>
          <w:rFonts w:asciiTheme="majorHAnsi" w:eastAsia="Times New Roman" w:hAnsiTheme="majorHAnsi"/>
          <w:sz w:val="20"/>
          <w:szCs w:val="20"/>
          <w:lang w:val="es-ES" w:eastAsia="es-ES_tradnl"/>
        </w:rPr>
        <w:t xml:space="preserve"> </w:t>
      </w:r>
      <w:r w:rsidR="00362B3C" w:rsidRPr="00386E47">
        <w:rPr>
          <w:rStyle w:val="FootnoteReference"/>
          <w:rFonts w:asciiTheme="majorHAnsi" w:eastAsia="Times New Roman" w:hAnsiTheme="majorHAnsi"/>
          <w:sz w:val="20"/>
          <w:szCs w:val="20"/>
          <w:lang w:val="es-ES" w:eastAsia="es-ES_tradnl"/>
        </w:rPr>
        <w:footnoteReference w:id="71"/>
      </w:r>
      <w:r w:rsidR="00362B3C" w:rsidRPr="00386E47">
        <w:rPr>
          <w:rFonts w:asciiTheme="majorHAnsi" w:eastAsia="Times New Roman" w:hAnsiTheme="majorHAnsi"/>
          <w:sz w:val="20"/>
          <w:szCs w:val="20"/>
          <w:lang w:val="es-ES" w:eastAsia="es-ES_tradnl"/>
        </w:rPr>
        <w:t>.</w:t>
      </w:r>
      <w:r w:rsidRPr="00386E47">
        <w:rPr>
          <w:rFonts w:asciiTheme="majorHAnsi" w:eastAsia="Times New Roman" w:hAnsiTheme="majorHAnsi"/>
          <w:sz w:val="20"/>
          <w:szCs w:val="20"/>
          <w:lang w:val="es-ES" w:eastAsia="es-ES_tradnl"/>
        </w:rPr>
        <w:t xml:space="preserve"> </w:t>
      </w:r>
      <w:r w:rsidRPr="00386E47">
        <w:rPr>
          <w:rFonts w:asciiTheme="majorHAnsi" w:hAnsiTheme="majorHAnsi"/>
          <w:sz w:val="20"/>
          <w:szCs w:val="20"/>
          <w:lang w:val="es-ES"/>
        </w:rPr>
        <w:t xml:space="preserve">El </w:t>
      </w:r>
      <w:r w:rsidR="000A6511" w:rsidRPr="00386E47">
        <w:rPr>
          <w:rFonts w:asciiTheme="majorHAnsi" w:hAnsiTheme="majorHAnsi"/>
          <w:sz w:val="20"/>
          <w:szCs w:val="20"/>
          <w:lang w:val="es-ES"/>
        </w:rPr>
        <w:t>R</w:t>
      </w:r>
      <w:r w:rsidRPr="00386E47">
        <w:rPr>
          <w:rFonts w:asciiTheme="majorHAnsi" w:hAnsiTheme="majorHAnsi"/>
          <w:sz w:val="20"/>
          <w:szCs w:val="20"/>
          <w:lang w:val="es-ES"/>
        </w:rPr>
        <w:t>elator enfatizó</w:t>
      </w:r>
      <w:r w:rsidR="00362B3C" w:rsidRPr="00386E47">
        <w:rPr>
          <w:rFonts w:asciiTheme="majorHAnsi" w:eastAsia="Times New Roman" w:hAnsiTheme="majorHAnsi"/>
          <w:sz w:val="20"/>
          <w:szCs w:val="20"/>
          <w:lang w:val="es-ES" w:eastAsia="es-ES_tradnl"/>
        </w:rPr>
        <w:t xml:space="preserve"> que “los Estados están obligados a establecer mecanismos efectivos para determinar posibles amenazas futuras de atentados terroristas, analizar la información con diligencia razonable, llegar a una evaluación informada del riesgo y tomar las medidas que procedan”</w:t>
      </w:r>
      <w:r w:rsidR="00362B3C" w:rsidRPr="00386E47">
        <w:rPr>
          <w:rStyle w:val="FootnoteReference"/>
          <w:rFonts w:asciiTheme="majorHAnsi" w:eastAsia="Times New Roman" w:hAnsiTheme="majorHAnsi"/>
          <w:sz w:val="20"/>
          <w:szCs w:val="20"/>
          <w:lang w:val="es-ES" w:eastAsia="es-ES_tradnl"/>
        </w:rPr>
        <w:footnoteReference w:id="72"/>
      </w:r>
      <w:r w:rsidR="00362B3C" w:rsidRPr="00386E47">
        <w:rPr>
          <w:rFonts w:asciiTheme="majorHAnsi" w:eastAsia="Times New Roman" w:hAnsiTheme="majorHAnsi"/>
          <w:sz w:val="20"/>
          <w:szCs w:val="20"/>
          <w:lang w:val="es-ES" w:eastAsia="es-ES_tradnl"/>
        </w:rPr>
        <w:t xml:space="preserve">. Agregó que las actividades de organismos de inteligencia deben respetar el derecho internacional de los derechos humanos. Igualmente, en el marco del deber de prevención y sobre el peligro real, </w:t>
      </w:r>
      <w:r w:rsidR="00362B3C" w:rsidRPr="00386E47">
        <w:rPr>
          <w:rFonts w:asciiTheme="majorHAnsi" w:hAnsiTheme="majorHAnsi"/>
          <w:sz w:val="20"/>
          <w:szCs w:val="20"/>
          <w:lang w:val="es-ES"/>
        </w:rPr>
        <w:t>refirió</w:t>
      </w:r>
      <w:r w:rsidR="00362B3C" w:rsidRPr="00386E47">
        <w:rPr>
          <w:rFonts w:asciiTheme="majorHAnsi" w:eastAsia="Times New Roman" w:hAnsiTheme="majorHAnsi"/>
          <w:sz w:val="20"/>
          <w:szCs w:val="20"/>
          <w:lang w:val="es-ES" w:eastAsia="es-ES_tradnl"/>
        </w:rPr>
        <w:t xml:space="preserve"> que “</w:t>
      </w:r>
      <w:r w:rsidR="00362B3C" w:rsidRPr="00386E47">
        <w:rPr>
          <w:rFonts w:asciiTheme="majorHAnsi" w:hAnsiTheme="majorHAnsi"/>
          <w:sz w:val="20"/>
          <w:szCs w:val="20"/>
          <w:lang w:val="es-ES"/>
        </w:rPr>
        <w:t>[l]</w:t>
      </w:r>
      <w:r w:rsidR="00362B3C" w:rsidRPr="00386E47">
        <w:rPr>
          <w:rFonts w:asciiTheme="majorHAnsi" w:eastAsia="Times New Roman" w:hAnsiTheme="majorHAnsi"/>
          <w:sz w:val="20"/>
          <w:szCs w:val="20"/>
          <w:lang w:val="es-ES" w:eastAsia="es-ES_tradnl"/>
        </w:rPr>
        <w:t>as evaluaciones que se hacen exclusivamente ex post facto no pueden constituir la única base para constatar la responsabilidad del Estado por una violación del derecho a la vida”</w:t>
      </w:r>
      <w:r w:rsidR="00362B3C" w:rsidRPr="00386E47">
        <w:rPr>
          <w:rStyle w:val="FootnoteReference"/>
          <w:rFonts w:asciiTheme="majorHAnsi" w:eastAsia="Times New Roman" w:hAnsiTheme="majorHAnsi"/>
          <w:sz w:val="20"/>
          <w:szCs w:val="20"/>
          <w:lang w:val="es-ES" w:eastAsia="es-ES_tradnl"/>
        </w:rPr>
        <w:footnoteReference w:id="73"/>
      </w:r>
      <w:r w:rsidR="00362B3C" w:rsidRPr="00386E47">
        <w:rPr>
          <w:rFonts w:asciiTheme="majorHAnsi" w:eastAsia="Times New Roman" w:hAnsiTheme="majorHAnsi"/>
          <w:sz w:val="20"/>
          <w:szCs w:val="20"/>
          <w:lang w:val="es-ES" w:eastAsia="es-ES_tradnl"/>
        </w:rPr>
        <w:t xml:space="preserve">.  </w:t>
      </w:r>
    </w:p>
    <w:p w14:paraId="10C7CF95" w14:textId="77777777" w:rsidR="008B43FD" w:rsidRPr="00386E47" w:rsidRDefault="008B43FD" w:rsidP="00F9080A">
      <w:pPr>
        <w:pStyle w:val="parrafos"/>
        <w:tabs>
          <w:tab w:val="left" w:pos="0"/>
          <w:tab w:val="left" w:pos="567"/>
        </w:tabs>
      </w:pPr>
    </w:p>
    <w:p w14:paraId="5C7331FD" w14:textId="77777777" w:rsidR="008B43FD" w:rsidRPr="00386E47" w:rsidRDefault="008B43FD" w:rsidP="009146F2">
      <w:pPr>
        <w:pStyle w:val="Heading3"/>
        <w:numPr>
          <w:ilvl w:val="1"/>
          <w:numId w:val="68"/>
        </w:numPr>
        <w:ind w:left="284" w:firstLine="0"/>
      </w:pPr>
      <w:bookmarkStart w:id="25" w:name="_Toc51252196"/>
      <w:r w:rsidRPr="00386E47">
        <w:t xml:space="preserve">Hechos </w:t>
      </w:r>
      <w:r w:rsidR="00790369" w:rsidRPr="00386E47">
        <w:t xml:space="preserve">específicos relacionados con </w:t>
      </w:r>
      <w:r w:rsidR="00F54071" w:rsidRPr="00386E47">
        <w:t>la prevención d</w:t>
      </w:r>
      <w:r w:rsidR="00790369" w:rsidRPr="00386E47">
        <w:t>el atentado</w:t>
      </w:r>
      <w:bookmarkEnd w:id="25"/>
    </w:p>
    <w:p w14:paraId="4A51985B" w14:textId="77777777" w:rsidR="008B43FD" w:rsidRPr="00386E47" w:rsidRDefault="008B43FD" w:rsidP="003A5860">
      <w:pPr>
        <w:pStyle w:val="ListParagraph"/>
        <w:numPr>
          <w:ilvl w:val="0"/>
          <w:numId w:val="55"/>
        </w:numPr>
        <w:tabs>
          <w:tab w:val="left" w:pos="567"/>
        </w:tabs>
        <w:ind w:left="0" w:firstLine="0"/>
        <w:contextualSpacing/>
        <w:jc w:val="both"/>
        <w:rPr>
          <w:rFonts w:asciiTheme="majorHAnsi" w:eastAsia="Calibri" w:hAnsiTheme="majorHAnsi"/>
          <w:sz w:val="20"/>
          <w:szCs w:val="20"/>
          <w:lang w:val="es-US"/>
        </w:rPr>
      </w:pPr>
      <w:r w:rsidRPr="00386E47">
        <w:rPr>
          <w:rFonts w:asciiTheme="majorHAnsi" w:eastAsia="Calibri" w:hAnsiTheme="majorHAnsi"/>
          <w:sz w:val="20"/>
          <w:szCs w:val="20"/>
          <w:lang w:val="es-US"/>
        </w:rPr>
        <w:t xml:space="preserve">El 17 de marzo de 1992, </w:t>
      </w:r>
      <w:r w:rsidRPr="00386E47">
        <w:rPr>
          <w:rFonts w:asciiTheme="majorHAnsi" w:eastAsia="Calibri" w:hAnsiTheme="majorHAnsi"/>
          <w:sz w:val="20"/>
          <w:szCs w:val="20"/>
          <w:lang w:val="es-AR"/>
        </w:rPr>
        <w:t xml:space="preserve">aproximadamente dos años antes del atentado a la sede de la AMIA, </w:t>
      </w:r>
      <w:r w:rsidRPr="00386E47">
        <w:rPr>
          <w:rFonts w:asciiTheme="majorHAnsi" w:eastAsia="Calibri" w:hAnsiTheme="majorHAnsi"/>
          <w:sz w:val="20"/>
          <w:szCs w:val="20"/>
          <w:lang w:val="es-US"/>
        </w:rPr>
        <w:t>se produjo un atentado en la sede de la Embajada de Israel situada en la ciudad de Buenos Aires, como consecuencia de un estallido de material explosivo acondicionado en una camioneta Ford F-100. El atentado provocó la destrucción de la sede diplomática y ocasionó daños en edificios cercanos y en vehículos estacionados en la zona. 22 personas murieron y más de 350 resultaron heridas</w:t>
      </w:r>
      <w:r w:rsidRPr="00386E47">
        <w:rPr>
          <w:rFonts w:asciiTheme="majorHAnsi" w:hAnsiTheme="majorHAnsi"/>
          <w:sz w:val="20"/>
          <w:szCs w:val="20"/>
          <w:vertAlign w:val="superscript"/>
        </w:rPr>
        <w:footnoteReference w:id="74"/>
      </w:r>
      <w:r w:rsidRPr="00386E47">
        <w:rPr>
          <w:rFonts w:asciiTheme="majorHAnsi" w:eastAsia="Calibri" w:hAnsiTheme="majorHAnsi"/>
          <w:sz w:val="20"/>
          <w:szCs w:val="20"/>
          <w:lang w:val="es-US"/>
        </w:rPr>
        <w:t xml:space="preserve">.  </w:t>
      </w:r>
    </w:p>
    <w:p w14:paraId="374EAA55" w14:textId="77777777" w:rsidR="008B43FD" w:rsidRPr="00386E47" w:rsidRDefault="008B43FD" w:rsidP="008B43FD">
      <w:pPr>
        <w:tabs>
          <w:tab w:val="left" w:pos="567"/>
        </w:tabs>
        <w:contextualSpacing/>
        <w:jc w:val="both"/>
        <w:rPr>
          <w:rFonts w:asciiTheme="majorHAnsi" w:eastAsia="Calibri" w:hAnsiTheme="majorHAnsi"/>
          <w:sz w:val="20"/>
          <w:szCs w:val="20"/>
          <w:lang w:val="es-US"/>
        </w:rPr>
      </w:pPr>
    </w:p>
    <w:p w14:paraId="5FE95F76" w14:textId="77777777" w:rsidR="008B43FD" w:rsidRPr="00386E47" w:rsidRDefault="008B43FD" w:rsidP="003A5860">
      <w:pPr>
        <w:numPr>
          <w:ilvl w:val="0"/>
          <w:numId w:val="55"/>
        </w:numPr>
        <w:tabs>
          <w:tab w:val="left" w:pos="567"/>
        </w:tabs>
        <w:ind w:left="0" w:firstLine="0"/>
        <w:contextualSpacing/>
        <w:jc w:val="both"/>
        <w:rPr>
          <w:rFonts w:asciiTheme="majorHAnsi" w:eastAsia="Calibri" w:hAnsiTheme="majorHAnsi"/>
          <w:sz w:val="20"/>
          <w:szCs w:val="20"/>
          <w:lang w:val="es-US"/>
        </w:rPr>
      </w:pPr>
      <w:r w:rsidRPr="00386E47">
        <w:rPr>
          <w:rFonts w:asciiTheme="majorHAnsi" w:eastAsia="Calibri" w:hAnsiTheme="majorHAnsi"/>
          <w:sz w:val="20"/>
          <w:szCs w:val="20"/>
          <w:lang w:val="es-US"/>
        </w:rPr>
        <w:t xml:space="preserve">La investigación al atentado de la Embajada quedó a cargo de la Corte Suprema de Justicia de la Nación. </w:t>
      </w:r>
      <w:r w:rsidRPr="00386E47">
        <w:rPr>
          <w:rFonts w:asciiTheme="majorHAnsi" w:eastAsia="Calibri" w:hAnsiTheme="majorHAnsi"/>
          <w:sz w:val="20"/>
          <w:szCs w:val="20"/>
          <w:lang w:val="es-ES"/>
        </w:rPr>
        <w:t>Para la fecha del atentado a la AMIA, las autoridades judiciales argentinas aún no habían dictado resolución de mérito alguna sobre el ataque a la Embajada de Israel. A</w:t>
      </w:r>
      <w:r w:rsidRPr="00386E47">
        <w:rPr>
          <w:rFonts w:asciiTheme="majorHAnsi" w:eastAsia="Calibri" w:hAnsiTheme="majorHAnsi"/>
          <w:sz w:val="20"/>
          <w:szCs w:val="20"/>
          <w:lang w:val="es-US"/>
        </w:rPr>
        <w:t xml:space="preserve"> través de la resolución de 23 de diciembre de 1999 se atribuyó el hecho “al grupo terrorista denominado Jihad Islámica, brazo armado del Hezbollah”</w:t>
      </w:r>
      <w:r w:rsidRPr="00386E47">
        <w:rPr>
          <w:rFonts w:asciiTheme="majorHAnsi" w:eastAsia="Calibri" w:hAnsiTheme="majorHAnsi"/>
          <w:sz w:val="20"/>
          <w:szCs w:val="20"/>
          <w:vertAlign w:val="superscript"/>
          <w:lang w:val="es-US"/>
        </w:rPr>
        <w:footnoteReference w:id="75"/>
      </w:r>
      <w:r w:rsidRPr="00386E47">
        <w:rPr>
          <w:rFonts w:asciiTheme="majorHAnsi" w:eastAsia="Calibri" w:hAnsiTheme="majorHAnsi"/>
          <w:sz w:val="20"/>
          <w:szCs w:val="20"/>
          <w:lang w:val="es-US"/>
        </w:rPr>
        <w:t xml:space="preserve">. </w:t>
      </w:r>
      <w:r w:rsidRPr="00386E47">
        <w:rPr>
          <w:rFonts w:asciiTheme="majorHAnsi" w:eastAsia="Calibri" w:hAnsiTheme="majorHAnsi"/>
          <w:sz w:val="20"/>
          <w:szCs w:val="20"/>
          <w:lang w:val="es-ES"/>
        </w:rPr>
        <w:t>A la fecha, no se cuenta con información que indique que existen personas condenadas por el hecho.</w:t>
      </w:r>
    </w:p>
    <w:p w14:paraId="170010E1" w14:textId="77777777" w:rsidR="008B43FD" w:rsidRPr="00386E47" w:rsidRDefault="008B43FD" w:rsidP="008B43FD">
      <w:pPr>
        <w:tabs>
          <w:tab w:val="left" w:pos="567"/>
        </w:tabs>
        <w:rPr>
          <w:rFonts w:asciiTheme="majorHAnsi" w:eastAsia="Calibri" w:hAnsiTheme="majorHAnsi"/>
          <w:sz w:val="20"/>
          <w:szCs w:val="20"/>
          <w:lang w:val="es-US"/>
        </w:rPr>
      </w:pPr>
    </w:p>
    <w:p w14:paraId="78944780" w14:textId="77777777" w:rsidR="008B43FD" w:rsidRPr="00386E47" w:rsidRDefault="008B43FD" w:rsidP="003A5860">
      <w:pPr>
        <w:numPr>
          <w:ilvl w:val="0"/>
          <w:numId w:val="55"/>
        </w:numPr>
        <w:tabs>
          <w:tab w:val="left" w:pos="567"/>
        </w:tabs>
        <w:ind w:left="0" w:firstLine="0"/>
        <w:contextualSpacing/>
        <w:jc w:val="both"/>
        <w:rPr>
          <w:rFonts w:asciiTheme="majorHAnsi" w:eastAsia="Calibri" w:hAnsiTheme="majorHAnsi"/>
          <w:sz w:val="20"/>
          <w:szCs w:val="20"/>
          <w:lang w:val="es-US"/>
        </w:rPr>
      </w:pPr>
      <w:r w:rsidRPr="00386E47">
        <w:rPr>
          <w:rFonts w:asciiTheme="majorHAnsi" w:eastAsia="Calibri" w:hAnsiTheme="majorHAnsi"/>
          <w:sz w:val="20"/>
          <w:szCs w:val="20"/>
          <w:lang w:val="es-US"/>
        </w:rPr>
        <w:t>Después del atentado a la Embajada de Israel se implantó un servicio de vigilancia 24 horas para custodiar la calle donde se encontraba el edificio de la AMIA, el cual se encontraba a cargo de las comisarías 5ª y 7ª de la Policía Federal Argentina</w:t>
      </w:r>
      <w:r w:rsidRPr="00386E47">
        <w:rPr>
          <w:rFonts w:asciiTheme="majorHAnsi" w:eastAsia="Calibri" w:hAnsiTheme="majorHAnsi"/>
          <w:sz w:val="20"/>
          <w:szCs w:val="20"/>
          <w:vertAlign w:val="superscript"/>
          <w:lang w:val="es-US"/>
        </w:rPr>
        <w:footnoteReference w:id="76"/>
      </w:r>
      <w:r w:rsidRPr="00386E47">
        <w:rPr>
          <w:rFonts w:asciiTheme="majorHAnsi" w:eastAsia="Calibri" w:hAnsiTheme="majorHAnsi"/>
          <w:sz w:val="20"/>
          <w:szCs w:val="20"/>
          <w:lang w:val="es-US"/>
        </w:rPr>
        <w:t xml:space="preserve">. Algunas de las medidas de custodia consistían en tomar fotografías de las proximidades del edificio, observaciones o filmaciones, prohibir el estacionamiento en la calle Pasteur al 600 y evitar, en medida de lo posible, que los autos se detuvieran en cercanías del edificio. Los policías se rotaban por </w:t>
      </w:r>
      <w:r w:rsidRPr="00386E47">
        <w:rPr>
          <w:rFonts w:asciiTheme="majorHAnsi" w:eastAsia="Calibri" w:hAnsiTheme="majorHAnsi"/>
          <w:sz w:val="20"/>
          <w:szCs w:val="20"/>
          <w:lang w:val="es-US"/>
        </w:rPr>
        <w:lastRenderedPageBreak/>
        <w:t>cuartos, de forma que siempre estuvieran presentes dos uniformados. Además, había un servicio de control y supervisión a cargo del oficial externo de las dos comisarías para controlar y dejar constancia de cualquier irregularidad</w:t>
      </w:r>
      <w:r w:rsidRPr="00386E47">
        <w:rPr>
          <w:rFonts w:asciiTheme="majorHAnsi" w:eastAsia="Calibri" w:hAnsiTheme="majorHAnsi"/>
          <w:sz w:val="20"/>
          <w:szCs w:val="20"/>
          <w:vertAlign w:val="superscript"/>
          <w:lang w:val="es-US"/>
        </w:rPr>
        <w:footnoteReference w:id="77"/>
      </w:r>
      <w:r w:rsidRPr="00386E47">
        <w:rPr>
          <w:rFonts w:asciiTheme="majorHAnsi" w:eastAsia="Calibri" w:hAnsiTheme="majorHAnsi"/>
          <w:sz w:val="20"/>
          <w:szCs w:val="20"/>
          <w:lang w:val="es-US"/>
        </w:rPr>
        <w:t xml:space="preserve">. </w:t>
      </w:r>
    </w:p>
    <w:p w14:paraId="6B87E971" w14:textId="77777777" w:rsidR="008B43FD" w:rsidRPr="00386E47" w:rsidRDefault="008B43FD" w:rsidP="008B43FD">
      <w:pPr>
        <w:tabs>
          <w:tab w:val="left" w:pos="567"/>
        </w:tabs>
        <w:jc w:val="both"/>
        <w:rPr>
          <w:rFonts w:asciiTheme="majorHAnsi" w:eastAsia="Calibri" w:hAnsiTheme="majorHAnsi"/>
          <w:sz w:val="20"/>
          <w:szCs w:val="20"/>
          <w:lang w:val="es-US"/>
        </w:rPr>
      </w:pPr>
    </w:p>
    <w:p w14:paraId="58137C46" w14:textId="77777777" w:rsidR="008B43FD" w:rsidRPr="00386E47" w:rsidRDefault="008B43FD" w:rsidP="003A5860">
      <w:pPr>
        <w:numPr>
          <w:ilvl w:val="0"/>
          <w:numId w:val="55"/>
        </w:numPr>
        <w:tabs>
          <w:tab w:val="left" w:pos="567"/>
        </w:tabs>
        <w:ind w:left="0" w:firstLine="0"/>
        <w:jc w:val="both"/>
        <w:rPr>
          <w:rFonts w:asciiTheme="majorHAnsi" w:eastAsia="Calibri" w:hAnsiTheme="majorHAnsi"/>
          <w:sz w:val="20"/>
          <w:szCs w:val="20"/>
          <w:lang w:val="es-US"/>
        </w:rPr>
      </w:pPr>
      <w:r w:rsidRPr="00386E47">
        <w:rPr>
          <w:rFonts w:asciiTheme="majorHAnsi" w:eastAsia="Calibri" w:hAnsiTheme="majorHAnsi"/>
          <w:sz w:val="20"/>
          <w:szCs w:val="20"/>
          <w:lang w:val="es-US"/>
        </w:rPr>
        <w:t xml:space="preserve">Días antes del atentado al edificio de la AMIA, el ciudadano brasilero Wilson Roberto Dos Santos concurrió al consulado argentino en Milán, Italia, e informó a la cónsul </w:t>
      </w:r>
      <w:r w:rsidRPr="00386E47">
        <w:rPr>
          <w:rFonts w:asciiTheme="majorHAnsi" w:eastAsia="Calibri" w:hAnsiTheme="majorHAnsi"/>
          <w:sz w:val="20"/>
          <w:szCs w:val="20"/>
          <w:lang w:val="es-ES"/>
        </w:rPr>
        <w:t>Norma Fasano sobre la identidad de una mujer que consideraba extraña y que, en su criterio, tenía pasaporte y cédula de identidad argentinos falsos. Dos Santos indicó que manifestó a la cónsul que la mujer a la que se refería habría participado en el atentado ocurrido a la Embajada de Israel en Buenos Aires</w:t>
      </w:r>
      <w:r w:rsidRPr="00386E47">
        <w:rPr>
          <w:rFonts w:asciiTheme="majorHAnsi" w:eastAsia="Calibri" w:hAnsiTheme="majorHAnsi"/>
          <w:sz w:val="20"/>
          <w:szCs w:val="20"/>
          <w:vertAlign w:val="superscript"/>
          <w:lang w:val="es-ES"/>
        </w:rPr>
        <w:footnoteReference w:id="78"/>
      </w:r>
      <w:r w:rsidRPr="00386E47">
        <w:rPr>
          <w:rFonts w:asciiTheme="majorHAnsi" w:eastAsia="Calibri" w:hAnsiTheme="majorHAnsi"/>
          <w:sz w:val="20"/>
          <w:szCs w:val="20"/>
          <w:lang w:val="es-ES"/>
        </w:rPr>
        <w:t>. Dos Santos manifestó que después del atentado a la AMIA acudió nuevamente donde la cónsul Fasano para insistir sobre sus sospechas de la participación de una persona en los ataques a la Embajada y a la AMIA, a lo que ella le habría respondido que “el fundamento de sus</w:t>
      </w:r>
      <w:r w:rsidRPr="00386E47">
        <w:rPr>
          <w:rFonts w:asciiTheme="majorHAnsi" w:eastAsia="Calibri" w:hAnsiTheme="majorHAnsi"/>
          <w:sz w:val="20"/>
          <w:szCs w:val="20"/>
          <w:lang w:val="es-US"/>
        </w:rPr>
        <w:t xml:space="preserve"> sospechas, esto es, la ilicitud de la documentación argentina […], no resultaban suficientes para iniciar una investigación”</w:t>
      </w:r>
      <w:r w:rsidRPr="00386E47">
        <w:rPr>
          <w:rFonts w:asciiTheme="majorHAnsi" w:eastAsia="Calibri" w:hAnsiTheme="majorHAnsi"/>
          <w:sz w:val="20"/>
          <w:szCs w:val="20"/>
          <w:vertAlign w:val="superscript"/>
          <w:lang w:val="es-US"/>
        </w:rPr>
        <w:footnoteReference w:id="79"/>
      </w:r>
      <w:r w:rsidRPr="00386E47">
        <w:rPr>
          <w:rFonts w:asciiTheme="majorHAnsi" w:eastAsia="Calibri" w:hAnsiTheme="majorHAnsi"/>
          <w:sz w:val="20"/>
          <w:szCs w:val="20"/>
          <w:lang w:val="es-US"/>
        </w:rPr>
        <w:t xml:space="preserve">. </w:t>
      </w:r>
    </w:p>
    <w:p w14:paraId="7E937CBE" w14:textId="77777777" w:rsidR="008B43FD" w:rsidRPr="00386E47" w:rsidRDefault="008B43FD" w:rsidP="008B43FD">
      <w:pPr>
        <w:tabs>
          <w:tab w:val="left" w:pos="567"/>
        </w:tabs>
        <w:jc w:val="both"/>
        <w:rPr>
          <w:rFonts w:asciiTheme="majorHAnsi" w:eastAsia="Calibri" w:hAnsiTheme="majorHAnsi"/>
          <w:sz w:val="20"/>
          <w:szCs w:val="20"/>
          <w:lang w:val="es-US"/>
        </w:rPr>
      </w:pPr>
    </w:p>
    <w:p w14:paraId="7B2573C4" w14:textId="77777777" w:rsidR="008B43FD" w:rsidRPr="00386E47" w:rsidRDefault="008B43FD" w:rsidP="003A5860">
      <w:pPr>
        <w:numPr>
          <w:ilvl w:val="0"/>
          <w:numId w:val="55"/>
        </w:numPr>
        <w:tabs>
          <w:tab w:val="left" w:pos="567"/>
        </w:tabs>
        <w:ind w:left="0" w:firstLine="0"/>
        <w:jc w:val="both"/>
        <w:rPr>
          <w:rFonts w:asciiTheme="majorHAnsi" w:eastAsia="Calibri" w:hAnsiTheme="majorHAnsi"/>
          <w:sz w:val="20"/>
          <w:szCs w:val="20"/>
          <w:lang w:val="es-US"/>
        </w:rPr>
      </w:pPr>
      <w:r w:rsidRPr="00386E47">
        <w:rPr>
          <w:rFonts w:asciiTheme="majorHAnsi" w:eastAsia="Calibri" w:hAnsiTheme="majorHAnsi"/>
          <w:sz w:val="20"/>
          <w:szCs w:val="20"/>
          <w:lang w:val="es-US"/>
        </w:rPr>
        <w:t>Las últimas horas del 17 de julio de 1994 y la madrugada del día siguiente varias personas observaron y escucharon el sobrevuelo de un helicóptero a baja altura en el edificio de la AMIA</w:t>
      </w:r>
      <w:r w:rsidRPr="00386E47">
        <w:rPr>
          <w:rFonts w:asciiTheme="majorHAnsi" w:eastAsia="Calibri" w:hAnsiTheme="majorHAnsi"/>
          <w:sz w:val="20"/>
          <w:szCs w:val="20"/>
          <w:vertAlign w:val="superscript"/>
          <w:lang w:val="es-US"/>
        </w:rPr>
        <w:footnoteReference w:id="80"/>
      </w:r>
      <w:r w:rsidRPr="00386E47">
        <w:rPr>
          <w:rFonts w:asciiTheme="majorHAnsi" w:eastAsia="Calibri" w:hAnsiTheme="majorHAnsi"/>
          <w:sz w:val="20"/>
          <w:szCs w:val="20"/>
          <w:lang w:val="es-US"/>
        </w:rPr>
        <w:t>. La autoridad aeronáutica no tuvo registro del mismo</w:t>
      </w:r>
      <w:r w:rsidRPr="00386E47">
        <w:rPr>
          <w:rFonts w:asciiTheme="majorHAnsi" w:eastAsia="Calibri" w:hAnsiTheme="majorHAnsi"/>
          <w:sz w:val="20"/>
          <w:szCs w:val="20"/>
          <w:vertAlign w:val="superscript"/>
          <w:lang w:val="es-US"/>
        </w:rPr>
        <w:footnoteReference w:id="81"/>
      </w:r>
      <w:r w:rsidRPr="00386E47">
        <w:rPr>
          <w:rFonts w:asciiTheme="majorHAnsi" w:eastAsia="Calibri" w:hAnsiTheme="majorHAnsi"/>
          <w:sz w:val="20"/>
          <w:szCs w:val="20"/>
          <w:lang w:val="es-US"/>
        </w:rPr>
        <w:t xml:space="preserve">. </w:t>
      </w:r>
    </w:p>
    <w:p w14:paraId="66D71206" w14:textId="77777777" w:rsidR="008B43FD" w:rsidRPr="00386E47" w:rsidRDefault="008B43FD" w:rsidP="008B43FD">
      <w:pPr>
        <w:tabs>
          <w:tab w:val="left" w:pos="567"/>
        </w:tabs>
        <w:jc w:val="both"/>
        <w:rPr>
          <w:rFonts w:asciiTheme="majorHAnsi" w:eastAsia="Calibri" w:hAnsiTheme="majorHAnsi"/>
          <w:sz w:val="20"/>
          <w:szCs w:val="20"/>
          <w:lang w:val="es-US"/>
        </w:rPr>
      </w:pPr>
    </w:p>
    <w:p w14:paraId="63DB58B4" w14:textId="77777777" w:rsidR="008B43FD" w:rsidRPr="00386E47" w:rsidRDefault="008B43FD" w:rsidP="003A5860">
      <w:pPr>
        <w:numPr>
          <w:ilvl w:val="0"/>
          <w:numId w:val="55"/>
        </w:numPr>
        <w:tabs>
          <w:tab w:val="left" w:pos="567"/>
        </w:tabs>
        <w:ind w:left="0" w:firstLine="0"/>
        <w:contextualSpacing/>
        <w:jc w:val="both"/>
        <w:rPr>
          <w:rFonts w:asciiTheme="majorHAnsi" w:eastAsia="Calibri" w:hAnsiTheme="majorHAnsi"/>
          <w:sz w:val="20"/>
          <w:szCs w:val="20"/>
          <w:lang w:val="es-US"/>
        </w:rPr>
      </w:pPr>
      <w:r w:rsidRPr="00386E47">
        <w:rPr>
          <w:rFonts w:asciiTheme="majorHAnsi" w:eastAsia="Calibri" w:hAnsiTheme="majorHAnsi"/>
          <w:sz w:val="20"/>
          <w:szCs w:val="20"/>
          <w:lang w:val="es-US"/>
        </w:rPr>
        <w:t>Específicamente en relación con la custodia del lugar antes del atentado a la AMIA, el TOF 3 encontró que de los testimonios recibidos se desprendía que “que al menos desde el viernes 15 hasta la mañana del lunes siguiente, el patrullero apostado sobre la calle Pasteur no funcionaba debido a que su batería no tenía carga. Por esa razón, la custodia no contaba, en esos días, con el equipo de comunicaciones instalado en el móvil policial; carencia que se suplía, según dichos de varios de los efectivos policiales arriba mencionados, mediante la utilización de un aparato de comunicaciones manual -“H.T.”- provisto por los encargados de la custodia interna de la mutual”</w:t>
      </w:r>
      <w:r w:rsidRPr="00386E47">
        <w:rPr>
          <w:rFonts w:asciiTheme="majorHAnsi" w:eastAsia="Calibri" w:hAnsiTheme="majorHAnsi"/>
          <w:sz w:val="20"/>
          <w:szCs w:val="20"/>
          <w:vertAlign w:val="superscript"/>
          <w:lang w:val="es-US"/>
        </w:rPr>
        <w:footnoteReference w:id="82"/>
      </w:r>
      <w:r w:rsidRPr="00386E47">
        <w:rPr>
          <w:rFonts w:asciiTheme="majorHAnsi" w:eastAsia="Calibri" w:hAnsiTheme="majorHAnsi"/>
          <w:sz w:val="20"/>
          <w:szCs w:val="20"/>
          <w:lang w:val="es-US"/>
        </w:rPr>
        <w:t>.</w:t>
      </w:r>
    </w:p>
    <w:p w14:paraId="70E6DA23" w14:textId="77777777" w:rsidR="008B43FD" w:rsidRPr="00386E47" w:rsidRDefault="008B43FD" w:rsidP="008B43FD">
      <w:pPr>
        <w:tabs>
          <w:tab w:val="left" w:pos="567"/>
        </w:tabs>
        <w:contextualSpacing/>
        <w:jc w:val="both"/>
        <w:rPr>
          <w:rFonts w:asciiTheme="majorHAnsi" w:eastAsia="Calibri" w:hAnsiTheme="majorHAnsi"/>
          <w:sz w:val="20"/>
          <w:szCs w:val="20"/>
          <w:lang w:val="es-US"/>
        </w:rPr>
      </w:pPr>
    </w:p>
    <w:p w14:paraId="634B6E5E" w14:textId="77777777" w:rsidR="008B43FD" w:rsidRPr="00386E47" w:rsidRDefault="008B43FD" w:rsidP="003A5860">
      <w:pPr>
        <w:numPr>
          <w:ilvl w:val="0"/>
          <w:numId w:val="55"/>
        </w:numPr>
        <w:tabs>
          <w:tab w:val="left" w:pos="567"/>
        </w:tabs>
        <w:ind w:left="0" w:firstLine="0"/>
        <w:jc w:val="both"/>
        <w:rPr>
          <w:rFonts w:asciiTheme="majorHAnsi" w:eastAsia="Calibri" w:hAnsiTheme="majorHAnsi"/>
          <w:sz w:val="20"/>
          <w:szCs w:val="20"/>
          <w:lang w:val="es-US"/>
        </w:rPr>
      </w:pPr>
      <w:r w:rsidRPr="00386E47">
        <w:rPr>
          <w:rFonts w:asciiTheme="majorHAnsi" w:eastAsia="Calibri" w:hAnsiTheme="majorHAnsi"/>
          <w:sz w:val="20"/>
          <w:szCs w:val="20"/>
          <w:lang w:val="es-US"/>
        </w:rPr>
        <w:t xml:space="preserve">De acuerdo con lo expresado en el “Informe Grossman”, consta que en la instrucción realizada por el Juez Galeano se encuentra mencionado </w:t>
      </w:r>
      <w:r w:rsidR="00F54071" w:rsidRPr="00386E47">
        <w:rPr>
          <w:rFonts w:asciiTheme="majorHAnsi" w:eastAsia="Calibri" w:hAnsiTheme="majorHAnsi"/>
          <w:sz w:val="20"/>
          <w:szCs w:val="20"/>
          <w:lang w:val="es-US"/>
        </w:rPr>
        <w:t>que tres</w:t>
      </w:r>
      <w:r w:rsidRPr="00386E47">
        <w:rPr>
          <w:rFonts w:asciiTheme="majorHAnsi" w:eastAsia="Calibri" w:hAnsiTheme="majorHAnsi"/>
          <w:sz w:val="20"/>
          <w:szCs w:val="20"/>
          <w:lang w:val="es-US"/>
        </w:rPr>
        <w:t xml:space="preserve"> minutos antes del atentado un camión dejó un volquete frente a la AMIA, en </w:t>
      </w:r>
      <w:r w:rsidR="00F54071" w:rsidRPr="00386E47">
        <w:rPr>
          <w:rFonts w:asciiTheme="majorHAnsi" w:eastAsia="Calibri" w:hAnsiTheme="majorHAnsi"/>
          <w:sz w:val="20"/>
          <w:szCs w:val="20"/>
          <w:lang w:val="es-US"/>
        </w:rPr>
        <w:t>proximidades del</w:t>
      </w:r>
      <w:r w:rsidRPr="00386E47">
        <w:rPr>
          <w:rFonts w:asciiTheme="majorHAnsi" w:eastAsia="Calibri" w:hAnsiTheme="majorHAnsi"/>
          <w:sz w:val="20"/>
          <w:szCs w:val="20"/>
          <w:lang w:val="es-US"/>
        </w:rPr>
        <w:t xml:space="preserve"> lugar donde después explotaría el coche bomba. Sin embargo, el juez no creyó que allí hubiesen estado los explosivos y a la misma conclusión llegó el Tribunal</w:t>
      </w:r>
      <w:r w:rsidRPr="00386E47">
        <w:rPr>
          <w:rFonts w:asciiTheme="majorHAnsi" w:eastAsia="Calibri" w:hAnsiTheme="majorHAnsi"/>
          <w:sz w:val="20"/>
          <w:szCs w:val="20"/>
          <w:vertAlign w:val="superscript"/>
          <w:lang w:val="es-US"/>
        </w:rPr>
        <w:footnoteReference w:id="83"/>
      </w:r>
      <w:r w:rsidRPr="00386E47">
        <w:rPr>
          <w:rFonts w:asciiTheme="majorHAnsi" w:eastAsia="Calibri" w:hAnsiTheme="majorHAnsi"/>
          <w:sz w:val="20"/>
          <w:szCs w:val="20"/>
          <w:lang w:val="es-US"/>
        </w:rPr>
        <w:t>. De acuerdo también con el Informe Grossman, los investigadores iniciales de la causa, suponían que la AMIA fue elegida como blanco porque era el escenario de manifestaciones en favor del Estado de Israel</w:t>
      </w:r>
      <w:r w:rsidRPr="00386E47">
        <w:rPr>
          <w:rFonts w:asciiTheme="majorHAnsi" w:eastAsia="Calibri" w:hAnsiTheme="majorHAnsi"/>
          <w:sz w:val="20"/>
          <w:szCs w:val="20"/>
          <w:vertAlign w:val="superscript"/>
          <w:lang w:val="es-US"/>
        </w:rPr>
        <w:footnoteReference w:id="84"/>
      </w:r>
      <w:r w:rsidRPr="00386E47">
        <w:rPr>
          <w:rFonts w:asciiTheme="majorHAnsi" w:eastAsia="Calibri" w:hAnsiTheme="majorHAnsi"/>
          <w:sz w:val="20"/>
          <w:szCs w:val="20"/>
          <w:lang w:val="es-US"/>
        </w:rPr>
        <w:t xml:space="preserve">. </w:t>
      </w:r>
    </w:p>
    <w:p w14:paraId="5FD5FD83" w14:textId="77777777" w:rsidR="008B43FD" w:rsidRPr="00386E47" w:rsidRDefault="008B43FD" w:rsidP="008B43FD">
      <w:pPr>
        <w:tabs>
          <w:tab w:val="left" w:pos="567"/>
        </w:tabs>
        <w:jc w:val="both"/>
        <w:rPr>
          <w:rFonts w:asciiTheme="majorHAnsi" w:eastAsia="Calibri" w:hAnsiTheme="majorHAnsi"/>
          <w:sz w:val="20"/>
          <w:szCs w:val="20"/>
          <w:lang w:val="es-US"/>
        </w:rPr>
      </w:pPr>
    </w:p>
    <w:p w14:paraId="2F6B83FA" w14:textId="77777777" w:rsidR="008B43FD" w:rsidRPr="00386E47" w:rsidRDefault="008B43FD" w:rsidP="003A5860">
      <w:pPr>
        <w:numPr>
          <w:ilvl w:val="0"/>
          <w:numId w:val="55"/>
        </w:numPr>
        <w:tabs>
          <w:tab w:val="left" w:pos="567"/>
        </w:tabs>
        <w:ind w:left="0" w:firstLine="0"/>
        <w:contextualSpacing/>
        <w:jc w:val="both"/>
        <w:rPr>
          <w:rFonts w:asciiTheme="majorHAnsi" w:eastAsia="Calibri" w:hAnsiTheme="majorHAnsi"/>
          <w:sz w:val="20"/>
          <w:szCs w:val="20"/>
          <w:lang w:val="es-US"/>
        </w:rPr>
      </w:pPr>
      <w:r w:rsidRPr="00386E47">
        <w:rPr>
          <w:rFonts w:asciiTheme="majorHAnsi" w:eastAsia="Calibri" w:hAnsiTheme="majorHAnsi"/>
          <w:sz w:val="20"/>
          <w:szCs w:val="20"/>
          <w:lang w:val="es-ES"/>
        </w:rPr>
        <w:t>De acuerdo con los peticionarios, después del atentado a la Embajada de Israel y con antelación al atentado de la AMIA, la SIDE se encontraría realizando tareas de seguimiento e inteligencia que tenían como blanco a Moshen Rabanni, agregado cultural de la Embajada de Irán en Argentina, quien habría sido observado  en 1993 mientras recorría diversas concesionarias de automóviles</w:t>
      </w:r>
      <w:r w:rsidRPr="00386E47">
        <w:rPr>
          <w:rFonts w:asciiTheme="majorHAnsi" w:eastAsia="Calibri" w:hAnsiTheme="majorHAnsi"/>
          <w:sz w:val="20"/>
          <w:szCs w:val="20"/>
          <w:vertAlign w:val="superscript"/>
          <w:lang w:val="es-ES"/>
        </w:rPr>
        <w:footnoteReference w:id="85"/>
      </w:r>
      <w:r w:rsidRPr="00386E47">
        <w:rPr>
          <w:rFonts w:asciiTheme="majorHAnsi" w:eastAsia="Calibri" w:hAnsiTheme="majorHAnsi"/>
          <w:sz w:val="20"/>
          <w:szCs w:val="20"/>
          <w:lang w:val="es-ES"/>
        </w:rPr>
        <w:t>. Señalaron también que los teléfonos de la Embajada de Irán se encontrarían intervenidos 45 días antes del atentado a la AMIA, pero que el contenido de esas escuchas fue extraviado</w:t>
      </w:r>
      <w:r w:rsidRPr="00386E47">
        <w:rPr>
          <w:rFonts w:asciiTheme="majorHAnsi" w:eastAsia="Calibri" w:hAnsiTheme="majorHAnsi"/>
          <w:sz w:val="20"/>
          <w:szCs w:val="20"/>
          <w:vertAlign w:val="superscript"/>
          <w:lang w:val="es-ES"/>
        </w:rPr>
        <w:footnoteReference w:id="86"/>
      </w:r>
      <w:r w:rsidRPr="00386E47">
        <w:rPr>
          <w:rFonts w:asciiTheme="majorHAnsi" w:eastAsia="Calibri" w:hAnsiTheme="majorHAnsi"/>
          <w:sz w:val="20"/>
          <w:szCs w:val="20"/>
          <w:lang w:val="es-ES"/>
        </w:rPr>
        <w:t xml:space="preserve">. </w:t>
      </w:r>
    </w:p>
    <w:p w14:paraId="4AB2CB30" w14:textId="77777777" w:rsidR="008B43FD" w:rsidRPr="00386E47" w:rsidRDefault="008B43FD" w:rsidP="00F9080A">
      <w:pPr>
        <w:pStyle w:val="parrafos"/>
        <w:tabs>
          <w:tab w:val="left" w:pos="0"/>
          <w:tab w:val="left" w:pos="567"/>
        </w:tabs>
        <w:rPr>
          <w:b/>
        </w:rPr>
      </w:pPr>
    </w:p>
    <w:p w14:paraId="4829C136" w14:textId="77777777" w:rsidR="00CC4D5C" w:rsidRPr="00386E47" w:rsidRDefault="00FB1535" w:rsidP="009146F2">
      <w:pPr>
        <w:pStyle w:val="Heading3"/>
        <w:numPr>
          <w:ilvl w:val="1"/>
          <w:numId w:val="68"/>
        </w:numPr>
        <w:ind w:left="284" w:firstLine="0"/>
      </w:pPr>
      <w:bookmarkStart w:id="26" w:name="_Toc51252197"/>
      <w:r w:rsidRPr="00386E47">
        <w:t xml:space="preserve">Consideraciones </w:t>
      </w:r>
      <w:r w:rsidR="007A0537" w:rsidRPr="00386E47">
        <w:t>de la Comisión</w:t>
      </w:r>
      <w:r w:rsidR="00C95355" w:rsidRPr="00386E47">
        <w:t xml:space="preserve"> en relación con los derechos a la vida e integridad personal</w:t>
      </w:r>
      <w:r w:rsidR="000F208E" w:rsidRPr="00386E47">
        <w:t xml:space="preserve"> en el caso concreto</w:t>
      </w:r>
      <w:bookmarkEnd w:id="26"/>
    </w:p>
    <w:p w14:paraId="04E6071E" w14:textId="77777777" w:rsidR="000C4D90" w:rsidRPr="00386E47" w:rsidRDefault="007A0537" w:rsidP="003A5860">
      <w:pPr>
        <w:numPr>
          <w:ilvl w:val="0"/>
          <w:numId w:val="55"/>
        </w:numPr>
        <w:tabs>
          <w:tab w:val="left" w:pos="567"/>
        </w:tabs>
        <w:ind w:left="0" w:firstLine="0"/>
        <w:jc w:val="both"/>
        <w:rPr>
          <w:rFonts w:asciiTheme="majorHAnsi" w:hAnsiTheme="majorHAnsi"/>
          <w:lang w:val="es-US"/>
        </w:rPr>
      </w:pPr>
      <w:r w:rsidRPr="00386E47">
        <w:rPr>
          <w:rFonts w:asciiTheme="majorHAnsi" w:hAnsiTheme="majorHAnsi" w:cs="Verdana"/>
          <w:sz w:val="20"/>
          <w:szCs w:val="20"/>
          <w:lang w:val="es-US"/>
        </w:rPr>
        <w:t>E</w:t>
      </w:r>
      <w:r w:rsidR="000C4D90" w:rsidRPr="00386E47">
        <w:rPr>
          <w:rFonts w:asciiTheme="majorHAnsi" w:hAnsiTheme="majorHAnsi" w:cs="Verdana"/>
          <w:sz w:val="20"/>
          <w:szCs w:val="20"/>
          <w:lang w:val="es-US"/>
        </w:rPr>
        <w:t xml:space="preserve">l atentado a la sede de la AMIA dejó 85 personas fallecidas y </w:t>
      </w:r>
      <w:r w:rsidR="00A86CFA" w:rsidRPr="00386E47">
        <w:rPr>
          <w:rFonts w:asciiTheme="majorHAnsi" w:hAnsiTheme="majorHAnsi" w:cs="Verdana"/>
          <w:sz w:val="20"/>
          <w:szCs w:val="20"/>
          <w:lang w:val="es-US"/>
        </w:rPr>
        <w:t>151</w:t>
      </w:r>
      <w:r w:rsidR="000C4D90" w:rsidRPr="00386E47">
        <w:rPr>
          <w:rFonts w:asciiTheme="majorHAnsi" w:hAnsiTheme="majorHAnsi" w:cs="Verdana"/>
          <w:sz w:val="20"/>
          <w:szCs w:val="20"/>
          <w:lang w:val="es-US"/>
        </w:rPr>
        <w:t xml:space="preserve"> heridas. </w:t>
      </w:r>
      <w:r w:rsidR="004C7D54" w:rsidRPr="00386E47">
        <w:rPr>
          <w:rFonts w:asciiTheme="majorHAnsi" w:hAnsiTheme="majorHAnsi" w:cs="Verdana"/>
          <w:sz w:val="20"/>
          <w:szCs w:val="20"/>
          <w:lang w:val="es-US"/>
        </w:rPr>
        <w:t>C</w:t>
      </w:r>
      <w:r w:rsidR="000C4D90" w:rsidRPr="00386E47">
        <w:rPr>
          <w:rFonts w:asciiTheme="majorHAnsi" w:hAnsiTheme="majorHAnsi" w:cs="Verdana"/>
          <w:sz w:val="20"/>
          <w:szCs w:val="20"/>
          <w:lang w:val="es-US"/>
        </w:rPr>
        <w:t xml:space="preserve">omo se ha indicado, no existe una definición única de violencia terrorismo y no corresponde a la CIDH determinar los móviles como se haría en </w:t>
      </w:r>
      <w:r w:rsidR="000C4D90" w:rsidRPr="00386E47">
        <w:rPr>
          <w:rFonts w:asciiTheme="majorHAnsi" w:hAnsiTheme="majorHAnsi" w:cs="Verdana"/>
          <w:sz w:val="20"/>
          <w:szCs w:val="20"/>
          <w:lang w:val="es-US"/>
        </w:rPr>
        <w:lastRenderedPageBreak/>
        <w:t>una investigación penal</w:t>
      </w:r>
      <w:r w:rsidR="004C7D54" w:rsidRPr="00386E47">
        <w:rPr>
          <w:rFonts w:asciiTheme="majorHAnsi" w:hAnsiTheme="majorHAnsi" w:cs="Verdana"/>
          <w:sz w:val="20"/>
          <w:szCs w:val="20"/>
          <w:lang w:val="es-US"/>
        </w:rPr>
        <w:t>. Sin embargo</w:t>
      </w:r>
      <w:r w:rsidR="000C4D90" w:rsidRPr="00386E47">
        <w:rPr>
          <w:rFonts w:asciiTheme="majorHAnsi" w:hAnsiTheme="majorHAnsi" w:cs="Verdana"/>
          <w:sz w:val="20"/>
          <w:szCs w:val="20"/>
          <w:lang w:val="es-US"/>
        </w:rPr>
        <w:t>, a efectos de determinar las consecuencias jurídicas que tiene en las obligaciones del Estado argentino</w:t>
      </w:r>
      <w:r w:rsidR="00640EFC" w:rsidRPr="00386E47">
        <w:rPr>
          <w:rFonts w:asciiTheme="majorHAnsi" w:hAnsiTheme="majorHAnsi" w:cs="Verdana"/>
          <w:sz w:val="20"/>
          <w:szCs w:val="20"/>
          <w:lang w:val="es-US"/>
        </w:rPr>
        <w:t xml:space="preserve"> a la luz del derecho internacional</w:t>
      </w:r>
      <w:r w:rsidR="000C4D90" w:rsidRPr="00386E47">
        <w:rPr>
          <w:rFonts w:asciiTheme="majorHAnsi" w:hAnsiTheme="majorHAnsi" w:cs="Verdana"/>
          <w:sz w:val="20"/>
          <w:szCs w:val="20"/>
          <w:lang w:val="es-US"/>
        </w:rPr>
        <w:t>, con base en los hechos probados y los instrume</w:t>
      </w:r>
      <w:r w:rsidR="004C7D54" w:rsidRPr="00386E47">
        <w:rPr>
          <w:rFonts w:asciiTheme="majorHAnsi" w:hAnsiTheme="majorHAnsi" w:cs="Verdana"/>
          <w:sz w:val="20"/>
          <w:szCs w:val="20"/>
          <w:lang w:val="es-US"/>
        </w:rPr>
        <w:t>ntos internacionales referidos</w:t>
      </w:r>
      <w:r w:rsidR="000C4D90" w:rsidRPr="00386E47">
        <w:rPr>
          <w:rFonts w:asciiTheme="majorHAnsi" w:hAnsiTheme="majorHAnsi" w:cs="Verdana"/>
          <w:sz w:val="20"/>
          <w:szCs w:val="20"/>
          <w:lang w:val="es-US"/>
        </w:rPr>
        <w:t>, la C</w:t>
      </w:r>
      <w:r w:rsidR="004C7D54" w:rsidRPr="00386E47">
        <w:rPr>
          <w:rFonts w:asciiTheme="majorHAnsi" w:hAnsiTheme="majorHAnsi" w:cs="Verdana"/>
          <w:sz w:val="20"/>
          <w:szCs w:val="20"/>
          <w:lang w:val="es-US"/>
        </w:rPr>
        <w:t>omisión</w:t>
      </w:r>
      <w:r w:rsidR="000C4D90" w:rsidRPr="00386E47">
        <w:rPr>
          <w:rFonts w:asciiTheme="majorHAnsi" w:hAnsiTheme="majorHAnsi" w:cs="Verdana"/>
          <w:sz w:val="20"/>
          <w:szCs w:val="20"/>
          <w:lang w:val="es-US"/>
        </w:rPr>
        <w:t xml:space="preserve"> considera necesario afirmar que el atentado materia del presente caso constituye un acto terrorista. Lo anterior, teniendo en cuenta fundamentalmente los siguientes factores: es una acción violenta, que ocasionó la muerte y lesiones de decenas de personas, derivó en un estado de terror y pánico en la población por el método y la violencia empleada, creó una amenaza a la paz y seguridad en la sociedad argentina y a la comunidad judía argentina, y además estuvo dirigido a causar un daño a un grupo identitario como es la comunidad judía argentina.  </w:t>
      </w:r>
    </w:p>
    <w:p w14:paraId="07ABBCDA" w14:textId="77777777" w:rsidR="000C4D90" w:rsidRPr="00386E47" w:rsidRDefault="000C4D90" w:rsidP="000C4D90">
      <w:pPr>
        <w:tabs>
          <w:tab w:val="left" w:pos="567"/>
        </w:tabs>
        <w:jc w:val="both"/>
        <w:rPr>
          <w:rFonts w:asciiTheme="majorHAnsi" w:eastAsia="Calibri" w:hAnsiTheme="majorHAnsi" w:cs="Verdana"/>
          <w:sz w:val="20"/>
          <w:szCs w:val="20"/>
          <w:lang w:val="es-US"/>
        </w:rPr>
      </w:pPr>
    </w:p>
    <w:p w14:paraId="6278BE73" w14:textId="77777777" w:rsidR="000C4D90" w:rsidRPr="00386E47" w:rsidRDefault="000C4D90" w:rsidP="003A5860">
      <w:pPr>
        <w:numPr>
          <w:ilvl w:val="0"/>
          <w:numId w:val="55"/>
        </w:numPr>
        <w:tabs>
          <w:tab w:val="left" w:pos="567"/>
        </w:tabs>
        <w:ind w:left="0" w:firstLine="0"/>
        <w:jc w:val="both"/>
        <w:rPr>
          <w:rFonts w:asciiTheme="majorHAnsi" w:eastAsia="Calibri" w:hAnsiTheme="majorHAnsi" w:cs="Verdana"/>
          <w:sz w:val="20"/>
          <w:szCs w:val="20"/>
          <w:lang w:val="es-US"/>
        </w:rPr>
      </w:pPr>
      <w:r w:rsidRPr="00386E47">
        <w:rPr>
          <w:rFonts w:asciiTheme="majorHAnsi" w:hAnsiTheme="majorHAnsi" w:cs="Verdana"/>
          <w:sz w:val="20"/>
          <w:szCs w:val="20"/>
          <w:lang w:val="es-US"/>
        </w:rPr>
        <w:t xml:space="preserve">En el caso concreto, </w:t>
      </w:r>
      <w:r w:rsidR="004C7D54" w:rsidRPr="00386E47">
        <w:rPr>
          <w:rFonts w:asciiTheme="majorHAnsi" w:hAnsiTheme="majorHAnsi" w:cs="Verdana"/>
          <w:sz w:val="20"/>
          <w:szCs w:val="20"/>
          <w:lang w:val="es-US"/>
        </w:rPr>
        <w:t xml:space="preserve">la Comisión observa que </w:t>
      </w:r>
      <w:r w:rsidRPr="00386E47">
        <w:rPr>
          <w:rFonts w:asciiTheme="majorHAnsi" w:hAnsiTheme="majorHAnsi" w:cs="Verdana"/>
          <w:sz w:val="20"/>
          <w:szCs w:val="20"/>
          <w:lang w:val="es-US"/>
        </w:rPr>
        <w:t xml:space="preserve">no </w:t>
      </w:r>
      <w:r w:rsidR="004C7D54" w:rsidRPr="00386E47">
        <w:rPr>
          <w:rFonts w:asciiTheme="majorHAnsi" w:hAnsiTheme="majorHAnsi" w:cs="Verdana"/>
          <w:sz w:val="20"/>
          <w:szCs w:val="20"/>
          <w:lang w:val="es-US"/>
        </w:rPr>
        <w:t>se encuentra</w:t>
      </w:r>
      <w:r w:rsidRPr="00386E47">
        <w:rPr>
          <w:rFonts w:asciiTheme="majorHAnsi" w:hAnsiTheme="majorHAnsi" w:cs="Verdana"/>
          <w:sz w:val="20"/>
          <w:szCs w:val="20"/>
          <w:lang w:val="es-US"/>
        </w:rPr>
        <w:t xml:space="preserve"> probada la participación de agentes del Estado en las acciones que generaron las afectaciones al derecho</w:t>
      </w:r>
      <w:r w:rsidRPr="00386E47">
        <w:rPr>
          <w:rFonts w:asciiTheme="majorHAnsi" w:hAnsiTheme="majorHAnsi"/>
          <w:sz w:val="20"/>
          <w:szCs w:val="20"/>
          <w:lang w:val="es-AR"/>
        </w:rPr>
        <w:t xml:space="preserve"> a la vida y a la integridad personal. Sin embargo, como se ha indicado, </w:t>
      </w:r>
      <w:r w:rsidRPr="00386E47">
        <w:rPr>
          <w:rFonts w:asciiTheme="majorHAnsi" w:hAnsiTheme="majorHAnsi"/>
          <w:sz w:val="20"/>
          <w:szCs w:val="20"/>
          <w:lang w:val="es-ES_tradnl"/>
        </w:rPr>
        <w:t xml:space="preserve">un Estado puede ser responsable por la falta de debida diligencia al no adoptar medidas que prevengan violaciones de derechos humanos cometidas entre particulares dentro de su jurisdicción. </w:t>
      </w:r>
    </w:p>
    <w:p w14:paraId="4D2F3804" w14:textId="77777777" w:rsidR="000C4D90" w:rsidRPr="00386E47" w:rsidRDefault="000C4D90" w:rsidP="00A311A0">
      <w:pPr>
        <w:tabs>
          <w:tab w:val="left" w:pos="567"/>
        </w:tabs>
        <w:jc w:val="both"/>
        <w:rPr>
          <w:rFonts w:asciiTheme="majorHAnsi" w:eastAsia="Calibri" w:hAnsiTheme="majorHAnsi"/>
          <w:sz w:val="20"/>
          <w:szCs w:val="20"/>
          <w:lang w:val="es-US"/>
        </w:rPr>
      </w:pPr>
    </w:p>
    <w:p w14:paraId="2784BD0F" w14:textId="77777777" w:rsidR="00FB1535" w:rsidRPr="00386E47" w:rsidRDefault="00FB1535" w:rsidP="003A5860">
      <w:pPr>
        <w:numPr>
          <w:ilvl w:val="0"/>
          <w:numId w:val="55"/>
        </w:numPr>
        <w:tabs>
          <w:tab w:val="left" w:pos="567"/>
        </w:tabs>
        <w:ind w:left="0" w:firstLine="0"/>
        <w:jc w:val="both"/>
        <w:rPr>
          <w:rFonts w:asciiTheme="majorHAnsi" w:eastAsia="Calibri" w:hAnsiTheme="majorHAnsi" w:cs="Verdana"/>
          <w:sz w:val="20"/>
          <w:szCs w:val="20"/>
          <w:lang w:val="es-US"/>
        </w:rPr>
      </w:pPr>
      <w:r w:rsidRPr="00386E47">
        <w:rPr>
          <w:rFonts w:asciiTheme="majorHAnsi" w:eastAsia="Calibri" w:hAnsiTheme="majorHAnsi"/>
          <w:sz w:val="20"/>
          <w:szCs w:val="20"/>
          <w:lang w:val="es-AR"/>
        </w:rPr>
        <w:t xml:space="preserve">Para analizar </w:t>
      </w:r>
      <w:r w:rsidR="004C7D54" w:rsidRPr="00386E47">
        <w:rPr>
          <w:rFonts w:asciiTheme="majorHAnsi" w:eastAsia="Calibri" w:hAnsiTheme="majorHAnsi"/>
          <w:sz w:val="20"/>
          <w:szCs w:val="20"/>
          <w:lang w:val="es-AR"/>
        </w:rPr>
        <w:t>el cumplimento de la referida obligación</w:t>
      </w:r>
      <w:r w:rsidRPr="00386E47">
        <w:rPr>
          <w:rFonts w:asciiTheme="majorHAnsi" w:eastAsia="Calibri" w:hAnsiTheme="majorHAnsi"/>
          <w:sz w:val="20"/>
          <w:szCs w:val="20"/>
          <w:lang w:val="es-AR"/>
        </w:rPr>
        <w:t xml:space="preserve">, la </w:t>
      </w:r>
      <w:r w:rsidR="000C4D90" w:rsidRPr="00386E47">
        <w:rPr>
          <w:rFonts w:asciiTheme="majorHAnsi" w:eastAsia="Calibri" w:hAnsiTheme="majorHAnsi"/>
          <w:sz w:val="20"/>
          <w:szCs w:val="20"/>
          <w:lang w:val="es-AR"/>
        </w:rPr>
        <w:t>Comisi</w:t>
      </w:r>
      <w:r w:rsidR="00B04794" w:rsidRPr="00386E47">
        <w:rPr>
          <w:rFonts w:asciiTheme="majorHAnsi" w:eastAsia="Calibri" w:hAnsiTheme="majorHAnsi"/>
          <w:sz w:val="20"/>
          <w:szCs w:val="20"/>
          <w:lang w:val="es-AR"/>
        </w:rPr>
        <w:t xml:space="preserve">ón recuerda </w:t>
      </w:r>
      <w:r w:rsidR="00F54071" w:rsidRPr="00386E47">
        <w:rPr>
          <w:rFonts w:asciiTheme="majorHAnsi" w:eastAsia="Calibri" w:hAnsiTheme="majorHAnsi"/>
          <w:sz w:val="20"/>
          <w:szCs w:val="20"/>
          <w:lang w:val="es-AR"/>
        </w:rPr>
        <w:t>que,</w:t>
      </w:r>
      <w:r w:rsidR="004C7D54" w:rsidRPr="00386E47">
        <w:rPr>
          <w:rFonts w:asciiTheme="majorHAnsi" w:eastAsia="Calibri" w:hAnsiTheme="majorHAnsi"/>
          <w:sz w:val="20"/>
          <w:szCs w:val="20"/>
          <w:lang w:val="es-AR"/>
        </w:rPr>
        <w:t xml:space="preserve"> si bien</w:t>
      </w:r>
      <w:r w:rsidRPr="00386E47">
        <w:rPr>
          <w:rFonts w:asciiTheme="majorHAnsi" w:hAnsiTheme="majorHAnsi"/>
          <w:sz w:val="20"/>
          <w:szCs w:val="20"/>
          <w:lang w:val="es-ES_tradnl"/>
        </w:rPr>
        <w:t xml:space="preserve"> los Estados no son responsables por todo acto terrorista en su jurisdicción, </w:t>
      </w:r>
      <w:r w:rsidRPr="00386E47">
        <w:rPr>
          <w:rFonts w:asciiTheme="majorHAnsi" w:hAnsiTheme="majorHAnsi" w:cs="Verdana"/>
          <w:sz w:val="20"/>
          <w:szCs w:val="20"/>
          <w:lang w:val="es-US"/>
        </w:rPr>
        <w:t>perpetrado por terceros</w:t>
      </w:r>
      <w:r w:rsidR="004C7D54" w:rsidRPr="00386E47">
        <w:rPr>
          <w:rFonts w:asciiTheme="majorHAnsi" w:hAnsiTheme="majorHAnsi" w:cs="Verdana"/>
          <w:sz w:val="20"/>
          <w:szCs w:val="20"/>
          <w:lang w:val="es-US"/>
        </w:rPr>
        <w:t>, un Estado puede ser responsable cuando:</w:t>
      </w:r>
      <w:r w:rsidRPr="00386E47">
        <w:rPr>
          <w:rFonts w:asciiTheme="majorHAnsi" w:eastAsia="Calibri" w:hAnsiTheme="majorHAnsi"/>
          <w:sz w:val="20"/>
          <w:szCs w:val="20"/>
          <w:lang w:val="es-ES_tradnl"/>
        </w:rPr>
        <w:t xml:space="preserve"> </w:t>
      </w:r>
      <w:r w:rsidRPr="00386E47">
        <w:rPr>
          <w:rFonts w:asciiTheme="majorHAnsi" w:eastAsia="Calibri" w:hAnsiTheme="majorHAnsi"/>
          <w:sz w:val="20"/>
          <w:szCs w:val="20"/>
          <w:lang w:val="es-US"/>
        </w:rPr>
        <w:t>i</w:t>
      </w:r>
      <w:r w:rsidR="00F54071" w:rsidRPr="00386E47">
        <w:rPr>
          <w:rFonts w:asciiTheme="majorHAnsi" w:eastAsia="Calibri" w:hAnsiTheme="majorHAnsi"/>
          <w:sz w:val="20"/>
          <w:szCs w:val="20"/>
          <w:lang w:val="es-US"/>
        </w:rPr>
        <w:t>) tenía</w:t>
      </w:r>
      <w:r w:rsidRPr="00386E47">
        <w:rPr>
          <w:rFonts w:asciiTheme="majorHAnsi" w:eastAsia="Calibri" w:hAnsiTheme="majorHAnsi"/>
          <w:sz w:val="20"/>
          <w:szCs w:val="20"/>
          <w:lang w:val="es-US"/>
        </w:rPr>
        <w:t xml:space="preserve"> o debía tener conocimiento de una situación de riesgo; ii) </w:t>
      </w:r>
      <w:r w:rsidR="004C7D54" w:rsidRPr="00386E47">
        <w:rPr>
          <w:rFonts w:asciiTheme="majorHAnsi" w:eastAsia="Calibri" w:hAnsiTheme="majorHAnsi"/>
          <w:sz w:val="20"/>
          <w:szCs w:val="20"/>
          <w:lang w:val="es-US"/>
        </w:rPr>
        <w:t>dicha situación de</w:t>
      </w:r>
      <w:r w:rsidRPr="00386E47">
        <w:rPr>
          <w:rFonts w:asciiTheme="majorHAnsi" w:eastAsia="Calibri" w:hAnsiTheme="majorHAnsi"/>
          <w:sz w:val="20"/>
          <w:szCs w:val="20"/>
          <w:lang w:val="es-US"/>
        </w:rPr>
        <w:t xml:space="preserve"> riesgo era real e inmediat</w:t>
      </w:r>
      <w:r w:rsidR="004C7D54" w:rsidRPr="00386E47">
        <w:rPr>
          <w:rFonts w:asciiTheme="majorHAnsi" w:eastAsia="Calibri" w:hAnsiTheme="majorHAnsi"/>
          <w:sz w:val="20"/>
          <w:szCs w:val="20"/>
          <w:lang w:val="es-US"/>
        </w:rPr>
        <w:t>a</w:t>
      </w:r>
      <w:r w:rsidRPr="00386E47">
        <w:rPr>
          <w:rFonts w:asciiTheme="majorHAnsi" w:eastAsia="Calibri" w:hAnsiTheme="majorHAnsi"/>
          <w:sz w:val="20"/>
          <w:szCs w:val="20"/>
          <w:lang w:val="es-US"/>
        </w:rPr>
        <w:t xml:space="preserve">; y iii) </w:t>
      </w:r>
      <w:r w:rsidR="004C7D54" w:rsidRPr="00386E47">
        <w:rPr>
          <w:rFonts w:asciiTheme="majorHAnsi" w:eastAsia="Calibri" w:hAnsiTheme="majorHAnsi"/>
          <w:sz w:val="20"/>
          <w:szCs w:val="20"/>
          <w:lang w:val="es-US"/>
        </w:rPr>
        <w:t xml:space="preserve">no </w:t>
      </w:r>
      <w:r w:rsidRPr="00386E47">
        <w:rPr>
          <w:rFonts w:asciiTheme="majorHAnsi" w:eastAsia="Calibri" w:hAnsiTheme="majorHAnsi"/>
          <w:sz w:val="20"/>
          <w:szCs w:val="20"/>
          <w:lang w:val="es-US"/>
        </w:rPr>
        <w:t xml:space="preserve">adoptó las medidas que razonablemente se esperaban para evitar que dicho riesgo se verificara. A continuación, la Comisión analizará si en el caso concreto se cumplen tales supuestos.  </w:t>
      </w:r>
    </w:p>
    <w:p w14:paraId="2A55A67E" w14:textId="77777777" w:rsidR="00FB1535" w:rsidRPr="00386E47" w:rsidRDefault="00FB1535" w:rsidP="009600B8">
      <w:pPr>
        <w:pStyle w:val="ListParagraph"/>
        <w:tabs>
          <w:tab w:val="left" w:pos="567"/>
        </w:tabs>
        <w:rPr>
          <w:rFonts w:asciiTheme="majorHAnsi" w:eastAsia="Calibri" w:hAnsiTheme="majorHAnsi"/>
          <w:sz w:val="20"/>
          <w:szCs w:val="20"/>
          <w:bdr w:val="none" w:sz="0" w:space="0" w:color="auto"/>
          <w:lang w:val="es-US"/>
        </w:rPr>
      </w:pPr>
    </w:p>
    <w:p w14:paraId="32E0F289" w14:textId="77777777" w:rsidR="00FB1535" w:rsidRPr="00386E47" w:rsidRDefault="004C7D54" w:rsidP="003A5860">
      <w:pPr>
        <w:numPr>
          <w:ilvl w:val="0"/>
          <w:numId w:val="55"/>
        </w:numPr>
        <w:tabs>
          <w:tab w:val="left" w:pos="567"/>
        </w:tabs>
        <w:ind w:left="0" w:firstLine="0"/>
        <w:jc w:val="both"/>
        <w:rPr>
          <w:rFonts w:asciiTheme="majorHAnsi" w:eastAsia="Calibri" w:hAnsiTheme="majorHAnsi" w:cs="Verdana"/>
          <w:sz w:val="20"/>
          <w:szCs w:val="20"/>
          <w:lang w:val="es-US"/>
        </w:rPr>
      </w:pPr>
      <w:r w:rsidRPr="00386E47">
        <w:rPr>
          <w:rFonts w:asciiTheme="majorHAnsi" w:eastAsia="Calibri" w:hAnsiTheme="majorHAnsi"/>
          <w:sz w:val="20"/>
          <w:szCs w:val="20"/>
          <w:lang w:val="es-US"/>
        </w:rPr>
        <w:t>En cuanto a si</w:t>
      </w:r>
      <w:r w:rsidR="00FB1535" w:rsidRPr="00386E47">
        <w:rPr>
          <w:rFonts w:asciiTheme="majorHAnsi" w:eastAsia="Calibri" w:hAnsiTheme="majorHAnsi"/>
          <w:sz w:val="20"/>
          <w:szCs w:val="20"/>
          <w:lang w:val="es-US"/>
        </w:rPr>
        <w:t xml:space="preserve"> el Estado tenía o debía tener conocimiento de una situación de riesgo</w:t>
      </w:r>
      <w:r w:rsidRPr="00386E47">
        <w:rPr>
          <w:rFonts w:asciiTheme="majorHAnsi" w:eastAsia="Calibri" w:hAnsiTheme="majorHAnsi"/>
          <w:sz w:val="20"/>
          <w:szCs w:val="20"/>
          <w:lang w:val="es-US"/>
        </w:rPr>
        <w:t>, la Comisión observa</w:t>
      </w:r>
      <w:r w:rsidR="00FB1535" w:rsidRPr="00386E47">
        <w:rPr>
          <w:rFonts w:asciiTheme="majorHAnsi" w:eastAsia="Calibri" w:hAnsiTheme="majorHAnsi"/>
          <w:sz w:val="20"/>
          <w:szCs w:val="20"/>
          <w:lang w:val="es-US"/>
        </w:rPr>
        <w:t xml:space="preserve"> que </w:t>
      </w:r>
      <w:r w:rsidR="00FB1535" w:rsidRPr="00386E47">
        <w:rPr>
          <w:rFonts w:asciiTheme="majorHAnsi" w:eastAsia="Calibri" w:hAnsiTheme="majorHAnsi"/>
          <w:sz w:val="20"/>
          <w:szCs w:val="20"/>
          <w:lang w:val="es-AR"/>
        </w:rPr>
        <w:t xml:space="preserve">el atentado a la sede de la AMIA </w:t>
      </w:r>
      <w:r w:rsidR="00262778" w:rsidRPr="00386E47">
        <w:rPr>
          <w:rFonts w:asciiTheme="majorHAnsi" w:eastAsia="Calibri" w:hAnsiTheme="majorHAnsi"/>
          <w:sz w:val="20"/>
          <w:szCs w:val="20"/>
          <w:lang w:val="es-AR"/>
        </w:rPr>
        <w:t>fue el segundo</w:t>
      </w:r>
      <w:r w:rsidR="00FB1535" w:rsidRPr="00386E47">
        <w:rPr>
          <w:rFonts w:asciiTheme="majorHAnsi" w:eastAsia="Calibri" w:hAnsiTheme="majorHAnsi"/>
          <w:sz w:val="20"/>
          <w:szCs w:val="20"/>
          <w:lang w:val="es-AR"/>
        </w:rPr>
        <w:t xml:space="preserve"> acto terrorista dirigido </w:t>
      </w:r>
      <w:r w:rsidR="00262778" w:rsidRPr="00386E47">
        <w:rPr>
          <w:rFonts w:asciiTheme="majorHAnsi" w:eastAsia="Calibri" w:hAnsiTheme="majorHAnsi"/>
          <w:sz w:val="20"/>
          <w:szCs w:val="20"/>
          <w:lang w:val="es-AR"/>
        </w:rPr>
        <w:t xml:space="preserve">en contra </w:t>
      </w:r>
      <w:r w:rsidR="00F54071" w:rsidRPr="00386E47">
        <w:rPr>
          <w:rFonts w:asciiTheme="majorHAnsi" w:eastAsia="Calibri" w:hAnsiTheme="majorHAnsi"/>
          <w:sz w:val="20"/>
          <w:szCs w:val="20"/>
          <w:lang w:val="es-AR"/>
        </w:rPr>
        <w:t>de la</w:t>
      </w:r>
      <w:r w:rsidR="00FB1535" w:rsidRPr="00386E47">
        <w:rPr>
          <w:rFonts w:asciiTheme="majorHAnsi" w:eastAsia="Calibri" w:hAnsiTheme="majorHAnsi"/>
          <w:sz w:val="20"/>
          <w:szCs w:val="20"/>
          <w:lang w:val="es-AR"/>
        </w:rPr>
        <w:t xml:space="preserve"> comunidad judía en Argentina. Su antecedente es el atentado a la Embajada de Israel en 1992, que cobró la vida de 22 personas e hirió a 350. Dicho ataque marcó la memoria de la sociedad argentina, por el tipo de violencia empleada, los efectos causados en las personas que sufrieron el ataque</w:t>
      </w:r>
      <w:r w:rsidR="00262778" w:rsidRPr="00386E47">
        <w:rPr>
          <w:rFonts w:asciiTheme="majorHAnsi" w:eastAsia="Calibri" w:hAnsiTheme="majorHAnsi"/>
          <w:sz w:val="20"/>
          <w:szCs w:val="20"/>
          <w:lang w:val="es-AR"/>
        </w:rPr>
        <w:t xml:space="preserve"> y el objetivo que claramente se desprende del mismo para generar terror</w:t>
      </w:r>
      <w:r w:rsidR="00FB1535" w:rsidRPr="00386E47">
        <w:rPr>
          <w:rFonts w:asciiTheme="majorHAnsi" w:eastAsia="Calibri" w:hAnsiTheme="majorHAnsi"/>
          <w:sz w:val="20"/>
          <w:szCs w:val="20"/>
          <w:lang w:val="es-AR"/>
        </w:rPr>
        <w:t xml:space="preserve">. </w:t>
      </w:r>
      <w:r w:rsidR="00262778" w:rsidRPr="00386E47">
        <w:rPr>
          <w:rFonts w:asciiTheme="majorHAnsi" w:eastAsia="Calibri" w:hAnsiTheme="majorHAnsi"/>
          <w:sz w:val="20"/>
          <w:szCs w:val="20"/>
          <w:lang w:val="es-AR"/>
        </w:rPr>
        <w:t>L</w:t>
      </w:r>
      <w:r w:rsidR="00FB1535" w:rsidRPr="00386E47">
        <w:rPr>
          <w:rFonts w:asciiTheme="majorHAnsi" w:eastAsia="Calibri" w:hAnsiTheme="majorHAnsi"/>
          <w:sz w:val="20"/>
          <w:szCs w:val="20"/>
          <w:lang w:val="es-AR"/>
        </w:rPr>
        <w:t>a gravedad del atentado a la Embajada de Israel en 1992</w:t>
      </w:r>
      <w:r w:rsidR="00262778" w:rsidRPr="00386E47">
        <w:rPr>
          <w:rFonts w:asciiTheme="majorHAnsi" w:eastAsia="Calibri" w:hAnsiTheme="majorHAnsi"/>
          <w:sz w:val="20"/>
          <w:szCs w:val="20"/>
          <w:lang w:val="es-AR"/>
        </w:rPr>
        <w:t xml:space="preserve">, teniendo en cuenta su caracterización como un acto terrorista, </w:t>
      </w:r>
      <w:r w:rsidR="00FB1535" w:rsidRPr="00386E47">
        <w:rPr>
          <w:rFonts w:asciiTheme="majorHAnsi" w:eastAsia="Calibri" w:hAnsiTheme="majorHAnsi"/>
          <w:sz w:val="20"/>
          <w:szCs w:val="20"/>
          <w:lang w:val="es-AR"/>
        </w:rPr>
        <w:t>generó</w:t>
      </w:r>
      <w:r w:rsidRPr="00386E47">
        <w:rPr>
          <w:rFonts w:asciiTheme="majorHAnsi" w:eastAsia="Calibri" w:hAnsiTheme="majorHAnsi"/>
          <w:sz w:val="20"/>
          <w:szCs w:val="20"/>
          <w:lang w:val="es-AR"/>
        </w:rPr>
        <w:t xml:space="preserve"> razonablemente</w:t>
      </w:r>
      <w:r w:rsidR="00FB1535" w:rsidRPr="00386E47">
        <w:rPr>
          <w:rFonts w:asciiTheme="majorHAnsi" w:eastAsia="Calibri" w:hAnsiTheme="majorHAnsi"/>
          <w:sz w:val="20"/>
          <w:szCs w:val="20"/>
          <w:lang w:val="es-AR"/>
        </w:rPr>
        <w:t xml:space="preserve"> una situación de riesgo para esta comunidad y para las personas que tuvieran alguna relación</w:t>
      </w:r>
      <w:r w:rsidR="00262778" w:rsidRPr="00386E47">
        <w:rPr>
          <w:rFonts w:asciiTheme="majorHAnsi" w:eastAsia="Calibri" w:hAnsiTheme="majorHAnsi"/>
          <w:sz w:val="20"/>
          <w:szCs w:val="20"/>
          <w:lang w:val="es-AR"/>
        </w:rPr>
        <w:t xml:space="preserve"> con la misma, que era y debía ser conocida por el Estado</w:t>
      </w:r>
      <w:r w:rsidR="00FB1535" w:rsidRPr="00386E47">
        <w:rPr>
          <w:rFonts w:asciiTheme="majorHAnsi" w:eastAsia="Calibri" w:hAnsiTheme="majorHAnsi"/>
          <w:sz w:val="20"/>
          <w:szCs w:val="20"/>
          <w:lang w:val="es-AR"/>
        </w:rPr>
        <w:t xml:space="preserve">. </w:t>
      </w:r>
      <w:r w:rsidR="00262778" w:rsidRPr="00386E47">
        <w:rPr>
          <w:rFonts w:asciiTheme="majorHAnsi" w:eastAsia="Calibri" w:hAnsiTheme="majorHAnsi"/>
          <w:sz w:val="20"/>
          <w:szCs w:val="20"/>
          <w:lang w:val="es-US"/>
        </w:rPr>
        <w:t xml:space="preserve">En efecto, la </w:t>
      </w:r>
      <w:r w:rsidR="00FB1535" w:rsidRPr="00386E47">
        <w:rPr>
          <w:rFonts w:asciiTheme="majorHAnsi" w:eastAsia="Calibri" w:hAnsiTheme="majorHAnsi"/>
          <w:sz w:val="20"/>
          <w:szCs w:val="20"/>
          <w:lang w:val="es-US"/>
        </w:rPr>
        <w:t xml:space="preserve">especificidad y magnitud del ataque que implica un atentado terrorista </w:t>
      </w:r>
      <w:r w:rsidR="00262778" w:rsidRPr="00386E47">
        <w:rPr>
          <w:rFonts w:asciiTheme="majorHAnsi" w:eastAsia="Calibri" w:hAnsiTheme="majorHAnsi"/>
          <w:sz w:val="20"/>
          <w:szCs w:val="20"/>
          <w:lang w:val="es-US"/>
        </w:rPr>
        <w:t xml:space="preserve">de estas características </w:t>
      </w:r>
      <w:r w:rsidR="00FB1535" w:rsidRPr="00386E47">
        <w:rPr>
          <w:rFonts w:asciiTheme="majorHAnsi" w:eastAsia="Calibri" w:hAnsiTheme="majorHAnsi"/>
          <w:sz w:val="20"/>
          <w:szCs w:val="20"/>
          <w:lang w:val="es-US"/>
        </w:rPr>
        <w:t xml:space="preserve">supone una situación de </w:t>
      </w:r>
      <w:r w:rsidR="00F54071" w:rsidRPr="00386E47">
        <w:rPr>
          <w:rFonts w:asciiTheme="majorHAnsi" w:eastAsia="Calibri" w:hAnsiTheme="majorHAnsi"/>
          <w:sz w:val="20"/>
          <w:szCs w:val="20"/>
          <w:lang w:val="es-US"/>
        </w:rPr>
        <w:t>riesgo para</w:t>
      </w:r>
      <w:r w:rsidR="00FB1535" w:rsidRPr="00386E47">
        <w:rPr>
          <w:rFonts w:asciiTheme="majorHAnsi" w:eastAsia="Calibri" w:hAnsiTheme="majorHAnsi"/>
          <w:sz w:val="20"/>
          <w:szCs w:val="20"/>
          <w:lang w:val="es-US"/>
        </w:rPr>
        <w:t xml:space="preserve"> las personas o comunidades a las que se dir</w:t>
      </w:r>
      <w:r w:rsidR="00B04794" w:rsidRPr="00386E47">
        <w:rPr>
          <w:rFonts w:asciiTheme="majorHAnsi" w:eastAsia="Calibri" w:hAnsiTheme="majorHAnsi"/>
          <w:sz w:val="20"/>
          <w:szCs w:val="20"/>
          <w:lang w:val="es-US"/>
        </w:rPr>
        <w:t>i</w:t>
      </w:r>
      <w:r w:rsidR="00FB1535" w:rsidRPr="00386E47">
        <w:rPr>
          <w:rFonts w:asciiTheme="majorHAnsi" w:eastAsia="Calibri" w:hAnsiTheme="majorHAnsi"/>
          <w:sz w:val="20"/>
          <w:szCs w:val="20"/>
          <w:lang w:val="es-US"/>
        </w:rPr>
        <w:t xml:space="preserve">gía o se relacionan con aquellas. </w:t>
      </w:r>
      <w:r w:rsidR="00B04794" w:rsidRPr="00386E47">
        <w:rPr>
          <w:rFonts w:asciiTheme="majorHAnsi" w:eastAsia="Calibri" w:hAnsiTheme="majorHAnsi"/>
          <w:sz w:val="20"/>
          <w:szCs w:val="20"/>
          <w:lang w:val="es-US"/>
        </w:rPr>
        <w:t>E</w:t>
      </w:r>
      <w:r w:rsidR="00FB1535" w:rsidRPr="00386E47">
        <w:rPr>
          <w:rFonts w:asciiTheme="majorHAnsi" w:eastAsia="Calibri" w:hAnsiTheme="majorHAnsi"/>
          <w:sz w:val="20"/>
          <w:szCs w:val="20"/>
          <w:lang w:val="es-US"/>
        </w:rPr>
        <w:t xml:space="preserve">sta situación de </w:t>
      </w:r>
      <w:r w:rsidR="00F54071" w:rsidRPr="00386E47">
        <w:rPr>
          <w:rFonts w:asciiTheme="majorHAnsi" w:eastAsia="Calibri" w:hAnsiTheme="majorHAnsi"/>
          <w:sz w:val="20"/>
          <w:szCs w:val="20"/>
          <w:lang w:val="es-US"/>
        </w:rPr>
        <w:t>riesgo, se</w:t>
      </w:r>
      <w:r w:rsidR="00FB1535" w:rsidRPr="00386E47">
        <w:rPr>
          <w:rFonts w:asciiTheme="majorHAnsi" w:eastAsia="Calibri" w:hAnsiTheme="majorHAnsi"/>
          <w:sz w:val="20"/>
          <w:szCs w:val="20"/>
          <w:lang w:val="es-US"/>
        </w:rPr>
        <w:t xml:space="preserve"> extendía a los lugares de congregación de la comunidad</w:t>
      </w:r>
      <w:r w:rsidR="00262778" w:rsidRPr="00386E47">
        <w:rPr>
          <w:rFonts w:asciiTheme="majorHAnsi" w:eastAsia="Calibri" w:hAnsiTheme="majorHAnsi"/>
          <w:sz w:val="20"/>
          <w:szCs w:val="20"/>
          <w:lang w:val="es-US"/>
        </w:rPr>
        <w:t xml:space="preserve"> </w:t>
      </w:r>
      <w:r w:rsidR="00F54071" w:rsidRPr="00386E47">
        <w:rPr>
          <w:rFonts w:asciiTheme="majorHAnsi" w:eastAsia="Calibri" w:hAnsiTheme="majorHAnsi"/>
          <w:sz w:val="20"/>
          <w:szCs w:val="20"/>
          <w:lang w:val="es-US"/>
        </w:rPr>
        <w:t>judía, específicamente</w:t>
      </w:r>
      <w:r w:rsidR="00FB1535" w:rsidRPr="00386E47">
        <w:rPr>
          <w:rFonts w:asciiTheme="majorHAnsi" w:eastAsia="Calibri" w:hAnsiTheme="majorHAnsi"/>
          <w:sz w:val="20"/>
          <w:szCs w:val="20"/>
          <w:lang w:val="es-US"/>
        </w:rPr>
        <w:t xml:space="preserve"> </w:t>
      </w:r>
      <w:r w:rsidR="00262778" w:rsidRPr="00386E47">
        <w:rPr>
          <w:rFonts w:asciiTheme="majorHAnsi" w:eastAsia="Calibri" w:hAnsiTheme="majorHAnsi"/>
          <w:sz w:val="20"/>
          <w:szCs w:val="20"/>
          <w:lang w:val="es-US"/>
        </w:rPr>
        <w:t xml:space="preserve">siendo uno de ellos </w:t>
      </w:r>
      <w:r w:rsidR="00FB1535" w:rsidRPr="00386E47">
        <w:rPr>
          <w:rFonts w:asciiTheme="majorHAnsi" w:eastAsia="Calibri" w:hAnsiTheme="majorHAnsi"/>
          <w:sz w:val="20"/>
          <w:szCs w:val="20"/>
          <w:lang w:val="es-US"/>
        </w:rPr>
        <w:t>el edificio de la AMIA</w:t>
      </w:r>
      <w:r w:rsidR="00262778" w:rsidRPr="00386E47">
        <w:rPr>
          <w:rFonts w:asciiTheme="majorHAnsi" w:eastAsia="Calibri" w:hAnsiTheme="majorHAnsi"/>
          <w:sz w:val="20"/>
          <w:szCs w:val="20"/>
          <w:lang w:val="es-US"/>
        </w:rPr>
        <w:t xml:space="preserve"> y la D</w:t>
      </w:r>
      <w:r w:rsidR="0066097F" w:rsidRPr="00386E47">
        <w:rPr>
          <w:rFonts w:asciiTheme="majorHAnsi" w:eastAsia="Calibri" w:hAnsiTheme="majorHAnsi"/>
          <w:sz w:val="20"/>
          <w:szCs w:val="20"/>
          <w:lang w:val="es-US"/>
        </w:rPr>
        <w:t>A</w:t>
      </w:r>
      <w:r w:rsidR="00262778" w:rsidRPr="00386E47">
        <w:rPr>
          <w:rFonts w:asciiTheme="majorHAnsi" w:eastAsia="Calibri" w:hAnsiTheme="majorHAnsi"/>
          <w:sz w:val="20"/>
          <w:szCs w:val="20"/>
          <w:lang w:val="es-US"/>
        </w:rPr>
        <w:t>IA</w:t>
      </w:r>
      <w:r w:rsidR="00FB1535" w:rsidRPr="00386E47">
        <w:rPr>
          <w:rFonts w:asciiTheme="majorHAnsi" w:eastAsia="Calibri" w:hAnsiTheme="majorHAnsi"/>
          <w:sz w:val="20"/>
          <w:szCs w:val="20"/>
          <w:lang w:val="es-AR"/>
        </w:rPr>
        <w:t xml:space="preserve">. </w:t>
      </w:r>
      <w:r w:rsidR="00262778" w:rsidRPr="00386E47">
        <w:rPr>
          <w:rFonts w:asciiTheme="majorHAnsi" w:eastAsia="Calibri" w:hAnsiTheme="majorHAnsi"/>
          <w:sz w:val="20"/>
          <w:szCs w:val="20"/>
          <w:lang w:val="es-AR"/>
        </w:rPr>
        <w:t xml:space="preserve"> En el presente caso, muestra de que el Estado específicamente identificó y conoció de esta situación de riesgo, fue que</w:t>
      </w:r>
      <w:r w:rsidR="00FB1535" w:rsidRPr="00386E47">
        <w:rPr>
          <w:rFonts w:asciiTheme="majorHAnsi" w:eastAsia="Calibri" w:hAnsiTheme="majorHAnsi"/>
          <w:sz w:val="20"/>
          <w:szCs w:val="20"/>
          <w:lang w:val="es-AR"/>
        </w:rPr>
        <w:t xml:space="preserve"> </w:t>
      </w:r>
      <w:r w:rsidR="00B04794" w:rsidRPr="00386E47">
        <w:rPr>
          <w:rFonts w:asciiTheme="majorHAnsi" w:eastAsia="Calibri" w:hAnsiTheme="majorHAnsi"/>
          <w:sz w:val="20"/>
          <w:szCs w:val="20"/>
          <w:lang w:val="es-AR"/>
        </w:rPr>
        <w:t xml:space="preserve">efectivamente </w:t>
      </w:r>
      <w:r w:rsidR="00FB1535" w:rsidRPr="00386E47">
        <w:rPr>
          <w:rFonts w:asciiTheme="majorHAnsi" w:eastAsia="Calibri" w:hAnsiTheme="majorHAnsi"/>
          <w:sz w:val="20"/>
          <w:szCs w:val="20"/>
          <w:lang w:val="es-AR"/>
        </w:rPr>
        <w:t>dispuso que la Policía Federal custodiara el edificio ubicado en la Calle Pasteur de forma permanente, 24 horas al día.</w:t>
      </w:r>
    </w:p>
    <w:p w14:paraId="7AC54589" w14:textId="77777777" w:rsidR="00FB1535" w:rsidRPr="00386E47" w:rsidRDefault="00FB1535" w:rsidP="009600B8">
      <w:pPr>
        <w:pStyle w:val="ListParagraph"/>
        <w:tabs>
          <w:tab w:val="left" w:pos="567"/>
        </w:tabs>
        <w:rPr>
          <w:rFonts w:asciiTheme="majorHAnsi" w:eastAsia="Calibri" w:hAnsiTheme="majorHAnsi"/>
          <w:sz w:val="20"/>
          <w:szCs w:val="20"/>
          <w:bdr w:val="none" w:sz="0" w:space="0" w:color="auto"/>
          <w:lang w:val="es-AR"/>
        </w:rPr>
      </w:pPr>
    </w:p>
    <w:p w14:paraId="7D099BD1" w14:textId="77777777" w:rsidR="00FB1535" w:rsidRPr="00386E47" w:rsidRDefault="004C7D54" w:rsidP="003A5860">
      <w:pPr>
        <w:numPr>
          <w:ilvl w:val="0"/>
          <w:numId w:val="55"/>
        </w:numPr>
        <w:tabs>
          <w:tab w:val="left" w:pos="567"/>
        </w:tabs>
        <w:ind w:left="0" w:firstLine="0"/>
        <w:jc w:val="both"/>
        <w:rPr>
          <w:rFonts w:asciiTheme="majorHAnsi" w:eastAsia="Calibri" w:hAnsiTheme="majorHAnsi" w:cs="Verdana"/>
          <w:sz w:val="20"/>
          <w:szCs w:val="20"/>
          <w:lang w:val="es-US"/>
        </w:rPr>
      </w:pPr>
      <w:r w:rsidRPr="00386E47">
        <w:rPr>
          <w:rFonts w:asciiTheme="majorHAnsi" w:eastAsia="Calibri" w:hAnsiTheme="majorHAnsi"/>
          <w:sz w:val="20"/>
          <w:szCs w:val="20"/>
          <w:lang w:val="es-AR"/>
        </w:rPr>
        <w:t>En cuanto a</w:t>
      </w:r>
      <w:r w:rsidR="00FB1535" w:rsidRPr="00386E47">
        <w:rPr>
          <w:rFonts w:asciiTheme="majorHAnsi" w:eastAsia="Calibri" w:hAnsiTheme="majorHAnsi"/>
          <w:sz w:val="20"/>
          <w:szCs w:val="20"/>
          <w:lang w:val="es-AR"/>
        </w:rPr>
        <w:t xml:space="preserve"> s</w:t>
      </w:r>
      <w:r w:rsidR="00FB1535" w:rsidRPr="00386E47">
        <w:rPr>
          <w:rFonts w:asciiTheme="majorHAnsi" w:eastAsia="Calibri" w:hAnsiTheme="majorHAnsi"/>
          <w:sz w:val="20"/>
          <w:szCs w:val="20"/>
          <w:lang w:val="es-US"/>
        </w:rPr>
        <w:t xml:space="preserve">i dicho riesgo era real e inmediato, la </w:t>
      </w:r>
      <w:r w:rsidRPr="00386E47">
        <w:rPr>
          <w:rFonts w:asciiTheme="majorHAnsi" w:eastAsia="Calibri" w:hAnsiTheme="majorHAnsi"/>
          <w:sz w:val="20"/>
          <w:szCs w:val="20"/>
          <w:lang w:val="es-US"/>
        </w:rPr>
        <w:t xml:space="preserve">Comisión </w:t>
      </w:r>
      <w:r w:rsidR="00FB1535" w:rsidRPr="00386E47">
        <w:rPr>
          <w:rFonts w:asciiTheme="majorHAnsi" w:eastAsia="Calibri" w:hAnsiTheme="majorHAnsi"/>
          <w:sz w:val="20"/>
          <w:szCs w:val="20"/>
          <w:lang w:val="es-US"/>
        </w:rPr>
        <w:t>observa que</w:t>
      </w:r>
      <w:r w:rsidR="00B04794" w:rsidRPr="00386E47">
        <w:rPr>
          <w:rFonts w:asciiTheme="majorHAnsi" w:eastAsia="Calibri" w:hAnsiTheme="majorHAnsi"/>
          <w:sz w:val="20"/>
          <w:szCs w:val="20"/>
          <w:lang w:val="es-US"/>
        </w:rPr>
        <w:t>,</w:t>
      </w:r>
      <w:r w:rsidR="00FB1535" w:rsidRPr="00386E47">
        <w:rPr>
          <w:rFonts w:asciiTheme="majorHAnsi" w:eastAsia="Calibri" w:hAnsiTheme="majorHAnsi"/>
          <w:sz w:val="20"/>
          <w:szCs w:val="20"/>
          <w:lang w:val="es-US"/>
        </w:rPr>
        <w:t xml:space="preserve"> para la época del atentado de la AMIA, no existía </w:t>
      </w:r>
      <w:r w:rsidR="00B04794" w:rsidRPr="00386E47">
        <w:rPr>
          <w:rFonts w:asciiTheme="majorHAnsi" w:eastAsia="Calibri" w:hAnsiTheme="majorHAnsi"/>
          <w:sz w:val="20"/>
          <w:szCs w:val="20"/>
          <w:lang w:val="es-US"/>
        </w:rPr>
        <w:t xml:space="preserve">una </w:t>
      </w:r>
      <w:r w:rsidR="00FB1535" w:rsidRPr="00386E47">
        <w:rPr>
          <w:rFonts w:asciiTheme="majorHAnsi" w:eastAsia="Calibri" w:hAnsiTheme="majorHAnsi"/>
          <w:sz w:val="20"/>
          <w:szCs w:val="20"/>
          <w:lang w:val="es-US"/>
        </w:rPr>
        <w:t>decisión judicial que hubiese determinado la verdad de lo ocurrido en el atentado de la Embajada de Israel y castigado a los</w:t>
      </w:r>
      <w:r w:rsidR="00B04794" w:rsidRPr="00386E47">
        <w:rPr>
          <w:rFonts w:asciiTheme="majorHAnsi" w:eastAsia="Calibri" w:hAnsiTheme="majorHAnsi"/>
          <w:sz w:val="20"/>
          <w:szCs w:val="20"/>
          <w:lang w:val="es-US"/>
        </w:rPr>
        <w:t xml:space="preserve"> responsables. La Comisión resalta que la ocurrencia de un ataque como el ocurrido en contra de la Embajada, necesariamente involucró a una serie de actores o redes que participan en su planificación y ejecución. En este sentido, la ausencia de una desarticulación y sanción a los responsables, hacía que se mantuviera una latente </w:t>
      </w:r>
      <w:r w:rsidR="00262778" w:rsidRPr="00386E47">
        <w:rPr>
          <w:rFonts w:asciiTheme="majorHAnsi" w:eastAsia="Calibri" w:hAnsiTheme="majorHAnsi"/>
          <w:sz w:val="20"/>
          <w:szCs w:val="20"/>
          <w:lang w:val="es-US"/>
        </w:rPr>
        <w:t xml:space="preserve">situación de inseguridad </w:t>
      </w:r>
      <w:r w:rsidRPr="00386E47">
        <w:rPr>
          <w:rFonts w:asciiTheme="majorHAnsi" w:eastAsia="Calibri" w:hAnsiTheme="majorHAnsi"/>
          <w:sz w:val="20"/>
          <w:szCs w:val="20"/>
          <w:lang w:val="es-US"/>
        </w:rPr>
        <w:t xml:space="preserve">propicia para </w:t>
      </w:r>
      <w:r w:rsidR="00262778" w:rsidRPr="00386E47">
        <w:rPr>
          <w:rFonts w:asciiTheme="majorHAnsi" w:eastAsia="Calibri" w:hAnsiTheme="majorHAnsi"/>
          <w:sz w:val="20"/>
          <w:szCs w:val="20"/>
          <w:lang w:val="es-US"/>
        </w:rPr>
        <w:t>un nuevo ataque</w:t>
      </w:r>
      <w:r w:rsidR="00B04794" w:rsidRPr="00386E47">
        <w:rPr>
          <w:rFonts w:asciiTheme="majorHAnsi" w:eastAsia="Calibri" w:hAnsiTheme="majorHAnsi"/>
          <w:sz w:val="20"/>
          <w:szCs w:val="20"/>
          <w:lang w:val="es-US"/>
        </w:rPr>
        <w:t>.</w:t>
      </w:r>
      <w:r w:rsidR="00262778" w:rsidRPr="00386E47">
        <w:rPr>
          <w:rFonts w:asciiTheme="majorHAnsi" w:eastAsia="Calibri" w:hAnsiTheme="majorHAnsi"/>
          <w:sz w:val="20"/>
          <w:szCs w:val="20"/>
          <w:lang w:val="es-US"/>
        </w:rPr>
        <w:t xml:space="preserve"> </w:t>
      </w:r>
      <w:r w:rsidR="00FB1535" w:rsidRPr="00386E47">
        <w:rPr>
          <w:rFonts w:asciiTheme="majorHAnsi" w:eastAsia="Calibri" w:hAnsiTheme="majorHAnsi"/>
          <w:sz w:val="20"/>
          <w:szCs w:val="20"/>
          <w:lang w:val="es-US"/>
        </w:rPr>
        <w:t xml:space="preserve">Además, la Comisión </w:t>
      </w:r>
      <w:r w:rsidR="00262778" w:rsidRPr="00386E47">
        <w:rPr>
          <w:rFonts w:asciiTheme="majorHAnsi" w:eastAsia="Calibri" w:hAnsiTheme="majorHAnsi"/>
          <w:sz w:val="20"/>
          <w:szCs w:val="20"/>
          <w:lang w:val="es-US"/>
        </w:rPr>
        <w:t xml:space="preserve">nota </w:t>
      </w:r>
      <w:r w:rsidR="00FB1535" w:rsidRPr="00386E47">
        <w:rPr>
          <w:rFonts w:asciiTheme="majorHAnsi" w:eastAsia="Calibri" w:hAnsiTheme="majorHAnsi"/>
          <w:sz w:val="20"/>
          <w:szCs w:val="20"/>
          <w:lang w:val="es-US"/>
        </w:rPr>
        <w:t xml:space="preserve">que dos hechos de alerta ocurrieron </w:t>
      </w:r>
      <w:r w:rsidR="00787972" w:rsidRPr="00386E47">
        <w:rPr>
          <w:rFonts w:asciiTheme="majorHAnsi" w:eastAsia="Calibri" w:hAnsiTheme="majorHAnsi"/>
          <w:sz w:val="20"/>
          <w:szCs w:val="20"/>
          <w:lang w:val="es-US"/>
        </w:rPr>
        <w:t xml:space="preserve">en los </w:t>
      </w:r>
      <w:r w:rsidR="00FB1535" w:rsidRPr="00386E47">
        <w:rPr>
          <w:rFonts w:asciiTheme="majorHAnsi" w:eastAsia="Calibri" w:hAnsiTheme="majorHAnsi"/>
          <w:sz w:val="20"/>
          <w:szCs w:val="20"/>
          <w:lang w:val="es-US"/>
        </w:rPr>
        <w:t>días previos al atentado, que demuestran la inmediatez del riesgo, a saber, las declaraciones del ciudadano brasileño Wilson Dos Santos a la cónsul argentina en Milán y el sobrevuelo de un helicóptero al edificio de la AMIA, ambos ocurridos días o momentos previos al atentado de 1994.</w:t>
      </w:r>
    </w:p>
    <w:p w14:paraId="74AB9549" w14:textId="77777777" w:rsidR="00FB1535" w:rsidRPr="00386E47" w:rsidRDefault="00FB1535" w:rsidP="009600B8">
      <w:pPr>
        <w:pStyle w:val="ListParagraph"/>
        <w:tabs>
          <w:tab w:val="left" w:pos="567"/>
        </w:tabs>
        <w:rPr>
          <w:rFonts w:asciiTheme="majorHAnsi" w:eastAsia="Calibri" w:hAnsiTheme="majorHAnsi"/>
          <w:sz w:val="20"/>
          <w:szCs w:val="20"/>
          <w:bdr w:val="none" w:sz="0" w:space="0" w:color="auto"/>
          <w:lang w:val="es-US"/>
        </w:rPr>
      </w:pPr>
    </w:p>
    <w:p w14:paraId="758B152A" w14:textId="77777777" w:rsidR="00FB1535" w:rsidRPr="00386E47" w:rsidRDefault="00FB1535" w:rsidP="003A5860">
      <w:pPr>
        <w:numPr>
          <w:ilvl w:val="0"/>
          <w:numId w:val="55"/>
        </w:numPr>
        <w:tabs>
          <w:tab w:val="left" w:pos="567"/>
        </w:tabs>
        <w:ind w:left="0" w:firstLine="0"/>
        <w:jc w:val="both"/>
        <w:rPr>
          <w:rFonts w:asciiTheme="majorHAnsi" w:eastAsia="Calibri" w:hAnsiTheme="majorHAnsi" w:cs="Verdana"/>
          <w:sz w:val="20"/>
          <w:szCs w:val="20"/>
          <w:lang w:val="es-US"/>
        </w:rPr>
      </w:pPr>
      <w:r w:rsidRPr="00386E47">
        <w:rPr>
          <w:rFonts w:asciiTheme="majorHAnsi" w:eastAsia="Calibri" w:hAnsiTheme="majorHAnsi"/>
          <w:sz w:val="20"/>
          <w:szCs w:val="20"/>
          <w:lang w:val="es-US"/>
        </w:rPr>
        <w:t xml:space="preserve">En relación con las afirmaciones del ciudadano brasileño Wilson Dos Santos, </w:t>
      </w:r>
      <w:r w:rsidRPr="00386E47">
        <w:rPr>
          <w:rFonts w:asciiTheme="majorHAnsi" w:eastAsia="Calibri" w:hAnsiTheme="majorHAnsi" w:cs="Verdana"/>
          <w:sz w:val="20"/>
          <w:szCs w:val="20"/>
          <w:lang w:val="es-US"/>
        </w:rPr>
        <w:t xml:space="preserve">la Comisión observa que aquel se presentó para aportar información del atentado sobre la Embajada de Israel y llamó la atención sobre la presencia de una persona sospechosa. Además, las declaraciones de Dos Santos dan cuenta de un riesgo real porque se refieren a una persona que no tendría documentación legal y que podría estar involucrada con hechos de altísima gravedad, que se encontraría libre y podría continuar en actividades delictivas similares al atentado de la Embajada. </w:t>
      </w:r>
    </w:p>
    <w:p w14:paraId="73B7F201" w14:textId="77777777" w:rsidR="00FB1535" w:rsidRPr="00386E47" w:rsidRDefault="00FB1535" w:rsidP="009600B8">
      <w:pPr>
        <w:pStyle w:val="ListParagraph"/>
        <w:tabs>
          <w:tab w:val="left" w:pos="567"/>
        </w:tabs>
        <w:rPr>
          <w:rFonts w:asciiTheme="majorHAnsi" w:eastAsia="Calibri" w:hAnsiTheme="majorHAnsi"/>
          <w:sz w:val="20"/>
          <w:szCs w:val="20"/>
          <w:bdr w:val="none" w:sz="0" w:space="0" w:color="auto"/>
          <w:lang w:val="es-US"/>
        </w:rPr>
      </w:pPr>
    </w:p>
    <w:p w14:paraId="72CBF30B" w14:textId="77777777" w:rsidR="00FB1535" w:rsidRPr="00386E47" w:rsidRDefault="007F48A5" w:rsidP="003A5860">
      <w:pPr>
        <w:numPr>
          <w:ilvl w:val="0"/>
          <w:numId w:val="55"/>
        </w:numPr>
        <w:tabs>
          <w:tab w:val="left" w:pos="567"/>
        </w:tabs>
        <w:ind w:left="0" w:firstLine="0"/>
        <w:jc w:val="both"/>
        <w:rPr>
          <w:rFonts w:asciiTheme="majorHAnsi" w:eastAsia="Calibri" w:hAnsiTheme="majorHAnsi" w:cs="Verdana"/>
          <w:sz w:val="20"/>
          <w:szCs w:val="20"/>
          <w:lang w:val="es-US"/>
        </w:rPr>
      </w:pPr>
      <w:r w:rsidRPr="00386E47">
        <w:rPr>
          <w:rFonts w:asciiTheme="majorHAnsi" w:eastAsia="Calibri" w:hAnsiTheme="majorHAnsi"/>
          <w:sz w:val="20"/>
          <w:szCs w:val="20"/>
          <w:lang w:val="es-US"/>
        </w:rPr>
        <w:t>Respecto de</w:t>
      </w:r>
      <w:r w:rsidR="00FB1535" w:rsidRPr="00386E47">
        <w:rPr>
          <w:rFonts w:asciiTheme="majorHAnsi" w:eastAsia="Calibri" w:hAnsiTheme="majorHAnsi"/>
          <w:sz w:val="20"/>
          <w:szCs w:val="20"/>
          <w:lang w:val="es-US"/>
        </w:rPr>
        <w:t xml:space="preserve"> la actividad del helicóptero a baja altura sobre el edificio de la AMIA en la noche del 17 de julio de 1994, la Comisión encuentra que este hecho denotaba actualidad e inmediatez de situaciones particulares que merecían especial atención para un lugar sobre el cual pende una situación general de riesgo. Si el Estado conocía </w:t>
      </w:r>
      <w:r w:rsidR="00FB1535" w:rsidRPr="00386E47">
        <w:rPr>
          <w:rFonts w:asciiTheme="majorHAnsi" w:eastAsia="Calibri" w:hAnsiTheme="majorHAnsi"/>
          <w:sz w:val="20"/>
          <w:szCs w:val="20"/>
          <w:lang w:val="es-US"/>
        </w:rPr>
        <w:lastRenderedPageBreak/>
        <w:t xml:space="preserve">que el edificio debía ser custodiado, e incluso había dispuesto medidas para ello y para controlar el tráfico terrestre, </w:t>
      </w:r>
      <w:r w:rsidR="00A86CFA" w:rsidRPr="00386E47">
        <w:rPr>
          <w:rFonts w:asciiTheme="majorHAnsi" w:eastAsia="Calibri" w:hAnsiTheme="majorHAnsi"/>
          <w:sz w:val="20"/>
          <w:szCs w:val="20"/>
          <w:lang w:val="es-US"/>
        </w:rPr>
        <w:t>debía hacer seguimiento si existía un helicóptero sobrevolando el lugar.</w:t>
      </w:r>
    </w:p>
    <w:p w14:paraId="1537CF61" w14:textId="77777777" w:rsidR="00FB1535" w:rsidRPr="00386E47" w:rsidRDefault="00FB1535" w:rsidP="009600B8">
      <w:pPr>
        <w:tabs>
          <w:tab w:val="left" w:pos="567"/>
        </w:tabs>
        <w:rPr>
          <w:rFonts w:asciiTheme="majorHAnsi" w:eastAsia="Calibri" w:hAnsiTheme="majorHAnsi"/>
          <w:sz w:val="20"/>
          <w:szCs w:val="20"/>
          <w:lang w:val="es-AR"/>
        </w:rPr>
      </w:pPr>
    </w:p>
    <w:p w14:paraId="191B82C0" w14:textId="77777777" w:rsidR="00FB1535" w:rsidRPr="00386E47" w:rsidRDefault="00FB1535" w:rsidP="003A5860">
      <w:pPr>
        <w:numPr>
          <w:ilvl w:val="0"/>
          <w:numId w:val="55"/>
        </w:numPr>
        <w:tabs>
          <w:tab w:val="left" w:pos="567"/>
        </w:tabs>
        <w:ind w:left="0" w:firstLine="0"/>
        <w:jc w:val="both"/>
        <w:rPr>
          <w:rFonts w:asciiTheme="majorHAnsi" w:eastAsia="Calibri" w:hAnsiTheme="majorHAnsi" w:cs="Verdana"/>
          <w:sz w:val="20"/>
          <w:szCs w:val="20"/>
          <w:lang w:val="es-US"/>
        </w:rPr>
      </w:pPr>
      <w:r w:rsidRPr="00386E47">
        <w:rPr>
          <w:rFonts w:asciiTheme="majorHAnsi" w:eastAsia="Calibri" w:hAnsiTheme="majorHAnsi"/>
          <w:sz w:val="20"/>
          <w:szCs w:val="20"/>
          <w:lang w:val="es-AR"/>
        </w:rPr>
        <w:t xml:space="preserve"> </w:t>
      </w:r>
      <w:r w:rsidR="004C7D54" w:rsidRPr="00386E47">
        <w:rPr>
          <w:rFonts w:asciiTheme="majorHAnsi" w:eastAsia="Calibri" w:hAnsiTheme="majorHAnsi"/>
          <w:sz w:val="20"/>
          <w:szCs w:val="20"/>
          <w:lang w:val="es-AR"/>
        </w:rPr>
        <w:t>En cuanto a</w:t>
      </w:r>
      <w:r w:rsidRPr="00386E47">
        <w:rPr>
          <w:rFonts w:asciiTheme="majorHAnsi" w:eastAsia="Calibri" w:hAnsiTheme="majorHAnsi"/>
          <w:sz w:val="20"/>
          <w:szCs w:val="20"/>
          <w:lang w:val="es-AR"/>
        </w:rPr>
        <w:t xml:space="preserve"> </w:t>
      </w:r>
      <w:r w:rsidRPr="00386E47">
        <w:rPr>
          <w:rFonts w:asciiTheme="majorHAnsi" w:eastAsia="Calibri" w:hAnsiTheme="majorHAnsi"/>
          <w:sz w:val="20"/>
          <w:szCs w:val="20"/>
          <w:lang w:val="es-US"/>
        </w:rPr>
        <w:t>si el Estado adoptó las medidas que razonablemente se esperaban para evitar que dicho riesgo se verificara, la Comisión subraya que el Estado conocía del riesgo general para la comunidad judía en Argentina y sus edificios, sin embargo</w:t>
      </w:r>
      <w:r w:rsidR="004C7D54" w:rsidRPr="00386E47">
        <w:rPr>
          <w:rFonts w:asciiTheme="majorHAnsi" w:eastAsia="Calibri" w:hAnsiTheme="majorHAnsi"/>
          <w:sz w:val="20"/>
          <w:szCs w:val="20"/>
          <w:lang w:val="es-US"/>
        </w:rPr>
        <w:t xml:space="preserve">, no consta que hubiese adoptado medidas dirigidas a </w:t>
      </w:r>
      <w:r w:rsidRPr="00386E47">
        <w:rPr>
          <w:rFonts w:asciiTheme="majorHAnsi" w:eastAsia="Calibri" w:hAnsiTheme="majorHAnsi"/>
          <w:sz w:val="20"/>
          <w:szCs w:val="20"/>
          <w:lang w:val="es-US"/>
        </w:rPr>
        <w:t>desestructurar eventuales planes terroristas después del ataque a la Embajada de Israel,</w:t>
      </w:r>
      <w:r w:rsidR="0066097F" w:rsidRPr="00386E47">
        <w:rPr>
          <w:rFonts w:asciiTheme="majorHAnsi" w:eastAsia="Calibri" w:hAnsiTheme="majorHAnsi"/>
          <w:sz w:val="20"/>
          <w:szCs w:val="20"/>
          <w:lang w:val="es-US"/>
        </w:rPr>
        <w:t xml:space="preserve"> </w:t>
      </w:r>
      <w:r w:rsidRPr="00386E47">
        <w:rPr>
          <w:rFonts w:asciiTheme="majorHAnsi" w:eastAsia="Calibri" w:hAnsiTheme="majorHAnsi"/>
          <w:sz w:val="20"/>
          <w:szCs w:val="20"/>
          <w:lang w:val="es-US"/>
        </w:rPr>
        <w:t xml:space="preserve">medidas idóneas </w:t>
      </w:r>
      <w:r w:rsidR="0066097F" w:rsidRPr="00386E47">
        <w:rPr>
          <w:rFonts w:asciiTheme="majorHAnsi" w:eastAsia="Calibri" w:hAnsiTheme="majorHAnsi"/>
          <w:sz w:val="20"/>
          <w:szCs w:val="20"/>
          <w:lang w:val="es-US"/>
        </w:rPr>
        <w:t>de seguridad</w:t>
      </w:r>
      <w:r w:rsidRPr="00386E47">
        <w:rPr>
          <w:rFonts w:asciiTheme="majorHAnsi" w:eastAsia="Calibri" w:hAnsiTheme="majorHAnsi"/>
          <w:sz w:val="20"/>
          <w:szCs w:val="20"/>
          <w:lang w:val="es-US"/>
        </w:rPr>
        <w:t xml:space="preserve"> para proteger el edificio de la AMIA, </w:t>
      </w:r>
      <w:r w:rsidR="004C7D54" w:rsidRPr="00386E47">
        <w:rPr>
          <w:rFonts w:asciiTheme="majorHAnsi" w:eastAsia="Calibri" w:hAnsiTheme="majorHAnsi"/>
          <w:sz w:val="20"/>
          <w:szCs w:val="20"/>
          <w:lang w:val="es-US"/>
        </w:rPr>
        <w:t>ni tuvo una respuesta adecuada</w:t>
      </w:r>
      <w:r w:rsidR="0066097F" w:rsidRPr="00386E47">
        <w:rPr>
          <w:rFonts w:asciiTheme="majorHAnsi" w:eastAsia="Calibri" w:hAnsiTheme="majorHAnsi"/>
          <w:sz w:val="20"/>
          <w:szCs w:val="20"/>
          <w:lang w:val="es-US"/>
        </w:rPr>
        <w:t xml:space="preserve"> ante la información que sugería que pudiera presentarse un ataque. </w:t>
      </w:r>
    </w:p>
    <w:p w14:paraId="4F73B04E" w14:textId="77777777" w:rsidR="00FB1535" w:rsidRPr="00386E47" w:rsidRDefault="00FB1535" w:rsidP="009600B8">
      <w:pPr>
        <w:tabs>
          <w:tab w:val="left" w:pos="567"/>
        </w:tabs>
        <w:rPr>
          <w:rFonts w:asciiTheme="majorHAnsi" w:eastAsia="Calibri" w:hAnsiTheme="majorHAnsi" w:cs="Verdana"/>
          <w:sz w:val="20"/>
          <w:szCs w:val="20"/>
          <w:lang w:val="es-US"/>
        </w:rPr>
      </w:pPr>
    </w:p>
    <w:p w14:paraId="243F6ECA" w14:textId="77777777" w:rsidR="00FB1535" w:rsidRPr="00386E47" w:rsidRDefault="00640EFC" w:rsidP="003A5860">
      <w:pPr>
        <w:numPr>
          <w:ilvl w:val="0"/>
          <w:numId w:val="55"/>
        </w:numPr>
        <w:tabs>
          <w:tab w:val="left" w:pos="567"/>
        </w:tabs>
        <w:ind w:left="0" w:firstLine="0"/>
        <w:jc w:val="both"/>
        <w:rPr>
          <w:rFonts w:asciiTheme="majorHAnsi" w:eastAsia="Calibri" w:hAnsiTheme="majorHAnsi" w:cs="Verdana"/>
          <w:sz w:val="20"/>
          <w:szCs w:val="20"/>
          <w:lang w:val="es-US"/>
        </w:rPr>
      </w:pPr>
      <w:r w:rsidRPr="00386E47">
        <w:rPr>
          <w:rFonts w:asciiTheme="majorHAnsi" w:eastAsia="Calibri" w:hAnsiTheme="majorHAnsi" w:cs="Verdana"/>
          <w:sz w:val="20"/>
          <w:szCs w:val="20"/>
          <w:lang w:val="es-US"/>
        </w:rPr>
        <w:t>E</w:t>
      </w:r>
      <w:r w:rsidR="0066097F" w:rsidRPr="00386E47">
        <w:rPr>
          <w:rFonts w:asciiTheme="majorHAnsi" w:eastAsia="Calibri" w:hAnsiTheme="majorHAnsi" w:cs="Verdana"/>
          <w:sz w:val="20"/>
          <w:szCs w:val="20"/>
          <w:lang w:val="es-US"/>
        </w:rPr>
        <w:t xml:space="preserve">n </w:t>
      </w:r>
      <w:r w:rsidR="004C7D54" w:rsidRPr="00386E47">
        <w:rPr>
          <w:rFonts w:asciiTheme="majorHAnsi" w:eastAsia="Calibri" w:hAnsiTheme="majorHAnsi" w:cs="Verdana"/>
          <w:sz w:val="20"/>
          <w:szCs w:val="20"/>
          <w:lang w:val="es-US"/>
        </w:rPr>
        <w:t>efecto, en lo que se refiere a</w:t>
      </w:r>
      <w:r w:rsidR="0066097F" w:rsidRPr="00386E47">
        <w:rPr>
          <w:rFonts w:asciiTheme="majorHAnsi" w:eastAsia="Calibri" w:hAnsiTheme="majorHAnsi" w:cs="Verdana"/>
          <w:sz w:val="20"/>
          <w:szCs w:val="20"/>
          <w:lang w:val="es-US"/>
        </w:rPr>
        <w:t xml:space="preserve"> las medidas de prevención más generales que tenía el Estado, </w:t>
      </w:r>
      <w:r w:rsidR="00FB1535" w:rsidRPr="00386E47">
        <w:rPr>
          <w:rFonts w:asciiTheme="majorHAnsi" w:eastAsia="Calibri" w:hAnsiTheme="majorHAnsi" w:cs="Verdana"/>
          <w:sz w:val="20"/>
          <w:szCs w:val="20"/>
          <w:lang w:val="es-US"/>
        </w:rPr>
        <w:t xml:space="preserve">la Comisión desea </w:t>
      </w:r>
      <w:r w:rsidRPr="00386E47">
        <w:rPr>
          <w:rFonts w:asciiTheme="majorHAnsi" w:eastAsia="Calibri" w:hAnsiTheme="majorHAnsi" w:cs="Verdana"/>
          <w:sz w:val="20"/>
          <w:szCs w:val="20"/>
          <w:lang w:val="es-US"/>
        </w:rPr>
        <w:t>resaltar</w:t>
      </w:r>
      <w:r w:rsidR="00FB1535" w:rsidRPr="00386E47">
        <w:rPr>
          <w:rFonts w:asciiTheme="majorHAnsi" w:eastAsia="Calibri" w:hAnsiTheme="majorHAnsi" w:cs="Verdana"/>
          <w:sz w:val="20"/>
          <w:szCs w:val="20"/>
          <w:lang w:val="es-US"/>
        </w:rPr>
        <w:t xml:space="preserve"> que los actos de terrorismo generan violaciones a los derechos humanos que deben ser abordadas por el Estado, para su investigación, pero también para evitar su repetición. En palabras del Relator Especial de las Naciones Unidas </w:t>
      </w:r>
      <w:r w:rsidR="00FB1535" w:rsidRPr="00386E47">
        <w:rPr>
          <w:rFonts w:asciiTheme="majorHAnsi" w:hAnsiTheme="majorHAnsi"/>
          <w:sz w:val="20"/>
          <w:szCs w:val="20"/>
          <w:lang w:val="es-ES"/>
        </w:rPr>
        <w:t>“el deber del Estado de defender la seguridad nacional y su obligación de asegurar la protección de los derechos humanos de quienes están bajo su jurisdicción constituyen una serie de obligaciones complementarias, simultáneas y que se refuerzan entre sí”</w:t>
      </w:r>
      <w:r w:rsidR="00FB1535" w:rsidRPr="00386E47">
        <w:rPr>
          <w:rStyle w:val="FootnoteReference"/>
          <w:rFonts w:asciiTheme="majorHAnsi" w:hAnsiTheme="majorHAnsi"/>
          <w:sz w:val="20"/>
          <w:szCs w:val="20"/>
          <w:lang w:val="es-ES"/>
        </w:rPr>
        <w:footnoteReference w:id="87"/>
      </w:r>
      <w:r w:rsidR="00FB1535" w:rsidRPr="00386E47">
        <w:rPr>
          <w:rFonts w:asciiTheme="majorHAnsi" w:hAnsiTheme="majorHAnsi"/>
          <w:sz w:val="20"/>
          <w:szCs w:val="20"/>
          <w:lang w:val="es-ES"/>
        </w:rPr>
        <w:t>.</w:t>
      </w:r>
      <w:r w:rsidR="00DC138B" w:rsidRPr="00386E47">
        <w:rPr>
          <w:rFonts w:asciiTheme="majorHAnsi" w:eastAsia="Calibri" w:hAnsiTheme="majorHAnsi" w:cs="Verdana"/>
          <w:sz w:val="20"/>
          <w:szCs w:val="20"/>
          <w:lang w:val="es-US"/>
        </w:rPr>
        <w:t xml:space="preserve"> Por ello, </w:t>
      </w:r>
      <w:r w:rsidR="00FB1535" w:rsidRPr="00386E47">
        <w:rPr>
          <w:rFonts w:asciiTheme="majorHAnsi" w:eastAsia="Calibri" w:hAnsiTheme="majorHAnsi" w:cs="Verdana"/>
          <w:sz w:val="20"/>
          <w:szCs w:val="20"/>
          <w:lang w:val="es-US"/>
        </w:rPr>
        <w:t>los Estados deben emprender estrategias</w:t>
      </w:r>
      <w:r w:rsidRPr="00386E47">
        <w:rPr>
          <w:rFonts w:asciiTheme="majorHAnsi" w:eastAsia="Calibri" w:hAnsiTheme="majorHAnsi" w:cs="Verdana"/>
          <w:sz w:val="20"/>
          <w:szCs w:val="20"/>
          <w:lang w:val="es-US"/>
        </w:rPr>
        <w:t xml:space="preserve"> in</w:t>
      </w:r>
      <w:r w:rsidR="004C7D54" w:rsidRPr="00386E47">
        <w:rPr>
          <w:rFonts w:asciiTheme="majorHAnsi" w:eastAsia="Calibri" w:hAnsiTheme="majorHAnsi" w:cs="Verdana"/>
          <w:sz w:val="20"/>
          <w:szCs w:val="20"/>
          <w:lang w:val="es-US"/>
        </w:rPr>
        <w:t>t</w:t>
      </w:r>
      <w:r w:rsidRPr="00386E47">
        <w:rPr>
          <w:rFonts w:asciiTheme="majorHAnsi" w:eastAsia="Calibri" w:hAnsiTheme="majorHAnsi" w:cs="Verdana"/>
          <w:sz w:val="20"/>
          <w:szCs w:val="20"/>
          <w:lang w:val="es-US"/>
        </w:rPr>
        <w:t>egrales</w:t>
      </w:r>
      <w:r w:rsidR="004C7D54" w:rsidRPr="00386E47">
        <w:rPr>
          <w:rFonts w:asciiTheme="majorHAnsi" w:eastAsia="Calibri" w:hAnsiTheme="majorHAnsi" w:cs="Verdana"/>
          <w:sz w:val="20"/>
          <w:szCs w:val="20"/>
          <w:lang w:val="es-US"/>
        </w:rPr>
        <w:t xml:space="preserve">, </w:t>
      </w:r>
      <w:r w:rsidR="00FB1535" w:rsidRPr="00386E47">
        <w:rPr>
          <w:rFonts w:asciiTheme="majorHAnsi" w:eastAsia="Calibri" w:hAnsiTheme="majorHAnsi" w:cs="Verdana"/>
          <w:sz w:val="20"/>
          <w:szCs w:val="20"/>
          <w:lang w:val="es-US"/>
        </w:rPr>
        <w:t xml:space="preserve">no sólo para evitar la creación de grupos terroristas, sino también para desactivar sus planes de acción cuando aquellos ya han sido creados. </w:t>
      </w:r>
      <w:r w:rsidR="004C7D54" w:rsidRPr="00386E47">
        <w:rPr>
          <w:rFonts w:asciiTheme="majorHAnsi" w:eastAsia="Calibri" w:hAnsiTheme="majorHAnsi" w:cs="Verdana"/>
          <w:sz w:val="20"/>
          <w:szCs w:val="20"/>
          <w:lang w:val="es-US"/>
        </w:rPr>
        <w:t>La Comisión</w:t>
      </w:r>
      <w:r w:rsidR="00FB1535" w:rsidRPr="00386E47">
        <w:rPr>
          <w:rFonts w:asciiTheme="majorHAnsi" w:eastAsia="Calibri" w:hAnsiTheme="majorHAnsi" w:cs="Verdana"/>
          <w:sz w:val="20"/>
          <w:szCs w:val="20"/>
          <w:lang w:val="es-US"/>
        </w:rPr>
        <w:t xml:space="preserve"> nota con preocupación que el Estado no aportó información sobre estrategias estatales de lucha contra el terrorismo después del atentado a la Embajada de Israel</w:t>
      </w:r>
      <w:r w:rsidR="00262778" w:rsidRPr="00386E47">
        <w:rPr>
          <w:rFonts w:asciiTheme="majorHAnsi" w:eastAsia="Calibri" w:hAnsiTheme="majorHAnsi" w:cs="Verdana"/>
          <w:sz w:val="20"/>
          <w:szCs w:val="20"/>
          <w:lang w:val="es-US"/>
        </w:rPr>
        <w:t xml:space="preserve">, que incluyeran medidas como el despliegue de actividades de </w:t>
      </w:r>
      <w:r w:rsidR="00FB1535" w:rsidRPr="00386E47">
        <w:rPr>
          <w:rFonts w:asciiTheme="majorHAnsi" w:eastAsia="Calibri" w:hAnsiTheme="majorHAnsi" w:cs="Verdana"/>
          <w:sz w:val="20"/>
          <w:szCs w:val="20"/>
          <w:lang w:val="es-US"/>
        </w:rPr>
        <w:t xml:space="preserve">cooperación internacional para obtener información de inteligencia, control de documentación y fronteras, o </w:t>
      </w:r>
      <w:r w:rsidR="00262778" w:rsidRPr="00386E47">
        <w:rPr>
          <w:rFonts w:asciiTheme="majorHAnsi" w:eastAsia="Calibri" w:hAnsiTheme="majorHAnsi" w:cs="Verdana"/>
          <w:sz w:val="20"/>
          <w:szCs w:val="20"/>
          <w:lang w:val="es-US"/>
        </w:rPr>
        <w:t xml:space="preserve">mayor </w:t>
      </w:r>
      <w:r w:rsidR="00FB1535" w:rsidRPr="00386E47">
        <w:rPr>
          <w:rFonts w:asciiTheme="majorHAnsi" w:eastAsia="Calibri" w:hAnsiTheme="majorHAnsi" w:cs="Verdana"/>
          <w:sz w:val="20"/>
          <w:szCs w:val="20"/>
          <w:lang w:val="es-US"/>
        </w:rPr>
        <w:t xml:space="preserve">control y vigilancia de materiales explosivos.  </w:t>
      </w:r>
    </w:p>
    <w:p w14:paraId="3089F5AE" w14:textId="77777777" w:rsidR="00262778" w:rsidRPr="00386E47" w:rsidRDefault="00262778" w:rsidP="00A311A0">
      <w:pPr>
        <w:tabs>
          <w:tab w:val="left" w:pos="567"/>
        </w:tabs>
        <w:jc w:val="both"/>
        <w:rPr>
          <w:rFonts w:asciiTheme="majorHAnsi" w:eastAsia="Calibri" w:hAnsiTheme="majorHAnsi" w:cs="Verdana"/>
          <w:sz w:val="20"/>
          <w:szCs w:val="20"/>
          <w:lang w:val="es-US"/>
        </w:rPr>
      </w:pPr>
    </w:p>
    <w:p w14:paraId="37A2D3D3" w14:textId="77777777" w:rsidR="00FB1535" w:rsidRPr="00386E47" w:rsidRDefault="004C7D54" w:rsidP="003A5860">
      <w:pPr>
        <w:numPr>
          <w:ilvl w:val="0"/>
          <w:numId w:val="55"/>
        </w:numPr>
        <w:tabs>
          <w:tab w:val="left" w:pos="567"/>
        </w:tabs>
        <w:ind w:left="0" w:firstLine="0"/>
        <w:jc w:val="both"/>
        <w:rPr>
          <w:rFonts w:asciiTheme="majorHAnsi" w:eastAsia="Calibri" w:hAnsiTheme="majorHAnsi" w:cs="Verdana"/>
          <w:sz w:val="20"/>
          <w:szCs w:val="20"/>
          <w:lang w:val="es-US"/>
        </w:rPr>
      </w:pPr>
      <w:r w:rsidRPr="00386E47">
        <w:rPr>
          <w:rFonts w:asciiTheme="majorHAnsi" w:eastAsia="Calibri" w:hAnsiTheme="majorHAnsi" w:cs="Verdana"/>
          <w:sz w:val="20"/>
          <w:szCs w:val="20"/>
          <w:lang w:val="es-US"/>
        </w:rPr>
        <w:t>Por el contrario, la información que dispone la CIDH indica que no se llevaron a cabo tales medidas. En efecto, la</w:t>
      </w:r>
      <w:r w:rsidR="00FB1535" w:rsidRPr="00386E47">
        <w:rPr>
          <w:rFonts w:asciiTheme="majorHAnsi" w:eastAsia="Calibri" w:hAnsiTheme="majorHAnsi" w:cs="Verdana"/>
          <w:sz w:val="20"/>
          <w:szCs w:val="20"/>
          <w:lang w:val="es-US"/>
        </w:rPr>
        <w:t xml:space="preserve"> sentencia del TOF 3  indica que </w:t>
      </w:r>
      <w:r w:rsidR="00FB1535" w:rsidRPr="00386E47">
        <w:rPr>
          <w:rFonts w:asciiTheme="majorHAnsi" w:eastAsia="Calibri" w:hAnsiTheme="majorHAnsi"/>
          <w:sz w:val="20"/>
          <w:szCs w:val="20"/>
          <w:lang w:val="es-US"/>
        </w:rPr>
        <w:t>el entonces Ministro del Interior Carlos Federico Ruckauf y el brigadier Andrés Arnoldo Antonietti, titular de la Secretaría de Seguridad Interior y Protección de la Comunidad, negaron conocer sobre políticas de prevención después del atentado de 1992</w:t>
      </w:r>
      <w:r w:rsidR="00FB1535" w:rsidRPr="00386E47">
        <w:rPr>
          <w:rFonts w:asciiTheme="majorHAnsi" w:eastAsia="Calibri" w:hAnsiTheme="majorHAnsi"/>
          <w:sz w:val="20"/>
          <w:szCs w:val="20"/>
          <w:vertAlign w:val="superscript"/>
          <w:lang w:val="es-US"/>
        </w:rPr>
        <w:footnoteReference w:id="88"/>
      </w:r>
      <w:r w:rsidR="00FB1535" w:rsidRPr="00386E47">
        <w:rPr>
          <w:rFonts w:asciiTheme="majorHAnsi" w:eastAsia="Calibri" w:hAnsiTheme="majorHAnsi"/>
          <w:sz w:val="20"/>
          <w:szCs w:val="20"/>
          <w:lang w:val="es-US"/>
        </w:rPr>
        <w:t>. Además, al recaudar testimonios de otros funcionarios, el mismo Tribunal encontró probado que no se adoptaron medidas de prevención, ni se crearon organismos para ello, así: “aunque el país contaba con el trágico antecedente del atentado a la Embajada de Israel, ocurrido el 17 de marzo de 1992, la casi totalidad de los funcionarios de seguridad que depusieron en el debate coincidieron en señalar que luego de dicho acontecimiento no se adoptaron las medidas encaminadas a la prevención de futuros ataques terroristas ni a la creación de organismos debidamente preparados para colaborar en hechos de esa naturaleza habiendo quedado en una mera expresión de deseos los objetivos plasmados en la ley no 24.059”</w:t>
      </w:r>
      <w:r w:rsidR="00FB1535" w:rsidRPr="00386E47">
        <w:rPr>
          <w:rFonts w:asciiTheme="majorHAnsi" w:eastAsia="Calibri" w:hAnsiTheme="majorHAnsi"/>
          <w:sz w:val="20"/>
          <w:szCs w:val="20"/>
          <w:vertAlign w:val="superscript"/>
          <w:lang w:val="es-US"/>
        </w:rPr>
        <w:footnoteReference w:id="89"/>
      </w:r>
      <w:r w:rsidR="00FB1535" w:rsidRPr="00386E47">
        <w:rPr>
          <w:rFonts w:asciiTheme="majorHAnsi" w:eastAsia="Calibri" w:hAnsiTheme="majorHAnsi"/>
          <w:sz w:val="20"/>
          <w:szCs w:val="20"/>
          <w:lang w:val="es-US"/>
        </w:rPr>
        <w:t xml:space="preserve">.  </w:t>
      </w:r>
    </w:p>
    <w:p w14:paraId="7CA527A8" w14:textId="77777777" w:rsidR="00362B3C" w:rsidRPr="00386E47" w:rsidRDefault="00362B3C" w:rsidP="00A311A0">
      <w:pPr>
        <w:tabs>
          <w:tab w:val="left" w:pos="567"/>
        </w:tabs>
        <w:jc w:val="both"/>
        <w:rPr>
          <w:rFonts w:asciiTheme="majorHAnsi" w:eastAsia="Calibri" w:hAnsiTheme="majorHAnsi" w:cs="Verdana"/>
          <w:sz w:val="20"/>
          <w:szCs w:val="20"/>
          <w:lang w:val="es-US"/>
        </w:rPr>
      </w:pPr>
    </w:p>
    <w:p w14:paraId="66EF4859" w14:textId="77777777" w:rsidR="00362B3C" w:rsidRPr="00386E47" w:rsidRDefault="0066097F" w:rsidP="003A5860">
      <w:pPr>
        <w:numPr>
          <w:ilvl w:val="0"/>
          <w:numId w:val="55"/>
        </w:numPr>
        <w:tabs>
          <w:tab w:val="left" w:pos="567"/>
        </w:tabs>
        <w:ind w:left="0" w:firstLine="0"/>
        <w:jc w:val="both"/>
        <w:rPr>
          <w:rFonts w:asciiTheme="majorHAnsi" w:eastAsia="Calibri" w:hAnsiTheme="majorHAnsi"/>
          <w:sz w:val="20"/>
          <w:szCs w:val="20"/>
          <w:lang w:val="es-AR"/>
        </w:rPr>
      </w:pPr>
      <w:r w:rsidRPr="00386E47">
        <w:rPr>
          <w:rFonts w:asciiTheme="majorHAnsi" w:eastAsia="Calibri" w:hAnsiTheme="majorHAnsi"/>
          <w:sz w:val="20"/>
          <w:szCs w:val="20"/>
          <w:lang w:val="es-AR"/>
        </w:rPr>
        <w:t xml:space="preserve">En cuanto a la protección </w:t>
      </w:r>
      <w:r w:rsidR="00362B3C" w:rsidRPr="00386E47">
        <w:rPr>
          <w:rFonts w:asciiTheme="majorHAnsi" w:eastAsia="Calibri" w:hAnsiTheme="majorHAnsi"/>
          <w:sz w:val="20"/>
          <w:szCs w:val="20"/>
          <w:lang w:val="es-AR"/>
        </w:rPr>
        <w:t xml:space="preserve">a la zona y </w:t>
      </w:r>
      <w:r w:rsidRPr="00386E47">
        <w:rPr>
          <w:rFonts w:asciiTheme="majorHAnsi" w:eastAsia="Calibri" w:hAnsiTheme="majorHAnsi"/>
          <w:sz w:val="20"/>
          <w:szCs w:val="20"/>
          <w:lang w:val="es-AR"/>
        </w:rPr>
        <w:t>el edificio de la AMIA</w:t>
      </w:r>
      <w:r w:rsidR="00FB1535" w:rsidRPr="00386E47">
        <w:rPr>
          <w:rFonts w:asciiTheme="majorHAnsi" w:eastAsia="Calibri" w:hAnsiTheme="majorHAnsi"/>
          <w:sz w:val="20"/>
          <w:szCs w:val="20"/>
          <w:lang w:val="es-AR"/>
        </w:rPr>
        <w:t>, la CIDH nota que el Estado no contaba con mecanismos efectivo</w:t>
      </w:r>
      <w:r w:rsidR="00787972" w:rsidRPr="00386E47">
        <w:rPr>
          <w:rFonts w:asciiTheme="majorHAnsi" w:eastAsia="Calibri" w:hAnsiTheme="majorHAnsi"/>
          <w:sz w:val="20"/>
          <w:szCs w:val="20"/>
          <w:lang w:val="es-AR"/>
        </w:rPr>
        <w:t>s</w:t>
      </w:r>
      <w:r w:rsidR="00FB1535" w:rsidRPr="00386E47">
        <w:rPr>
          <w:rFonts w:asciiTheme="majorHAnsi" w:eastAsia="Calibri" w:hAnsiTheme="majorHAnsi"/>
          <w:sz w:val="20"/>
          <w:szCs w:val="20"/>
          <w:lang w:val="es-AR"/>
        </w:rPr>
        <w:t xml:space="preserve"> para </w:t>
      </w:r>
      <w:r w:rsidR="00787972" w:rsidRPr="00386E47">
        <w:rPr>
          <w:rFonts w:asciiTheme="majorHAnsi" w:eastAsia="Calibri" w:hAnsiTheme="majorHAnsi"/>
          <w:sz w:val="20"/>
          <w:szCs w:val="20"/>
          <w:lang w:val="es-AR"/>
        </w:rPr>
        <w:t>afrontar</w:t>
      </w:r>
      <w:r w:rsidR="00F46E95" w:rsidRPr="00386E47">
        <w:rPr>
          <w:rFonts w:asciiTheme="majorHAnsi" w:eastAsia="Calibri" w:hAnsiTheme="majorHAnsi"/>
          <w:sz w:val="20"/>
          <w:szCs w:val="20"/>
          <w:lang w:val="es-AR"/>
        </w:rPr>
        <w:t xml:space="preserve"> y repeler</w:t>
      </w:r>
      <w:r w:rsidR="00787972" w:rsidRPr="00386E47">
        <w:rPr>
          <w:rFonts w:asciiTheme="majorHAnsi" w:eastAsia="Calibri" w:hAnsiTheme="majorHAnsi"/>
          <w:sz w:val="20"/>
          <w:szCs w:val="20"/>
          <w:lang w:val="es-AR"/>
        </w:rPr>
        <w:t xml:space="preserve"> </w:t>
      </w:r>
      <w:r w:rsidR="00FB1535" w:rsidRPr="00386E47">
        <w:rPr>
          <w:rFonts w:asciiTheme="majorHAnsi" w:eastAsia="Calibri" w:hAnsiTheme="majorHAnsi"/>
          <w:sz w:val="20"/>
          <w:szCs w:val="20"/>
          <w:lang w:val="es-AR"/>
        </w:rPr>
        <w:t>situaciones de riesgo</w:t>
      </w:r>
      <w:r w:rsidR="00F46E95" w:rsidRPr="00386E47">
        <w:rPr>
          <w:rFonts w:asciiTheme="majorHAnsi" w:eastAsia="Calibri" w:hAnsiTheme="majorHAnsi"/>
          <w:sz w:val="20"/>
          <w:szCs w:val="20"/>
          <w:lang w:val="es-AR"/>
        </w:rPr>
        <w:t xml:space="preserve"> que pudieran presentarse</w:t>
      </w:r>
      <w:r w:rsidR="00FB1535" w:rsidRPr="00386E47">
        <w:rPr>
          <w:rFonts w:asciiTheme="majorHAnsi" w:eastAsia="Calibri" w:hAnsiTheme="majorHAnsi"/>
          <w:sz w:val="20"/>
          <w:szCs w:val="20"/>
          <w:lang w:val="es-AR"/>
        </w:rPr>
        <w:t>.</w:t>
      </w:r>
      <w:r w:rsidRPr="00386E47">
        <w:rPr>
          <w:rFonts w:asciiTheme="majorHAnsi" w:eastAsia="Calibri" w:hAnsiTheme="majorHAnsi"/>
          <w:sz w:val="20"/>
          <w:szCs w:val="20"/>
          <w:lang w:val="es-AR"/>
        </w:rPr>
        <w:t xml:space="preserve"> En el expediente ante la CIDH no consta que se hubieran realizado despliegues de seguridad, control de tráfico de personas o de transportación </w:t>
      </w:r>
      <w:r w:rsidR="00362B3C" w:rsidRPr="00386E47">
        <w:rPr>
          <w:rFonts w:asciiTheme="majorHAnsi" w:eastAsia="Calibri" w:hAnsiTheme="majorHAnsi"/>
          <w:sz w:val="20"/>
          <w:szCs w:val="20"/>
          <w:lang w:val="es-AR"/>
        </w:rPr>
        <w:t>adecuadamente coordinados ni</w:t>
      </w:r>
      <w:r w:rsidRPr="00386E47">
        <w:rPr>
          <w:rFonts w:asciiTheme="majorHAnsi" w:eastAsia="Calibri" w:hAnsiTheme="majorHAnsi"/>
          <w:sz w:val="20"/>
          <w:szCs w:val="20"/>
          <w:lang w:val="es-AR"/>
        </w:rPr>
        <w:t xml:space="preserve"> </w:t>
      </w:r>
      <w:r w:rsidR="005062B1" w:rsidRPr="00386E47">
        <w:rPr>
          <w:rFonts w:asciiTheme="majorHAnsi" w:eastAsia="Calibri" w:hAnsiTheme="majorHAnsi"/>
          <w:sz w:val="20"/>
          <w:szCs w:val="20"/>
          <w:lang w:val="es-AR"/>
        </w:rPr>
        <w:t xml:space="preserve">protocolos </w:t>
      </w:r>
      <w:r w:rsidRPr="00386E47">
        <w:rPr>
          <w:rFonts w:asciiTheme="majorHAnsi" w:eastAsia="Calibri" w:hAnsiTheme="majorHAnsi"/>
          <w:sz w:val="20"/>
          <w:szCs w:val="20"/>
          <w:lang w:val="es-AR"/>
        </w:rPr>
        <w:t>de seguridad</w:t>
      </w:r>
      <w:r w:rsidR="00362B3C" w:rsidRPr="00386E47">
        <w:rPr>
          <w:rFonts w:asciiTheme="majorHAnsi" w:eastAsia="Calibri" w:hAnsiTheme="majorHAnsi"/>
          <w:sz w:val="20"/>
          <w:szCs w:val="20"/>
          <w:lang w:val="es-AR"/>
        </w:rPr>
        <w:t xml:space="preserve"> en las afueras e interior del edificio,</w:t>
      </w:r>
      <w:r w:rsidRPr="00386E47">
        <w:rPr>
          <w:rFonts w:asciiTheme="majorHAnsi" w:eastAsia="Calibri" w:hAnsiTheme="majorHAnsi"/>
          <w:sz w:val="20"/>
          <w:szCs w:val="20"/>
          <w:lang w:val="es-AR"/>
        </w:rPr>
        <w:t xml:space="preserve"> </w:t>
      </w:r>
      <w:r w:rsidR="00362B3C" w:rsidRPr="00386E47">
        <w:rPr>
          <w:rFonts w:asciiTheme="majorHAnsi" w:eastAsia="Calibri" w:hAnsiTheme="majorHAnsi"/>
          <w:sz w:val="20"/>
          <w:szCs w:val="20"/>
          <w:lang w:val="es-AR"/>
        </w:rPr>
        <w:t>ante la ocurrencia de un posible evento violento,</w:t>
      </w:r>
      <w:r w:rsidR="005062B1" w:rsidRPr="00386E47">
        <w:rPr>
          <w:rFonts w:asciiTheme="majorHAnsi" w:eastAsia="Calibri" w:hAnsiTheme="majorHAnsi"/>
          <w:sz w:val="20"/>
          <w:szCs w:val="20"/>
          <w:lang w:val="es-AR"/>
        </w:rPr>
        <w:t xml:space="preserve"> </w:t>
      </w:r>
      <w:r w:rsidR="00362B3C" w:rsidRPr="00386E47">
        <w:rPr>
          <w:rFonts w:asciiTheme="majorHAnsi" w:eastAsia="Calibri" w:hAnsiTheme="majorHAnsi"/>
          <w:sz w:val="20"/>
          <w:szCs w:val="20"/>
          <w:lang w:val="es-AR"/>
        </w:rPr>
        <w:t xml:space="preserve">o bien, medidas que permitieran reforzar la infraestructura y </w:t>
      </w:r>
      <w:r w:rsidR="005062B1" w:rsidRPr="00386E47">
        <w:rPr>
          <w:rFonts w:asciiTheme="majorHAnsi" w:eastAsia="Calibri" w:hAnsiTheme="majorHAnsi"/>
          <w:sz w:val="20"/>
          <w:szCs w:val="20"/>
          <w:lang w:val="es-AR"/>
        </w:rPr>
        <w:t>proteger la vida e integridad de las personas que se encontraban en él</w:t>
      </w:r>
      <w:r w:rsidRPr="00386E47">
        <w:rPr>
          <w:rFonts w:asciiTheme="majorHAnsi" w:eastAsia="Calibri" w:hAnsiTheme="majorHAnsi"/>
          <w:sz w:val="20"/>
          <w:szCs w:val="20"/>
          <w:lang w:val="es-AR"/>
        </w:rPr>
        <w:t>.</w:t>
      </w:r>
      <w:r w:rsidR="00FB1535" w:rsidRPr="00386E47">
        <w:rPr>
          <w:rFonts w:asciiTheme="majorHAnsi" w:eastAsia="Calibri" w:hAnsiTheme="majorHAnsi"/>
          <w:sz w:val="20"/>
          <w:szCs w:val="20"/>
          <w:lang w:val="es-AR"/>
        </w:rPr>
        <w:t xml:space="preserve"> </w:t>
      </w:r>
    </w:p>
    <w:p w14:paraId="04B762F7" w14:textId="77777777" w:rsidR="00362B3C" w:rsidRPr="00386E47" w:rsidRDefault="00362B3C" w:rsidP="00A311A0">
      <w:pPr>
        <w:tabs>
          <w:tab w:val="left" w:pos="567"/>
        </w:tabs>
        <w:jc w:val="both"/>
        <w:rPr>
          <w:rFonts w:asciiTheme="majorHAnsi" w:eastAsia="Calibri" w:hAnsiTheme="majorHAnsi"/>
          <w:sz w:val="20"/>
          <w:szCs w:val="20"/>
          <w:lang w:val="es-AR"/>
        </w:rPr>
      </w:pPr>
    </w:p>
    <w:p w14:paraId="0A5C4F09" w14:textId="77777777" w:rsidR="00362B3C" w:rsidRPr="00386E47" w:rsidRDefault="00362B3C" w:rsidP="003A5860">
      <w:pPr>
        <w:numPr>
          <w:ilvl w:val="0"/>
          <w:numId w:val="55"/>
        </w:numPr>
        <w:tabs>
          <w:tab w:val="left" w:pos="567"/>
        </w:tabs>
        <w:ind w:left="0" w:firstLine="0"/>
        <w:jc w:val="both"/>
        <w:rPr>
          <w:rFonts w:asciiTheme="majorHAnsi" w:eastAsia="Calibri" w:hAnsiTheme="majorHAnsi"/>
          <w:sz w:val="20"/>
          <w:szCs w:val="20"/>
          <w:lang w:val="es-AR"/>
        </w:rPr>
      </w:pPr>
      <w:r w:rsidRPr="00386E47">
        <w:rPr>
          <w:rFonts w:asciiTheme="majorHAnsi" w:eastAsia="Calibri" w:hAnsiTheme="majorHAnsi"/>
          <w:sz w:val="20"/>
          <w:szCs w:val="20"/>
          <w:lang w:val="es-AR"/>
        </w:rPr>
        <w:t xml:space="preserve">La Comisión observa que la única medida adoptada consistente en vigilancia policial tenía graves fallas. </w:t>
      </w:r>
      <w:r w:rsidR="00C85918" w:rsidRPr="00386E47">
        <w:rPr>
          <w:rFonts w:asciiTheme="majorHAnsi" w:eastAsia="Calibri" w:hAnsiTheme="majorHAnsi"/>
          <w:sz w:val="20"/>
          <w:szCs w:val="20"/>
          <w:lang w:val="es-AR"/>
        </w:rPr>
        <w:t>Tal como fue constatado</w:t>
      </w:r>
      <w:r w:rsidR="00C85918" w:rsidRPr="00386E47">
        <w:rPr>
          <w:rFonts w:asciiTheme="majorHAnsi" w:eastAsia="Calibri" w:hAnsiTheme="majorHAnsi" w:cs="Verdana"/>
          <w:sz w:val="20"/>
          <w:szCs w:val="20"/>
          <w:lang w:val="es-US"/>
        </w:rPr>
        <w:t xml:space="preserve"> por</w:t>
      </w:r>
      <w:r w:rsidRPr="00386E47">
        <w:rPr>
          <w:rFonts w:asciiTheme="majorHAnsi" w:eastAsia="Calibri" w:hAnsiTheme="majorHAnsi" w:cs="Verdana"/>
          <w:sz w:val="20"/>
          <w:szCs w:val="20"/>
          <w:lang w:val="es-US"/>
        </w:rPr>
        <w:t xml:space="preserve"> el TOF 3, el edificio de la AMIA tenía una vigilancia 24 horas, a cargo de las Comisarías </w:t>
      </w:r>
      <w:r w:rsidRPr="00386E47">
        <w:rPr>
          <w:rFonts w:asciiTheme="majorHAnsi" w:eastAsia="Calibri" w:hAnsiTheme="majorHAnsi"/>
          <w:sz w:val="20"/>
          <w:szCs w:val="20"/>
          <w:lang w:val="es-US"/>
        </w:rPr>
        <w:t>5ª y 7ª de la Policía Federal Argentina. La custodia planeada para el edificio implicaba que dos personas debían estar de forma permanente dando vigilancia al edificio, sin embargo, según lo probado a nivel interno, el personal policial no contaba con el equipamiento inicialmente dispuesto para cumplir su función, por lo que utilizaban un aparato de comunicaciones manual de la custodia interna. L</w:t>
      </w:r>
      <w:r w:rsidRPr="00386E47">
        <w:rPr>
          <w:rFonts w:asciiTheme="majorHAnsi" w:eastAsia="Calibri" w:hAnsiTheme="majorHAnsi" w:cs="Verdana"/>
          <w:sz w:val="20"/>
          <w:szCs w:val="20"/>
          <w:lang w:val="es-US"/>
        </w:rPr>
        <w:t xml:space="preserve">a Comisión observa que la falla en los equipos de custodia </w:t>
      </w:r>
      <w:r w:rsidR="00640EFC" w:rsidRPr="00386E47">
        <w:rPr>
          <w:rFonts w:asciiTheme="majorHAnsi" w:eastAsia="Calibri" w:hAnsiTheme="majorHAnsi" w:cs="Verdana"/>
          <w:sz w:val="20"/>
          <w:szCs w:val="20"/>
          <w:lang w:val="es-US"/>
        </w:rPr>
        <w:t>se venía presentando</w:t>
      </w:r>
      <w:r w:rsidRPr="00386E47">
        <w:rPr>
          <w:rFonts w:asciiTheme="majorHAnsi" w:eastAsia="Calibri" w:hAnsiTheme="majorHAnsi" w:cs="Verdana"/>
          <w:sz w:val="20"/>
          <w:szCs w:val="20"/>
          <w:lang w:val="es-US"/>
        </w:rPr>
        <w:t xml:space="preserve"> desde hace un tiempo y la ausencia de batería para el equipo de comunicaciones no era una cuestión excepcional coincidente el día en que ocurrió el atentado, pues según lo dicho por el TOF 3 </w:t>
      </w:r>
      <w:r w:rsidRPr="00386E47">
        <w:rPr>
          <w:rFonts w:asciiTheme="majorHAnsi" w:eastAsia="Calibri" w:hAnsiTheme="majorHAnsi"/>
          <w:sz w:val="20"/>
          <w:szCs w:val="20"/>
          <w:lang w:val="es-US"/>
        </w:rPr>
        <w:t xml:space="preserve">“al </w:t>
      </w:r>
      <w:r w:rsidRPr="00386E47">
        <w:rPr>
          <w:rFonts w:asciiTheme="majorHAnsi" w:eastAsia="Calibri" w:hAnsiTheme="majorHAnsi"/>
          <w:sz w:val="20"/>
          <w:szCs w:val="20"/>
          <w:lang w:val="es-US"/>
        </w:rPr>
        <w:lastRenderedPageBreak/>
        <w:t xml:space="preserve">menos desde el viernes 15 hasta la mañana del lunes siguiente, el </w:t>
      </w:r>
      <w:r w:rsidR="004C7D54" w:rsidRPr="00386E47">
        <w:rPr>
          <w:rFonts w:asciiTheme="majorHAnsi" w:eastAsia="Calibri" w:hAnsiTheme="majorHAnsi"/>
          <w:sz w:val="20"/>
          <w:szCs w:val="20"/>
          <w:lang w:val="es-US"/>
        </w:rPr>
        <w:t xml:space="preserve">[equipo de comunicación del] </w:t>
      </w:r>
      <w:r w:rsidRPr="00386E47">
        <w:rPr>
          <w:rFonts w:asciiTheme="majorHAnsi" w:eastAsia="Calibri" w:hAnsiTheme="majorHAnsi"/>
          <w:sz w:val="20"/>
          <w:szCs w:val="20"/>
          <w:lang w:val="es-US"/>
        </w:rPr>
        <w:t>patrullero apostado sobre la calle Pasteur no funcionaba debido a que su batería no tenía carga”.</w:t>
      </w:r>
    </w:p>
    <w:p w14:paraId="1250D3AE" w14:textId="77777777" w:rsidR="00362B3C" w:rsidRPr="00386E47" w:rsidRDefault="00362B3C" w:rsidP="00A311A0">
      <w:pPr>
        <w:pStyle w:val="ListParagraph"/>
        <w:rPr>
          <w:rFonts w:asciiTheme="majorHAnsi" w:eastAsia="Calibri" w:hAnsiTheme="majorHAnsi"/>
          <w:sz w:val="20"/>
          <w:szCs w:val="20"/>
          <w:lang w:val="es-AR"/>
        </w:rPr>
      </w:pPr>
    </w:p>
    <w:p w14:paraId="41D571A8" w14:textId="77777777" w:rsidR="00362B3C" w:rsidRPr="00386E47" w:rsidRDefault="00362B3C" w:rsidP="003A5860">
      <w:pPr>
        <w:numPr>
          <w:ilvl w:val="0"/>
          <w:numId w:val="55"/>
        </w:numPr>
        <w:tabs>
          <w:tab w:val="left" w:pos="567"/>
        </w:tabs>
        <w:ind w:left="0" w:firstLine="0"/>
        <w:jc w:val="both"/>
        <w:rPr>
          <w:rFonts w:asciiTheme="majorHAnsi" w:eastAsia="Calibri" w:hAnsiTheme="majorHAnsi"/>
          <w:sz w:val="20"/>
          <w:szCs w:val="20"/>
          <w:lang w:val="es-AR"/>
        </w:rPr>
      </w:pPr>
      <w:r w:rsidRPr="00386E47">
        <w:rPr>
          <w:rFonts w:asciiTheme="majorHAnsi" w:eastAsia="Calibri" w:hAnsiTheme="majorHAnsi"/>
          <w:sz w:val="20"/>
          <w:szCs w:val="20"/>
          <w:lang w:val="es-AR"/>
        </w:rPr>
        <w:t xml:space="preserve">Por otra </w:t>
      </w:r>
      <w:r w:rsidR="0006550A" w:rsidRPr="00386E47">
        <w:rPr>
          <w:rFonts w:asciiTheme="majorHAnsi" w:eastAsia="Calibri" w:hAnsiTheme="majorHAnsi"/>
          <w:sz w:val="20"/>
          <w:szCs w:val="20"/>
          <w:lang w:val="es-AR"/>
        </w:rPr>
        <w:t>parte,</w:t>
      </w:r>
      <w:r w:rsidRPr="00386E47">
        <w:rPr>
          <w:rFonts w:asciiTheme="majorHAnsi" w:eastAsia="Calibri" w:hAnsiTheme="majorHAnsi"/>
          <w:sz w:val="20"/>
          <w:szCs w:val="20"/>
          <w:lang w:val="es-AR"/>
        </w:rPr>
        <w:t xml:space="preserve"> en lo referente al control en la zona, </w:t>
      </w:r>
      <w:r w:rsidRPr="00386E47">
        <w:rPr>
          <w:rFonts w:asciiTheme="majorHAnsi" w:eastAsia="Calibri" w:hAnsiTheme="majorHAnsi"/>
          <w:sz w:val="20"/>
          <w:szCs w:val="20"/>
          <w:lang w:val="es-US"/>
        </w:rPr>
        <w:t xml:space="preserve">la Comisión observa </w:t>
      </w:r>
      <w:r w:rsidR="004C7D54" w:rsidRPr="00386E47">
        <w:rPr>
          <w:rFonts w:asciiTheme="majorHAnsi" w:eastAsia="Calibri" w:hAnsiTheme="majorHAnsi"/>
          <w:sz w:val="20"/>
          <w:szCs w:val="20"/>
          <w:lang w:val="es-US"/>
        </w:rPr>
        <w:t xml:space="preserve">que el Estado no ha acreditado que se adoptaron </w:t>
      </w:r>
      <w:r w:rsidRPr="00386E47">
        <w:rPr>
          <w:rFonts w:asciiTheme="majorHAnsi" w:eastAsia="Calibri" w:hAnsiTheme="majorHAnsi"/>
          <w:sz w:val="20"/>
          <w:szCs w:val="20"/>
          <w:lang w:val="es-US"/>
        </w:rPr>
        <w:t xml:space="preserve">medidas </w:t>
      </w:r>
      <w:r w:rsidR="00640EFC" w:rsidRPr="00386E47">
        <w:rPr>
          <w:rFonts w:asciiTheme="majorHAnsi" w:eastAsia="Calibri" w:hAnsiTheme="majorHAnsi"/>
          <w:sz w:val="20"/>
          <w:szCs w:val="20"/>
          <w:lang w:val="es-US"/>
        </w:rPr>
        <w:t xml:space="preserve">efectivas </w:t>
      </w:r>
      <w:r w:rsidRPr="00386E47">
        <w:rPr>
          <w:rFonts w:asciiTheme="majorHAnsi" w:eastAsia="Calibri" w:hAnsiTheme="majorHAnsi"/>
          <w:sz w:val="20"/>
          <w:szCs w:val="20"/>
          <w:lang w:val="es-US"/>
        </w:rPr>
        <w:t>para controlar y requisar el ingreso de automóviles a la calle Pasteur. De acuerdo con el TOF 3 “la inspección de los materiales destinados a las tareas de refacción y la de los volquetes que se ubicaban frente a la puerta de la mutual estaba a cargo de su personal de vigilancia y, según las distintas declaraciones del personal policial, no existía coordinación entre la seguridad externa a cargo de la Policía Federal y la interna del edificio”</w:t>
      </w:r>
      <w:r w:rsidRPr="00386E47">
        <w:rPr>
          <w:rFonts w:asciiTheme="majorHAnsi" w:eastAsia="Calibri" w:hAnsiTheme="majorHAnsi"/>
          <w:sz w:val="20"/>
          <w:szCs w:val="20"/>
          <w:vertAlign w:val="superscript"/>
          <w:lang w:val="es-US"/>
        </w:rPr>
        <w:footnoteReference w:id="90"/>
      </w:r>
      <w:r w:rsidRPr="00386E47">
        <w:rPr>
          <w:rFonts w:asciiTheme="majorHAnsi" w:eastAsia="Calibri" w:hAnsiTheme="majorHAnsi"/>
          <w:sz w:val="20"/>
          <w:szCs w:val="20"/>
          <w:lang w:val="es-US"/>
        </w:rPr>
        <w:t>.</w:t>
      </w:r>
    </w:p>
    <w:p w14:paraId="347623C2" w14:textId="77777777" w:rsidR="00FB1535" w:rsidRPr="00386E47" w:rsidRDefault="00FB1535" w:rsidP="00A311A0">
      <w:pPr>
        <w:tabs>
          <w:tab w:val="left" w:pos="567"/>
        </w:tabs>
        <w:jc w:val="both"/>
        <w:rPr>
          <w:rFonts w:asciiTheme="majorHAnsi" w:eastAsia="Calibri" w:hAnsiTheme="majorHAnsi" w:cs="Verdana"/>
          <w:sz w:val="20"/>
          <w:szCs w:val="20"/>
          <w:lang w:val="es-US"/>
        </w:rPr>
      </w:pPr>
    </w:p>
    <w:p w14:paraId="33468844" w14:textId="77777777" w:rsidR="00362B3C" w:rsidRPr="00386E47" w:rsidRDefault="00362B3C" w:rsidP="003A5860">
      <w:pPr>
        <w:numPr>
          <w:ilvl w:val="0"/>
          <w:numId w:val="55"/>
        </w:numPr>
        <w:tabs>
          <w:tab w:val="left" w:pos="567"/>
        </w:tabs>
        <w:ind w:left="0" w:firstLine="0"/>
        <w:jc w:val="both"/>
        <w:rPr>
          <w:rFonts w:asciiTheme="majorHAnsi" w:eastAsia="Calibri" w:hAnsiTheme="majorHAnsi"/>
          <w:sz w:val="20"/>
          <w:szCs w:val="20"/>
          <w:lang w:val="es-US"/>
        </w:rPr>
      </w:pPr>
      <w:r w:rsidRPr="00386E47">
        <w:rPr>
          <w:rFonts w:asciiTheme="majorHAnsi" w:eastAsia="Calibri" w:hAnsiTheme="majorHAnsi"/>
          <w:sz w:val="20"/>
          <w:szCs w:val="20"/>
          <w:lang w:val="es-AR"/>
        </w:rPr>
        <w:t>Finalmente, en relación con la respuesta estatal</w:t>
      </w:r>
      <w:r w:rsidR="00FB1535" w:rsidRPr="00386E47">
        <w:rPr>
          <w:rFonts w:asciiTheme="majorHAnsi" w:eastAsia="Calibri" w:hAnsiTheme="majorHAnsi"/>
          <w:sz w:val="20"/>
          <w:szCs w:val="20"/>
          <w:lang w:val="es-AR"/>
        </w:rPr>
        <w:t xml:space="preserve"> ante </w:t>
      </w:r>
      <w:r w:rsidRPr="00386E47">
        <w:rPr>
          <w:rFonts w:asciiTheme="majorHAnsi" w:eastAsia="Calibri" w:hAnsiTheme="majorHAnsi"/>
          <w:sz w:val="20"/>
          <w:szCs w:val="20"/>
          <w:lang w:val="es-AR"/>
        </w:rPr>
        <w:t xml:space="preserve">las </w:t>
      </w:r>
      <w:r w:rsidR="00FB1535" w:rsidRPr="00386E47">
        <w:rPr>
          <w:rFonts w:asciiTheme="majorHAnsi" w:eastAsia="Calibri" w:hAnsiTheme="majorHAnsi"/>
          <w:sz w:val="20"/>
          <w:szCs w:val="20"/>
          <w:lang w:val="es-AR"/>
        </w:rPr>
        <w:t xml:space="preserve">alertas </w:t>
      </w:r>
      <w:r w:rsidRPr="00386E47">
        <w:rPr>
          <w:rFonts w:asciiTheme="majorHAnsi" w:eastAsia="Calibri" w:hAnsiTheme="majorHAnsi"/>
          <w:sz w:val="20"/>
          <w:szCs w:val="20"/>
          <w:lang w:val="es-AR"/>
        </w:rPr>
        <w:t>que se presentaron de manera previa al atentado</w:t>
      </w:r>
      <w:r w:rsidR="00FB1535" w:rsidRPr="00386E47">
        <w:rPr>
          <w:rFonts w:asciiTheme="majorHAnsi" w:eastAsia="Calibri" w:hAnsiTheme="majorHAnsi"/>
          <w:sz w:val="20"/>
          <w:szCs w:val="20"/>
          <w:lang w:val="es-AR"/>
        </w:rPr>
        <w:t xml:space="preserve"> </w:t>
      </w:r>
      <w:r w:rsidRPr="00386E47">
        <w:rPr>
          <w:rFonts w:asciiTheme="majorHAnsi" w:eastAsia="Calibri" w:hAnsiTheme="majorHAnsi"/>
          <w:sz w:val="20"/>
          <w:szCs w:val="20"/>
          <w:lang w:val="es-AR"/>
        </w:rPr>
        <w:t xml:space="preserve">y que </w:t>
      </w:r>
      <w:r w:rsidR="00FB1535" w:rsidRPr="00386E47">
        <w:rPr>
          <w:rFonts w:asciiTheme="majorHAnsi" w:eastAsia="Calibri" w:hAnsiTheme="majorHAnsi" w:cs="Verdana"/>
          <w:sz w:val="20"/>
          <w:szCs w:val="20"/>
          <w:lang w:val="es-US"/>
        </w:rPr>
        <w:t xml:space="preserve">ilustran la inmediatez del riesgo, la Comisión observa que el Estado no indagó sobre la información que entregó el ciudadano brasileño </w:t>
      </w:r>
      <w:r w:rsidR="00FB1535" w:rsidRPr="00386E47">
        <w:rPr>
          <w:rFonts w:asciiTheme="majorHAnsi" w:eastAsia="Calibri" w:hAnsiTheme="majorHAnsi"/>
          <w:sz w:val="20"/>
          <w:szCs w:val="20"/>
          <w:lang w:val="es-US"/>
        </w:rPr>
        <w:t>Wilson Dos Santos a la cónsul argentina en Milán. Al respecto, la sentencia del TOF 3 concluyó “si bien no se han reunido suficientes elementos de convicción que autoricen a sostener que Wilson Roberto Dos Santos alertó lo que habría de suceder el día 18 de julio de 1994 enviado por un organismo de inteligencia extranjero, cabe considerar como altamente llamativas las circunstancias y supuestas motivaciones que rodearon la actividad del nombrado en las distintas sedes consulares a las que concurrió”</w:t>
      </w:r>
      <w:r w:rsidR="00FB1535" w:rsidRPr="00386E47">
        <w:rPr>
          <w:rFonts w:asciiTheme="majorHAnsi" w:eastAsia="Calibri" w:hAnsiTheme="majorHAnsi"/>
          <w:sz w:val="20"/>
          <w:szCs w:val="20"/>
          <w:vertAlign w:val="superscript"/>
          <w:lang w:val="es-US"/>
        </w:rPr>
        <w:footnoteReference w:id="91"/>
      </w:r>
      <w:r w:rsidR="00FB1535" w:rsidRPr="00386E47">
        <w:rPr>
          <w:rFonts w:asciiTheme="majorHAnsi" w:eastAsia="Calibri" w:hAnsiTheme="majorHAnsi"/>
          <w:sz w:val="20"/>
          <w:szCs w:val="20"/>
          <w:lang w:val="es-US"/>
        </w:rPr>
        <w:t>.</w:t>
      </w:r>
      <w:r w:rsidRPr="00386E47">
        <w:rPr>
          <w:rFonts w:asciiTheme="majorHAnsi" w:eastAsia="Calibri" w:hAnsiTheme="majorHAnsi"/>
          <w:sz w:val="20"/>
          <w:szCs w:val="20"/>
          <w:lang w:val="es-US"/>
        </w:rPr>
        <w:t xml:space="preserve"> </w:t>
      </w:r>
    </w:p>
    <w:p w14:paraId="33E67AC9" w14:textId="77777777" w:rsidR="00362B3C" w:rsidRPr="00386E47" w:rsidRDefault="00362B3C" w:rsidP="00A311A0">
      <w:pPr>
        <w:tabs>
          <w:tab w:val="left" w:pos="567"/>
        </w:tabs>
        <w:jc w:val="both"/>
        <w:rPr>
          <w:rFonts w:asciiTheme="majorHAnsi" w:eastAsia="Calibri" w:hAnsiTheme="majorHAnsi"/>
          <w:sz w:val="20"/>
          <w:szCs w:val="20"/>
          <w:lang w:val="es-US"/>
        </w:rPr>
      </w:pPr>
    </w:p>
    <w:p w14:paraId="2C0141F2" w14:textId="77777777" w:rsidR="00FB1535" w:rsidRPr="00386E47" w:rsidRDefault="005B3502" w:rsidP="003A5860">
      <w:pPr>
        <w:numPr>
          <w:ilvl w:val="0"/>
          <w:numId w:val="55"/>
        </w:numPr>
        <w:tabs>
          <w:tab w:val="left" w:pos="567"/>
        </w:tabs>
        <w:ind w:left="0" w:firstLine="0"/>
        <w:jc w:val="both"/>
        <w:rPr>
          <w:rFonts w:asciiTheme="majorHAnsi" w:eastAsia="Calibri" w:hAnsiTheme="majorHAnsi" w:cs="Verdana"/>
          <w:sz w:val="20"/>
          <w:szCs w:val="20"/>
          <w:lang w:val="es-US"/>
        </w:rPr>
      </w:pPr>
      <w:r w:rsidRPr="00386E47">
        <w:rPr>
          <w:rFonts w:asciiTheme="majorHAnsi" w:eastAsia="Calibri" w:hAnsiTheme="majorHAnsi"/>
          <w:sz w:val="20"/>
          <w:szCs w:val="20"/>
          <w:lang w:val="es-US"/>
        </w:rPr>
        <w:t>Asimismo</w:t>
      </w:r>
      <w:r w:rsidR="00362B3C" w:rsidRPr="00386E47">
        <w:rPr>
          <w:rFonts w:asciiTheme="majorHAnsi" w:eastAsia="Calibri" w:hAnsiTheme="majorHAnsi"/>
          <w:sz w:val="20"/>
          <w:szCs w:val="20"/>
          <w:lang w:val="es-US"/>
        </w:rPr>
        <w:t xml:space="preserve">, la Comisión observa que el Estado no informó haber adoptado </w:t>
      </w:r>
      <w:r w:rsidR="00F54071" w:rsidRPr="00386E47">
        <w:rPr>
          <w:rFonts w:asciiTheme="majorHAnsi" w:eastAsia="Calibri" w:hAnsiTheme="majorHAnsi"/>
          <w:sz w:val="20"/>
          <w:szCs w:val="20"/>
          <w:lang w:val="es-US"/>
        </w:rPr>
        <w:t>medidas en</w:t>
      </w:r>
      <w:r w:rsidR="00362B3C" w:rsidRPr="00386E47">
        <w:rPr>
          <w:rFonts w:asciiTheme="majorHAnsi" w:eastAsia="Calibri" w:hAnsiTheme="majorHAnsi"/>
          <w:sz w:val="20"/>
          <w:szCs w:val="20"/>
          <w:lang w:val="es-US"/>
        </w:rPr>
        <w:t xml:space="preserve"> relación con</w:t>
      </w:r>
      <w:r w:rsidR="00FB1535" w:rsidRPr="00386E47">
        <w:rPr>
          <w:rFonts w:asciiTheme="majorHAnsi" w:eastAsia="Calibri" w:hAnsiTheme="majorHAnsi"/>
          <w:sz w:val="20"/>
          <w:szCs w:val="20"/>
          <w:lang w:val="es-US"/>
        </w:rPr>
        <w:t xml:space="preserve"> el helicóptero que sobrevoló el edificio de la AMIA la noche anterior al atentado. Como señaló el TOF 3 “[d]icho déficit probatorio, que frustró la posibilidad de ahondar las circunstancias que explicarían tan singular acontecimiento –un vuelo estacionario sobre la mutual, durante algunos minutos, en la noche anterior al atentado- y acerca del cual se tejieron numerosas hipótesis, nunca confirmadas, constituyó una inadmisible desaprensión del magistrado instructor, dado que omitió requerir, en el tiempo oportuno y en la forma adecuada, aquellos datos que hubieran echado luz a la cuestión; máxime cuando la sospechosa presencia fue anunciada al juzgado interviniente el mismo día del atentado, corroborada luego por los primeros testimonios arrimados al proceso”</w:t>
      </w:r>
      <w:r w:rsidR="00FB1535" w:rsidRPr="00386E47">
        <w:rPr>
          <w:rFonts w:asciiTheme="majorHAnsi" w:eastAsia="Calibri" w:hAnsiTheme="majorHAnsi"/>
          <w:sz w:val="20"/>
          <w:szCs w:val="20"/>
          <w:vertAlign w:val="superscript"/>
          <w:lang w:val="es-US"/>
        </w:rPr>
        <w:t xml:space="preserve"> </w:t>
      </w:r>
      <w:r w:rsidR="00FB1535" w:rsidRPr="00386E47">
        <w:rPr>
          <w:rFonts w:asciiTheme="majorHAnsi" w:eastAsia="Calibri" w:hAnsiTheme="majorHAnsi"/>
          <w:sz w:val="20"/>
          <w:szCs w:val="20"/>
          <w:vertAlign w:val="superscript"/>
          <w:lang w:val="es-US"/>
        </w:rPr>
        <w:footnoteReference w:id="92"/>
      </w:r>
      <w:r w:rsidR="00FB1535" w:rsidRPr="00386E47">
        <w:rPr>
          <w:rFonts w:asciiTheme="majorHAnsi" w:eastAsia="Calibri" w:hAnsiTheme="majorHAnsi"/>
          <w:sz w:val="20"/>
          <w:szCs w:val="20"/>
          <w:lang w:val="es-US"/>
        </w:rPr>
        <w:t>.</w:t>
      </w:r>
      <w:r w:rsidR="00362B3C" w:rsidRPr="00386E47">
        <w:rPr>
          <w:rFonts w:asciiTheme="majorHAnsi" w:eastAsia="Calibri" w:hAnsiTheme="majorHAnsi"/>
          <w:sz w:val="20"/>
          <w:szCs w:val="20"/>
          <w:lang w:val="es-US"/>
        </w:rPr>
        <w:t xml:space="preserve"> </w:t>
      </w:r>
      <w:r w:rsidR="00FB1535" w:rsidRPr="00386E47">
        <w:rPr>
          <w:rFonts w:asciiTheme="majorHAnsi" w:eastAsia="Calibri" w:hAnsiTheme="majorHAnsi"/>
          <w:sz w:val="20"/>
          <w:szCs w:val="20"/>
          <w:lang w:val="es-US"/>
        </w:rPr>
        <w:t xml:space="preserve">La Comisión considera </w:t>
      </w:r>
      <w:r w:rsidR="00F54071" w:rsidRPr="00386E47">
        <w:rPr>
          <w:rFonts w:asciiTheme="majorHAnsi" w:eastAsia="Calibri" w:hAnsiTheme="majorHAnsi"/>
          <w:sz w:val="20"/>
          <w:szCs w:val="20"/>
          <w:lang w:val="es-US"/>
        </w:rPr>
        <w:t>que,</w:t>
      </w:r>
      <w:r w:rsidR="00FB1535" w:rsidRPr="00386E47">
        <w:rPr>
          <w:rFonts w:asciiTheme="majorHAnsi" w:eastAsia="Calibri" w:hAnsiTheme="majorHAnsi"/>
          <w:sz w:val="20"/>
          <w:szCs w:val="20"/>
          <w:lang w:val="es-US"/>
        </w:rPr>
        <w:t xml:space="preserve"> </w:t>
      </w:r>
      <w:r w:rsidR="00640EFC" w:rsidRPr="00386E47">
        <w:rPr>
          <w:rFonts w:asciiTheme="majorHAnsi" w:eastAsia="Calibri" w:hAnsiTheme="majorHAnsi"/>
          <w:sz w:val="20"/>
          <w:szCs w:val="20"/>
          <w:lang w:val="es-US"/>
        </w:rPr>
        <w:t xml:space="preserve">en efecto, </w:t>
      </w:r>
      <w:r w:rsidR="00FB1535" w:rsidRPr="00386E47">
        <w:rPr>
          <w:rFonts w:asciiTheme="majorHAnsi" w:eastAsia="Calibri" w:hAnsiTheme="majorHAnsi"/>
          <w:sz w:val="20"/>
          <w:szCs w:val="20"/>
          <w:lang w:val="es-US"/>
        </w:rPr>
        <w:t>el Estado incurrió en una omisión al no adoptar medidas para aclarar los hechos sobre el vuelo de un helicóptero, las razones del mismo, y en todo caso, aumentar las medidas de seguridad y custodia del lugar</w:t>
      </w:r>
      <w:r w:rsidR="00640EFC" w:rsidRPr="00386E47">
        <w:rPr>
          <w:rFonts w:asciiTheme="majorHAnsi" w:eastAsia="Calibri" w:hAnsiTheme="majorHAnsi"/>
          <w:sz w:val="20"/>
          <w:szCs w:val="20"/>
          <w:lang w:val="es-US"/>
        </w:rPr>
        <w:t>,</w:t>
      </w:r>
      <w:r w:rsidR="00FB1535" w:rsidRPr="00386E47">
        <w:rPr>
          <w:rFonts w:asciiTheme="majorHAnsi" w:eastAsia="Calibri" w:hAnsiTheme="majorHAnsi"/>
          <w:sz w:val="20"/>
          <w:szCs w:val="20"/>
          <w:lang w:val="es-US"/>
        </w:rPr>
        <w:t xml:space="preserve"> a fin de que las mismas fueran efectivas para evitar el riesgo que estaba latente sobre el lugar</w:t>
      </w:r>
      <w:r w:rsidR="00640EFC" w:rsidRPr="00386E47">
        <w:rPr>
          <w:rFonts w:asciiTheme="majorHAnsi" w:eastAsia="Calibri" w:hAnsiTheme="majorHAnsi"/>
          <w:sz w:val="20"/>
          <w:szCs w:val="20"/>
          <w:lang w:val="es-US"/>
        </w:rPr>
        <w:t xml:space="preserve">. </w:t>
      </w:r>
      <w:r w:rsidRPr="00386E47">
        <w:rPr>
          <w:rFonts w:asciiTheme="majorHAnsi" w:eastAsia="Calibri" w:hAnsiTheme="majorHAnsi"/>
          <w:sz w:val="20"/>
          <w:szCs w:val="20"/>
          <w:lang w:val="es-US"/>
        </w:rPr>
        <w:t>No</w:t>
      </w:r>
      <w:r w:rsidR="00FB1535" w:rsidRPr="00386E47">
        <w:rPr>
          <w:rFonts w:asciiTheme="majorHAnsi" w:eastAsia="Calibri" w:hAnsiTheme="majorHAnsi"/>
          <w:sz w:val="20"/>
          <w:szCs w:val="20"/>
          <w:lang w:val="es-US"/>
        </w:rPr>
        <w:t xml:space="preserve"> existe registro si quiera del episodio. Si bien debía haber anotaciones sobre los hechos extraordinarios en la calle, llama la atención que no existiera una alarma por un hecho como la presencia de un artefacto en el aire. </w:t>
      </w:r>
    </w:p>
    <w:p w14:paraId="474B9AFC" w14:textId="77777777" w:rsidR="00FB1535" w:rsidRPr="00386E47" w:rsidRDefault="00FB1535" w:rsidP="00A311A0">
      <w:pPr>
        <w:rPr>
          <w:rFonts w:asciiTheme="majorHAnsi" w:eastAsia="Calibri" w:hAnsiTheme="majorHAnsi"/>
          <w:sz w:val="20"/>
          <w:szCs w:val="20"/>
          <w:lang w:val="es-US"/>
        </w:rPr>
      </w:pPr>
    </w:p>
    <w:p w14:paraId="3A85869F" w14:textId="77777777" w:rsidR="00FB1535" w:rsidRPr="00386E47" w:rsidRDefault="00FB1535" w:rsidP="003A5860">
      <w:pPr>
        <w:numPr>
          <w:ilvl w:val="0"/>
          <w:numId w:val="55"/>
        </w:numPr>
        <w:tabs>
          <w:tab w:val="left" w:pos="567"/>
        </w:tabs>
        <w:ind w:left="0" w:firstLine="0"/>
        <w:jc w:val="both"/>
        <w:rPr>
          <w:rFonts w:asciiTheme="majorHAnsi" w:eastAsia="Calibri" w:hAnsiTheme="majorHAnsi" w:cs="Verdana"/>
          <w:sz w:val="20"/>
          <w:szCs w:val="20"/>
          <w:lang w:val="es-US"/>
        </w:rPr>
      </w:pPr>
      <w:r w:rsidRPr="00386E47">
        <w:rPr>
          <w:rFonts w:asciiTheme="majorHAnsi" w:eastAsia="Calibri" w:hAnsiTheme="majorHAnsi"/>
          <w:sz w:val="20"/>
          <w:szCs w:val="20"/>
          <w:lang w:val="es-US"/>
        </w:rPr>
        <w:t xml:space="preserve">Si bien la Comisión no afirma que estos hechos </w:t>
      </w:r>
      <w:r w:rsidR="00362B3C" w:rsidRPr="00386E47">
        <w:rPr>
          <w:rFonts w:asciiTheme="majorHAnsi" w:eastAsia="Calibri" w:hAnsiTheme="majorHAnsi"/>
          <w:sz w:val="20"/>
          <w:szCs w:val="20"/>
          <w:lang w:val="es-US"/>
        </w:rPr>
        <w:t xml:space="preserve">necesariamente </w:t>
      </w:r>
      <w:r w:rsidRPr="00386E47">
        <w:rPr>
          <w:rFonts w:asciiTheme="majorHAnsi" w:eastAsia="Calibri" w:hAnsiTheme="majorHAnsi"/>
          <w:sz w:val="20"/>
          <w:szCs w:val="20"/>
          <w:lang w:val="es-US"/>
        </w:rPr>
        <w:t xml:space="preserve">fueran a ser determinantes para evitar el atentado en la calle Pasteur, destaca que el deber de prevención es de medio y no de resultado, por ello el incumplimiento del deber de prevención del Estado surge no por el acontecimiento del atentado, sino por la omisión de tomar medidas </w:t>
      </w:r>
      <w:r w:rsidR="00F46E95" w:rsidRPr="00386E47">
        <w:rPr>
          <w:rFonts w:asciiTheme="majorHAnsi" w:eastAsia="Calibri" w:hAnsiTheme="majorHAnsi"/>
          <w:sz w:val="20"/>
          <w:szCs w:val="20"/>
          <w:lang w:val="es-US"/>
        </w:rPr>
        <w:t xml:space="preserve">razonables, </w:t>
      </w:r>
      <w:r w:rsidRPr="00386E47">
        <w:rPr>
          <w:rFonts w:asciiTheme="majorHAnsi" w:eastAsia="Calibri" w:hAnsiTheme="majorHAnsi"/>
          <w:sz w:val="20"/>
          <w:szCs w:val="20"/>
          <w:lang w:val="es-US"/>
        </w:rPr>
        <w:t>tendientes a evitar acciones violentas</w:t>
      </w:r>
      <w:r w:rsidR="00640EFC" w:rsidRPr="00386E47">
        <w:rPr>
          <w:rFonts w:asciiTheme="majorHAnsi" w:eastAsia="Calibri" w:hAnsiTheme="majorHAnsi"/>
          <w:sz w:val="20"/>
          <w:szCs w:val="20"/>
          <w:lang w:val="es-US"/>
        </w:rPr>
        <w:t xml:space="preserve">, </w:t>
      </w:r>
      <w:r w:rsidRPr="00386E47">
        <w:rPr>
          <w:rFonts w:asciiTheme="majorHAnsi" w:eastAsia="Calibri" w:hAnsiTheme="majorHAnsi"/>
          <w:sz w:val="20"/>
          <w:szCs w:val="20"/>
          <w:lang w:val="es-US"/>
        </w:rPr>
        <w:t>aunque contaba con información inusual sobre un lugar respecto del cual había una alerta general que incluso había llevado a reforzar su seguridad.</w:t>
      </w:r>
    </w:p>
    <w:p w14:paraId="2F8A49C5" w14:textId="77777777" w:rsidR="00FB1535" w:rsidRPr="00386E47" w:rsidRDefault="00FB1535" w:rsidP="00A311A0">
      <w:pPr>
        <w:rPr>
          <w:rFonts w:asciiTheme="majorHAnsi" w:hAnsiTheme="majorHAnsi" w:cs="Verdana"/>
          <w:lang w:val="es-US"/>
        </w:rPr>
      </w:pPr>
    </w:p>
    <w:p w14:paraId="673CD365" w14:textId="77777777" w:rsidR="00124D62" w:rsidRPr="00386E47" w:rsidRDefault="005B3502" w:rsidP="003A5860">
      <w:pPr>
        <w:numPr>
          <w:ilvl w:val="0"/>
          <w:numId w:val="55"/>
        </w:numPr>
        <w:tabs>
          <w:tab w:val="left" w:pos="567"/>
        </w:tabs>
        <w:ind w:left="0" w:firstLine="0"/>
        <w:jc w:val="both"/>
        <w:rPr>
          <w:rFonts w:asciiTheme="majorHAnsi" w:eastAsia="Calibri" w:hAnsiTheme="majorHAnsi" w:cs="Verdana"/>
          <w:sz w:val="20"/>
          <w:szCs w:val="20"/>
          <w:lang w:val="es-US"/>
        </w:rPr>
      </w:pPr>
      <w:r w:rsidRPr="00386E47">
        <w:rPr>
          <w:rFonts w:asciiTheme="majorHAnsi" w:eastAsia="Calibri" w:hAnsiTheme="majorHAnsi" w:cs="Verdana"/>
          <w:sz w:val="20"/>
          <w:szCs w:val="20"/>
          <w:lang w:val="es-US"/>
        </w:rPr>
        <w:t>Finalmente</w:t>
      </w:r>
      <w:r w:rsidR="00FB1535" w:rsidRPr="00386E47">
        <w:rPr>
          <w:rFonts w:asciiTheme="majorHAnsi" w:eastAsia="Calibri" w:hAnsiTheme="majorHAnsi" w:cs="Verdana"/>
          <w:sz w:val="20"/>
          <w:szCs w:val="20"/>
          <w:lang w:val="es-US"/>
        </w:rPr>
        <w:t xml:space="preserve">, la Comisión </w:t>
      </w:r>
      <w:r w:rsidRPr="00386E47">
        <w:rPr>
          <w:rFonts w:asciiTheme="majorHAnsi" w:eastAsia="Calibri" w:hAnsiTheme="majorHAnsi" w:cs="Verdana"/>
          <w:sz w:val="20"/>
          <w:szCs w:val="20"/>
          <w:lang w:val="es-US"/>
        </w:rPr>
        <w:t>nota</w:t>
      </w:r>
      <w:r w:rsidR="00362B3C" w:rsidRPr="00386E47">
        <w:rPr>
          <w:rFonts w:asciiTheme="majorHAnsi" w:eastAsia="Calibri" w:hAnsiTheme="majorHAnsi" w:cs="Verdana"/>
          <w:sz w:val="20"/>
          <w:szCs w:val="20"/>
          <w:lang w:val="es-US"/>
        </w:rPr>
        <w:t xml:space="preserve"> </w:t>
      </w:r>
      <w:r w:rsidR="00FB1535" w:rsidRPr="00386E47">
        <w:rPr>
          <w:rFonts w:asciiTheme="majorHAnsi" w:eastAsia="Calibri" w:hAnsiTheme="majorHAnsi" w:cs="Verdana"/>
          <w:sz w:val="20"/>
          <w:szCs w:val="20"/>
          <w:lang w:val="es-US"/>
        </w:rPr>
        <w:t xml:space="preserve">que no se creó un plan general de prevención </w:t>
      </w:r>
      <w:r w:rsidRPr="00386E47">
        <w:rPr>
          <w:rFonts w:asciiTheme="majorHAnsi" w:eastAsia="Calibri" w:hAnsiTheme="majorHAnsi" w:cs="Verdana"/>
          <w:sz w:val="20"/>
          <w:szCs w:val="20"/>
          <w:lang w:val="es-US"/>
        </w:rPr>
        <w:t>para</w:t>
      </w:r>
      <w:r w:rsidR="00FB1535" w:rsidRPr="00386E47">
        <w:rPr>
          <w:rFonts w:asciiTheme="majorHAnsi" w:eastAsia="Calibri" w:hAnsiTheme="majorHAnsi" w:cs="Verdana"/>
          <w:sz w:val="20"/>
          <w:szCs w:val="20"/>
          <w:lang w:val="es-US"/>
        </w:rPr>
        <w:t xml:space="preserve"> evitar un atentado terrorista, </w:t>
      </w:r>
      <w:r w:rsidRPr="00386E47">
        <w:rPr>
          <w:rFonts w:asciiTheme="majorHAnsi" w:eastAsia="Calibri" w:hAnsiTheme="majorHAnsi" w:cs="Verdana"/>
          <w:sz w:val="20"/>
          <w:szCs w:val="20"/>
          <w:lang w:val="es-US"/>
        </w:rPr>
        <w:t>teniendo en cuenta</w:t>
      </w:r>
      <w:r w:rsidR="00FB1535" w:rsidRPr="00386E47">
        <w:rPr>
          <w:rFonts w:asciiTheme="majorHAnsi" w:eastAsia="Calibri" w:hAnsiTheme="majorHAnsi" w:cs="Verdana"/>
          <w:sz w:val="20"/>
          <w:szCs w:val="20"/>
          <w:lang w:val="es-US"/>
        </w:rPr>
        <w:t xml:space="preserve"> el móvil</w:t>
      </w:r>
      <w:r w:rsidRPr="00386E47">
        <w:rPr>
          <w:rFonts w:asciiTheme="majorHAnsi" w:eastAsia="Calibri" w:hAnsiTheme="majorHAnsi" w:cs="Verdana"/>
          <w:sz w:val="20"/>
          <w:szCs w:val="20"/>
          <w:lang w:val="es-US"/>
        </w:rPr>
        <w:t xml:space="preserve"> revelado por el primer atentado</w:t>
      </w:r>
      <w:r w:rsidR="00FB1535" w:rsidRPr="00386E47">
        <w:rPr>
          <w:rFonts w:asciiTheme="majorHAnsi" w:eastAsia="Calibri" w:hAnsiTheme="majorHAnsi" w:cs="Verdana"/>
          <w:sz w:val="20"/>
          <w:szCs w:val="20"/>
          <w:lang w:val="es-US"/>
        </w:rPr>
        <w:t>, los actores involucrados y las formas de actuación. A</w:t>
      </w:r>
      <w:r w:rsidR="00FB1535" w:rsidRPr="00386E47">
        <w:rPr>
          <w:rFonts w:asciiTheme="majorHAnsi" w:eastAsia="Calibri" w:hAnsiTheme="majorHAnsi"/>
          <w:sz w:val="20"/>
          <w:szCs w:val="20"/>
          <w:lang w:val="es-US"/>
        </w:rPr>
        <w:t xml:space="preserve">unque el atentado a la Embajada fue un hecho crucial para la historia de Argentina, no se adoptaron medidas integrales para evitar su repetición. </w:t>
      </w:r>
    </w:p>
    <w:p w14:paraId="2386B8D0" w14:textId="77777777" w:rsidR="00124D62" w:rsidRPr="00386E47" w:rsidRDefault="00124D62" w:rsidP="00124D62">
      <w:pPr>
        <w:pStyle w:val="ListParagraph"/>
        <w:rPr>
          <w:rFonts w:asciiTheme="majorHAnsi" w:hAnsiTheme="majorHAnsi"/>
          <w:sz w:val="20"/>
          <w:szCs w:val="20"/>
          <w:lang w:val="es-US"/>
        </w:rPr>
      </w:pPr>
    </w:p>
    <w:p w14:paraId="026CC55B" w14:textId="77777777" w:rsidR="00FB1535" w:rsidRPr="00386E47" w:rsidRDefault="00FB1535" w:rsidP="003A5860">
      <w:pPr>
        <w:numPr>
          <w:ilvl w:val="0"/>
          <w:numId w:val="55"/>
        </w:numPr>
        <w:tabs>
          <w:tab w:val="left" w:pos="567"/>
        </w:tabs>
        <w:ind w:left="0" w:firstLine="0"/>
        <w:jc w:val="both"/>
        <w:rPr>
          <w:rFonts w:asciiTheme="majorHAnsi" w:hAnsiTheme="majorHAnsi"/>
          <w:lang w:val="es-US"/>
        </w:rPr>
      </w:pPr>
      <w:r w:rsidRPr="00386E47">
        <w:rPr>
          <w:rFonts w:asciiTheme="majorHAnsi" w:hAnsiTheme="majorHAnsi"/>
          <w:sz w:val="20"/>
          <w:szCs w:val="20"/>
          <w:lang w:val="es-ES"/>
        </w:rPr>
        <w:t xml:space="preserve">En </w:t>
      </w:r>
      <w:r w:rsidR="005B3502" w:rsidRPr="00386E47">
        <w:rPr>
          <w:rFonts w:asciiTheme="majorHAnsi" w:hAnsiTheme="majorHAnsi"/>
          <w:sz w:val="20"/>
          <w:szCs w:val="20"/>
          <w:lang w:val="es-ES"/>
        </w:rPr>
        <w:t>vista de todo lo antes señalado</w:t>
      </w:r>
      <w:r w:rsidRPr="00386E47">
        <w:rPr>
          <w:rFonts w:asciiTheme="majorHAnsi" w:hAnsiTheme="majorHAnsi"/>
          <w:sz w:val="20"/>
          <w:szCs w:val="20"/>
          <w:lang w:val="es-ES"/>
        </w:rPr>
        <w:t xml:space="preserve">, la Comisión encuentra que el Estado conocía de una situación de riesgo en general sobre sitios identificados con la comunidad </w:t>
      </w:r>
      <w:r w:rsidR="00124D62" w:rsidRPr="00386E47">
        <w:rPr>
          <w:rFonts w:asciiTheme="majorHAnsi" w:hAnsiTheme="majorHAnsi"/>
          <w:sz w:val="20"/>
          <w:szCs w:val="20"/>
          <w:lang w:val="es-ES"/>
        </w:rPr>
        <w:t>judía</w:t>
      </w:r>
      <w:r w:rsidRPr="00386E47">
        <w:rPr>
          <w:rFonts w:asciiTheme="majorHAnsi" w:hAnsiTheme="majorHAnsi"/>
          <w:sz w:val="20"/>
          <w:szCs w:val="20"/>
          <w:lang w:val="es-ES"/>
        </w:rPr>
        <w:t xml:space="preserve"> argentina, que dicho riesgo era real e inmediato y que no adoptó las medidas razonables para evitar dicho riesgo. </w:t>
      </w:r>
      <w:r w:rsidR="005B3502" w:rsidRPr="00386E47">
        <w:rPr>
          <w:rFonts w:asciiTheme="majorHAnsi" w:hAnsiTheme="majorHAnsi"/>
          <w:sz w:val="20"/>
          <w:szCs w:val="20"/>
          <w:lang w:val="es-ES"/>
        </w:rPr>
        <w:t>En consecuencia</w:t>
      </w:r>
      <w:r w:rsidRPr="00386E47">
        <w:rPr>
          <w:rFonts w:asciiTheme="majorHAnsi" w:hAnsiTheme="majorHAnsi"/>
          <w:sz w:val="20"/>
          <w:szCs w:val="20"/>
          <w:lang w:val="es-ES"/>
        </w:rPr>
        <w:t xml:space="preserve">, </w:t>
      </w:r>
      <w:r w:rsidR="005B3502" w:rsidRPr="00386E47">
        <w:rPr>
          <w:rFonts w:asciiTheme="majorHAnsi" w:hAnsiTheme="majorHAnsi"/>
          <w:sz w:val="20"/>
          <w:szCs w:val="20"/>
          <w:lang w:val="es-ES"/>
        </w:rPr>
        <w:t xml:space="preserve">la Comisión concluye que </w:t>
      </w:r>
      <w:r w:rsidRPr="00386E47">
        <w:rPr>
          <w:rFonts w:asciiTheme="majorHAnsi" w:hAnsiTheme="majorHAnsi"/>
          <w:sz w:val="20"/>
          <w:szCs w:val="20"/>
          <w:lang w:val="es-ES"/>
        </w:rPr>
        <w:t>se encuentran reunidos los requisitos fijados en la jurisprudencia interamericana para determinar que</w:t>
      </w:r>
      <w:r w:rsidR="00640EFC" w:rsidRPr="00386E47">
        <w:rPr>
          <w:rFonts w:asciiTheme="majorHAnsi" w:hAnsiTheme="majorHAnsi"/>
          <w:sz w:val="20"/>
          <w:szCs w:val="20"/>
          <w:lang w:val="es-ES"/>
        </w:rPr>
        <w:t xml:space="preserve"> el Estado argentino violó los derechos a la vida e integridad personal </w:t>
      </w:r>
      <w:r w:rsidR="00F54071" w:rsidRPr="00386E47">
        <w:rPr>
          <w:rFonts w:asciiTheme="majorHAnsi" w:hAnsiTheme="majorHAnsi"/>
          <w:sz w:val="20"/>
          <w:szCs w:val="20"/>
          <w:lang w:val="es-ES"/>
        </w:rPr>
        <w:t>consagrados respectivamente</w:t>
      </w:r>
      <w:r w:rsidR="00640EFC" w:rsidRPr="00386E47">
        <w:rPr>
          <w:rFonts w:asciiTheme="majorHAnsi" w:hAnsiTheme="majorHAnsi"/>
          <w:sz w:val="20"/>
          <w:szCs w:val="20"/>
          <w:lang w:val="es-ES"/>
        </w:rPr>
        <w:t xml:space="preserve"> en los artículos 4 y 5 de la Convención Americana en relación con el artículo 1.1 del mismo instrumento, ante la </w:t>
      </w:r>
      <w:r w:rsidRPr="00386E47">
        <w:rPr>
          <w:rFonts w:asciiTheme="majorHAnsi" w:hAnsiTheme="majorHAnsi"/>
          <w:sz w:val="20"/>
          <w:szCs w:val="20"/>
          <w:lang w:val="es-ES"/>
        </w:rPr>
        <w:t xml:space="preserve">ausencia de medidas para abordar un riesgo a los derechos de la Convención. </w:t>
      </w:r>
    </w:p>
    <w:p w14:paraId="21DBD39B" w14:textId="77777777" w:rsidR="00C95355" w:rsidRPr="00386E47" w:rsidRDefault="00C95355" w:rsidP="00C95355">
      <w:pPr>
        <w:pStyle w:val="parrafos"/>
        <w:tabs>
          <w:tab w:val="left" w:pos="0"/>
          <w:tab w:val="left" w:pos="567"/>
        </w:tabs>
        <w:rPr>
          <w:b/>
        </w:rPr>
      </w:pPr>
    </w:p>
    <w:p w14:paraId="0951A6D9" w14:textId="77777777" w:rsidR="00C95355" w:rsidRPr="00386E47" w:rsidRDefault="00C95355" w:rsidP="009146F2">
      <w:pPr>
        <w:pStyle w:val="Heading3"/>
        <w:numPr>
          <w:ilvl w:val="1"/>
          <w:numId w:val="68"/>
        </w:numPr>
        <w:ind w:left="284" w:firstLine="0"/>
      </w:pPr>
      <w:bookmarkStart w:id="27" w:name="_Toc51252198"/>
      <w:r w:rsidRPr="00386E47">
        <w:t>Consideraciones de la Comisión en relación con el derecho a la igualdad y no discriminación</w:t>
      </w:r>
      <w:r w:rsidR="000F208E" w:rsidRPr="00386E47">
        <w:t xml:space="preserve"> en el caso concreto</w:t>
      </w:r>
      <w:bookmarkEnd w:id="27"/>
    </w:p>
    <w:p w14:paraId="1C7A8C88" w14:textId="77777777" w:rsidR="0045048C" w:rsidRPr="00386E47" w:rsidRDefault="00C95355" w:rsidP="003A5860">
      <w:pPr>
        <w:pStyle w:val="ListParagraph"/>
        <w:numPr>
          <w:ilvl w:val="0"/>
          <w:numId w:val="55"/>
        </w:numPr>
        <w:tabs>
          <w:tab w:val="left" w:pos="567"/>
        </w:tabs>
        <w:ind w:left="0" w:firstLine="0"/>
        <w:jc w:val="both"/>
        <w:rPr>
          <w:rFonts w:asciiTheme="majorHAnsi" w:hAnsiTheme="majorHAnsi"/>
          <w:sz w:val="20"/>
          <w:szCs w:val="20"/>
          <w:lang w:val="es-US"/>
        </w:rPr>
      </w:pPr>
      <w:r w:rsidRPr="00386E47">
        <w:rPr>
          <w:rFonts w:asciiTheme="majorHAnsi" w:hAnsiTheme="majorHAnsi"/>
          <w:sz w:val="20"/>
          <w:szCs w:val="20"/>
          <w:lang w:val="es-US"/>
        </w:rPr>
        <w:t>L</w:t>
      </w:r>
      <w:r w:rsidR="005B3502" w:rsidRPr="00386E47">
        <w:rPr>
          <w:rFonts w:asciiTheme="majorHAnsi" w:hAnsiTheme="majorHAnsi"/>
          <w:sz w:val="20"/>
          <w:szCs w:val="20"/>
          <w:lang w:val="es-US"/>
        </w:rPr>
        <w:t xml:space="preserve">a </w:t>
      </w:r>
      <w:r w:rsidR="00FB1535" w:rsidRPr="00386E47">
        <w:rPr>
          <w:rFonts w:asciiTheme="majorHAnsi" w:hAnsiTheme="majorHAnsi"/>
          <w:sz w:val="20"/>
          <w:szCs w:val="20"/>
          <w:lang w:val="es-US"/>
        </w:rPr>
        <w:t xml:space="preserve">Comisión observa que el ataque a la AMIA tiene características particulares porque se trató de un atentado terrorista dirigido a un sitio identificado con la comunidad </w:t>
      </w:r>
      <w:r w:rsidR="004301F7" w:rsidRPr="00386E47">
        <w:rPr>
          <w:rFonts w:asciiTheme="majorHAnsi" w:hAnsiTheme="majorHAnsi"/>
          <w:sz w:val="20"/>
          <w:szCs w:val="20"/>
          <w:lang w:val="es-US"/>
        </w:rPr>
        <w:t>judía</w:t>
      </w:r>
      <w:r w:rsidR="00FB1535" w:rsidRPr="00386E47">
        <w:rPr>
          <w:rFonts w:asciiTheme="majorHAnsi" w:hAnsiTheme="majorHAnsi"/>
          <w:sz w:val="20"/>
          <w:szCs w:val="20"/>
          <w:lang w:val="es-US"/>
        </w:rPr>
        <w:t xml:space="preserve"> argentina. En efecto, la Comisión toma nota que el objeto social de la AMIA es el de  “</w:t>
      </w:r>
      <w:r w:rsidR="00FB1535" w:rsidRPr="00386E47">
        <w:rPr>
          <w:rFonts w:asciiTheme="majorHAnsi" w:hAnsiTheme="majorHAnsi"/>
          <w:sz w:val="20"/>
          <w:szCs w:val="20"/>
          <w:shd w:val="clear" w:color="auto" w:fill="FFFFFF"/>
          <w:lang w:val="es-US"/>
        </w:rPr>
        <w:t>promover el bienestar y el desarrollo individual, familiar e institucional de la vida judía en la Argentina, para asegurar la continuidad, sostener los valores de nuestro pueblo y afianzar el sentido de Comunidad”</w:t>
      </w:r>
      <w:r w:rsidR="00FB1535" w:rsidRPr="00386E47">
        <w:rPr>
          <w:rStyle w:val="FootnoteReference"/>
          <w:rFonts w:asciiTheme="majorHAnsi" w:hAnsiTheme="majorHAnsi"/>
          <w:sz w:val="20"/>
          <w:szCs w:val="20"/>
          <w:shd w:val="clear" w:color="auto" w:fill="FFFFFF"/>
          <w:lang w:val="es-US"/>
        </w:rPr>
        <w:footnoteReference w:id="93"/>
      </w:r>
      <w:r w:rsidR="00FB1535" w:rsidRPr="00386E47">
        <w:rPr>
          <w:rFonts w:asciiTheme="majorHAnsi" w:hAnsiTheme="majorHAnsi"/>
          <w:sz w:val="20"/>
          <w:szCs w:val="20"/>
          <w:shd w:val="clear" w:color="auto" w:fill="FFFFFF"/>
          <w:lang w:val="es-US"/>
        </w:rPr>
        <w:t>. Igualmente la información pública indica que la DAIA “en cumplimiento del mandato otorgado por la totalidad de las instituciones judías argentinas, tiene la misión de luchar contra toda expresión de antisemitismo, discriminación, racismo y xenofobia, preservar los derechos humanos, promover el diálogo interreligioso y la convivencia armónica entre todos los ciudadanos, en un marco de respeto a las diferencias; así como denunciar el terrorismo internacional, velando por la seguridad de las instituciones e integrantes de la comunidad judía argentina”</w:t>
      </w:r>
      <w:r w:rsidR="00FB1535" w:rsidRPr="00386E47">
        <w:rPr>
          <w:rStyle w:val="FootnoteReference"/>
          <w:rFonts w:asciiTheme="majorHAnsi" w:hAnsiTheme="majorHAnsi"/>
          <w:sz w:val="20"/>
          <w:szCs w:val="20"/>
          <w:shd w:val="clear" w:color="auto" w:fill="FFFFFF"/>
          <w:lang w:val="es-US"/>
        </w:rPr>
        <w:footnoteReference w:id="94"/>
      </w:r>
      <w:r w:rsidR="00FB1535" w:rsidRPr="00386E47">
        <w:rPr>
          <w:rFonts w:asciiTheme="majorHAnsi" w:hAnsiTheme="majorHAnsi"/>
          <w:sz w:val="20"/>
          <w:szCs w:val="20"/>
          <w:shd w:val="clear" w:color="auto" w:fill="FFFFFF"/>
          <w:lang w:val="es-US"/>
        </w:rPr>
        <w:t xml:space="preserve">. </w:t>
      </w:r>
      <w:r w:rsidR="005B3502" w:rsidRPr="00386E47">
        <w:rPr>
          <w:rFonts w:asciiTheme="majorHAnsi" w:hAnsiTheme="majorHAnsi"/>
          <w:sz w:val="20"/>
          <w:szCs w:val="20"/>
          <w:shd w:val="clear" w:color="auto" w:fill="FFFFFF"/>
          <w:lang w:val="es-US"/>
        </w:rPr>
        <w:t xml:space="preserve"> </w:t>
      </w:r>
    </w:p>
    <w:p w14:paraId="246DEBA4" w14:textId="77777777" w:rsidR="0045048C" w:rsidRPr="00386E47" w:rsidRDefault="0045048C" w:rsidP="0045048C">
      <w:pPr>
        <w:tabs>
          <w:tab w:val="left" w:pos="567"/>
        </w:tabs>
        <w:jc w:val="both"/>
        <w:rPr>
          <w:rFonts w:asciiTheme="majorHAnsi" w:hAnsiTheme="majorHAnsi"/>
          <w:sz w:val="20"/>
          <w:szCs w:val="20"/>
          <w:lang w:val="es-US"/>
        </w:rPr>
      </w:pPr>
    </w:p>
    <w:p w14:paraId="27F5A8D4" w14:textId="77777777" w:rsidR="0045048C" w:rsidRPr="00386E47" w:rsidRDefault="0045048C" w:rsidP="003A5860">
      <w:pPr>
        <w:pStyle w:val="parrafos"/>
        <w:numPr>
          <w:ilvl w:val="0"/>
          <w:numId w:val="55"/>
        </w:numPr>
        <w:tabs>
          <w:tab w:val="left" w:pos="567"/>
        </w:tabs>
        <w:ind w:left="0" w:firstLine="0"/>
      </w:pPr>
      <w:r w:rsidRPr="00386E47">
        <w:rPr>
          <w:lang w:val="es-US"/>
        </w:rPr>
        <w:t>Dado que la Convención Americana no tiene una definición explícita de discriminación, la Corte ha tomado en cuenta varios instrumentos de derecho internacional para definirla como “</w:t>
      </w:r>
      <w:r w:rsidRPr="00386E47">
        <w:rPr>
          <w:i/>
          <w:lang w:val="es-US"/>
        </w:rPr>
        <w:t>toda distinción, exclusión, restricción o preferencia que se basen en determinados motivos, como la raza, el color, el sexo, el idioma, la religión, la opinión política o de otra índole, el origen nacional o social, la propiedad, el nacimiento o cualquier otra condición social, y que tengan por objeto o por resultado anular o menoscabar el reconocimiento, goce o ejercicio, en condiciones de igualdad, de los derechos humanos y libertades fundamentales de todas las personas</w:t>
      </w:r>
      <w:r w:rsidRPr="00386E47">
        <w:rPr>
          <w:lang w:val="es-US"/>
        </w:rPr>
        <w:t>”</w:t>
      </w:r>
      <w:r w:rsidRPr="00386E47">
        <w:rPr>
          <w:vertAlign w:val="superscript"/>
        </w:rPr>
        <w:footnoteReference w:id="95"/>
      </w:r>
      <w:r w:rsidRPr="00386E47">
        <w:rPr>
          <w:lang w:val="es-US"/>
        </w:rPr>
        <w:t>. Igualmente, es de resaltar que no existe un listado taxativo de categorías prohibidas de discriminación, sino que la expresión “</w:t>
      </w:r>
      <w:r w:rsidRPr="00386E47">
        <w:rPr>
          <w:i/>
          <w:lang w:val="es-US"/>
        </w:rPr>
        <w:t>cualquier otra condición social</w:t>
      </w:r>
      <w:r w:rsidRPr="00386E47">
        <w:rPr>
          <w:lang w:val="es-US"/>
        </w:rPr>
        <w:t>” del artículo 1.1 de la Convención Americana debe ser interpretada en la perspectiva de la opción más favorable a la persona y de la evolución de los derechos fundamentales en el derecho internacional contemporáneo</w:t>
      </w:r>
      <w:r w:rsidRPr="00386E47">
        <w:rPr>
          <w:vertAlign w:val="superscript"/>
        </w:rPr>
        <w:footnoteReference w:id="96"/>
      </w:r>
      <w:r w:rsidRPr="00386E47">
        <w:rPr>
          <w:lang w:val="es-US"/>
        </w:rPr>
        <w:t xml:space="preserve">. </w:t>
      </w:r>
    </w:p>
    <w:p w14:paraId="165A93FA" w14:textId="77777777" w:rsidR="0045048C" w:rsidRPr="00386E47" w:rsidRDefault="0045048C" w:rsidP="0045048C">
      <w:pPr>
        <w:tabs>
          <w:tab w:val="left" w:pos="567"/>
        </w:tabs>
        <w:jc w:val="both"/>
        <w:rPr>
          <w:rFonts w:asciiTheme="majorHAnsi" w:hAnsiTheme="majorHAnsi"/>
          <w:sz w:val="20"/>
          <w:szCs w:val="20"/>
          <w:lang w:val="es-US"/>
        </w:rPr>
      </w:pPr>
    </w:p>
    <w:p w14:paraId="2BEB91D2" w14:textId="77777777" w:rsidR="00124D62" w:rsidRPr="00386E47" w:rsidRDefault="0045048C" w:rsidP="003A5860">
      <w:pPr>
        <w:pStyle w:val="ListParagraph"/>
        <w:numPr>
          <w:ilvl w:val="0"/>
          <w:numId w:val="55"/>
        </w:numPr>
        <w:tabs>
          <w:tab w:val="left" w:pos="567"/>
        </w:tabs>
        <w:ind w:left="0" w:firstLine="0"/>
        <w:jc w:val="both"/>
        <w:rPr>
          <w:rFonts w:asciiTheme="majorHAnsi" w:hAnsiTheme="majorHAnsi"/>
          <w:sz w:val="20"/>
          <w:szCs w:val="20"/>
          <w:lang w:val="es-US"/>
        </w:rPr>
      </w:pPr>
      <w:r w:rsidRPr="00386E47">
        <w:rPr>
          <w:rFonts w:asciiTheme="majorHAnsi" w:eastAsia="Times New Roman" w:hAnsiTheme="majorHAnsi"/>
          <w:sz w:val="20"/>
          <w:szCs w:val="20"/>
          <w:lang w:val="es-US" w:eastAsia="es-ES_tradnl"/>
        </w:rPr>
        <w:t>En opinión de la Comisión, la referida</w:t>
      </w:r>
      <w:r w:rsidR="00FB1535" w:rsidRPr="00386E47">
        <w:rPr>
          <w:rFonts w:asciiTheme="majorHAnsi" w:eastAsia="Times New Roman" w:hAnsiTheme="majorHAnsi"/>
          <w:sz w:val="20"/>
          <w:szCs w:val="20"/>
          <w:lang w:val="es-ES_tradnl" w:eastAsia="es-ES_tradnl"/>
        </w:rPr>
        <w:t xml:space="preserve"> característica de identidad judía </w:t>
      </w:r>
      <w:r w:rsidRPr="00386E47">
        <w:rPr>
          <w:rFonts w:asciiTheme="majorHAnsi" w:eastAsia="Times New Roman" w:hAnsiTheme="majorHAnsi"/>
          <w:sz w:val="20"/>
          <w:szCs w:val="20"/>
          <w:lang w:val="es-ES_tradnl" w:eastAsia="es-ES_tradnl"/>
        </w:rPr>
        <w:t xml:space="preserve">que tenían las víctimas del presente caso </w:t>
      </w:r>
      <w:r w:rsidR="00FB1535" w:rsidRPr="00386E47">
        <w:rPr>
          <w:rFonts w:asciiTheme="majorHAnsi" w:eastAsia="Times New Roman" w:hAnsiTheme="majorHAnsi"/>
          <w:sz w:val="20"/>
          <w:szCs w:val="20"/>
          <w:lang w:val="es-ES_tradnl" w:eastAsia="es-ES_tradnl"/>
        </w:rPr>
        <w:t>en el país</w:t>
      </w:r>
      <w:r w:rsidRPr="00386E47">
        <w:rPr>
          <w:rFonts w:asciiTheme="majorHAnsi" w:eastAsia="Times New Roman" w:hAnsiTheme="majorHAnsi"/>
          <w:sz w:val="20"/>
          <w:szCs w:val="20"/>
          <w:lang w:val="es-ES_tradnl" w:eastAsia="es-ES_tradnl"/>
        </w:rPr>
        <w:t>,</w:t>
      </w:r>
      <w:r w:rsidR="00FB1535" w:rsidRPr="00386E47">
        <w:rPr>
          <w:rFonts w:asciiTheme="majorHAnsi" w:eastAsia="Times New Roman" w:hAnsiTheme="majorHAnsi"/>
          <w:sz w:val="20"/>
          <w:szCs w:val="20"/>
          <w:lang w:val="es-ES_tradnl" w:eastAsia="es-ES_tradnl"/>
        </w:rPr>
        <w:t xml:space="preserve"> </w:t>
      </w:r>
      <w:r w:rsidR="005B3502" w:rsidRPr="00386E47">
        <w:rPr>
          <w:rFonts w:asciiTheme="majorHAnsi" w:eastAsia="Times New Roman" w:hAnsiTheme="majorHAnsi"/>
          <w:sz w:val="20"/>
          <w:szCs w:val="20"/>
          <w:lang w:val="es-ES_tradnl" w:eastAsia="es-ES_tradnl"/>
        </w:rPr>
        <w:t>definió que</w:t>
      </w:r>
      <w:r w:rsidR="00FB1535" w:rsidRPr="00386E47">
        <w:rPr>
          <w:rFonts w:asciiTheme="majorHAnsi" w:hAnsiTheme="majorHAnsi"/>
          <w:sz w:val="20"/>
          <w:szCs w:val="20"/>
          <w:shd w:val="clear" w:color="auto" w:fill="FFFFFF"/>
          <w:lang w:val="es-US"/>
        </w:rPr>
        <w:t xml:space="preserve"> la violencia terrorista </w:t>
      </w:r>
      <w:r w:rsidRPr="00386E47">
        <w:rPr>
          <w:rFonts w:asciiTheme="majorHAnsi" w:hAnsiTheme="majorHAnsi"/>
          <w:sz w:val="20"/>
          <w:szCs w:val="20"/>
          <w:shd w:val="clear" w:color="auto" w:fill="FFFFFF"/>
          <w:lang w:val="es-US"/>
        </w:rPr>
        <w:t>estuviera</w:t>
      </w:r>
      <w:r w:rsidR="00FB1535" w:rsidRPr="00386E47">
        <w:rPr>
          <w:rFonts w:asciiTheme="majorHAnsi" w:hAnsiTheme="majorHAnsi"/>
          <w:sz w:val="20"/>
          <w:szCs w:val="20"/>
          <w:shd w:val="clear" w:color="auto" w:fill="FFFFFF"/>
          <w:lang w:val="es-US"/>
        </w:rPr>
        <w:t xml:space="preserve"> dirigida a atacar a aquellos que se referenciaban o </w:t>
      </w:r>
      <w:r w:rsidR="005B3502" w:rsidRPr="00386E47">
        <w:rPr>
          <w:rFonts w:asciiTheme="majorHAnsi" w:hAnsiTheme="majorHAnsi"/>
          <w:sz w:val="20"/>
          <w:szCs w:val="20"/>
          <w:shd w:val="clear" w:color="auto" w:fill="FFFFFF"/>
          <w:lang w:val="es-US"/>
        </w:rPr>
        <w:t>pertenecían</w:t>
      </w:r>
      <w:r w:rsidR="00FB1535" w:rsidRPr="00386E47">
        <w:rPr>
          <w:rFonts w:asciiTheme="majorHAnsi" w:hAnsiTheme="majorHAnsi"/>
          <w:sz w:val="20"/>
          <w:szCs w:val="20"/>
          <w:shd w:val="clear" w:color="auto" w:fill="FFFFFF"/>
          <w:lang w:val="es-US"/>
        </w:rPr>
        <w:t xml:space="preserve"> a la comunidad judía argentina</w:t>
      </w:r>
      <w:r w:rsidRPr="00386E47">
        <w:rPr>
          <w:rFonts w:asciiTheme="majorHAnsi" w:hAnsiTheme="majorHAnsi"/>
          <w:sz w:val="20"/>
          <w:szCs w:val="20"/>
          <w:shd w:val="clear" w:color="auto" w:fill="FFFFFF"/>
          <w:lang w:val="es-US"/>
        </w:rPr>
        <w:t>. E</w:t>
      </w:r>
      <w:r w:rsidR="001B7DE5" w:rsidRPr="00386E47">
        <w:rPr>
          <w:rFonts w:asciiTheme="majorHAnsi" w:hAnsiTheme="majorHAnsi"/>
          <w:sz w:val="20"/>
          <w:szCs w:val="20"/>
          <w:shd w:val="clear" w:color="auto" w:fill="FFFFFF"/>
          <w:lang w:val="es-US"/>
        </w:rPr>
        <w:t xml:space="preserve">n </w:t>
      </w:r>
      <w:r w:rsidRPr="00386E47">
        <w:rPr>
          <w:rFonts w:asciiTheme="majorHAnsi" w:hAnsiTheme="majorHAnsi"/>
          <w:sz w:val="20"/>
          <w:szCs w:val="20"/>
          <w:shd w:val="clear" w:color="auto" w:fill="FFFFFF"/>
          <w:lang w:val="es-US"/>
        </w:rPr>
        <w:t>consecuencia,</w:t>
      </w:r>
      <w:r w:rsidR="001B7DE5" w:rsidRPr="00386E47">
        <w:rPr>
          <w:rFonts w:asciiTheme="majorHAnsi" w:hAnsiTheme="majorHAnsi"/>
          <w:sz w:val="20"/>
          <w:szCs w:val="20"/>
          <w:shd w:val="clear" w:color="auto" w:fill="FFFFFF"/>
          <w:lang w:val="es-US"/>
        </w:rPr>
        <w:t xml:space="preserve"> la Comisión considera que se </w:t>
      </w:r>
      <w:r w:rsidRPr="00386E47">
        <w:rPr>
          <w:rFonts w:asciiTheme="majorHAnsi" w:hAnsiTheme="majorHAnsi"/>
          <w:sz w:val="20"/>
          <w:szCs w:val="20"/>
          <w:shd w:val="clear" w:color="auto" w:fill="FFFFFF"/>
          <w:lang w:val="es-US"/>
        </w:rPr>
        <w:t>dicho acto terrorista, constituyó además una forma de discriminación en contra de las víctimas por su pertenencia</w:t>
      </w:r>
      <w:r w:rsidR="00A86CFA" w:rsidRPr="00386E47">
        <w:rPr>
          <w:rFonts w:asciiTheme="majorHAnsi" w:hAnsiTheme="majorHAnsi"/>
          <w:sz w:val="20"/>
          <w:szCs w:val="20"/>
          <w:shd w:val="clear" w:color="auto" w:fill="FFFFFF"/>
          <w:lang w:val="es-US"/>
        </w:rPr>
        <w:t>,</w:t>
      </w:r>
      <w:r w:rsidRPr="00386E47">
        <w:rPr>
          <w:rFonts w:asciiTheme="majorHAnsi" w:hAnsiTheme="majorHAnsi"/>
          <w:sz w:val="20"/>
          <w:szCs w:val="20"/>
          <w:shd w:val="clear" w:color="auto" w:fill="FFFFFF"/>
          <w:lang w:val="es-US"/>
        </w:rPr>
        <w:t xml:space="preserve"> identificación</w:t>
      </w:r>
      <w:r w:rsidR="00A86CFA" w:rsidRPr="00386E47">
        <w:rPr>
          <w:rFonts w:asciiTheme="majorHAnsi" w:hAnsiTheme="majorHAnsi"/>
          <w:sz w:val="20"/>
          <w:szCs w:val="20"/>
          <w:shd w:val="clear" w:color="auto" w:fill="FFFFFF"/>
          <w:lang w:val="es-US"/>
        </w:rPr>
        <w:t xml:space="preserve"> o alguna vinculación</w:t>
      </w:r>
      <w:r w:rsidRPr="00386E47">
        <w:rPr>
          <w:rFonts w:asciiTheme="majorHAnsi" w:hAnsiTheme="majorHAnsi"/>
          <w:sz w:val="20"/>
          <w:szCs w:val="20"/>
          <w:shd w:val="clear" w:color="auto" w:fill="FFFFFF"/>
          <w:lang w:val="es-US"/>
        </w:rPr>
        <w:t xml:space="preserve"> con la comunidad judío argentina.</w:t>
      </w:r>
    </w:p>
    <w:p w14:paraId="07460161" w14:textId="77777777" w:rsidR="00124D62" w:rsidRPr="00386E47" w:rsidRDefault="00124D62" w:rsidP="00124D62">
      <w:pPr>
        <w:pStyle w:val="ListParagraph"/>
        <w:jc w:val="both"/>
        <w:rPr>
          <w:rFonts w:asciiTheme="majorHAnsi" w:hAnsiTheme="majorHAnsi"/>
          <w:sz w:val="20"/>
          <w:szCs w:val="20"/>
          <w:lang w:val="es-US"/>
        </w:rPr>
      </w:pPr>
    </w:p>
    <w:p w14:paraId="23AFA2C8" w14:textId="77777777" w:rsidR="00124D62" w:rsidRPr="00386E47" w:rsidRDefault="0045048C" w:rsidP="003A5860">
      <w:pPr>
        <w:pStyle w:val="ListParagraph"/>
        <w:numPr>
          <w:ilvl w:val="0"/>
          <w:numId w:val="55"/>
        </w:numPr>
        <w:tabs>
          <w:tab w:val="left" w:pos="567"/>
        </w:tabs>
        <w:ind w:left="0" w:firstLine="0"/>
        <w:jc w:val="both"/>
        <w:rPr>
          <w:rFonts w:asciiTheme="majorHAnsi" w:hAnsiTheme="majorHAnsi"/>
          <w:sz w:val="20"/>
          <w:szCs w:val="20"/>
          <w:lang w:val="es-US"/>
        </w:rPr>
      </w:pPr>
      <w:r w:rsidRPr="00386E47">
        <w:rPr>
          <w:rFonts w:asciiTheme="majorHAnsi" w:hAnsiTheme="majorHAnsi"/>
          <w:sz w:val="20"/>
          <w:szCs w:val="20"/>
          <w:lang w:val="es-US"/>
        </w:rPr>
        <w:t>En ese sentido, l</w:t>
      </w:r>
      <w:r w:rsidR="005B3502" w:rsidRPr="00386E47">
        <w:rPr>
          <w:rFonts w:asciiTheme="majorHAnsi" w:hAnsiTheme="majorHAnsi"/>
          <w:sz w:val="20"/>
          <w:szCs w:val="20"/>
          <w:lang w:val="es-US"/>
        </w:rPr>
        <w:t xml:space="preserve">a Comisión observa </w:t>
      </w:r>
      <w:r w:rsidR="00F54071" w:rsidRPr="00386E47">
        <w:rPr>
          <w:rFonts w:asciiTheme="majorHAnsi" w:hAnsiTheme="majorHAnsi"/>
          <w:sz w:val="20"/>
          <w:szCs w:val="20"/>
          <w:lang w:val="es-US"/>
        </w:rPr>
        <w:t>que,</w:t>
      </w:r>
      <w:r w:rsidR="00FB1535" w:rsidRPr="00386E47">
        <w:rPr>
          <w:rFonts w:asciiTheme="majorHAnsi" w:hAnsiTheme="majorHAnsi"/>
          <w:sz w:val="20"/>
          <w:szCs w:val="20"/>
          <w:lang w:val="es-US"/>
        </w:rPr>
        <w:t xml:space="preserve"> aunque todas las personas que se encontraban en el lugar no tuvieran el propósito de asociarse alrededor de los valores judíos que propugna la AMIA o no se reconocieran como tal, por estar en un lugar </w:t>
      </w:r>
      <w:r w:rsidR="00396DC4" w:rsidRPr="00386E47">
        <w:rPr>
          <w:rFonts w:asciiTheme="majorHAnsi" w:hAnsiTheme="majorHAnsi"/>
          <w:sz w:val="20"/>
          <w:szCs w:val="20"/>
          <w:lang w:val="es-US"/>
        </w:rPr>
        <w:t>q</w:t>
      </w:r>
      <w:r w:rsidR="00BD144A" w:rsidRPr="00386E47">
        <w:rPr>
          <w:rFonts w:asciiTheme="majorHAnsi" w:hAnsiTheme="majorHAnsi"/>
          <w:sz w:val="20"/>
          <w:szCs w:val="20"/>
          <w:lang w:val="es-US"/>
        </w:rPr>
        <w:t>ue propugna por mantener los valores identitarios de la comunidad judía y</w:t>
      </w:r>
      <w:r w:rsidR="00FB1535" w:rsidRPr="00386E47">
        <w:rPr>
          <w:rFonts w:asciiTheme="majorHAnsi" w:hAnsiTheme="majorHAnsi"/>
          <w:sz w:val="20"/>
          <w:szCs w:val="20"/>
          <w:lang w:val="es-US"/>
        </w:rPr>
        <w:t xml:space="preserve"> </w:t>
      </w:r>
      <w:r w:rsidR="00BD144A" w:rsidRPr="00386E47">
        <w:rPr>
          <w:rFonts w:asciiTheme="majorHAnsi" w:hAnsiTheme="majorHAnsi"/>
          <w:sz w:val="20"/>
          <w:szCs w:val="20"/>
          <w:lang w:val="es-US"/>
        </w:rPr>
        <w:t>fue objeto de</w:t>
      </w:r>
      <w:r w:rsidR="00FB1535" w:rsidRPr="00386E47">
        <w:rPr>
          <w:rFonts w:asciiTheme="majorHAnsi" w:hAnsiTheme="majorHAnsi"/>
          <w:sz w:val="20"/>
          <w:szCs w:val="20"/>
          <w:lang w:val="es-US"/>
        </w:rPr>
        <w:t xml:space="preserve"> un ataque discriminatorio, perdieron su vida o vieron afectada su integridad. En este caso, el ataque discriminatorio generó consecuencias a la vida e integridad también contra las personas que</w:t>
      </w:r>
      <w:r w:rsidR="00DE6A18" w:rsidRPr="00386E47">
        <w:rPr>
          <w:rFonts w:asciiTheme="majorHAnsi" w:hAnsiTheme="majorHAnsi"/>
          <w:sz w:val="20"/>
          <w:szCs w:val="20"/>
          <w:lang w:val="es-US"/>
        </w:rPr>
        <w:t>,</w:t>
      </w:r>
      <w:r w:rsidR="00FB1535" w:rsidRPr="00386E47">
        <w:rPr>
          <w:rFonts w:asciiTheme="majorHAnsi" w:hAnsiTheme="majorHAnsi"/>
          <w:sz w:val="20"/>
          <w:szCs w:val="20"/>
          <w:lang w:val="es-US"/>
        </w:rPr>
        <w:t xml:space="preserve"> aunque no fueran judías se encontraban cerca físicamente o en el lugar representativo para la comunidad judía. Así, por el alto nivel de violencia del ataque, se tiene que el mismo generó efectos en quienes se percibían con algún vínculo, así fuera únicamente físico por </w:t>
      </w:r>
      <w:r w:rsidR="00413F60" w:rsidRPr="00386E47">
        <w:rPr>
          <w:rFonts w:asciiTheme="majorHAnsi" w:hAnsiTheme="majorHAnsi"/>
          <w:sz w:val="20"/>
          <w:szCs w:val="20"/>
          <w:lang w:val="es-US"/>
        </w:rPr>
        <w:t>estar en el mismo barrio de un C</w:t>
      </w:r>
      <w:r w:rsidR="00FB1535" w:rsidRPr="00386E47">
        <w:rPr>
          <w:rFonts w:asciiTheme="majorHAnsi" w:hAnsiTheme="majorHAnsi"/>
          <w:sz w:val="20"/>
          <w:szCs w:val="20"/>
          <w:lang w:val="es-US"/>
        </w:rPr>
        <w:t xml:space="preserve">entro de la comunidad judía. </w:t>
      </w:r>
    </w:p>
    <w:p w14:paraId="2404A382" w14:textId="77777777" w:rsidR="00F72F3E" w:rsidRPr="00386E47" w:rsidRDefault="00F72F3E" w:rsidP="00A311A0">
      <w:pPr>
        <w:rPr>
          <w:rFonts w:asciiTheme="majorHAnsi" w:hAnsiTheme="majorHAnsi"/>
          <w:lang w:val="es-US"/>
        </w:rPr>
      </w:pPr>
    </w:p>
    <w:p w14:paraId="61016553" w14:textId="77777777" w:rsidR="00BD144A" w:rsidRPr="00386E47" w:rsidRDefault="00BD144A" w:rsidP="003A5860">
      <w:pPr>
        <w:pStyle w:val="ListParagraph"/>
        <w:numPr>
          <w:ilvl w:val="0"/>
          <w:numId w:val="55"/>
        </w:numPr>
        <w:tabs>
          <w:tab w:val="left" w:pos="567"/>
        </w:tabs>
        <w:ind w:left="0" w:firstLine="0"/>
        <w:jc w:val="both"/>
        <w:rPr>
          <w:rFonts w:asciiTheme="majorHAnsi" w:hAnsiTheme="majorHAnsi"/>
          <w:sz w:val="20"/>
          <w:szCs w:val="20"/>
          <w:lang w:val="es-ES"/>
        </w:rPr>
      </w:pPr>
      <w:r w:rsidRPr="00386E47">
        <w:rPr>
          <w:rFonts w:asciiTheme="majorHAnsi" w:hAnsiTheme="majorHAnsi"/>
          <w:sz w:val="20"/>
          <w:szCs w:val="20"/>
          <w:lang w:val="es-ES"/>
        </w:rPr>
        <w:t>En vista de lo anterior, la Comisión observa que las omisiones del Estado en materia de prevención que generaron su responsabilidad internacional, aunque no se haya probado que tuvier</w:t>
      </w:r>
      <w:r w:rsidR="000F208E" w:rsidRPr="00386E47">
        <w:rPr>
          <w:rFonts w:asciiTheme="majorHAnsi" w:hAnsiTheme="majorHAnsi"/>
          <w:sz w:val="20"/>
          <w:szCs w:val="20"/>
          <w:lang w:val="es-ES"/>
        </w:rPr>
        <w:t>a</w:t>
      </w:r>
      <w:r w:rsidRPr="00386E47">
        <w:rPr>
          <w:rFonts w:asciiTheme="majorHAnsi" w:hAnsiTheme="majorHAnsi"/>
          <w:sz w:val="20"/>
          <w:szCs w:val="20"/>
          <w:lang w:val="es-ES"/>
        </w:rPr>
        <w:t>n un carácter deliberado en contra de la comunidad judí</w:t>
      </w:r>
      <w:r w:rsidR="000F208E" w:rsidRPr="00386E47">
        <w:rPr>
          <w:rFonts w:asciiTheme="majorHAnsi" w:hAnsiTheme="majorHAnsi"/>
          <w:sz w:val="20"/>
          <w:szCs w:val="20"/>
          <w:lang w:val="es-ES"/>
        </w:rPr>
        <w:t>a</w:t>
      </w:r>
      <w:r w:rsidRPr="00386E47">
        <w:rPr>
          <w:rFonts w:asciiTheme="majorHAnsi" w:hAnsiTheme="majorHAnsi"/>
          <w:sz w:val="20"/>
          <w:szCs w:val="20"/>
          <w:lang w:val="es-ES"/>
        </w:rPr>
        <w:t xml:space="preserve"> argentina, sí demuestran que el Estado se abstuvo de tomar las medidas razonables para proteger a un grupo susceptible de sufrir un ataque discriminatorio. </w:t>
      </w:r>
      <w:r w:rsidRPr="00386E47">
        <w:rPr>
          <w:rFonts w:asciiTheme="majorHAnsi" w:hAnsiTheme="majorHAnsi"/>
          <w:sz w:val="20"/>
          <w:szCs w:val="20"/>
          <w:lang w:val="es-US"/>
        </w:rPr>
        <w:t xml:space="preserve">La Comisión encuentra que el riesgo para la vida e integridad de las personas relacionadas con los lugares de la comunidad judía tenía una </w:t>
      </w:r>
      <w:r w:rsidRPr="00386E47">
        <w:rPr>
          <w:rFonts w:asciiTheme="majorHAnsi" w:hAnsiTheme="majorHAnsi"/>
          <w:sz w:val="20"/>
          <w:szCs w:val="20"/>
          <w:lang w:val="es-US"/>
        </w:rPr>
        <w:lastRenderedPageBreak/>
        <w:t>característica especial</w:t>
      </w:r>
      <w:r w:rsidR="000F208E" w:rsidRPr="00386E47">
        <w:rPr>
          <w:rFonts w:asciiTheme="majorHAnsi" w:hAnsiTheme="majorHAnsi"/>
          <w:sz w:val="20"/>
          <w:szCs w:val="20"/>
          <w:lang w:val="es-US"/>
        </w:rPr>
        <w:t xml:space="preserve"> en virtud de su identidad</w:t>
      </w:r>
      <w:r w:rsidRPr="00386E47">
        <w:rPr>
          <w:rFonts w:asciiTheme="majorHAnsi" w:hAnsiTheme="majorHAnsi"/>
          <w:sz w:val="20"/>
          <w:szCs w:val="20"/>
          <w:lang w:val="es-US"/>
        </w:rPr>
        <w:t xml:space="preserve">. Es decir, que el riesgo </w:t>
      </w:r>
      <w:r w:rsidR="000F208E" w:rsidRPr="00386E47">
        <w:rPr>
          <w:rFonts w:asciiTheme="majorHAnsi" w:hAnsiTheme="majorHAnsi"/>
          <w:sz w:val="20"/>
          <w:szCs w:val="20"/>
          <w:lang w:val="es-US"/>
        </w:rPr>
        <w:t xml:space="preserve">para la vida </w:t>
      </w:r>
      <w:r w:rsidRPr="00386E47">
        <w:rPr>
          <w:rFonts w:asciiTheme="majorHAnsi" w:hAnsiTheme="majorHAnsi"/>
          <w:sz w:val="20"/>
          <w:szCs w:val="20"/>
          <w:lang w:val="es-US"/>
        </w:rPr>
        <w:t>implicaba también un riesgo de configuración de un</w:t>
      </w:r>
      <w:r w:rsidR="000F208E" w:rsidRPr="00386E47">
        <w:rPr>
          <w:rFonts w:asciiTheme="majorHAnsi" w:hAnsiTheme="majorHAnsi"/>
          <w:sz w:val="20"/>
          <w:szCs w:val="20"/>
          <w:lang w:val="es-US"/>
        </w:rPr>
        <w:t xml:space="preserve"> acto de</w:t>
      </w:r>
      <w:r w:rsidRPr="00386E47">
        <w:rPr>
          <w:rFonts w:asciiTheme="majorHAnsi" w:hAnsiTheme="majorHAnsi"/>
          <w:sz w:val="20"/>
          <w:szCs w:val="20"/>
          <w:lang w:val="es-US"/>
        </w:rPr>
        <w:t xml:space="preserve"> discriminación. </w:t>
      </w:r>
      <w:r w:rsidR="003C2510" w:rsidRPr="00386E47">
        <w:rPr>
          <w:rFonts w:asciiTheme="majorHAnsi" w:hAnsiTheme="majorHAnsi"/>
          <w:sz w:val="20"/>
          <w:szCs w:val="20"/>
          <w:lang w:val="es-US"/>
        </w:rPr>
        <w:t>D</w:t>
      </w:r>
      <w:r w:rsidRPr="00386E47">
        <w:rPr>
          <w:rFonts w:asciiTheme="majorHAnsi" w:hAnsiTheme="majorHAnsi"/>
          <w:sz w:val="20"/>
          <w:szCs w:val="20"/>
          <w:lang w:val="es-US"/>
        </w:rPr>
        <w:t>ada la calidad del riesgo en el presente caso, la Comisión encuentra que las omisiones del Estado en proteger l</w:t>
      </w:r>
      <w:r w:rsidR="000F208E" w:rsidRPr="00386E47">
        <w:rPr>
          <w:rFonts w:asciiTheme="majorHAnsi" w:hAnsiTheme="majorHAnsi"/>
          <w:sz w:val="20"/>
          <w:szCs w:val="20"/>
          <w:lang w:val="es-US"/>
        </w:rPr>
        <w:t xml:space="preserve">os </w:t>
      </w:r>
      <w:r w:rsidR="00F54071" w:rsidRPr="00386E47">
        <w:rPr>
          <w:rFonts w:asciiTheme="majorHAnsi" w:hAnsiTheme="majorHAnsi"/>
          <w:sz w:val="20"/>
          <w:szCs w:val="20"/>
          <w:lang w:val="es-US"/>
        </w:rPr>
        <w:t>derechos reconocidos</w:t>
      </w:r>
      <w:r w:rsidR="000F208E" w:rsidRPr="00386E47">
        <w:rPr>
          <w:rFonts w:asciiTheme="majorHAnsi" w:hAnsiTheme="majorHAnsi"/>
          <w:sz w:val="20"/>
          <w:szCs w:val="20"/>
          <w:lang w:val="es-US"/>
        </w:rPr>
        <w:t xml:space="preserve"> en los artículos 4 y 5 de la Convención, </w:t>
      </w:r>
      <w:r w:rsidRPr="00386E47">
        <w:rPr>
          <w:rFonts w:asciiTheme="majorHAnsi" w:hAnsiTheme="majorHAnsi"/>
          <w:sz w:val="20"/>
          <w:szCs w:val="20"/>
          <w:lang w:val="es-US"/>
        </w:rPr>
        <w:t xml:space="preserve">implicaron también una ausencia de prevención de un ataque con un móvil discriminatorio por parte de terceros. Por lo tanto, la ausencia de medidas razonables para evitar dicho ataque también </w:t>
      </w:r>
      <w:r w:rsidRPr="00386E47">
        <w:rPr>
          <w:rFonts w:asciiTheme="majorHAnsi" w:hAnsiTheme="majorHAnsi"/>
          <w:sz w:val="20"/>
          <w:szCs w:val="20"/>
          <w:lang w:val="es-ES"/>
        </w:rPr>
        <w:t>configura una violación a los artículos 1.1 y 24 de la Convención Americana</w:t>
      </w:r>
      <w:r w:rsidRPr="00386E47">
        <w:rPr>
          <w:rFonts w:asciiTheme="majorHAnsi" w:hAnsiTheme="majorHAnsi"/>
          <w:sz w:val="20"/>
          <w:szCs w:val="20"/>
          <w:shd w:val="clear" w:color="auto" w:fill="FFFFFF"/>
          <w:lang w:val="es-ES"/>
        </w:rPr>
        <w:t>.</w:t>
      </w:r>
    </w:p>
    <w:p w14:paraId="0D991CB6" w14:textId="77777777" w:rsidR="005E54E1" w:rsidRPr="00386E47" w:rsidRDefault="005E54E1" w:rsidP="00F72F3E">
      <w:pPr>
        <w:tabs>
          <w:tab w:val="left" w:pos="567"/>
        </w:tabs>
        <w:jc w:val="both"/>
        <w:rPr>
          <w:rFonts w:asciiTheme="majorHAnsi" w:eastAsia="Calibri" w:hAnsiTheme="majorHAnsi" w:cs="Verdana"/>
          <w:sz w:val="20"/>
          <w:szCs w:val="20"/>
          <w:lang w:val="es-US"/>
        </w:rPr>
      </w:pPr>
    </w:p>
    <w:p w14:paraId="45EF39C0" w14:textId="77777777" w:rsidR="00E93D21" w:rsidRPr="00386E47" w:rsidRDefault="00790369" w:rsidP="003A5860">
      <w:pPr>
        <w:pStyle w:val="ListParagraph"/>
        <w:numPr>
          <w:ilvl w:val="0"/>
          <w:numId w:val="55"/>
        </w:numPr>
        <w:tabs>
          <w:tab w:val="left" w:pos="567"/>
        </w:tabs>
        <w:ind w:left="0" w:firstLine="0"/>
        <w:jc w:val="both"/>
        <w:rPr>
          <w:rFonts w:asciiTheme="majorHAnsi" w:hAnsiTheme="majorHAnsi"/>
          <w:sz w:val="20"/>
          <w:szCs w:val="20"/>
          <w:lang w:val="es-US"/>
        </w:rPr>
      </w:pPr>
      <w:r w:rsidRPr="00386E47">
        <w:rPr>
          <w:rFonts w:asciiTheme="majorHAnsi" w:hAnsiTheme="majorHAnsi"/>
          <w:sz w:val="20"/>
          <w:szCs w:val="20"/>
          <w:lang w:val="es-US"/>
        </w:rPr>
        <w:t>L</w:t>
      </w:r>
      <w:r w:rsidR="00E93D21" w:rsidRPr="00386E47">
        <w:rPr>
          <w:rFonts w:asciiTheme="majorHAnsi" w:hAnsiTheme="majorHAnsi"/>
          <w:sz w:val="20"/>
          <w:szCs w:val="20"/>
          <w:lang w:val="es-US"/>
        </w:rPr>
        <w:t xml:space="preserve">a Comisión </w:t>
      </w:r>
      <w:r w:rsidRPr="00386E47">
        <w:rPr>
          <w:rFonts w:asciiTheme="majorHAnsi" w:hAnsiTheme="majorHAnsi"/>
          <w:sz w:val="20"/>
          <w:szCs w:val="20"/>
          <w:lang w:val="es-US"/>
        </w:rPr>
        <w:t>resalta</w:t>
      </w:r>
      <w:r w:rsidR="00E93D21" w:rsidRPr="00386E47">
        <w:rPr>
          <w:rFonts w:asciiTheme="majorHAnsi" w:hAnsiTheme="majorHAnsi"/>
          <w:sz w:val="20"/>
          <w:szCs w:val="20"/>
          <w:lang w:val="es-US"/>
        </w:rPr>
        <w:t xml:space="preserve"> que la anterior determinación no nubla las fuertes repercusiones que tuvo este ataque en la sociedad, que superó a la misma comunidad judía, y que afectó a otras personas por el grado de violencia utilizado que incluso no tenían dichos rasgo de identidad. Además, se destaca que por ocurrir en Argentina no se trata únicamente de un episodio relevante para la comunidad judía, como fue su origen y su móvil, sino que sus efectos se proyectaron a lo largo de todo el país</w:t>
      </w:r>
      <w:r w:rsidR="004301F7" w:rsidRPr="00386E47">
        <w:rPr>
          <w:rFonts w:asciiTheme="majorHAnsi" w:hAnsiTheme="majorHAnsi"/>
          <w:sz w:val="20"/>
          <w:szCs w:val="20"/>
          <w:lang w:val="es-US"/>
        </w:rPr>
        <w:t xml:space="preserve"> en la sociedad </w:t>
      </w:r>
      <w:r w:rsidR="00F54071" w:rsidRPr="00386E47">
        <w:rPr>
          <w:rFonts w:asciiTheme="majorHAnsi" w:hAnsiTheme="majorHAnsi"/>
          <w:sz w:val="20"/>
          <w:szCs w:val="20"/>
          <w:lang w:val="es-US"/>
        </w:rPr>
        <w:t>argentina.</w:t>
      </w:r>
      <w:r w:rsidR="00E93D21" w:rsidRPr="00386E47">
        <w:rPr>
          <w:rFonts w:asciiTheme="majorHAnsi" w:hAnsiTheme="majorHAnsi"/>
          <w:sz w:val="20"/>
          <w:szCs w:val="20"/>
          <w:lang w:val="es-US"/>
        </w:rPr>
        <w:t xml:space="preserve"> </w:t>
      </w:r>
    </w:p>
    <w:p w14:paraId="0587471B" w14:textId="77777777" w:rsidR="00E93D21" w:rsidRPr="00386E47" w:rsidRDefault="00E93D21" w:rsidP="00F72F3E">
      <w:pPr>
        <w:tabs>
          <w:tab w:val="left" w:pos="567"/>
        </w:tabs>
        <w:jc w:val="both"/>
        <w:rPr>
          <w:rFonts w:asciiTheme="majorHAnsi" w:eastAsia="Calibri" w:hAnsiTheme="majorHAnsi" w:cs="Verdana"/>
          <w:sz w:val="20"/>
          <w:szCs w:val="20"/>
          <w:lang w:val="es-US"/>
        </w:rPr>
      </w:pPr>
    </w:p>
    <w:p w14:paraId="31BF8DCF" w14:textId="77777777" w:rsidR="003C1378" w:rsidRPr="00386E47" w:rsidRDefault="003C1378" w:rsidP="009146F2">
      <w:pPr>
        <w:pStyle w:val="Heading2"/>
        <w:numPr>
          <w:ilvl w:val="0"/>
          <w:numId w:val="68"/>
        </w:numPr>
        <w:rPr>
          <w:rFonts w:asciiTheme="majorHAnsi" w:hAnsiTheme="majorHAnsi"/>
        </w:rPr>
      </w:pPr>
      <w:bookmarkStart w:id="28" w:name="_Toc51252199"/>
      <w:r w:rsidRPr="00386E47">
        <w:rPr>
          <w:rFonts w:asciiTheme="majorHAnsi" w:hAnsiTheme="majorHAnsi"/>
        </w:rPr>
        <w:t>Derechos a las garantías judiciales y a la protección Judicial (artículos 8.1. y 25 de la Convención) en relación con la obligación de r</w:t>
      </w:r>
      <w:r w:rsidR="00764BCB" w:rsidRPr="00386E47">
        <w:rPr>
          <w:rFonts w:asciiTheme="majorHAnsi" w:hAnsiTheme="majorHAnsi"/>
        </w:rPr>
        <w:t xml:space="preserve">espetar los derechos humanos </w:t>
      </w:r>
      <w:r w:rsidRPr="00386E47">
        <w:rPr>
          <w:rFonts w:asciiTheme="majorHAnsi" w:hAnsiTheme="majorHAnsi"/>
        </w:rPr>
        <w:t xml:space="preserve">(artículos 1.1 </w:t>
      </w:r>
      <w:r w:rsidR="005A65DD" w:rsidRPr="00386E47">
        <w:rPr>
          <w:rFonts w:asciiTheme="majorHAnsi" w:hAnsiTheme="majorHAnsi"/>
        </w:rPr>
        <w:t>de la Convención</w:t>
      </w:r>
      <w:r w:rsidRPr="00386E47">
        <w:rPr>
          <w:rFonts w:asciiTheme="majorHAnsi" w:hAnsiTheme="majorHAnsi"/>
        </w:rPr>
        <w:t>)</w:t>
      </w:r>
      <w:bookmarkEnd w:id="28"/>
      <w:r w:rsidRPr="00386E47">
        <w:rPr>
          <w:rFonts w:asciiTheme="majorHAnsi" w:hAnsiTheme="majorHAnsi"/>
        </w:rPr>
        <w:t xml:space="preserve"> </w:t>
      </w:r>
    </w:p>
    <w:p w14:paraId="1CAFFE1E" w14:textId="77777777" w:rsidR="00790369" w:rsidRPr="00386E47" w:rsidRDefault="00790369" w:rsidP="00A311A0">
      <w:pPr>
        <w:rPr>
          <w:rFonts w:asciiTheme="majorHAnsi" w:eastAsia="Calibri" w:hAnsiTheme="majorHAnsi"/>
          <w:sz w:val="20"/>
          <w:szCs w:val="20"/>
          <w:lang w:val="es-ES_tradnl" w:eastAsia="es-ES"/>
        </w:rPr>
      </w:pPr>
    </w:p>
    <w:p w14:paraId="26B4760E" w14:textId="77777777" w:rsidR="00790369" w:rsidRPr="00386E47" w:rsidRDefault="00790369" w:rsidP="003A5860">
      <w:pPr>
        <w:numPr>
          <w:ilvl w:val="0"/>
          <w:numId w:val="55"/>
        </w:numPr>
        <w:tabs>
          <w:tab w:val="left" w:pos="567"/>
        </w:tabs>
        <w:ind w:left="0" w:firstLine="0"/>
        <w:contextualSpacing/>
        <w:jc w:val="both"/>
        <w:rPr>
          <w:rFonts w:asciiTheme="majorHAnsi" w:eastAsia="Calibri" w:hAnsiTheme="majorHAnsi"/>
          <w:sz w:val="20"/>
          <w:szCs w:val="20"/>
          <w:lang w:val="es-ES_tradnl"/>
        </w:rPr>
      </w:pPr>
      <w:r w:rsidRPr="00386E47">
        <w:rPr>
          <w:rFonts w:asciiTheme="majorHAnsi" w:eastAsia="Calibri" w:hAnsiTheme="majorHAnsi"/>
          <w:sz w:val="20"/>
          <w:szCs w:val="20"/>
          <w:lang w:val="es-ES_tradnl"/>
        </w:rPr>
        <w:t>Los artículos</w:t>
      </w:r>
      <w:r w:rsidRPr="00386E47">
        <w:rPr>
          <w:rFonts w:asciiTheme="majorHAnsi" w:eastAsia="Calibri" w:hAnsiTheme="majorHAnsi"/>
          <w:sz w:val="20"/>
          <w:szCs w:val="20"/>
          <w:lang w:val="es-AR"/>
        </w:rPr>
        <w:t xml:space="preserve"> 8 y 25 de la Convención Americana establecen la obligación en cabeza del Estado de poner a disposición de las víctimas de violaciones a los derechos humanos recursos judiciales efectivos, los cuales deben ser sustanciados de conformidad con las reglas del debido proceso legal</w:t>
      </w:r>
      <w:r w:rsidRPr="00386E47">
        <w:rPr>
          <w:rFonts w:asciiTheme="majorHAnsi" w:eastAsia="Calibri" w:hAnsiTheme="majorHAnsi"/>
          <w:sz w:val="20"/>
          <w:szCs w:val="20"/>
          <w:vertAlign w:val="superscript"/>
          <w:lang w:val="es-AR"/>
        </w:rPr>
        <w:footnoteReference w:id="97"/>
      </w:r>
      <w:r w:rsidRPr="00386E47">
        <w:rPr>
          <w:rFonts w:asciiTheme="majorHAnsi" w:eastAsia="Calibri" w:hAnsiTheme="majorHAnsi"/>
          <w:sz w:val="20"/>
          <w:szCs w:val="20"/>
          <w:lang w:val="es-AR"/>
        </w:rPr>
        <w:t>.</w:t>
      </w:r>
      <w:r w:rsidRPr="00386E47">
        <w:rPr>
          <w:rFonts w:asciiTheme="majorHAnsi" w:eastAsia="Calibri" w:hAnsiTheme="majorHAnsi"/>
          <w:sz w:val="20"/>
          <w:szCs w:val="20"/>
          <w:lang w:val="es-ES_tradnl"/>
        </w:rPr>
        <w:t xml:space="preserve"> </w:t>
      </w:r>
      <w:r w:rsidRPr="00386E47">
        <w:rPr>
          <w:rFonts w:asciiTheme="majorHAnsi" w:eastAsia="Calibri" w:hAnsiTheme="majorHAnsi"/>
          <w:sz w:val="20"/>
          <w:szCs w:val="20"/>
          <w:lang w:val="es-AR"/>
        </w:rPr>
        <w:t>Esta obligación, es de medio y no de resultado, y debe ser asumida por el Estado como una obligación jurídica propia y no como una simple formalidad condenada de antemano a ser infructuosa</w:t>
      </w:r>
      <w:r w:rsidRPr="00386E47">
        <w:rPr>
          <w:rFonts w:asciiTheme="majorHAnsi" w:eastAsia="Calibri" w:hAnsiTheme="majorHAnsi"/>
          <w:sz w:val="20"/>
          <w:szCs w:val="20"/>
          <w:vertAlign w:val="superscript"/>
          <w:lang w:val="es-AR"/>
        </w:rPr>
        <w:footnoteReference w:id="98"/>
      </w:r>
      <w:r w:rsidRPr="00386E47">
        <w:rPr>
          <w:rFonts w:asciiTheme="majorHAnsi" w:eastAsia="Calibri" w:hAnsiTheme="majorHAnsi"/>
          <w:sz w:val="20"/>
          <w:szCs w:val="20"/>
          <w:lang w:val="es-AR"/>
        </w:rPr>
        <w:t>.</w:t>
      </w:r>
      <w:r w:rsidR="00137B1C" w:rsidRPr="00386E47">
        <w:rPr>
          <w:rFonts w:asciiTheme="majorHAnsi" w:eastAsia="Calibri" w:hAnsiTheme="majorHAnsi"/>
          <w:sz w:val="20"/>
          <w:szCs w:val="20"/>
          <w:lang w:val="es-AR"/>
        </w:rPr>
        <w:t xml:space="preserve"> </w:t>
      </w:r>
      <w:r w:rsidR="00137B1C" w:rsidRPr="00386E47">
        <w:rPr>
          <w:rFonts w:asciiTheme="majorHAnsi" w:eastAsia="Calibri" w:hAnsiTheme="majorHAnsi"/>
          <w:sz w:val="20"/>
          <w:szCs w:val="20"/>
          <w:lang w:val="es-ES_tradnl"/>
        </w:rPr>
        <w:t>La Comisión recuerda que no forma parte de sus funciones  efectuar determinaciones sobre la responsabilidad penal de personas individuales que puedan emerger de los hechos del presente caso, por lo que su análisis se centrara en las acciones y omisiones atribuibles al Estado durante la investigación y proceso penal a la luz de sus obligaciones internacionales en materia de acceso a la justicia y de investigar con la debida diligencia violaciones a los derechos humanos</w:t>
      </w:r>
      <w:r w:rsidR="00137B1C" w:rsidRPr="00386E47">
        <w:rPr>
          <w:rFonts w:asciiTheme="majorHAnsi" w:eastAsia="Calibri" w:hAnsiTheme="majorHAnsi"/>
          <w:sz w:val="20"/>
          <w:szCs w:val="20"/>
          <w:vertAlign w:val="superscript"/>
          <w:lang w:val="es-ES_tradnl"/>
        </w:rPr>
        <w:footnoteReference w:id="99"/>
      </w:r>
      <w:r w:rsidR="00137B1C" w:rsidRPr="00386E47">
        <w:rPr>
          <w:rFonts w:asciiTheme="majorHAnsi" w:eastAsia="Calibri" w:hAnsiTheme="majorHAnsi"/>
          <w:sz w:val="20"/>
          <w:szCs w:val="20"/>
          <w:lang w:val="es-ES_tradnl"/>
        </w:rPr>
        <w:t>.</w:t>
      </w:r>
    </w:p>
    <w:p w14:paraId="7421B08E" w14:textId="77777777" w:rsidR="00790369" w:rsidRPr="00386E47" w:rsidRDefault="00790369" w:rsidP="00790369">
      <w:pPr>
        <w:tabs>
          <w:tab w:val="left" w:pos="567"/>
        </w:tabs>
        <w:contextualSpacing/>
        <w:jc w:val="both"/>
        <w:rPr>
          <w:rFonts w:asciiTheme="majorHAnsi" w:eastAsia="Calibri" w:hAnsiTheme="majorHAnsi"/>
          <w:sz w:val="20"/>
          <w:szCs w:val="20"/>
          <w:lang w:val="es-ES_tradnl"/>
        </w:rPr>
      </w:pPr>
    </w:p>
    <w:p w14:paraId="4B7F1DA3" w14:textId="77777777" w:rsidR="00790369" w:rsidRPr="00386E47" w:rsidRDefault="00790369" w:rsidP="003A5860">
      <w:pPr>
        <w:numPr>
          <w:ilvl w:val="0"/>
          <w:numId w:val="55"/>
        </w:numPr>
        <w:tabs>
          <w:tab w:val="left" w:pos="567"/>
        </w:tabs>
        <w:ind w:left="0" w:firstLine="0"/>
        <w:contextualSpacing/>
        <w:jc w:val="both"/>
        <w:rPr>
          <w:rFonts w:asciiTheme="majorHAnsi" w:eastAsia="Calibri" w:hAnsiTheme="majorHAnsi"/>
          <w:sz w:val="20"/>
          <w:szCs w:val="20"/>
          <w:lang w:val="es-ES_tradnl"/>
        </w:rPr>
      </w:pPr>
      <w:r w:rsidRPr="00386E47">
        <w:rPr>
          <w:rFonts w:asciiTheme="majorHAnsi" w:eastAsia="Calibri" w:hAnsiTheme="majorHAnsi"/>
          <w:sz w:val="20"/>
          <w:szCs w:val="20"/>
          <w:lang w:val="es-ES_tradnl"/>
        </w:rPr>
        <w:t>La Corte ha asegurado que la investigación de violaciones de derechos humanos de conformidad con las reglas del debido proceso; su juzgamiento por órganos judiciales competentes y la imposición de sanciones a aquellos que sean encontrados responsables, forman parte de las medidas que debe adoptar el Estado a efectos de cumplir con la obligación general, contemplada en el artículo 1.1. de la Convención Americana, de garantizar los derechos reconocidos a lo largo de su texto. Dicha obligación adquiere particular importancia ante la gravedad de los delitos cometidos y la naturaleza de los derechos lesionados</w:t>
      </w:r>
      <w:r w:rsidRPr="00386E47">
        <w:rPr>
          <w:rFonts w:asciiTheme="majorHAnsi" w:eastAsia="Calibri" w:hAnsiTheme="majorHAnsi"/>
          <w:sz w:val="20"/>
          <w:szCs w:val="20"/>
          <w:vertAlign w:val="superscript"/>
          <w:lang w:val="es-ES_tradnl"/>
        </w:rPr>
        <w:footnoteReference w:id="100"/>
      </w:r>
      <w:r w:rsidRPr="00386E47">
        <w:rPr>
          <w:rFonts w:asciiTheme="majorHAnsi" w:eastAsia="Calibri" w:hAnsiTheme="majorHAnsi"/>
          <w:sz w:val="20"/>
          <w:szCs w:val="20"/>
          <w:lang w:val="es-ES_tradnl"/>
        </w:rPr>
        <w:t xml:space="preserve">. </w:t>
      </w:r>
    </w:p>
    <w:p w14:paraId="66A0DF56" w14:textId="77777777" w:rsidR="00790369" w:rsidRPr="00386E47" w:rsidRDefault="00790369" w:rsidP="00790369">
      <w:pPr>
        <w:tabs>
          <w:tab w:val="left" w:pos="567"/>
        </w:tabs>
        <w:contextualSpacing/>
        <w:jc w:val="both"/>
        <w:rPr>
          <w:rFonts w:asciiTheme="majorHAnsi" w:eastAsia="Calibri" w:hAnsiTheme="majorHAnsi"/>
          <w:sz w:val="20"/>
          <w:szCs w:val="20"/>
          <w:lang w:val="es-ES_tradnl"/>
        </w:rPr>
      </w:pPr>
    </w:p>
    <w:p w14:paraId="44A4E060" w14:textId="77777777" w:rsidR="00DC6EDE" w:rsidRPr="00386E47" w:rsidRDefault="00DC6EDE" w:rsidP="003A5860">
      <w:pPr>
        <w:numPr>
          <w:ilvl w:val="0"/>
          <w:numId w:val="55"/>
        </w:numPr>
        <w:tabs>
          <w:tab w:val="left" w:pos="567"/>
        </w:tabs>
        <w:ind w:left="0" w:firstLine="0"/>
        <w:contextualSpacing/>
        <w:jc w:val="both"/>
        <w:rPr>
          <w:rFonts w:asciiTheme="majorHAnsi" w:eastAsia="Calibri" w:hAnsiTheme="majorHAnsi"/>
          <w:sz w:val="20"/>
          <w:szCs w:val="20"/>
          <w:lang w:val="es-ES_tradnl"/>
        </w:rPr>
      </w:pPr>
      <w:r w:rsidRPr="00386E47">
        <w:rPr>
          <w:rFonts w:asciiTheme="majorHAnsi" w:hAnsiTheme="majorHAnsi"/>
          <w:sz w:val="20"/>
          <w:szCs w:val="20"/>
          <w:lang w:val="es-MX"/>
        </w:rPr>
        <w:t>En el mismo sentido, la Corte ha indicado que las víctimas y sus familiares tienen el derecho, y los Estados la obligación, a que lo sucedido a éstas sea efectivamente investigado por las autoridades del Estado; se siga un proceso contra los presuntos responsables de estos ilícitos; en su caso, se les impongan las sanciones pertinentes, y se reparen los daños y perjuicios que dichos familiares han sufrido</w:t>
      </w:r>
      <w:r w:rsidRPr="00386E47">
        <w:rPr>
          <w:rStyle w:val="FootnoteReference"/>
          <w:rFonts w:asciiTheme="majorHAnsi" w:hAnsiTheme="majorHAnsi"/>
          <w:sz w:val="20"/>
          <w:szCs w:val="20"/>
        </w:rPr>
        <w:footnoteReference w:id="101"/>
      </w:r>
      <w:r w:rsidRPr="00386E47">
        <w:rPr>
          <w:rFonts w:asciiTheme="majorHAnsi" w:hAnsiTheme="majorHAnsi"/>
          <w:sz w:val="20"/>
          <w:szCs w:val="20"/>
          <w:lang w:val="es-MX"/>
        </w:rPr>
        <w:t xml:space="preserve">. Según lo anterior, las autoridades estatales, una vez tienen conocimiento de un hecho de violación de derechos humanos, en particular de los </w:t>
      </w:r>
      <w:r w:rsidRPr="00386E47">
        <w:rPr>
          <w:rFonts w:asciiTheme="majorHAnsi" w:hAnsiTheme="majorHAnsi"/>
          <w:sz w:val="20"/>
          <w:szCs w:val="20"/>
          <w:lang w:val="es-MX"/>
        </w:rPr>
        <w:lastRenderedPageBreak/>
        <w:t>derechos a la vida, integridad personal y libertad personal</w:t>
      </w:r>
      <w:r w:rsidRPr="00386E47">
        <w:rPr>
          <w:rStyle w:val="FootnoteReference"/>
          <w:rFonts w:asciiTheme="majorHAnsi" w:hAnsiTheme="majorHAnsi"/>
          <w:sz w:val="20"/>
          <w:szCs w:val="20"/>
        </w:rPr>
        <w:footnoteReference w:id="102"/>
      </w:r>
      <w:r w:rsidRPr="00386E47">
        <w:rPr>
          <w:rFonts w:asciiTheme="majorHAnsi" w:hAnsiTheme="majorHAnsi"/>
          <w:sz w:val="20"/>
          <w:szCs w:val="20"/>
          <w:lang w:val="es-MX"/>
        </w:rPr>
        <w:t xml:space="preserve">, tienen el deber de iniciar </w:t>
      </w:r>
      <w:r w:rsidRPr="00386E47">
        <w:rPr>
          <w:rFonts w:asciiTheme="majorHAnsi" w:hAnsiTheme="majorHAnsi"/>
          <w:i/>
          <w:sz w:val="20"/>
          <w:szCs w:val="20"/>
          <w:lang w:val="es-MX"/>
        </w:rPr>
        <w:t xml:space="preserve">ex officio </w:t>
      </w:r>
      <w:r w:rsidRPr="00386E47">
        <w:rPr>
          <w:rFonts w:asciiTheme="majorHAnsi" w:hAnsiTheme="majorHAnsi"/>
          <w:sz w:val="20"/>
          <w:szCs w:val="20"/>
          <w:lang w:val="es-MX"/>
        </w:rPr>
        <w:t>y sin dilación, una investigación seria, imparcial y efectiva</w:t>
      </w:r>
      <w:r w:rsidRPr="00386E47">
        <w:rPr>
          <w:rFonts w:asciiTheme="majorHAnsi" w:hAnsiTheme="majorHAnsi"/>
          <w:sz w:val="20"/>
          <w:szCs w:val="20"/>
          <w:vertAlign w:val="superscript"/>
        </w:rPr>
        <w:footnoteReference w:id="103"/>
      </w:r>
      <w:r w:rsidRPr="00386E47">
        <w:rPr>
          <w:rFonts w:asciiTheme="majorHAnsi" w:hAnsiTheme="majorHAnsi"/>
          <w:sz w:val="20"/>
          <w:szCs w:val="20"/>
          <w:lang w:val="es-MX"/>
        </w:rPr>
        <w:t>, la cual debe llevarse a cabo en un plazo razonable</w:t>
      </w:r>
      <w:r w:rsidRPr="00386E47">
        <w:rPr>
          <w:rStyle w:val="FootnoteReference"/>
          <w:rFonts w:asciiTheme="majorHAnsi" w:hAnsiTheme="majorHAnsi"/>
          <w:sz w:val="20"/>
          <w:szCs w:val="20"/>
        </w:rPr>
        <w:footnoteReference w:id="104"/>
      </w:r>
      <w:r w:rsidRPr="00386E47">
        <w:rPr>
          <w:rFonts w:asciiTheme="majorHAnsi" w:hAnsiTheme="majorHAnsi"/>
          <w:sz w:val="20"/>
          <w:szCs w:val="20"/>
          <w:lang w:val="es-MX"/>
        </w:rPr>
        <w:t>. En palabras de la Comisión:</w:t>
      </w:r>
    </w:p>
    <w:p w14:paraId="04409F91" w14:textId="77777777" w:rsidR="00DC6EDE" w:rsidRPr="00386E47" w:rsidRDefault="00DC6EDE" w:rsidP="00DC6EDE">
      <w:pPr>
        <w:tabs>
          <w:tab w:val="left" w:pos="720"/>
          <w:tab w:val="left" w:pos="1440"/>
        </w:tabs>
        <w:ind w:left="720"/>
        <w:jc w:val="both"/>
        <w:rPr>
          <w:rFonts w:asciiTheme="majorHAnsi" w:hAnsiTheme="majorHAnsi"/>
          <w:sz w:val="20"/>
          <w:szCs w:val="20"/>
          <w:lang w:val="es-MX"/>
        </w:rPr>
      </w:pPr>
    </w:p>
    <w:p w14:paraId="3E36253D" w14:textId="77777777" w:rsidR="00DC6EDE" w:rsidRPr="00386E47" w:rsidRDefault="00DC6EDE" w:rsidP="00DC6EDE">
      <w:pPr>
        <w:tabs>
          <w:tab w:val="left" w:pos="720"/>
          <w:tab w:val="left" w:pos="1440"/>
        </w:tabs>
        <w:ind w:left="720" w:right="720"/>
        <w:jc w:val="both"/>
        <w:rPr>
          <w:rFonts w:asciiTheme="majorHAnsi" w:hAnsiTheme="majorHAnsi"/>
          <w:sz w:val="20"/>
          <w:szCs w:val="20"/>
          <w:lang w:val="es-MX"/>
        </w:rPr>
      </w:pPr>
      <w:r w:rsidRPr="00386E47">
        <w:rPr>
          <w:rFonts w:asciiTheme="majorHAnsi" w:hAnsiTheme="majorHAnsi"/>
          <w:sz w:val="20"/>
          <w:szCs w:val="20"/>
          <w:lang w:val="es-ES"/>
        </w:rPr>
        <w:t>La investigación judicial debe ser emprendida de buena fe, de manera diligente, exhaustiva e imparcial, y debe estar orientada a explorar todas las líneas investigativas posibles que permitan la identificación de los autores del delito, para su posterior juzgamiento y sanción</w:t>
      </w:r>
      <w:r w:rsidRPr="00386E47">
        <w:rPr>
          <w:rStyle w:val="FootnoteReference"/>
          <w:rFonts w:asciiTheme="majorHAnsi" w:hAnsiTheme="majorHAnsi"/>
          <w:sz w:val="20"/>
          <w:szCs w:val="20"/>
          <w:lang w:val="es-ES"/>
        </w:rPr>
        <w:footnoteReference w:id="105"/>
      </w:r>
      <w:r w:rsidRPr="00386E47">
        <w:rPr>
          <w:rFonts w:asciiTheme="majorHAnsi" w:hAnsiTheme="majorHAnsi"/>
          <w:sz w:val="20"/>
          <w:szCs w:val="20"/>
          <w:lang w:val="es-ES"/>
        </w:rPr>
        <w:t>.</w:t>
      </w:r>
    </w:p>
    <w:p w14:paraId="3E3F6B67" w14:textId="77777777" w:rsidR="00DC6EDE" w:rsidRPr="00386E47" w:rsidRDefault="00DC6EDE" w:rsidP="00DC6EDE">
      <w:pPr>
        <w:tabs>
          <w:tab w:val="left" w:pos="720"/>
          <w:tab w:val="left" w:pos="1440"/>
        </w:tabs>
        <w:jc w:val="both"/>
        <w:rPr>
          <w:rFonts w:asciiTheme="majorHAnsi" w:hAnsiTheme="majorHAnsi"/>
          <w:sz w:val="20"/>
          <w:szCs w:val="20"/>
          <w:lang w:val="es-MX"/>
        </w:rPr>
      </w:pPr>
    </w:p>
    <w:p w14:paraId="22082AE2" w14:textId="77777777" w:rsidR="000E35A2" w:rsidRPr="00386E47" w:rsidRDefault="00DC6EDE" w:rsidP="003A5860">
      <w:pPr>
        <w:numPr>
          <w:ilvl w:val="0"/>
          <w:numId w:val="55"/>
        </w:numPr>
        <w:tabs>
          <w:tab w:val="left" w:pos="567"/>
        </w:tabs>
        <w:ind w:left="0" w:firstLine="0"/>
        <w:contextualSpacing/>
        <w:jc w:val="both"/>
        <w:rPr>
          <w:rFonts w:asciiTheme="majorHAnsi" w:hAnsiTheme="majorHAnsi"/>
          <w:sz w:val="20"/>
          <w:lang w:val="es-ES"/>
        </w:rPr>
      </w:pPr>
      <w:r w:rsidRPr="00386E47">
        <w:rPr>
          <w:rFonts w:asciiTheme="majorHAnsi" w:hAnsiTheme="majorHAnsi"/>
          <w:sz w:val="20"/>
          <w:szCs w:val="20"/>
          <w:lang w:val="es-MX"/>
        </w:rPr>
        <w:t>Sobre</w:t>
      </w:r>
      <w:r w:rsidRPr="00386E47">
        <w:rPr>
          <w:rFonts w:asciiTheme="majorHAnsi" w:hAnsiTheme="majorHAnsi" w:cs="Arial"/>
          <w:sz w:val="20"/>
          <w:szCs w:val="20"/>
          <w:lang w:val="es-MX"/>
        </w:rPr>
        <w:t xml:space="preserve"> el contenido del deber de investigar “con la debida diligencia”, la Corte Interamericana ha </w:t>
      </w:r>
      <w:r w:rsidRPr="00386E47">
        <w:rPr>
          <w:rFonts w:asciiTheme="majorHAnsi" w:hAnsiTheme="majorHAnsi"/>
          <w:sz w:val="20"/>
          <w:szCs w:val="20"/>
          <w:lang w:val="es-MX"/>
        </w:rPr>
        <w:t>señalado</w:t>
      </w:r>
      <w:r w:rsidRPr="00386E47">
        <w:rPr>
          <w:rFonts w:asciiTheme="majorHAnsi" w:hAnsiTheme="majorHAnsi" w:cs="Arial"/>
          <w:sz w:val="20"/>
          <w:szCs w:val="20"/>
          <w:lang w:val="es-MX"/>
        </w:rPr>
        <w:t xml:space="preserve"> que implica que las averiguaciones deben </w:t>
      </w:r>
      <w:r w:rsidRPr="00386E47">
        <w:rPr>
          <w:rFonts w:asciiTheme="majorHAnsi" w:hAnsiTheme="majorHAnsi"/>
          <w:sz w:val="20"/>
          <w:szCs w:val="20"/>
          <w:lang w:val="es-MX"/>
        </w:rPr>
        <w:t>ser realizadas</w:t>
      </w:r>
      <w:r w:rsidRPr="00386E47">
        <w:rPr>
          <w:rFonts w:asciiTheme="majorHAnsi" w:hAnsiTheme="majorHAnsi"/>
          <w:color w:val="000000"/>
          <w:sz w:val="20"/>
          <w:szCs w:val="20"/>
          <w:lang w:val="es-MX"/>
        </w:rPr>
        <w:t xml:space="preserve"> </w:t>
      </w:r>
      <w:r w:rsidRPr="00386E47">
        <w:rPr>
          <w:rFonts w:asciiTheme="majorHAnsi" w:hAnsiTheme="majorHAnsi"/>
          <w:sz w:val="20"/>
          <w:szCs w:val="20"/>
          <w:lang w:val="es-MX"/>
        </w:rPr>
        <w:t>por todos los medios legales disponibles</w:t>
      </w:r>
      <w:r w:rsidRPr="00386E47">
        <w:rPr>
          <w:rFonts w:asciiTheme="majorHAnsi" w:hAnsiTheme="majorHAnsi"/>
          <w:color w:val="000000"/>
          <w:sz w:val="20"/>
          <w:szCs w:val="20"/>
          <w:lang w:val="es-MX"/>
        </w:rPr>
        <w:t xml:space="preserve"> y deben </w:t>
      </w:r>
      <w:r w:rsidRPr="00386E47">
        <w:rPr>
          <w:rFonts w:asciiTheme="majorHAnsi" w:hAnsiTheme="majorHAnsi"/>
          <w:sz w:val="20"/>
          <w:szCs w:val="20"/>
          <w:lang w:val="es-MX"/>
        </w:rPr>
        <w:t>estar</w:t>
      </w:r>
      <w:r w:rsidRPr="00386E47">
        <w:rPr>
          <w:rFonts w:asciiTheme="majorHAnsi" w:hAnsiTheme="majorHAnsi"/>
          <w:color w:val="000000"/>
          <w:sz w:val="20"/>
          <w:szCs w:val="20"/>
          <w:lang w:val="es-MX"/>
        </w:rPr>
        <w:t xml:space="preserve"> orientadas a la determinación de la verdad</w:t>
      </w:r>
      <w:r w:rsidRPr="00386E47">
        <w:rPr>
          <w:rFonts w:asciiTheme="majorHAnsi" w:hAnsiTheme="majorHAnsi"/>
          <w:sz w:val="20"/>
          <w:szCs w:val="20"/>
          <w:vertAlign w:val="superscript"/>
        </w:rPr>
        <w:footnoteReference w:id="106"/>
      </w:r>
      <w:r w:rsidRPr="00386E47">
        <w:rPr>
          <w:rFonts w:asciiTheme="majorHAnsi" w:hAnsiTheme="majorHAnsi"/>
          <w:color w:val="000000"/>
          <w:sz w:val="20"/>
          <w:szCs w:val="20"/>
          <w:lang w:val="es-MX"/>
        </w:rPr>
        <w:t xml:space="preserve">. En la misma línea, la Corte ha indicado que el Estado tiene el deber de </w:t>
      </w:r>
      <w:r w:rsidRPr="00386E47">
        <w:rPr>
          <w:rFonts w:asciiTheme="majorHAnsi" w:hAnsiTheme="majorHAnsi"/>
          <w:sz w:val="20"/>
          <w:szCs w:val="20"/>
          <w:lang w:val="es-MX"/>
        </w:rPr>
        <w:t>asegurar que se efectúe todo lo necesario para conocer la verdad de lo sucedido y para que se sancione a los eventuales responsables</w:t>
      </w:r>
      <w:r w:rsidRPr="00386E47">
        <w:rPr>
          <w:rStyle w:val="FootnoteReference"/>
          <w:rFonts w:asciiTheme="majorHAnsi" w:hAnsiTheme="majorHAnsi"/>
          <w:sz w:val="20"/>
          <w:szCs w:val="20"/>
        </w:rPr>
        <w:footnoteReference w:id="107"/>
      </w:r>
      <w:r w:rsidRPr="00386E47">
        <w:rPr>
          <w:rFonts w:asciiTheme="majorHAnsi" w:hAnsiTheme="majorHAnsi"/>
          <w:sz w:val="20"/>
          <w:szCs w:val="20"/>
          <w:lang w:val="es-MX"/>
        </w:rPr>
        <w:t>, involucrando a toda institución estatal</w:t>
      </w:r>
      <w:r w:rsidRPr="00386E47">
        <w:rPr>
          <w:rStyle w:val="FootnoteReference"/>
          <w:rFonts w:asciiTheme="majorHAnsi" w:hAnsiTheme="majorHAnsi"/>
          <w:sz w:val="20"/>
          <w:szCs w:val="20"/>
        </w:rPr>
        <w:footnoteReference w:id="108"/>
      </w:r>
      <w:r w:rsidRPr="00386E47">
        <w:rPr>
          <w:rFonts w:asciiTheme="majorHAnsi" w:hAnsiTheme="majorHAnsi"/>
          <w:color w:val="000000"/>
          <w:sz w:val="20"/>
          <w:szCs w:val="20"/>
          <w:lang w:val="es-MX"/>
        </w:rPr>
        <w:t>.</w:t>
      </w:r>
      <w:r w:rsidRPr="00386E47">
        <w:rPr>
          <w:rFonts w:asciiTheme="majorHAnsi" w:hAnsiTheme="majorHAnsi"/>
          <w:sz w:val="20"/>
          <w:szCs w:val="20"/>
          <w:lang w:val="es-MX"/>
        </w:rPr>
        <w:t xml:space="preserve"> </w:t>
      </w:r>
      <w:r w:rsidRPr="00386E47">
        <w:rPr>
          <w:rFonts w:asciiTheme="majorHAnsi" w:hAnsiTheme="majorHAnsi"/>
          <w:sz w:val="20"/>
          <w:lang w:val="es-ES_tradnl"/>
        </w:rPr>
        <w:t>L</w:t>
      </w:r>
      <w:r w:rsidRPr="00386E47">
        <w:rPr>
          <w:rFonts w:asciiTheme="majorHAnsi" w:hAnsiTheme="majorHAnsi"/>
          <w:sz w:val="20"/>
          <w:lang w:val="es-ES"/>
        </w:rPr>
        <w:t>a CIDH recuerda que la obligación de investigar y sancionar todo hecho que implique violación de los derechos protegidos por la Convención requiere que se castigue no sólo a los autores materiales de los hechos violatorios de derechos humanos, sino también a los autores intelectuales de tales violaciones</w:t>
      </w:r>
      <w:r w:rsidRPr="00386E47">
        <w:rPr>
          <w:rFonts w:asciiTheme="majorHAnsi" w:hAnsiTheme="majorHAnsi"/>
          <w:sz w:val="20"/>
          <w:vertAlign w:val="superscript"/>
        </w:rPr>
        <w:footnoteReference w:id="109"/>
      </w:r>
      <w:r w:rsidRPr="00386E47">
        <w:rPr>
          <w:rFonts w:asciiTheme="majorHAnsi" w:hAnsiTheme="majorHAnsi"/>
          <w:sz w:val="20"/>
          <w:lang w:val="es-ES"/>
        </w:rPr>
        <w:t xml:space="preserve">. </w:t>
      </w:r>
      <w:r w:rsidR="00397A09" w:rsidRPr="00386E47">
        <w:rPr>
          <w:rFonts w:asciiTheme="majorHAnsi" w:hAnsiTheme="majorHAnsi"/>
          <w:sz w:val="20"/>
          <w:lang w:val="es-ES"/>
        </w:rPr>
        <w:t xml:space="preserve"> </w:t>
      </w:r>
      <w:r w:rsidRPr="00386E47">
        <w:rPr>
          <w:rFonts w:asciiTheme="majorHAnsi" w:hAnsiTheme="majorHAnsi" w:cs="Arial"/>
          <w:sz w:val="20"/>
          <w:szCs w:val="20"/>
          <w:lang w:val="es-MX"/>
        </w:rPr>
        <w:t xml:space="preserve">La Corte </w:t>
      </w:r>
      <w:r w:rsidRPr="00386E47">
        <w:rPr>
          <w:rFonts w:asciiTheme="majorHAnsi" w:hAnsiTheme="majorHAnsi"/>
          <w:sz w:val="20"/>
          <w:szCs w:val="20"/>
          <w:lang w:val="es-MX"/>
        </w:rPr>
        <w:t>también</w:t>
      </w:r>
      <w:r w:rsidRPr="00386E47">
        <w:rPr>
          <w:rFonts w:asciiTheme="majorHAnsi" w:hAnsiTheme="majorHAnsi" w:cs="Arial"/>
          <w:sz w:val="20"/>
          <w:szCs w:val="20"/>
          <w:lang w:val="es-MX"/>
        </w:rPr>
        <w:t xml:space="preserve"> ha dicho que las autoridades deben adoptar las medidas razonables que permitan asegurar el material probatorio necesario para llevar a cabo la investigación</w:t>
      </w:r>
      <w:r w:rsidRPr="00386E47">
        <w:rPr>
          <w:rStyle w:val="FootnoteReference"/>
          <w:rFonts w:asciiTheme="majorHAnsi" w:hAnsiTheme="majorHAnsi" w:cs="Arial"/>
          <w:sz w:val="20"/>
          <w:szCs w:val="20"/>
        </w:rPr>
        <w:footnoteReference w:id="110"/>
      </w:r>
      <w:r w:rsidRPr="00386E47">
        <w:rPr>
          <w:rFonts w:asciiTheme="majorHAnsi" w:hAnsiTheme="majorHAnsi" w:cs="Arial"/>
          <w:sz w:val="20"/>
          <w:szCs w:val="20"/>
          <w:lang w:val="es-MX"/>
        </w:rPr>
        <w:t xml:space="preserve">. </w:t>
      </w:r>
      <w:r w:rsidRPr="00386E47">
        <w:rPr>
          <w:rFonts w:asciiTheme="majorHAnsi" w:hAnsiTheme="majorHAnsi"/>
          <w:sz w:val="20"/>
          <w:szCs w:val="20"/>
          <w:lang w:val="es-ES"/>
        </w:rPr>
        <w:t xml:space="preserve"> </w:t>
      </w:r>
    </w:p>
    <w:p w14:paraId="2E61D920" w14:textId="77777777" w:rsidR="00790369" w:rsidRPr="00386E47" w:rsidRDefault="00790369" w:rsidP="00790369">
      <w:pPr>
        <w:tabs>
          <w:tab w:val="left" w:pos="567"/>
        </w:tabs>
        <w:contextualSpacing/>
        <w:jc w:val="both"/>
        <w:rPr>
          <w:rFonts w:asciiTheme="majorHAnsi" w:eastAsia="Calibri" w:hAnsiTheme="majorHAnsi"/>
          <w:sz w:val="20"/>
          <w:szCs w:val="20"/>
          <w:lang w:val="es-ES_tradnl"/>
        </w:rPr>
      </w:pPr>
    </w:p>
    <w:p w14:paraId="7AD35CDD" w14:textId="77777777" w:rsidR="00790369" w:rsidRPr="00386E47" w:rsidRDefault="00DC6EDE" w:rsidP="003A5860">
      <w:pPr>
        <w:numPr>
          <w:ilvl w:val="0"/>
          <w:numId w:val="55"/>
        </w:numPr>
        <w:tabs>
          <w:tab w:val="left" w:pos="567"/>
        </w:tabs>
        <w:ind w:left="0" w:firstLine="0"/>
        <w:contextualSpacing/>
        <w:jc w:val="both"/>
        <w:rPr>
          <w:rFonts w:asciiTheme="majorHAnsi" w:eastAsia="Calibri" w:hAnsiTheme="majorHAnsi"/>
          <w:sz w:val="20"/>
          <w:szCs w:val="20"/>
          <w:lang w:val="es-ES_tradnl"/>
        </w:rPr>
      </w:pPr>
      <w:r w:rsidRPr="00386E47">
        <w:rPr>
          <w:rFonts w:asciiTheme="majorHAnsi" w:eastAsia="Calibri" w:hAnsiTheme="majorHAnsi"/>
          <w:sz w:val="20"/>
          <w:szCs w:val="20"/>
          <w:lang w:val="es-ES_tradnl"/>
        </w:rPr>
        <w:t xml:space="preserve">Por otra parte, </w:t>
      </w:r>
      <w:r w:rsidR="004301F7" w:rsidRPr="00386E47">
        <w:rPr>
          <w:rFonts w:asciiTheme="majorHAnsi" w:eastAsia="Calibri" w:hAnsiTheme="majorHAnsi"/>
          <w:sz w:val="20"/>
          <w:szCs w:val="20"/>
          <w:lang w:val="es-ES_tradnl"/>
        </w:rPr>
        <w:t>l</w:t>
      </w:r>
      <w:r w:rsidR="00790369" w:rsidRPr="00386E47">
        <w:rPr>
          <w:rFonts w:asciiTheme="majorHAnsi" w:eastAsia="Calibri" w:hAnsiTheme="majorHAnsi"/>
          <w:sz w:val="20"/>
          <w:szCs w:val="20"/>
          <w:lang w:val="es-ES_tradnl"/>
        </w:rPr>
        <w:t>a investigación debe ser conducida de manera exhaustiva y diligente. Ello significa, por un lado, que el Estado tiene la obligación de realizar todas aquellas averiguaciones que sean necesarias para asegurar que las víctimas conozcan la verdad de todos los hechos acontecidos y que se sancione a quienes estén involucrados en el los delitos, ya sea que hayan actuado como autores materiales, participes, instigadores o encubridores</w:t>
      </w:r>
      <w:r w:rsidR="00790369" w:rsidRPr="00386E47">
        <w:rPr>
          <w:rFonts w:asciiTheme="majorHAnsi" w:eastAsia="Calibri" w:hAnsiTheme="majorHAnsi"/>
          <w:sz w:val="20"/>
          <w:szCs w:val="20"/>
          <w:vertAlign w:val="superscript"/>
          <w:lang w:val="es-ES_tradnl"/>
        </w:rPr>
        <w:footnoteReference w:id="111"/>
      </w:r>
      <w:r w:rsidR="00790369" w:rsidRPr="00386E47">
        <w:rPr>
          <w:rFonts w:asciiTheme="majorHAnsi" w:eastAsia="Calibri" w:hAnsiTheme="majorHAnsi"/>
          <w:sz w:val="20"/>
          <w:szCs w:val="20"/>
          <w:lang w:val="es-ES_tradnl"/>
        </w:rPr>
        <w:t>. Asimismo, la Corte IDH ha establecido que el juez, como autoridad competente para dirigir el proceso, tiene el deber de encausarlo de manera tal de evitar “que dilaciones y entorpecimientos indebidos conduzcan a la impunidad, frustrando así la debida protección judicial de los derechos humanos”</w:t>
      </w:r>
      <w:r w:rsidR="00790369" w:rsidRPr="00386E47">
        <w:rPr>
          <w:rFonts w:asciiTheme="majorHAnsi" w:eastAsia="Calibri" w:hAnsiTheme="majorHAnsi"/>
          <w:sz w:val="20"/>
          <w:szCs w:val="20"/>
          <w:vertAlign w:val="superscript"/>
          <w:lang w:val="es-ES_tradnl"/>
        </w:rPr>
        <w:footnoteReference w:id="112"/>
      </w:r>
      <w:r w:rsidR="00790369" w:rsidRPr="00386E47">
        <w:rPr>
          <w:rFonts w:asciiTheme="majorHAnsi" w:eastAsia="Calibri" w:hAnsiTheme="majorHAnsi"/>
          <w:sz w:val="20"/>
          <w:szCs w:val="20"/>
          <w:lang w:val="es-ES_tradnl"/>
        </w:rPr>
        <w:t>.</w:t>
      </w:r>
      <w:r w:rsidR="00397A09" w:rsidRPr="00386E47">
        <w:rPr>
          <w:rFonts w:asciiTheme="majorHAnsi" w:eastAsia="Calibri" w:hAnsiTheme="majorHAnsi"/>
          <w:sz w:val="20"/>
          <w:szCs w:val="20"/>
          <w:lang w:val="es-ES_tradnl"/>
        </w:rPr>
        <w:t xml:space="preserve"> En efecto, según lo ha señalado la Corte Interamericana:</w:t>
      </w:r>
    </w:p>
    <w:p w14:paraId="199E8BFD" w14:textId="77777777" w:rsidR="00397A09" w:rsidRPr="00386E47" w:rsidRDefault="00397A09" w:rsidP="00397A09">
      <w:pPr>
        <w:tabs>
          <w:tab w:val="left" w:pos="567"/>
        </w:tabs>
        <w:contextualSpacing/>
        <w:jc w:val="both"/>
        <w:rPr>
          <w:rFonts w:asciiTheme="majorHAnsi" w:eastAsia="Calibri" w:hAnsiTheme="majorHAnsi"/>
          <w:sz w:val="20"/>
          <w:szCs w:val="20"/>
          <w:lang w:val="es-ES"/>
        </w:rPr>
      </w:pPr>
    </w:p>
    <w:p w14:paraId="726D2C91" w14:textId="77777777" w:rsidR="002529BA" w:rsidRPr="00386E47" w:rsidRDefault="00397A09" w:rsidP="00A311A0">
      <w:pPr>
        <w:tabs>
          <w:tab w:val="left" w:pos="567"/>
        </w:tabs>
        <w:ind w:left="540" w:right="720"/>
        <w:contextualSpacing/>
        <w:jc w:val="both"/>
        <w:rPr>
          <w:rFonts w:asciiTheme="majorHAnsi" w:eastAsia="Calibri" w:hAnsiTheme="majorHAnsi"/>
          <w:sz w:val="18"/>
          <w:szCs w:val="18"/>
          <w:lang w:val="es-ES"/>
        </w:rPr>
      </w:pPr>
      <w:r w:rsidRPr="00386E47">
        <w:rPr>
          <w:rFonts w:asciiTheme="majorHAnsi" w:eastAsia="Calibri" w:hAnsiTheme="majorHAnsi"/>
          <w:sz w:val="18"/>
          <w:szCs w:val="18"/>
          <w:lang w:val="es-ES"/>
        </w:rPr>
        <w:t xml:space="preserve">[E]en casos complejos, como el presente, la obligación de investigar conlleva el deber de dirigir los esfuerzos del aparato estatal para desentrañar las estructuras que permitieron esas violaciones, sus causas, sus beneficiarios y sus consecuencias, por lo cual una investigación sólo puede resultar efectiva si se realiza a </w:t>
      </w:r>
      <w:r w:rsidRPr="00386E47">
        <w:rPr>
          <w:rFonts w:asciiTheme="majorHAnsi" w:eastAsia="Calibri" w:hAnsiTheme="majorHAnsi"/>
          <w:sz w:val="18"/>
          <w:szCs w:val="18"/>
          <w:lang w:val="es-ES"/>
        </w:rPr>
        <w:lastRenderedPageBreak/>
        <w:t>partir de una visión comprehensiva de los hechos, que tenga en cuenta los antecedentes y el contexto en que ocurrieron y que busque develar las estructuras de participación</w:t>
      </w:r>
      <w:r w:rsidRPr="00386E47">
        <w:rPr>
          <w:rStyle w:val="FootnoteReference"/>
          <w:rFonts w:asciiTheme="majorHAnsi" w:eastAsia="Calibri" w:hAnsiTheme="majorHAnsi"/>
          <w:sz w:val="18"/>
          <w:szCs w:val="18"/>
          <w:lang w:val="es-ES"/>
        </w:rPr>
        <w:footnoteReference w:id="113"/>
      </w:r>
      <w:r w:rsidRPr="00386E47">
        <w:rPr>
          <w:rFonts w:asciiTheme="majorHAnsi" w:eastAsia="Calibri" w:hAnsiTheme="majorHAnsi"/>
          <w:sz w:val="18"/>
          <w:szCs w:val="18"/>
          <w:lang w:val="es-ES"/>
        </w:rPr>
        <w:t>.</w:t>
      </w:r>
    </w:p>
    <w:p w14:paraId="6153B7B3" w14:textId="77777777" w:rsidR="00397A09" w:rsidRPr="00386E47" w:rsidRDefault="00397A09" w:rsidP="00A311A0">
      <w:pPr>
        <w:tabs>
          <w:tab w:val="left" w:pos="567"/>
        </w:tabs>
        <w:ind w:left="540" w:right="720"/>
        <w:contextualSpacing/>
        <w:jc w:val="both"/>
        <w:rPr>
          <w:rFonts w:asciiTheme="majorHAnsi" w:eastAsia="Calibri" w:hAnsiTheme="majorHAnsi"/>
          <w:sz w:val="18"/>
          <w:szCs w:val="18"/>
          <w:lang w:val="es-ES"/>
        </w:rPr>
      </w:pPr>
    </w:p>
    <w:p w14:paraId="63BB4623" w14:textId="77777777" w:rsidR="002529BA" w:rsidRPr="00386E47" w:rsidRDefault="002529BA" w:rsidP="003A5860">
      <w:pPr>
        <w:numPr>
          <w:ilvl w:val="0"/>
          <w:numId w:val="55"/>
        </w:numPr>
        <w:tabs>
          <w:tab w:val="left" w:pos="567"/>
        </w:tabs>
        <w:ind w:left="0" w:firstLine="0"/>
        <w:contextualSpacing/>
        <w:jc w:val="both"/>
        <w:rPr>
          <w:rFonts w:asciiTheme="majorHAnsi" w:eastAsia="Calibri" w:hAnsiTheme="majorHAnsi"/>
          <w:sz w:val="20"/>
          <w:szCs w:val="20"/>
          <w:lang w:val="es-ES_tradnl"/>
        </w:rPr>
      </w:pPr>
      <w:r w:rsidRPr="00386E47">
        <w:rPr>
          <w:rFonts w:asciiTheme="majorHAnsi" w:eastAsia="Calibri" w:hAnsiTheme="majorHAnsi"/>
          <w:sz w:val="20"/>
          <w:szCs w:val="20"/>
          <w:lang w:val="es-ES_tradnl"/>
        </w:rPr>
        <w:t>El adecuado cumplimiento del principio de independencia e imparcialidad, por su parte, demanda que el Estado garantice que los órganos encargados de intervenir en el proceso judicial - ya sea durante la instrucción como en el juicio propiamente dicho - se aproximen al asunto contando con la mayor objetividad posible. Ello implica, en esencia, que los magistrados intervinientes deben carecer de prejuicios personales y deben ofrecer garantías suficientes de manera tal que las partes del proceso no alberguen dudas justificadas respecto a su imparcialidad</w:t>
      </w:r>
      <w:r w:rsidRPr="00386E47">
        <w:rPr>
          <w:rFonts w:asciiTheme="majorHAnsi" w:eastAsia="Calibri" w:hAnsiTheme="majorHAnsi"/>
          <w:sz w:val="20"/>
          <w:szCs w:val="20"/>
          <w:vertAlign w:val="superscript"/>
          <w:lang w:val="es-ES_tradnl"/>
        </w:rPr>
        <w:footnoteReference w:id="114"/>
      </w:r>
      <w:r w:rsidRPr="00386E47">
        <w:rPr>
          <w:rFonts w:asciiTheme="majorHAnsi" w:eastAsia="Calibri" w:hAnsiTheme="majorHAnsi"/>
          <w:sz w:val="20"/>
          <w:szCs w:val="20"/>
          <w:lang w:val="es-ES_tradnl"/>
        </w:rPr>
        <w:t xml:space="preserve">. </w:t>
      </w:r>
    </w:p>
    <w:p w14:paraId="227E8D13" w14:textId="77777777" w:rsidR="002529BA" w:rsidRPr="00386E47" w:rsidRDefault="002529BA" w:rsidP="00A311A0">
      <w:pPr>
        <w:tabs>
          <w:tab w:val="left" w:pos="567"/>
        </w:tabs>
        <w:contextualSpacing/>
        <w:jc w:val="both"/>
        <w:rPr>
          <w:rFonts w:asciiTheme="majorHAnsi" w:eastAsia="Calibri" w:hAnsiTheme="majorHAnsi"/>
          <w:sz w:val="20"/>
          <w:szCs w:val="20"/>
          <w:lang w:val="es-ES_tradnl"/>
        </w:rPr>
      </w:pPr>
    </w:p>
    <w:p w14:paraId="6BF6DC01" w14:textId="77777777" w:rsidR="002529BA" w:rsidRPr="00386E47" w:rsidRDefault="002529BA" w:rsidP="003A5860">
      <w:pPr>
        <w:numPr>
          <w:ilvl w:val="0"/>
          <w:numId w:val="55"/>
        </w:numPr>
        <w:tabs>
          <w:tab w:val="left" w:pos="567"/>
        </w:tabs>
        <w:ind w:left="0" w:firstLine="0"/>
        <w:contextualSpacing/>
        <w:jc w:val="both"/>
        <w:rPr>
          <w:rFonts w:asciiTheme="majorHAnsi" w:hAnsiTheme="majorHAnsi" w:cs="Verdana"/>
          <w:sz w:val="20"/>
          <w:szCs w:val="20"/>
          <w:lang w:val="es-ES"/>
        </w:rPr>
      </w:pPr>
      <w:r w:rsidRPr="00386E47">
        <w:rPr>
          <w:rFonts w:asciiTheme="majorHAnsi" w:hAnsiTheme="majorHAnsi" w:cs="Verdana"/>
          <w:sz w:val="20"/>
          <w:szCs w:val="20"/>
          <w:lang w:val="es-ES"/>
        </w:rPr>
        <w:t xml:space="preserve">En relación </w:t>
      </w:r>
      <w:r w:rsidR="009A5B18" w:rsidRPr="00386E47">
        <w:rPr>
          <w:rFonts w:asciiTheme="majorHAnsi" w:hAnsiTheme="majorHAnsi" w:cs="Verdana"/>
          <w:sz w:val="20"/>
          <w:szCs w:val="20"/>
          <w:lang w:val="es-ES"/>
        </w:rPr>
        <w:t>con la manera</w:t>
      </w:r>
      <w:r w:rsidRPr="00386E47">
        <w:rPr>
          <w:rFonts w:asciiTheme="majorHAnsi" w:hAnsiTheme="majorHAnsi" w:cs="Verdana"/>
          <w:sz w:val="20"/>
          <w:szCs w:val="20"/>
          <w:lang w:val="es-ES"/>
        </w:rPr>
        <w:t xml:space="preserve"> que es conducida una investigación</w:t>
      </w:r>
      <w:r w:rsidRPr="00386E47">
        <w:rPr>
          <w:rFonts w:asciiTheme="majorHAnsi" w:hAnsiTheme="majorHAnsi"/>
          <w:sz w:val="20"/>
          <w:szCs w:val="20"/>
          <w:lang w:val="es-ES"/>
        </w:rPr>
        <w:t>, la Corte Interamericana ha indicado que no corresponde sustituir a la jurisdicción interna estableciendo las modalidades específicas de investigación y juzgamiento en un caso concreto para obtener un mejor o más eficaz resultado, sino constatar si en los pasos efectivamente dados a nivel interno se violaron o no obligaciones internacionales del Estado</w:t>
      </w:r>
      <w:r w:rsidRPr="00386E47">
        <w:rPr>
          <w:rStyle w:val="FootnoteReference"/>
          <w:rFonts w:asciiTheme="majorHAnsi" w:hAnsiTheme="majorHAnsi"/>
          <w:color w:val="000000"/>
          <w:sz w:val="20"/>
          <w:szCs w:val="20"/>
          <w:lang w:val="es-ES"/>
        </w:rPr>
        <w:footnoteReference w:id="115"/>
      </w:r>
      <w:r w:rsidRPr="00386E47">
        <w:rPr>
          <w:rFonts w:asciiTheme="majorHAnsi" w:hAnsiTheme="majorHAnsi"/>
          <w:sz w:val="20"/>
          <w:szCs w:val="20"/>
          <w:lang w:val="es-ES"/>
        </w:rPr>
        <w:t>. En los casos cuyos hechos se refieren a la muerte violenta de una persona, la Corte ha indicado que la investigación iniciada debe ser conducida de tal forma que pudiese garantizar el debido análisis de las hipótesis de autoría surgidas a raíz de la misma</w:t>
      </w:r>
      <w:r w:rsidRPr="00386E47">
        <w:rPr>
          <w:rStyle w:val="FootnoteReference"/>
          <w:rFonts w:asciiTheme="majorHAnsi" w:hAnsiTheme="majorHAnsi"/>
          <w:sz w:val="20"/>
          <w:szCs w:val="20"/>
          <w:lang w:val="es-ES"/>
        </w:rPr>
        <w:footnoteReference w:id="116"/>
      </w:r>
      <w:r w:rsidRPr="00386E47">
        <w:rPr>
          <w:rFonts w:asciiTheme="majorHAnsi" w:hAnsiTheme="majorHAnsi"/>
          <w:sz w:val="20"/>
          <w:szCs w:val="20"/>
          <w:lang w:val="es-ES"/>
        </w:rPr>
        <w:t>. Asimismo, resulta necesario que la investigación sea conducida evitando omisiones en la recaudación de la prueba y en el seguimiento de líneas lógicas de investigación</w:t>
      </w:r>
      <w:r w:rsidRPr="00386E47">
        <w:rPr>
          <w:rStyle w:val="FootnoteReference"/>
          <w:rFonts w:asciiTheme="majorHAnsi" w:hAnsiTheme="majorHAnsi"/>
          <w:sz w:val="20"/>
          <w:szCs w:val="20"/>
          <w:lang w:val="es-ES"/>
        </w:rPr>
        <w:footnoteReference w:id="117"/>
      </w:r>
      <w:r w:rsidRPr="00386E47">
        <w:rPr>
          <w:rFonts w:asciiTheme="majorHAnsi" w:hAnsiTheme="majorHAnsi"/>
          <w:sz w:val="20"/>
          <w:szCs w:val="20"/>
          <w:lang w:val="es-ES"/>
        </w:rPr>
        <w:t xml:space="preserve">. </w:t>
      </w:r>
    </w:p>
    <w:p w14:paraId="786304DA" w14:textId="77777777" w:rsidR="002529BA" w:rsidRPr="00386E47" w:rsidRDefault="002529BA" w:rsidP="00A311A0">
      <w:pPr>
        <w:pStyle w:val="ListParagraph"/>
        <w:rPr>
          <w:rFonts w:asciiTheme="majorHAnsi" w:hAnsiTheme="majorHAnsi" w:cs="Verdana"/>
          <w:sz w:val="20"/>
          <w:szCs w:val="20"/>
          <w:lang w:val="es-ES"/>
        </w:rPr>
      </w:pPr>
    </w:p>
    <w:p w14:paraId="09BE0E05" w14:textId="77777777" w:rsidR="002529BA" w:rsidRPr="00386E47" w:rsidRDefault="002529BA" w:rsidP="003A5860">
      <w:pPr>
        <w:numPr>
          <w:ilvl w:val="0"/>
          <w:numId w:val="55"/>
        </w:numPr>
        <w:tabs>
          <w:tab w:val="left" w:pos="567"/>
        </w:tabs>
        <w:ind w:left="0" w:firstLine="0"/>
        <w:contextualSpacing/>
        <w:jc w:val="both"/>
        <w:rPr>
          <w:rFonts w:asciiTheme="majorHAnsi" w:hAnsiTheme="majorHAnsi" w:cs="Verdana"/>
          <w:sz w:val="20"/>
          <w:szCs w:val="20"/>
          <w:lang w:val="es-ES"/>
        </w:rPr>
      </w:pPr>
      <w:r w:rsidRPr="00386E47">
        <w:rPr>
          <w:rFonts w:asciiTheme="majorHAnsi" w:hAnsiTheme="majorHAnsi"/>
          <w:sz w:val="20"/>
          <w:szCs w:val="20"/>
          <w:lang w:val="es-ES"/>
        </w:rPr>
        <w:t xml:space="preserve">A ese respecto, el Estado tiene que </w:t>
      </w:r>
      <w:r w:rsidRPr="00386E47">
        <w:rPr>
          <w:rFonts w:asciiTheme="majorHAnsi" w:hAnsiTheme="majorHAnsi"/>
          <w:spacing w:val="-2"/>
          <w:sz w:val="20"/>
          <w:szCs w:val="20"/>
          <w:lang w:val="es-ES"/>
        </w:rPr>
        <w:t>demostrar que ha realizado una investigación inmediata, exhaustiva, seria e imparcial</w:t>
      </w:r>
      <w:r w:rsidRPr="00386E47">
        <w:rPr>
          <w:rStyle w:val="FootnoteReference"/>
          <w:rFonts w:asciiTheme="majorHAnsi" w:hAnsiTheme="majorHAnsi"/>
          <w:sz w:val="20"/>
          <w:szCs w:val="20"/>
          <w:lang w:val="es-ES"/>
        </w:rPr>
        <w:footnoteReference w:id="118"/>
      </w:r>
      <w:r w:rsidRPr="00386E47">
        <w:rPr>
          <w:rFonts w:asciiTheme="majorHAnsi" w:hAnsiTheme="majorHAnsi"/>
          <w:spacing w:val="-2"/>
          <w:sz w:val="20"/>
          <w:szCs w:val="20"/>
          <w:lang w:val="es-ES"/>
        </w:rPr>
        <w:t>,</w:t>
      </w:r>
      <w:r w:rsidRPr="00386E47">
        <w:rPr>
          <w:rFonts w:asciiTheme="majorHAnsi" w:hAnsiTheme="majorHAnsi"/>
          <w:sz w:val="20"/>
          <w:szCs w:val="20"/>
          <w:lang w:val="es-ES"/>
        </w:rPr>
        <w:t xml:space="preserve"> la cual debe estar orientada a explorar todas las líneas investigativas posibles que permitan la identificación de los autores del delito, para su posterior juzgamiento y sanción</w:t>
      </w:r>
      <w:r w:rsidRPr="00386E47">
        <w:rPr>
          <w:rStyle w:val="FootnoteReference"/>
          <w:rFonts w:asciiTheme="majorHAnsi" w:hAnsiTheme="majorHAnsi" w:cs="Arial"/>
          <w:sz w:val="20"/>
          <w:szCs w:val="20"/>
          <w:lang w:val="es-ES"/>
        </w:rPr>
        <w:footnoteReference w:id="119"/>
      </w:r>
      <w:r w:rsidRPr="00386E47">
        <w:rPr>
          <w:rFonts w:asciiTheme="majorHAnsi" w:hAnsiTheme="majorHAnsi"/>
          <w:sz w:val="20"/>
          <w:szCs w:val="20"/>
          <w:lang w:val="es-ES"/>
        </w:rPr>
        <w:t>. El Estado puede ser responsable por no “ordenar, practicar o valorar pruebas” que pueden ser fundamentales para el debido esclarecimiento de los hechos</w:t>
      </w:r>
      <w:r w:rsidRPr="00386E47">
        <w:rPr>
          <w:rStyle w:val="FootnoteReference"/>
          <w:rFonts w:asciiTheme="majorHAnsi" w:hAnsiTheme="majorHAnsi"/>
          <w:sz w:val="20"/>
          <w:szCs w:val="20"/>
          <w:lang w:val="es-ES"/>
        </w:rPr>
        <w:footnoteReference w:id="120"/>
      </w:r>
      <w:r w:rsidRPr="00386E47">
        <w:rPr>
          <w:rFonts w:asciiTheme="majorHAnsi" w:hAnsiTheme="majorHAnsi"/>
          <w:sz w:val="20"/>
          <w:szCs w:val="20"/>
          <w:lang w:val="es-ES"/>
        </w:rPr>
        <w:t>.</w:t>
      </w:r>
    </w:p>
    <w:p w14:paraId="5B2C7BCE" w14:textId="77777777" w:rsidR="002529BA" w:rsidRPr="00386E47" w:rsidRDefault="002529BA" w:rsidP="00A311A0">
      <w:pPr>
        <w:pStyle w:val="ListParagraph"/>
        <w:rPr>
          <w:rFonts w:asciiTheme="majorHAnsi" w:hAnsiTheme="majorHAnsi" w:cs="Verdana"/>
          <w:sz w:val="20"/>
          <w:szCs w:val="20"/>
          <w:lang w:val="es-ES"/>
        </w:rPr>
      </w:pPr>
    </w:p>
    <w:p w14:paraId="54966B32" w14:textId="77777777" w:rsidR="002529BA" w:rsidRPr="00386E47" w:rsidRDefault="002529BA" w:rsidP="003A5860">
      <w:pPr>
        <w:numPr>
          <w:ilvl w:val="0"/>
          <w:numId w:val="55"/>
        </w:numPr>
        <w:tabs>
          <w:tab w:val="left" w:pos="567"/>
        </w:tabs>
        <w:ind w:left="0" w:firstLine="0"/>
        <w:contextualSpacing/>
        <w:jc w:val="both"/>
        <w:rPr>
          <w:rFonts w:asciiTheme="majorHAnsi" w:eastAsia="Calibri" w:hAnsiTheme="majorHAnsi"/>
          <w:sz w:val="20"/>
          <w:szCs w:val="20"/>
          <w:lang w:val="es-AR"/>
        </w:rPr>
      </w:pPr>
      <w:r w:rsidRPr="00386E47">
        <w:rPr>
          <w:rFonts w:asciiTheme="majorHAnsi" w:eastAsia="Calibri" w:hAnsiTheme="majorHAnsi"/>
          <w:sz w:val="20"/>
          <w:szCs w:val="20"/>
          <w:lang w:val="es-AR"/>
        </w:rPr>
        <w:t>De conformidad con los artículos 8 y 25 de la Convención Americana, el Estado de investigar violaciones a los derechos humanos y sancionar a sus responsables lo cual comprende asimismo el juzgamiento y castigo de aquellos que encubran los hechos o faciliten la impunidad de sus autores. En este sentido, la Corte Interamericana ha asegurado que “los funcionarios públicos y los particulares que entorpezcan, desvíen o dilaten indebidamente las investigaciones tendientes a aclarar la verdad de los hechos, deberán ser sancionados, aplicando al respecto, con el mayor rigor, las previsiones de la legislación interna”</w:t>
      </w:r>
      <w:r w:rsidRPr="00386E47">
        <w:rPr>
          <w:rFonts w:asciiTheme="majorHAnsi" w:eastAsia="Calibri" w:hAnsiTheme="majorHAnsi"/>
          <w:sz w:val="20"/>
          <w:szCs w:val="20"/>
          <w:vertAlign w:val="superscript"/>
          <w:lang w:val="es-AR"/>
        </w:rPr>
        <w:footnoteReference w:id="121"/>
      </w:r>
      <w:r w:rsidR="00544816" w:rsidRPr="00386E47">
        <w:rPr>
          <w:rFonts w:asciiTheme="majorHAnsi" w:eastAsia="Calibri" w:hAnsiTheme="majorHAnsi"/>
          <w:sz w:val="20"/>
          <w:szCs w:val="20"/>
          <w:lang w:val="es-AR"/>
        </w:rPr>
        <w:t>.</w:t>
      </w:r>
      <w:r w:rsidRPr="00386E47">
        <w:rPr>
          <w:rFonts w:asciiTheme="majorHAnsi" w:eastAsia="Calibri" w:hAnsiTheme="majorHAnsi"/>
          <w:sz w:val="20"/>
          <w:szCs w:val="20"/>
          <w:lang w:val="es-AR"/>
        </w:rPr>
        <w:t xml:space="preserve"> </w:t>
      </w:r>
    </w:p>
    <w:p w14:paraId="299B4371" w14:textId="77777777" w:rsidR="002529BA" w:rsidRPr="00386E47" w:rsidRDefault="002529BA" w:rsidP="00A311A0">
      <w:pPr>
        <w:rPr>
          <w:rFonts w:asciiTheme="majorHAnsi" w:hAnsiTheme="majorHAnsi" w:cs="Verdana"/>
          <w:sz w:val="20"/>
          <w:szCs w:val="20"/>
          <w:lang w:val="es-ES"/>
        </w:rPr>
      </w:pPr>
    </w:p>
    <w:p w14:paraId="44771D91" w14:textId="77777777" w:rsidR="00790369" w:rsidRPr="00386E47" w:rsidRDefault="002529BA" w:rsidP="003A5860">
      <w:pPr>
        <w:numPr>
          <w:ilvl w:val="0"/>
          <w:numId w:val="55"/>
        </w:numPr>
        <w:tabs>
          <w:tab w:val="left" w:pos="567"/>
        </w:tabs>
        <w:ind w:left="0" w:firstLine="0"/>
        <w:contextualSpacing/>
        <w:jc w:val="both"/>
        <w:rPr>
          <w:rFonts w:asciiTheme="majorHAnsi" w:hAnsiTheme="majorHAnsi" w:cs="Verdana"/>
          <w:sz w:val="20"/>
          <w:szCs w:val="20"/>
          <w:lang w:val="es-ES"/>
        </w:rPr>
      </w:pPr>
      <w:r w:rsidRPr="00386E47">
        <w:rPr>
          <w:rFonts w:asciiTheme="majorHAnsi" w:eastAsia="Calibri" w:hAnsiTheme="majorHAnsi"/>
          <w:sz w:val="20"/>
          <w:szCs w:val="20"/>
          <w:lang w:val="es-ES_tradnl"/>
        </w:rPr>
        <w:t>La</w:t>
      </w:r>
      <w:r w:rsidR="00790369" w:rsidRPr="00386E47">
        <w:rPr>
          <w:rFonts w:asciiTheme="majorHAnsi" w:eastAsia="Calibri" w:hAnsiTheme="majorHAnsi"/>
          <w:sz w:val="20"/>
          <w:szCs w:val="20"/>
          <w:lang w:val="es-ES_tradnl"/>
        </w:rPr>
        <w:t xml:space="preserve"> Comisión resalta que el deber de debida diligencia en las investigaciones por graves violaciones a los derechos humanos implica que los Estados tienen “la obligación de garantizar el derecho de las víctimas o sus familiares de participar en todas las etapas de los de manera que puedan hacer planteamientos, recibir informaciones, aportar pruebas, formular alegaciones y, en síntesis, hacer valer sus derechos”</w:t>
      </w:r>
      <w:r w:rsidR="00790369" w:rsidRPr="00386E47">
        <w:rPr>
          <w:rFonts w:asciiTheme="majorHAnsi" w:eastAsia="Calibri" w:hAnsiTheme="majorHAnsi"/>
          <w:sz w:val="20"/>
          <w:szCs w:val="20"/>
          <w:vertAlign w:val="superscript"/>
          <w:lang w:val="es-ES_tradnl"/>
        </w:rPr>
        <w:t xml:space="preserve"> </w:t>
      </w:r>
      <w:r w:rsidR="00790369" w:rsidRPr="00386E47">
        <w:rPr>
          <w:rFonts w:asciiTheme="majorHAnsi" w:eastAsia="Calibri" w:hAnsiTheme="majorHAnsi"/>
          <w:sz w:val="20"/>
          <w:szCs w:val="20"/>
          <w:vertAlign w:val="superscript"/>
          <w:lang w:val="es-ES_tradnl"/>
        </w:rPr>
        <w:footnoteReference w:id="122"/>
      </w:r>
      <w:r w:rsidR="00790369" w:rsidRPr="00386E47">
        <w:rPr>
          <w:rFonts w:asciiTheme="majorHAnsi" w:eastAsia="Calibri" w:hAnsiTheme="majorHAnsi"/>
          <w:sz w:val="20"/>
          <w:szCs w:val="20"/>
          <w:lang w:val="es-ES_tradnl"/>
        </w:rPr>
        <w:t xml:space="preserve">, con miras a asegurar el derecho de acceso a la justicia, el esclarecimiento de la verdad y la adjudicación de las medidas de </w:t>
      </w:r>
      <w:r w:rsidR="00790369" w:rsidRPr="00386E47">
        <w:rPr>
          <w:rFonts w:asciiTheme="majorHAnsi" w:eastAsia="Calibri" w:hAnsiTheme="majorHAnsi"/>
          <w:sz w:val="20"/>
          <w:szCs w:val="20"/>
          <w:lang w:val="es-ES_tradnl"/>
        </w:rPr>
        <w:lastRenderedPageBreak/>
        <w:t>reparación que el caso amerite. La Comisión remarca que el derecho de las víctimas de participar en las investigaciones se encuentra íntimamente vinculado a las posibilidades de que ellas y sus representantes puedan acceder de manera oportuna al expediente judicial</w:t>
      </w:r>
      <w:r w:rsidR="00790369" w:rsidRPr="00386E47">
        <w:rPr>
          <w:rFonts w:asciiTheme="majorHAnsi" w:eastAsia="Calibri" w:hAnsiTheme="majorHAnsi"/>
          <w:sz w:val="20"/>
          <w:szCs w:val="20"/>
          <w:vertAlign w:val="superscript"/>
          <w:lang w:val="es-ES_tradnl"/>
        </w:rPr>
        <w:footnoteReference w:id="123"/>
      </w:r>
      <w:r w:rsidR="00790369" w:rsidRPr="00386E47">
        <w:rPr>
          <w:rFonts w:asciiTheme="majorHAnsi" w:eastAsia="Calibri" w:hAnsiTheme="majorHAnsi"/>
          <w:sz w:val="20"/>
          <w:szCs w:val="20"/>
          <w:lang w:val="es-ES_tradnl"/>
        </w:rPr>
        <w:t>.</w:t>
      </w:r>
    </w:p>
    <w:p w14:paraId="28B62383" w14:textId="77777777" w:rsidR="002529BA" w:rsidRPr="00386E47" w:rsidRDefault="002529BA" w:rsidP="00A311A0">
      <w:pPr>
        <w:pStyle w:val="ListParagraph"/>
        <w:rPr>
          <w:rFonts w:asciiTheme="majorHAnsi" w:hAnsiTheme="majorHAnsi" w:cs="Verdana"/>
          <w:sz w:val="20"/>
          <w:szCs w:val="20"/>
          <w:lang w:val="es-ES"/>
        </w:rPr>
      </w:pPr>
    </w:p>
    <w:p w14:paraId="6E7D1847" w14:textId="77777777" w:rsidR="002529BA" w:rsidRPr="00386E47" w:rsidRDefault="000E35A2" w:rsidP="003A5860">
      <w:pPr>
        <w:numPr>
          <w:ilvl w:val="0"/>
          <w:numId w:val="55"/>
        </w:numPr>
        <w:tabs>
          <w:tab w:val="left" w:pos="567"/>
        </w:tabs>
        <w:ind w:left="0" w:firstLine="0"/>
        <w:contextualSpacing/>
        <w:jc w:val="both"/>
        <w:rPr>
          <w:rFonts w:asciiTheme="majorHAnsi" w:hAnsiTheme="majorHAnsi" w:cs="Verdana"/>
          <w:sz w:val="20"/>
          <w:szCs w:val="20"/>
          <w:lang w:val="es-AR"/>
        </w:rPr>
      </w:pPr>
      <w:r w:rsidRPr="00386E47">
        <w:rPr>
          <w:rFonts w:asciiTheme="majorHAnsi" w:hAnsiTheme="majorHAnsi" w:cs="Verdana"/>
          <w:sz w:val="20"/>
          <w:szCs w:val="20"/>
          <w:lang w:val="es-ES"/>
        </w:rPr>
        <w:t>La</w:t>
      </w:r>
      <w:r w:rsidR="00137B1C" w:rsidRPr="00386E47">
        <w:rPr>
          <w:rFonts w:asciiTheme="majorHAnsi" w:hAnsiTheme="majorHAnsi" w:cs="Verdana"/>
          <w:sz w:val="20"/>
          <w:szCs w:val="20"/>
          <w:lang w:val="es-ES"/>
        </w:rPr>
        <w:t xml:space="preserve"> Comisión recuerda que </w:t>
      </w:r>
      <w:r w:rsidR="00137B1C" w:rsidRPr="00386E47">
        <w:rPr>
          <w:rFonts w:asciiTheme="majorHAnsi" w:eastAsia="Times New Roman" w:hAnsiTheme="majorHAnsi"/>
          <w:color w:val="000000"/>
          <w:sz w:val="20"/>
          <w:szCs w:val="20"/>
          <w:shd w:val="clear" w:color="auto" w:fill="FFFFFF"/>
          <w:lang w:val="es-ES"/>
        </w:rPr>
        <w:t>el Estado tiene la obligación de realizar “</w:t>
      </w:r>
      <w:r w:rsidR="002529BA" w:rsidRPr="00386E47">
        <w:rPr>
          <w:rFonts w:asciiTheme="majorHAnsi" w:eastAsia="Times New Roman" w:hAnsiTheme="majorHAnsi"/>
          <w:color w:val="000000"/>
          <w:sz w:val="20"/>
          <w:szCs w:val="20"/>
          <w:shd w:val="clear" w:color="auto" w:fill="FFFFFF"/>
          <w:lang w:val="es-ES"/>
        </w:rPr>
        <w:t xml:space="preserve">efectiva la determinación de los  hechos que se investigan y, en su caso, de las correspondientes responsabilidades penales en tiempo razonable, por lo que, en atención a la necesidad de garantizar los derechos  de  las personas perjudicadas, una demora prolongada puede llegar a constituir, por sí misma, una violación de las garantías judiciales” </w:t>
      </w:r>
      <w:r w:rsidR="002529BA" w:rsidRPr="00386E47">
        <w:rPr>
          <w:rFonts w:asciiTheme="majorHAnsi" w:eastAsia="Times New Roman" w:hAnsiTheme="majorHAnsi"/>
          <w:color w:val="000000"/>
          <w:sz w:val="20"/>
          <w:szCs w:val="20"/>
          <w:shd w:val="clear" w:color="auto" w:fill="FFFFFF"/>
          <w:vertAlign w:val="superscript"/>
          <w:lang w:val="es-ES"/>
        </w:rPr>
        <w:footnoteReference w:id="124"/>
      </w:r>
      <w:r w:rsidR="00137B1C" w:rsidRPr="00386E47">
        <w:rPr>
          <w:rFonts w:asciiTheme="majorHAnsi" w:hAnsiTheme="majorHAnsi" w:cs="Verdana"/>
          <w:sz w:val="20"/>
          <w:szCs w:val="20"/>
          <w:lang w:val="es-ES"/>
        </w:rPr>
        <w:t>. En este sentido, la Corte Interamericana ha señalado que</w:t>
      </w:r>
      <w:r w:rsidR="002529BA" w:rsidRPr="00386E47">
        <w:rPr>
          <w:rFonts w:asciiTheme="majorHAnsi" w:eastAsia="Calibri" w:hAnsiTheme="majorHAnsi"/>
          <w:sz w:val="20"/>
          <w:szCs w:val="20"/>
          <w:lang w:val="es-ES"/>
        </w:rPr>
        <w:t xml:space="preserve"> “el derecho de acceso a la justicia </w:t>
      </w:r>
      <w:r w:rsidR="002529BA" w:rsidRPr="00386E47">
        <w:rPr>
          <w:rFonts w:asciiTheme="majorHAnsi" w:eastAsia="Calibri" w:hAnsiTheme="majorHAnsi"/>
          <w:sz w:val="20"/>
          <w:szCs w:val="20"/>
          <w:lang w:val="es-AR"/>
        </w:rPr>
        <w:t>no se agota con el trámite de procesos internos, sino que este debe asegurar, en tiempo razonable, el derecho de la presunta víctima o sus familiares a que se haga todo lo necesario para conocer la verdad de lo sucedido y para que se sancione a los eventuales responsables”</w:t>
      </w:r>
      <w:r w:rsidR="002529BA" w:rsidRPr="00386E47">
        <w:rPr>
          <w:rFonts w:asciiTheme="majorHAnsi" w:eastAsia="Calibri" w:hAnsiTheme="majorHAnsi"/>
          <w:sz w:val="20"/>
          <w:szCs w:val="20"/>
          <w:vertAlign w:val="superscript"/>
          <w:lang w:val="es-AR"/>
        </w:rPr>
        <w:footnoteReference w:id="125"/>
      </w:r>
      <w:r w:rsidR="002529BA" w:rsidRPr="00386E47">
        <w:rPr>
          <w:rFonts w:asciiTheme="majorHAnsi" w:eastAsia="Calibri" w:hAnsiTheme="majorHAnsi"/>
          <w:sz w:val="20"/>
          <w:szCs w:val="20"/>
          <w:lang w:val="es-AR"/>
        </w:rPr>
        <w:t xml:space="preserve">. </w:t>
      </w:r>
    </w:p>
    <w:p w14:paraId="501944C4" w14:textId="77777777" w:rsidR="000E35A2" w:rsidRPr="00386E47" w:rsidRDefault="000E35A2" w:rsidP="00A311A0">
      <w:pPr>
        <w:pStyle w:val="ListParagraph"/>
        <w:rPr>
          <w:rFonts w:asciiTheme="majorHAnsi" w:hAnsiTheme="majorHAnsi" w:cs="Verdana"/>
          <w:sz w:val="20"/>
          <w:szCs w:val="20"/>
          <w:lang w:val="es-AR"/>
        </w:rPr>
      </w:pPr>
    </w:p>
    <w:p w14:paraId="746FFF79" w14:textId="77777777" w:rsidR="000E35A2" w:rsidRPr="00386E47" w:rsidRDefault="000E35A2" w:rsidP="003A5860">
      <w:pPr>
        <w:numPr>
          <w:ilvl w:val="0"/>
          <w:numId w:val="55"/>
        </w:numPr>
        <w:tabs>
          <w:tab w:val="left" w:pos="567"/>
        </w:tabs>
        <w:ind w:left="0" w:firstLine="0"/>
        <w:contextualSpacing/>
        <w:jc w:val="both"/>
        <w:rPr>
          <w:rFonts w:asciiTheme="majorHAnsi" w:hAnsiTheme="majorHAnsi"/>
          <w:sz w:val="20"/>
          <w:szCs w:val="20"/>
          <w:lang w:val="es-ES"/>
        </w:rPr>
      </w:pPr>
      <w:r w:rsidRPr="00386E47">
        <w:rPr>
          <w:rFonts w:asciiTheme="majorHAnsi" w:hAnsiTheme="majorHAnsi"/>
          <w:sz w:val="20"/>
          <w:szCs w:val="20"/>
          <w:lang w:val="es-ES"/>
        </w:rPr>
        <w:t>Finalmente, la Comisión resalta que el</w:t>
      </w:r>
      <w:r w:rsidRPr="00386E47">
        <w:rPr>
          <w:rFonts w:asciiTheme="majorHAnsi" w:eastAsia="Calibri" w:hAnsiTheme="majorHAnsi"/>
          <w:sz w:val="20"/>
          <w:szCs w:val="20"/>
          <w:lang w:val="es-ES_tradnl"/>
        </w:rPr>
        <w:t xml:space="preserve"> proceso judicial debe ser concluido en un plazo razonable a efectos de no frustrar el derecho de las víctimas de conocer la verdad y de que se sancione a los responsables de las violaciones</w:t>
      </w:r>
      <w:r w:rsidRPr="00386E47">
        <w:rPr>
          <w:rFonts w:asciiTheme="majorHAnsi" w:eastAsia="Calibri" w:hAnsiTheme="majorHAnsi"/>
          <w:sz w:val="20"/>
          <w:szCs w:val="20"/>
          <w:vertAlign w:val="superscript"/>
          <w:lang w:val="es-ES_tradnl"/>
        </w:rPr>
        <w:footnoteReference w:id="126"/>
      </w:r>
      <w:r w:rsidRPr="00386E47">
        <w:rPr>
          <w:rFonts w:asciiTheme="majorHAnsi" w:eastAsia="Calibri" w:hAnsiTheme="majorHAnsi"/>
          <w:sz w:val="20"/>
          <w:szCs w:val="20"/>
          <w:lang w:val="es-ES_tradnl"/>
        </w:rPr>
        <w:t xml:space="preserve">. </w:t>
      </w:r>
      <w:r w:rsidRPr="00386E47">
        <w:rPr>
          <w:rFonts w:asciiTheme="majorHAnsi" w:hAnsiTheme="majorHAnsi"/>
          <w:sz w:val="20"/>
          <w:szCs w:val="20"/>
          <w:lang w:val="es-ES"/>
        </w:rPr>
        <w:t xml:space="preserve"> </w:t>
      </w:r>
      <w:r w:rsidRPr="00386E47">
        <w:rPr>
          <w:rFonts w:asciiTheme="majorHAnsi" w:eastAsia="Calibri" w:hAnsiTheme="majorHAnsi"/>
          <w:sz w:val="20"/>
          <w:szCs w:val="20"/>
          <w:lang w:val="es-AR"/>
        </w:rPr>
        <w:t>Los órganos del sistema interamericano han tomado en consideración tres criterios para determinar si existe una violación a la garantía del plazo razonable, a saber: a) la complejidad del asunto; b) la conducta de las autoridades judiciales y c) la actividad procesal del interesado</w:t>
      </w:r>
      <w:r w:rsidRPr="00386E47">
        <w:rPr>
          <w:rFonts w:asciiTheme="majorHAnsi" w:eastAsia="Calibri" w:hAnsiTheme="majorHAnsi"/>
          <w:sz w:val="20"/>
          <w:szCs w:val="20"/>
          <w:vertAlign w:val="superscript"/>
          <w:lang w:val="es-AR"/>
        </w:rPr>
        <w:footnoteReference w:id="127"/>
      </w:r>
      <w:r w:rsidRPr="00386E47">
        <w:rPr>
          <w:rFonts w:asciiTheme="majorHAnsi" w:eastAsia="Calibri" w:hAnsiTheme="majorHAnsi"/>
          <w:sz w:val="20"/>
          <w:szCs w:val="20"/>
          <w:lang w:val="es-AR"/>
        </w:rPr>
        <w:t>. Asimismo, la Corte IDH ha establecido que el plazo de tramitación del proceso debe evaluarse en función de la duración total del mismo, es decir, desde el primer acto procesal hasta que se dicta sentencia definitiva</w:t>
      </w:r>
      <w:r w:rsidRPr="00386E47">
        <w:rPr>
          <w:rFonts w:asciiTheme="majorHAnsi" w:eastAsia="Calibri" w:hAnsiTheme="majorHAnsi"/>
          <w:sz w:val="20"/>
          <w:szCs w:val="20"/>
          <w:vertAlign w:val="superscript"/>
          <w:lang w:val="es-AR"/>
        </w:rPr>
        <w:footnoteReference w:id="128"/>
      </w:r>
      <w:r w:rsidRPr="00386E47">
        <w:rPr>
          <w:rFonts w:asciiTheme="majorHAnsi" w:eastAsia="Calibri" w:hAnsiTheme="majorHAnsi"/>
          <w:sz w:val="20"/>
          <w:szCs w:val="20"/>
          <w:lang w:val="es-AR"/>
        </w:rPr>
        <w:t xml:space="preserve">. </w:t>
      </w:r>
    </w:p>
    <w:p w14:paraId="07A8B0DC" w14:textId="77777777" w:rsidR="000E35A2" w:rsidRPr="00386E47" w:rsidRDefault="000E35A2" w:rsidP="00A311A0">
      <w:pPr>
        <w:tabs>
          <w:tab w:val="left" w:pos="567"/>
        </w:tabs>
        <w:contextualSpacing/>
        <w:jc w:val="both"/>
        <w:rPr>
          <w:rFonts w:asciiTheme="majorHAnsi" w:hAnsiTheme="majorHAnsi" w:cs="Verdana"/>
          <w:sz w:val="20"/>
          <w:szCs w:val="20"/>
          <w:lang w:val="es-AR"/>
        </w:rPr>
      </w:pPr>
    </w:p>
    <w:p w14:paraId="6D958A9C" w14:textId="77777777" w:rsidR="000E35A2" w:rsidRPr="00386E47" w:rsidRDefault="000E35A2" w:rsidP="003A5860">
      <w:pPr>
        <w:numPr>
          <w:ilvl w:val="0"/>
          <w:numId w:val="55"/>
        </w:numPr>
        <w:tabs>
          <w:tab w:val="left" w:pos="567"/>
        </w:tabs>
        <w:ind w:left="0" w:firstLine="0"/>
        <w:contextualSpacing/>
        <w:jc w:val="both"/>
        <w:rPr>
          <w:rFonts w:asciiTheme="majorHAnsi" w:eastAsia="Calibri" w:hAnsiTheme="majorHAnsi"/>
          <w:sz w:val="20"/>
          <w:szCs w:val="20"/>
          <w:lang w:val="es-AR"/>
        </w:rPr>
      </w:pPr>
      <w:r w:rsidRPr="00386E47">
        <w:rPr>
          <w:rFonts w:asciiTheme="majorHAnsi" w:eastAsia="Calibri" w:hAnsiTheme="majorHAnsi"/>
          <w:sz w:val="20"/>
          <w:szCs w:val="20"/>
          <w:lang w:val="es-AR"/>
        </w:rPr>
        <w:t>Además de los tres mencionados criterios, resulta necesario evaluar el interés en juego y la afectación generada por la duración del procedimiento en la situación individual de la persona involucrada. Sobre este extremo, la Corte IDH ha precisado que “se debe tomar en cuenta la afectación generada por la duración del procedimiento en la situación jurídica de la persona involucrada en el mismo, considerando, entre otros elementos la materia objeto de controversia. Si el paso del tiempo incide de manera relevante en la situación jurídica del individuo, resultara necesario que el procedimiento corra con más diligencia a fin de que el caso se resuelva en un tiempo breve”</w:t>
      </w:r>
      <w:r w:rsidRPr="00386E47">
        <w:rPr>
          <w:rFonts w:asciiTheme="majorHAnsi" w:eastAsia="Calibri" w:hAnsiTheme="majorHAnsi"/>
          <w:sz w:val="20"/>
          <w:szCs w:val="20"/>
          <w:vertAlign w:val="superscript"/>
          <w:lang w:val="es-AR"/>
        </w:rPr>
        <w:footnoteReference w:id="129"/>
      </w:r>
      <w:r w:rsidRPr="00386E47">
        <w:rPr>
          <w:rFonts w:asciiTheme="majorHAnsi" w:eastAsia="Calibri" w:hAnsiTheme="majorHAnsi"/>
          <w:sz w:val="20"/>
          <w:szCs w:val="20"/>
          <w:lang w:val="es-AR"/>
        </w:rPr>
        <w:t xml:space="preserve">. </w:t>
      </w:r>
    </w:p>
    <w:p w14:paraId="1CF386B3" w14:textId="77777777" w:rsidR="000E35A2" w:rsidRPr="00386E47" w:rsidRDefault="000E35A2" w:rsidP="000E35A2">
      <w:pPr>
        <w:tabs>
          <w:tab w:val="left" w:pos="567"/>
        </w:tabs>
        <w:contextualSpacing/>
        <w:jc w:val="both"/>
        <w:rPr>
          <w:rFonts w:asciiTheme="majorHAnsi" w:eastAsia="Calibri" w:hAnsiTheme="majorHAnsi"/>
          <w:sz w:val="20"/>
          <w:szCs w:val="20"/>
          <w:lang w:val="es-AR"/>
        </w:rPr>
      </w:pPr>
    </w:p>
    <w:p w14:paraId="4583369A" w14:textId="77777777" w:rsidR="000E35A2" w:rsidRPr="00386E47" w:rsidRDefault="000E35A2" w:rsidP="003A5860">
      <w:pPr>
        <w:numPr>
          <w:ilvl w:val="0"/>
          <w:numId w:val="55"/>
        </w:numPr>
        <w:tabs>
          <w:tab w:val="left" w:pos="567"/>
        </w:tabs>
        <w:ind w:left="0" w:firstLine="0"/>
        <w:contextualSpacing/>
        <w:jc w:val="both"/>
        <w:rPr>
          <w:rFonts w:asciiTheme="majorHAnsi" w:eastAsia="Calibri" w:hAnsiTheme="majorHAnsi"/>
          <w:sz w:val="20"/>
          <w:szCs w:val="20"/>
          <w:lang w:val="es-AR"/>
        </w:rPr>
      </w:pPr>
      <w:r w:rsidRPr="00386E47">
        <w:rPr>
          <w:rFonts w:asciiTheme="majorHAnsi" w:eastAsia="Times New Roman" w:hAnsiTheme="majorHAnsi"/>
          <w:sz w:val="20"/>
          <w:szCs w:val="20"/>
          <w:lang w:val="es-ES"/>
        </w:rPr>
        <w:t>En cuanto a la carga argumentativa y probatoria sobre la razonabilidad del plazo, la Comisión ha indicado que corresponde al Estado exponer y probar el motivo por la cual se ha requerido más tiempo del razonable para dictar sentencia definitiva en un caso particular</w:t>
      </w:r>
      <w:r w:rsidRPr="00386E47">
        <w:rPr>
          <w:rFonts w:asciiTheme="majorHAnsi" w:eastAsia="Times New Roman" w:hAnsiTheme="majorHAnsi"/>
          <w:sz w:val="20"/>
          <w:szCs w:val="20"/>
          <w:vertAlign w:val="superscript"/>
          <w:lang w:val="es-ES"/>
        </w:rPr>
        <w:footnoteReference w:id="130"/>
      </w:r>
      <w:r w:rsidRPr="00386E47">
        <w:rPr>
          <w:rFonts w:asciiTheme="majorHAnsi" w:eastAsia="Times New Roman" w:hAnsiTheme="majorHAnsi"/>
          <w:sz w:val="20"/>
          <w:szCs w:val="20"/>
          <w:lang w:val="es-ES"/>
        </w:rPr>
        <w:t>. En la misma línea, la Corte ha indicado que corresponde al Estado justificar, con fundamento en los criterios señalados, la razón por la cual la tramitación del caso ha insumido un tiempo prolongado y, en la eventualidad de que éste no lo demuestre, la Corte tiene amplias atribuciones para hacer su propia estimación al respecto</w:t>
      </w:r>
      <w:r w:rsidRPr="00386E47">
        <w:rPr>
          <w:rFonts w:asciiTheme="majorHAnsi" w:eastAsia="Times New Roman" w:hAnsiTheme="majorHAnsi"/>
          <w:sz w:val="20"/>
          <w:szCs w:val="20"/>
          <w:vertAlign w:val="superscript"/>
          <w:lang w:val="es-ES"/>
        </w:rPr>
        <w:footnoteReference w:id="131"/>
      </w:r>
      <w:r w:rsidRPr="00386E47">
        <w:rPr>
          <w:rFonts w:asciiTheme="majorHAnsi" w:eastAsia="Times New Roman" w:hAnsiTheme="majorHAnsi"/>
          <w:sz w:val="20"/>
          <w:szCs w:val="20"/>
          <w:lang w:val="es-ES"/>
        </w:rPr>
        <w:t>.</w:t>
      </w:r>
    </w:p>
    <w:p w14:paraId="55D286EA" w14:textId="77777777" w:rsidR="00790369" w:rsidRPr="00386E47" w:rsidRDefault="00790369" w:rsidP="00A311A0">
      <w:pPr>
        <w:rPr>
          <w:rFonts w:asciiTheme="majorHAnsi" w:eastAsia="Calibri" w:hAnsiTheme="majorHAnsi"/>
          <w:sz w:val="20"/>
          <w:szCs w:val="20"/>
          <w:lang w:val="es-ES_tradnl"/>
        </w:rPr>
      </w:pPr>
    </w:p>
    <w:p w14:paraId="088E981A" w14:textId="77777777" w:rsidR="00790369" w:rsidRPr="00386E47" w:rsidRDefault="0092045B" w:rsidP="009146F2">
      <w:pPr>
        <w:pStyle w:val="ListParagraph"/>
        <w:numPr>
          <w:ilvl w:val="0"/>
          <w:numId w:val="61"/>
        </w:numPr>
        <w:rPr>
          <w:rFonts w:asciiTheme="majorHAnsi" w:eastAsia="Calibri" w:hAnsiTheme="majorHAnsi"/>
          <w:b/>
          <w:sz w:val="20"/>
          <w:szCs w:val="20"/>
          <w:lang w:val="es-ES_tradnl"/>
        </w:rPr>
      </w:pPr>
      <w:r w:rsidRPr="00386E47">
        <w:rPr>
          <w:rFonts w:asciiTheme="majorHAnsi" w:eastAsia="Calibri" w:hAnsiTheme="majorHAnsi"/>
          <w:b/>
          <w:sz w:val="20"/>
          <w:szCs w:val="20"/>
          <w:lang w:val="es-ES_tradnl"/>
        </w:rPr>
        <w:t>El</w:t>
      </w:r>
      <w:r w:rsidR="00790369" w:rsidRPr="00386E47">
        <w:rPr>
          <w:rFonts w:asciiTheme="majorHAnsi" w:eastAsia="Calibri" w:hAnsiTheme="majorHAnsi"/>
          <w:b/>
          <w:sz w:val="20"/>
          <w:szCs w:val="20"/>
          <w:lang w:val="es-ES_tradnl"/>
        </w:rPr>
        <w:t xml:space="preserve"> deber de investigar y sancionar</w:t>
      </w:r>
      <w:r w:rsidRPr="00386E47">
        <w:rPr>
          <w:rFonts w:asciiTheme="majorHAnsi" w:eastAsia="Calibri" w:hAnsiTheme="majorHAnsi"/>
          <w:b/>
          <w:sz w:val="20"/>
          <w:szCs w:val="20"/>
          <w:lang w:val="es-ES_tradnl"/>
        </w:rPr>
        <w:t xml:space="preserve"> a los responsables de actos terroristas</w:t>
      </w:r>
    </w:p>
    <w:p w14:paraId="616DCFCC" w14:textId="77777777" w:rsidR="00790369" w:rsidRPr="00386E47" w:rsidRDefault="00790369" w:rsidP="00790369">
      <w:pPr>
        <w:pStyle w:val="ListParagraph"/>
        <w:rPr>
          <w:rFonts w:asciiTheme="majorHAnsi" w:eastAsia="Calibri" w:hAnsiTheme="majorHAnsi"/>
          <w:sz w:val="20"/>
          <w:szCs w:val="20"/>
          <w:lang w:val="es-ES_tradnl"/>
        </w:rPr>
      </w:pPr>
    </w:p>
    <w:p w14:paraId="4CC9A158" w14:textId="77777777" w:rsidR="00790369" w:rsidRPr="00386E47" w:rsidRDefault="00790369" w:rsidP="003A5860">
      <w:pPr>
        <w:numPr>
          <w:ilvl w:val="0"/>
          <w:numId w:val="55"/>
        </w:numPr>
        <w:tabs>
          <w:tab w:val="left" w:pos="567"/>
        </w:tabs>
        <w:ind w:left="0" w:firstLine="0"/>
        <w:contextualSpacing/>
        <w:jc w:val="both"/>
        <w:rPr>
          <w:rFonts w:asciiTheme="majorHAnsi" w:eastAsia="Calibri" w:hAnsiTheme="majorHAnsi"/>
          <w:sz w:val="20"/>
          <w:szCs w:val="20"/>
          <w:lang w:val="es-ES_tradnl"/>
        </w:rPr>
      </w:pPr>
      <w:r w:rsidRPr="00386E47">
        <w:rPr>
          <w:rFonts w:asciiTheme="majorHAnsi" w:eastAsia="Calibri" w:hAnsiTheme="majorHAnsi"/>
          <w:sz w:val="20"/>
          <w:szCs w:val="20"/>
          <w:lang w:val="es-ES_tradnl"/>
        </w:rPr>
        <w:t xml:space="preserve">Específicamente en el contexto de la lugar contra el terrorismo, </w:t>
      </w:r>
      <w:r w:rsidRPr="00386E47" w:rsidDel="00672ABF">
        <w:rPr>
          <w:rFonts w:asciiTheme="majorHAnsi" w:eastAsia="Calibri" w:hAnsiTheme="majorHAnsi"/>
          <w:sz w:val="20"/>
          <w:szCs w:val="20"/>
          <w:lang w:val="es-ES_tradnl"/>
        </w:rPr>
        <w:t>conforme la Convención Interamericana contra el Terrorismo, los Estados signatarios – entre los que se encuentra el Estado argentino – asumieron el compromiso de “adoptar las medidas necesarias y fortalecer la cooperación entre ellos” a efectos de prevenir, sancionar y eliminar el fenómeno delictivo del terrorismo</w:t>
      </w:r>
      <w:r w:rsidR="00473F91" w:rsidRPr="00386E47">
        <w:rPr>
          <w:rStyle w:val="FootnoteReference"/>
          <w:rFonts w:asciiTheme="majorHAnsi" w:eastAsia="Calibri" w:hAnsiTheme="majorHAnsi"/>
          <w:sz w:val="20"/>
          <w:szCs w:val="20"/>
          <w:lang w:val="es-ES_tradnl"/>
        </w:rPr>
        <w:footnoteReference w:id="132"/>
      </w:r>
      <w:r w:rsidRPr="00386E47" w:rsidDel="00672ABF">
        <w:rPr>
          <w:rFonts w:asciiTheme="majorHAnsi" w:eastAsia="Calibri" w:hAnsiTheme="majorHAnsi"/>
          <w:sz w:val="20"/>
          <w:szCs w:val="20"/>
          <w:lang w:val="es-ES_tradnl"/>
        </w:rPr>
        <w:t>. En el mismo sentido, la Comisión en su informe sobre Terrorismo y Derechos Humanos puso de relieve que “los Estados miembros de la OEA están obligados a garantizar la seguridad de sus poblaciones, que incluye las medidas necesarias para investigar, juzgar y castigar los actos terroristas”</w:t>
      </w:r>
      <w:r w:rsidR="00A57D5E" w:rsidRPr="00386E47">
        <w:rPr>
          <w:rStyle w:val="FootnoteReference"/>
          <w:rFonts w:asciiTheme="majorHAnsi" w:eastAsia="Calibri" w:hAnsiTheme="majorHAnsi"/>
          <w:sz w:val="20"/>
          <w:szCs w:val="20"/>
          <w:lang w:val="es-ES_tradnl"/>
        </w:rPr>
        <w:footnoteReference w:id="133"/>
      </w:r>
    </w:p>
    <w:p w14:paraId="6E3F9DCF" w14:textId="77777777" w:rsidR="00790369" w:rsidRPr="00386E47" w:rsidRDefault="00790369" w:rsidP="00790369">
      <w:pPr>
        <w:pStyle w:val="ListParagraph"/>
        <w:rPr>
          <w:rFonts w:asciiTheme="majorHAnsi" w:eastAsia="Calibri" w:hAnsiTheme="majorHAnsi"/>
          <w:sz w:val="20"/>
          <w:szCs w:val="20"/>
          <w:lang w:val="es-ES_tradnl"/>
        </w:rPr>
      </w:pPr>
    </w:p>
    <w:p w14:paraId="1995FD2C" w14:textId="77777777" w:rsidR="00790369" w:rsidRPr="00386E47" w:rsidRDefault="00790369" w:rsidP="003A5860">
      <w:pPr>
        <w:numPr>
          <w:ilvl w:val="0"/>
          <w:numId w:val="55"/>
        </w:numPr>
        <w:tabs>
          <w:tab w:val="left" w:pos="567"/>
        </w:tabs>
        <w:ind w:left="0" w:firstLine="0"/>
        <w:contextualSpacing/>
        <w:jc w:val="both"/>
        <w:rPr>
          <w:rFonts w:asciiTheme="majorHAnsi" w:eastAsia="Calibri" w:hAnsiTheme="majorHAnsi"/>
          <w:sz w:val="20"/>
          <w:szCs w:val="20"/>
          <w:lang w:val="es-ES_tradnl"/>
        </w:rPr>
      </w:pPr>
      <w:r w:rsidRPr="00386E47">
        <w:rPr>
          <w:rFonts w:asciiTheme="majorHAnsi" w:eastAsia="Calibri" w:hAnsiTheme="majorHAnsi"/>
          <w:sz w:val="20"/>
          <w:szCs w:val="20"/>
          <w:lang w:val="es-ES_tradnl"/>
        </w:rPr>
        <w:t>El Relator Especial sobre la promoción y la protección de los derechos humanos y las libertades fundamentales en la lucha contra el terrorismo, Ben Emmerson, se ha referido a una serie de requisitos mínimos que para investigar actos terroristas, los cuales incluyen</w:t>
      </w:r>
      <w:r w:rsidRPr="00386E47">
        <w:rPr>
          <w:rStyle w:val="FootnoteReference"/>
          <w:rFonts w:asciiTheme="majorHAnsi" w:eastAsia="Calibri" w:hAnsiTheme="majorHAnsi"/>
          <w:sz w:val="20"/>
          <w:szCs w:val="20"/>
          <w:lang w:val="es-ES_tradnl"/>
        </w:rPr>
        <w:footnoteReference w:id="134"/>
      </w:r>
    </w:p>
    <w:p w14:paraId="2A1E34E9" w14:textId="77777777" w:rsidR="00790369" w:rsidRPr="00386E47" w:rsidRDefault="00790369" w:rsidP="009A5B18">
      <w:pPr>
        <w:jc w:val="both"/>
        <w:rPr>
          <w:rFonts w:asciiTheme="majorHAnsi" w:eastAsia="Calibri" w:hAnsiTheme="majorHAnsi"/>
          <w:sz w:val="18"/>
          <w:szCs w:val="18"/>
          <w:lang w:val="es-ES_tradnl"/>
        </w:rPr>
      </w:pPr>
    </w:p>
    <w:p w14:paraId="63E0A3C3" w14:textId="77777777" w:rsidR="00790369" w:rsidRPr="00386E47" w:rsidRDefault="00790369" w:rsidP="009A5B18">
      <w:pPr>
        <w:pStyle w:val="ListParagraph"/>
        <w:numPr>
          <w:ilvl w:val="0"/>
          <w:numId w:val="58"/>
        </w:numPr>
        <w:tabs>
          <w:tab w:val="left" w:pos="567"/>
        </w:tabs>
        <w:ind w:left="851" w:right="360" w:hanging="284"/>
        <w:contextualSpacing/>
        <w:jc w:val="both"/>
        <w:rPr>
          <w:rFonts w:asciiTheme="majorHAnsi" w:hAnsiTheme="majorHAnsi"/>
          <w:sz w:val="18"/>
          <w:szCs w:val="18"/>
          <w:lang w:val="es-US"/>
        </w:rPr>
      </w:pPr>
      <w:r w:rsidRPr="00386E47">
        <w:rPr>
          <w:rFonts w:asciiTheme="majorHAnsi" w:hAnsiTheme="majorHAnsi"/>
          <w:sz w:val="18"/>
          <w:szCs w:val="18"/>
          <w:lang w:val="es-US"/>
        </w:rPr>
        <w:t xml:space="preserve">Actuar de </w:t>
      </w:r>
      <w:r w:rsidRPr="00386E47">
        <w:rPr>
          <w:rFonts w:asciiTheme="majorHAnsi" w:eastAsia="Calibri" w:hAnsiTheme="majorHAnsi"/>
          <w:sz w:val="18"/>
          <w:szCs w:val="18"/>
          <w:lang w:val="es-ES_tradnl"/>
        </w:rPr>
        <w:t>oficio y no esperar que los familiares del difunto presenten una denuncia formal.</w:t>
      </w:r>
    </w:p>
    <w:p w14:paraId="3BF756DE" w14:textId="77777777" w:rsidR="00790369" w:rsidRPr="00386E47" w:rsidRDefault="00790369" w:rsidP="009A5B18">
      <w:pPr>
        <w:pStyle w:val="ListParagraph"/>
        <w:numPr>
          <w:ilvl w:val="0"/>
          <w:numId w:val="58"/>
        </w:numPr>
        <w:tabs>
          <w:tab w:val="left" w:pos="567"/>
        </w:tabs>
        <w:ind w:left="851" w:right="360" w:hanging="284"/>
        <w:contextualSpacing/>
        <w:jc w:val="both"/>
        <w:rPr>
          <w:rFonts w:asciiTheme="majorHAnsi" w:hAnsiTheme="majorHAnsi"/>
          <w:sz w:val="18"/>
          <w:szCs w:val="18"/>
          <w:lang w:val="es-US"/>
        </w:rPr>
      </w:pPr>
      <w:r w:rsidRPr="00386E47">
        <w:rPr>
          <w:rFonts w:asciiTheme="majorHAnsi" w:eastAsia="Calibri" w:hAnsiTheme="majorHAnsi"/>
          <w:sz w:val="18"/>
          <w:szCs w:val="18"/>
          <w:lang w:val="es-ES_tradnl"/>
        </w:rPr>
        <w:t>Comenzar</w:t>
      </w:r>
      <w:r w:rsidRPr="00386E47">
        <w:rPr>
          <w:rFonts w:asciiTheme="majorHAnsi" w:hAnsiTheme="majorHAnsi"/>
          <w:sz w:val="18"/>
          <w:szCs w:val="18"/>
          <w:lang w:val="es-US"/>
        </w:rPr>
        <w:t xml:space="preserve"> prontamente, debido a que es más probable que en una </w:t>
      </w:r>
      <w:r w:rsidRPr="00386E47">
        <w:rPr>
          <w:rFonts w:asciiTheme="majorHAnsi" w:eastAsia="Calibri" w:hAnsiTheme="majorHAnsi"/>
          <w:sz w:val="18"/>
          <w:szCs w:val="18"/>
          <w:lang w:val="es-ES_tradnl"/>
        </w:rPr>
        <w:t xml:space="preserve">investigación oportuna se obtengan pruebas dignas de crédito. </w:t>
      </w:r>
    </w:p>
    <w:p w14:paraId="1ACC5320" w14:textId="77777777" w:rsidR="00790369" w:rsidRPr="00386E47" w:rsidRDefault="00790369" w:rsidP="009A5B18">
      <w:pPr>
        <w:pStyle w:val="ListParagraph"/>
        <w:numPr>
          <w:ilvl w:val="0"/>
          <w:numId w:val="58"/>
        </w:numPr>
        <w:tabs>
          <w:tab w:val="left" w:pos="567"/>
        </w:tabs>
        <w:ind w:left="851" w:right="360" w:hanging="284"/>
        <w:contextualSpacing/>
        <w:jc w:val="both"/>
        <w:rPr>
          <w:rFonts w:asciiTheme="majorHAnsi" w:eastAsia="Calibri" w:hAnsiTheme="majorHAnsi"/>
          <w:sz w:val="18"/>
          <w:szCs w:val="18"/>
          <w:lang w:val="es-ES_tradnl"/>
        </w:rPr>
      </w:pPr>
      <w:r w:rsidRPr="00386E47">
        <w:rPr>
          <w:rFonts w:asciiTheme="majorHAnsi" w:eastAsia="Calibri" w:hAnsiTheme="majorHAnsi"/>
          <w:sz w:val="18"/>
          <w:szCs w:val="18"/>
          <w:lang w:val="es-ES_tradnl"/>
        </w:rPr>
        <w:t>Una vez abierta una investigación, las autoridades deben cerciorarse de mantener a los familiares plenamente informados de su marcha y de darles una oportunidad adecuada de participar.</w:t>
      </w:r>
    </w:p>
    <w:p w14:paraId="2B9DA940" w14:textId="77777777" w:rsidR="00790369" w:rsidRPr="00386E47" w:rsidRDefault="00790369" w:rsidP="009A5B18">
      <w:pPr>
        <w:pStyle w:val="ListParagraph"/>
        <w:numPr>
          <w:ilvl w:val="0"/>
          <w:numId w:val="58"/>
        </w:numPr>
        <w:tabs>
          <w:tab w:val="left" w:pos="567"/>
        </w:tabs>
        <w:ind w:left="851" w:right="360" w:hanging="284"/>
        <w:contextualSpacing/>
        <w:jc w:val="both"/>
        <w:rPr>
          <w:rFonts w:asciiTheme="majorHAnsi" w:eastAsia="Calibri" w:hAnsiTheme="majorHAnsi"/>
          <w:sz w:val="18"/>
          <w:szCs w:val="18"/>
          <w:lang w:val="es-ES_tradnl"/>
        </w:rPr>
      </w:pPr>
      <w:r w:rsidRPr="00386E47">
        <w:rPr>
          <w:rFonts w:asciiTheme="majorHAnsi" w:eastAsia="Calibri" w:hAnsiTheme="majorHAnsi"/>
          <w:sz w:val="18"/>
          <w:szCs w:val="18"/>
          <w:lang w:val="es-ES_tradnl"/>
        </w:rPr>
        <w:t>La investigación debe culminar en la identificación y el castigo de los responsables. El principio de la rendición de cuentas se extiende a las situaciones en que se denuncie que funcionarios públicos han causado la muerte o lesiones mediante el empleo negligente de fuer</w:t>
      </w:r>
      <w:r w:rsidR="0001484F" w:rsidRPr="00386E47">
        <w:rPr>
          <w:rFonts w:asciiTheme="majorHAnsi" w:eastAsia="Calibri" w:hAnsiTheme="majorHAnsi"/>
          <w:sz w:val="18"/>
          <w:szCs w:val="18"/>
          <w:lang w:val="es-ES_tradnl"/>
        </w:rPr>
        <w:t xml:space="preserve">za letal o, por negligencia, no </w:t>
      </w:r>
      <w:r w:rsidRPr="00386E47">
        <w:rPr>
          <w:rFonts w:asciiTheme="majorHAnsi" w:eastAsia="Calibri" w:hAnsiTheme="majorHAnsi"/>
          <w:sz w:val="18"/>
          <w:szCs w:val="18"/>
          <w:lang w:val="es-ES_tradnl"/>
        </w:rPr>
        <w:t>han prevenido un acto terrorista.</w:t>
      </w:r>
    </w:p>
    <w:p w14:paraId="5A72BFAF" w14:textId="77777777" w:rsidR="00790369" w:rsidRPr="00386E47" w:rsidRDefault="00790369" w:rsidP="0001484F">
      <w:pPr>
        <w:pStyle w:val="ListParagraph"/>
        <w:numPr>
          <w:ilvl w:val="0"/>
          <w:numId w:val="58"/>
        </w:numPr>
        <w:tabs>
          <w:tab w:val="left" w:pos="567"/>
          <w:tab w:val="left" w:pos="8505"/>
        </w:tabs>
        <w:ind w:left="810" w:right="360" w:hanging="270"/>
        <w:contextualSpacing/>
        <w:jc w:val="both"/>
        <w:rPr>
          <w:rFonts w:asciiTheme="majorHAnsi" w:eastAsia="Calibri" w:hAnsiTheme="majorHAnsi"/>
          <w:sz w:val="18"/>
          <w:szCs w:val="18"/>
          <w:lang w:val="es-ES_tradnl"/>
        </w:rPr>
      </w:pPr>
      <w:r w:rsidRPr="00386E47">
        <w:rPr>
          <w:rFonts w:asciiTheme="majorHAnsi" w:eastAsia="Calibri" w:hAnsiTheme="majorHAnsi"/>
          <w:sz w:val="18"/>
          <w:szCs w:val="18"/>
          <w:lang w:val="es-ES_tradnl"/>
        </w:rPr>
        <w:t xml:space="preserve"> En los casos en que esté en juego la responsabilidad del Estado, las autoridades que efectúan la investigación deben ser totalmente independientes de quienes puedan estar implicados en los hechos, lo que significa no solo que no haya una relación jerárquica o institucional sino también que haya independencia en la práctica.</w:t>
      </w:r>
    </w:p>
    <w:p w14:paraId="7F3088B1" w14:textId="77777777" w:rsidR="00790369" w:rsidRPr="00386E47" w:rsidRDefault="00790369" w:rsidP="0001484F">
      <w:pPr>
        <w:pStyle w:val="ListParagraph"/>
        <w:numPr>
          <w:ilvl w:val="0"/>
          <w:numId w:val="58"/>
        </w:numPr>
        <w:tabs>
          <w:tab w:val="left" w:pos="567"/>
          <w:tab w:val="left" w:pos="8505"/>
        </w:tabs>
        <w:ind w:left="810" w:right="360" w:hanging="270"/>
        <w:contextualSpacing/>
        <w:jc w:val="both"/>
        <w:rPr>
          <w:rFonts w:asciiTheme="majorHAnsi" w:eastAsia="Calibri" w:hAnsiTheme="majorHAnsi"/>
          <w:sz w:val="18"/>
          <w:szCs w:val="18"/>
          <w:lang w:val="es-ES_tradnl"/>
        </w:rPr>
      </w:pPr>
      <w:r w:rsidRPr="00386E47">
        <w:rPr>
          <w:rFonts w:asciiTheme="majorHAnsi" w:eastAsia="Calibri" w:hAnsiTheme="majorHAnsi"/>
          <w:sz w:val="18"/>
          <w:szCs w:val="18"/>
          <w:lang w:val="es-ES_tradnl"/>
        </w:rPr>
        <w:t xml:space="preserve">Debe haber un elemento suficiente de examen público de la investigación y sus resultados de manera de rendir cuentas a la población. </w:t>
      </w:r>
    </w:p>
    <w:p w14:paraId="03F8F2A1" w14:textId="77777777" w:rsidR="00790369" w:rsidRPr="00386E47" w:rsidRDefault="00790369" w:rsidP="0001484F">
      <w:pPr>
        <w:pStyle w:val="ListParagraph"/>
        <w:numPr>
          <w:ilvl w:val="0"/>
          <w:numId w:val="58"/>
        </w:numPr>
        <w:tabs>
          <w:tab w:val="left" w:pos="567"/>
          <w:tab w:val="left" w:pos="8505"/>
        </w:tabs>
        <w:ind w:left="810" w:right="360" w:hanging="270"/>
        <w:contextualSpacing/>
        <w:jc w:val="both"/>
        <w:rPr>
          <w:rFonts w:asciiTheme="majorHAnsi" w:eastAsia="Calibri" w:hAnsiTheme="majorHAnsi"/>
          <w:sz w:val="18"/>
          <w:szCs w:val="18"/>
          <w:lang w:val="es-ES_tradnl"/>
        </w:rPr>
      </w:pPr>
      <w:r w:rsidRPr="00386E47">
        <w:rPr>
          <w:rFonts w:asciiTheme="majorHAnsi" w:eastAsia="Calibri" w:hAnsiTheme="majorHAnsi"/>
          <w:sz w:val="18"/>
          <w:szCs w:val="18"/>
          <w:lang w:val="es-ES_tradnl"/>
        </w:rPr>
        <w:t>Las autoridades deben haber tomado medidas razonables para obtener y evaluar todas las pruebas que puedan ser pertinentes. Los investigadores deben encomendar los informes forenses y de autopsia necesarios, en que figure una relación completa y objetiva de los resultados científicos; deben registrar todos los elementos de prueba que puedan ser pertinentes; efectuar visitas al lugar de los hechos e identificar e interrogar a todos los testigos pertinentes y obtener de ellos completas declaraciones escritas. Las conclusiones deben basarse en un análisis completo, objetivo e imparcial de las pruebas, que incluya un examen de los actos de las propias autoridades.</w:t>
      </w:r>
    </w:p>
    <w:p w14:paraId="0080B594" w14:textId="77777777" w:rsidR="00790369" w:rsidRPr="00386E47" w:rsidRDefault="00790369" w:rsidP="0001484F">
      <w:pPr>
        <w:pStyle w:val="ListParagraph"/>
        <w:numPr>
          <w:ilvl w:val="0"/>
          <w:numId w:val="58"/>
        </w:numPr>
        <w:tabs>
          <w:tab w:val="left" w:pos="567"/>
          <w:tab w:val="left" w:pos="8505"/>
        </w:tabs>
        <w:ind w:left="810" w:right="360" w:hanging="270"/>
        <w:contextualSpacing/>
        <w:jc w:val="both"/>
        <w:rPr>
          <w:rFonts w:asciiTheme="majorHAnsi" w:eastAsia="Calibri" w:hAnsiTheme="majorHAnsi"/>
          <w:sz w:val="18"/>
          <w:szCs w:val="18"/>
          <w:lang w:val="es-ES_tradnl"/>
        </w:rPr>
      </w:pPr>
      <w:r w:rsidRPr="00386E47">
        <w:rPr>
          <w:rFonts w:asciiTheme="majorHAnsi" w:eastAsia="Calibri" w:hAnsiTheme="majorHAnsi"/>
          <w:sz w:val="18"/>
          <w:szCs w:val="18"/>
          <w:lang w:val="es-ES_tradnl"/>
        </w:rPr>
        <w:t>Los investigadores deben ser verdaderamente imparciales y no tener una opinión preconcebida acerca de la cuestión que investigan ni de la identidad de los responsables de las muertes. Tampoco deben enfocar la investigación en forma que promueva o proteja los intereses de un funcionario público que pueda ser responsable. Los investigadores deben estar demostrablemente exentos de influencia indebida.</w:t>
      </w:r>
    </w:p>
    <w:p w14:paraId="64C28CE3" w14:textId="77777777" w:rsidR="00790369" w:rsidRPr="00386E47" w:rsidRDefault="00790369" w:rsidP="0001484F">
      <w:pPr>
        <w:pStyle w:val="ListParagraph"/>
        <w:numPr>
          <w:ilvl w:val="0"/>
          <w:numId w:val="58"/>
        </w:numPr>
        <w:tabs>
          <w:tab w:val="left" w:pos="567"/>
          <w:tab w:val="left" w:pos="8505"/>
        </w:tabs>
        <w:ind w:left="810" w:right="360" w:hanging="270"/>
        <w:contextualSpacing/>
        <w:jc w:val="both"/>
        <w:rPr>
          <w:rFonts w:asciiTheme="majorHAnsi" w:eastAsia="Calibri" w:hAnsiTheme="majorHAnsi"/>
          <w:sz w:val="18"/>
          <w:szCs w:val="18"/>
          <w:lang w:val="es-ES_tradnl"/>
        </w:rPr>
      </w:pPr>
      <w:r w:rsidRPr="00386E47">
        <w:rPr>
          <w:rFonts w:asciiTheme="majorHAnsi" w:eastAsia="Calibri" w:hAnsiTheme="majorHAnsi"/>
          <w:sz w:val="18"/>
          <w:szCs w:val="18"/>
          <w:lang w:val="es-ES_tradnl"/>
        </w:rPr>
        <w:t xml:space="preserve"> Si de resultas de la investigación se sustancia un procedimiento penal u otra causa judicial, debe ofrecerse a los familiares la posibilidad de participar efectivamente.</w:t>
      </w:r>
    </w:p>
    <w:p w14:paraId="16A3BB0F" w14:textId="77777777" w:rsidR="002529BA" w:rsidRPr="00386E47" w:rsidRDefault="002529BA" w:rsidP="00A311A0">
      <w:pPr>
        <w:pStyle w:val="ListParagraph"/>
        <w:tabs>
          <w:tab w:val="left" w:pos="567"/>
        </w:tabs>
        <w:ind w:left="1080"/>
        <w:contextualSpacing/>
        <w:jc w:val="both"/>
        <w:rPr>
          <w:rFonts w:asciiTheme="majorHAnsi" w:eastAsia="Calibri" w:hAnsiTheme="majorHAnsi"/>
          <w:sz w:val="20"/>
          <w:szCs w:val="20"/>
          <w:lang w:val="es-ES_tradnl"/>
        </w:rPr>
      </w:pPr>
    </w:p>
    <w:p w14:paraId="224BDE2E" w14:textId="77777777" w:rsidR="00790369" w:rsidRPr="00386E47" w:rsidRDefault="002529BA" w:rsidP="009146F2">
      <w:pPr>
        <w:pStyle w:val="Heading3"/>
        <w:numPr>
          <w:ilvl w:val="1"/>
          <w:numId w:val="68"/>
        </w:numPr>
        <w:ind w:left="284" w:firstLine="0"/>
      </w:pPr>
      <w:bookmarkStart w:id="29" w:name="_Toc51252200"/>
      <w:r w:rsidRPr="00386E47">
        <w:t>Respecto de la</w:t>
      </w:r>
      <w:r w:rsidR="0097207E" w:rsidRPr="00386E47">
        <w:t xml:space="preserve"> debida diligencia en la</w:t>
      </w:r>
      <w:r w:rsidRPr="00386E47">
        <w:t>s investigaciones seguidas en el presente caso</w:t>
      </w:r>
      <w:bookmarkEnd w:id="29"/>
    </w:p>
    <w:p w14:paraId="5397593C" w14:textId="77777777" w:rsidR="002C25B5" w:rsidRPr="00386E47" w:rsidRDefault="00790369" w:rsidP="003A5860">
      <w:pPr>
        <w:numPr>
          <w:ilvl w:val="0"/>
          <w:numId w:val="55"/>
        </w:numPr>
        <w:tabs>
          <w:tab w:val="left" w:pos="567"/>
        </w:tabs>
        <w:ind w:left="0" w:firstLine="0"/>
        <w:contextualSpacing/>
        <w:jc w:val="both"/>
        <w:rPr>
          <w:rFonts w:asciiTheme="majorHAnsi" w:eastAsia="Calibri" w:hAnsiTheme="majorHAnsi"/>
          <w:sz w:val="20"/>
          <w:szCs w:val="20"/>
          <w:lang w:val="es-ES_tradnl"/>
        </w:rPr>
      </w:pPr>
      <w:r w:rsidRPr="00386E47">
        <w:rPr>
          <w:rFonts w:asciiTheme="majorHAnsi" w:eastAsia="Calibri" w:hAnsiTheme="majorHAnsi"/>
          <w:sz w:val="20"/>
          <w:szCs w:val="20"/>
          <w:lang w:val="es-ES_tradnl"/>
        </w:rPr>
        <w:t xml:space="preserve">A continuación, la Comisión analizará </w:t>
      </w:r>
      <w:r w:rsidR="002529BA" w:rsidRPr="00386E47">
        <w:rPr>
          <w:rFonts w:asciiTheme="majorHAnsi" w:eastAsia="Calibri" w:hAnsiTheme="majorHAnsi"/>
          <w:sz w:val="20"/>
          <w:szCs w:val="20"/>
          <w:lang w:val="es-ES_tradnl"/>
        </w:rPr>
        <w:t>si el Estado argentino cumplió con investigar de manera diligente</w:t>
      </w:r>
      <w:r w:rsidR="00137B1C" w:rsidRPr="00386E47">
        <w:rPr>
          <w:rFonts w:asciiTheme="majorHAnsi" w:eastAsia="Calibri" w:hAnsiTheme="majorHAnsi"/>
          <w:sz w:val="20"/>
          <w:szCs w:val="20"/>
          <w:lang w:val="es-ES_tradnl"/>
        </w:rPr>
        <w:t xml:space="preserve"> los hechos relacionados con el ataque a la sede de la AMIA. Teniendo en cuenta lo señalado en las determinaciones globales de hechos, la Comisión se pronunciará en el siguiente orden: a) sobre la </w:t>
      </w:r>
      <w:r w:rsidR="002C25B5" w:rsidRPr="00386E47">
        <w:rPr>
          <w:rFonts w:asciiTheme="majorHAnsi" w:hAnsiTheme="majorHAnsi"/>
          <w:sz w:val="20"/>
          <w:szCs w:val="20"/>
          <w:lang w:val="es-US"/>
        </w:rPr>
        <w:t xml:space="preserve">investigación dirigida por el Juzgado en lo Criminal y </w:t>
      </w:r>
      <w:r w:rsidR="002C25B5" w:rsidRPr="00386E47">
        <w:rPr>
          <w:rFonts w:asciiTheme="majorHAnsi" w:eastAsia="Calibri" w:hAnsiTheme="majorHAnsi"/>
          <w:sz w:val="20"/>
          <w:szCs w:val="20"/>
          <w:lang w:val="es-ES_tradnl"/>
        </w:rPr>
        <w:t xml:space="preserve">Correccional Federal Nro.9, b) sobre investigación delegada por el Juzgado en lo Criminal y Correccional Federal Nro.6 en la Unidad Fiscal de Investigación al Atentado a la Sede de la AMIA y c) sobre la </w:t>
      </w:r>
      <w:r w:rsidR="005A65DD" w:rsidRPr="00386E47">
        <w:rPr>
          <w:rFonts w:asciiTheme="majorHAnsi" w:eastAsia="Calibri" w:hAnsiTheme="majorHAnsi"/>
          <w:sz w:val="20"/>
          <w:szCs w:val="20"/>
          <w:lang w:val="es-ES_tradnl"/>
        </w:rPr>
        <w:t>i</w:t>
      </w:r>
      <w:r w:rsidR="002C25B5" w:rsidRPr="00386E47">
        <w:rPr>
          <w:rFonts w:asciiTheme="majorHAnsi" w:eastAsia="Calibri" w:hAnsiTheme="majorHAnsi"/>
          <w:sz w:val="20"/>
          <w:szCs w:val="20"/>
          <w:lang w:val="es-ES_tradnl"/>
        </w:rPr>
        <w:t xml:space="preserve">nvestigación por el encubrimiento del atentado. </w:t>
      </w:r>
    </w:p>
    <w:p w14:paraId="70473A6C" w14:textId="77777777" w:rsidR="002C25B5" w:rsidRPr="00386E47" w:rsidRDefault="002C25B5" w:rsidP="00A311A0">
      <w:pPr>
        <w:tabs>
          <w:tab w:val="left" w:pos="567"/>
        </w:tabs>
        <w:contextualSpacing/>
        <w:jc w:val="both"/>
        <w:rPr>
          <w:rFonts w:asciiTheme="majorHAnsi" w:eastAsia="Calibri" w:hAnsiTheme="majorHAnsi"/>
          <w:sz w:val="20"/>
          <w:szCs w:val="20"/>
          <w:lang w:val="es-ES_tradnl"/>
        </w:rPr>
      </w:pPr>
    </w:p>
    <w:p w14:paraId="77992316" w14:textId="77777777" w:rsidR="00137B1C" w:rsidRPr="00386E47" w:rsidRDefault="002C25B5" w:rsidP="00F54071">
      <w:pPr>
        <w:pStyle w:val="Heading4"/>
      </w:pPr>
      <w:r w:rsidRPr="00386E47">
        <w:t>Investigación</w:t>
      </w:r>
      <w:r w:rsidR="00137B1C" w:rsidRPr="00386E47">
        <w:t xml:space="preserve"> dirigida por el Juzgado en lo Criminal y Correccional Federal Nro.9 </w:t>
      </w:r>
    </w:p>
    <w:p w14:paraId="48E40BE3" w14:textId="77777777" w:rsidR="00137B1C" w:rsidRPr="00386E47" w:rsidRDefault="00137B1C" w:rsidP="00A311A0">
      <w:pPr>
        <w:tabs>
          <w:tab w:val="left" w:pos="567"/>
        </w:tabs>
        <w:contextualSpacing/>
        <w:jc w:val="both"/>
        <w:rPr>
          <w:rFonts w:asciiTheme="majorHAnsi" w:eastAsia="Calibri" w:hAnsiTheme="majorHAnsi"/>
          <w:sz w:val="20"/>
          <w:szCs w:val="20"/>
          <w:lang w:val="es-AR"/>
        </w:rPr>
      </w:pPr>
    </w:p>
    <w:p w14:paraId="6FA8D7E8" w14:textId="77777777" w:rsidR="007E5792" w:rsidRPr="00386E47" w:rsidRDefault="003C1378" w:rsidP="003A5860">
      <w:pPr>
        <w:numPr>
          <w:ilvl w:val="0"/>
          <w:numId w:val="55"/>
        </w:numPr>
        <w:tabs>
          <w:tab w:val="left" w:pos="567"/>
        </w:tabs>
        <w:ind w:left="0" w:firstLine="0"/>
        <w:jc w:val="both"/>
        <w:rPr>
          <w:rFonts w:asciiTheme="majorHAnsi" w:eastAsia="Cambria" w:hAnsiTheme="majorHAnsi" w:cs="Cambria"/>
          <w:color w:val="000000"/>
          <w:sz w:val="20"/>
          <w:szCs w:val="20"/>
          <w:u w:color="000000"/>
          <w:bdr w:val="nil"/>
          <w:lang w:val="es-ES" w:eastAsia="es-ES"/>
        </w:rPr>
      </w:pPr>
      <w:r w:rsidRPr="00386E47">
        <w:rPr>
          <w:rFonts w:asciiTheme="majorHAnsi" w:eastAsia="Cambria" w:hAnsiTheme="majorHAnsi" w:cs="Cambria"/>
          <w:color w:val="000000"/>
          <w:sz w:val="20"/>
          <w:szCs w:val="20"/>
          <w:u w:color="000000"/>
          <w:bdr w:val="nil"/>
          <w:lang w:val="es-ES" w:eastAsia="es-ES"/>
        </w:rPr>
        <w:lastRenderedPageBreak/>
        <w:t>La Comisión dedicará este apartado a presentar aquellos sucesos acontecidos</w:t>
      </w:r>
      <w:r w:rsidR="007E5792" w:rsidRPr="00386E47">
        <w:rPr>
          <w:rFonts w:asciiTheme="majorHAnsi" w:eastAsia="Cambria" w:hAnsiTheme="majorHAnsi" w:cs="Cambria"/>
          <w:color w:val="000000"/>
          <w:sz w:val="20"/>
          <w:szCs w:val="20"/>
          <w:u w:color="000000"/>
          <w:bdr w:val="nil"/>
          <w:lang w:val="es-ES" w:eastAsia="es-ES"/>
        </w:rPr>
        <w:t xml:space="preserve"> en el marco d</w:t>
      </w:r>
      <w:r w:rsidR="000853E5" w:rsidRPr="00386E47">
        <w:rPr>
          <w:rFonts w:asciiTheme="majorHAnsi" w:eastAsia="Cambria" w:hAnsiTheme="majorHAnsi" w:cs="Cambria"/>
          <w:color w:val="000000"/>
          <w:sz w:val="20"/>
          <w:szCs w:val="20"/>
          <w:u w:color="000000"/>
          <w:bdr w:val="nil"/>
          <w:lang w:val="es-ES" w:eastAsia="es-ES"/>
        </w:rPr>
        <w:t>e</w:t>
      </w:r>
      <w:r w:rsidRPr="00386E47">
        <w:rPr>
          <w:rFonts w:asciiTheme="majorHAnsi" w:eastAsia="Cambria" w:hAnsiTheme="majorHAnsi" w:cs="Cambria"/>
          <w:color w:val="000000"/>
          <w:sz w:val="20"/>
          <w:szCs w:val="20"/>
          <w:u w:color="000000"/>
          <w:bdr w:val="nil"/>
          <w:lang w:val="es-ES" w:eastAsia="es-ES"/>
        </w:rPr>
        <w:t xml:space="preserve"> la investigación encabezada por el </w:t>
      </w:r>
      <w:r w:rsidR="007E5792" w:rsidRPr="00386E47">
        <w:rPr>
          <w:rFonts w:asciiTheme="majorHAnsi" w:eastAsia="Cambria" w:hAnsiTheme="majorHAnsi" w:cs="Cambria"/>
          <w:color w:val="000000"/>
          <w:sz w:val="20"/>
          <w:szCs w:val="20"/>
          <w:u w:color="000000"/>
          <w:bdr w:val="nil"/>
          <w:lang w:val="es-ES" w:eastAsia="es-ES"/>
        </w:rPr>
        <w:t>Juzgado en lo Criminal y Correccional Federal Nro. 9</w:t>
      </w:r>
      <w:r w:rsidR="00F533FB" w:rsidRPr="00386E47">
        <w:rPr>
          <w:rFonts w:asciiTheme="majorHAnsi" w:eastAsia="Cambria" w:hAnsiTheme="majorHAnsi" w:cs="Cambria"/>
          <w:color w:val="000000"/>
          <w:sz w:val="20"/>
          <w:szCs w:val="20"/>
          <w:u w:color="000000"/>
          <w:bdr w:val="nil"/>
          <w:lang w:val="es-ES" w:eastAsia="es-ES"/>
        </w:rPr>
        <w:t xml:space="preserve"> que resultan relevantes para analizar la responsabilidad estatal.</w:t>
      </w:r>
      <w:r w:rsidR="00F36609" w:rsidRPr="00386E47">
        <w:rPr>
          <w:rFonts w:asciiTheme="majorHAnsi" w:eastAsia="Cambria" w:hAnsiTheme="majorHAnsi" w:cs="Cambria"/>
          <w:color w:val="000000"/>
          <w:sz w:val="20"/>
          <w:szCs w:val="20"/>
          <w:u w:color="000000"/>
          <w:bdr w:val="nil"/>
          <w:lang w:val="es-ES" w:eastAsia="es-ES"/>
        </w:rPr>
        <w:t xml:space="preserve"> </w:t>
      </w:r>
    </w:p>
    <w:p w14:paraId="3B6FD452" w14:textId="77777777" w:rsidR="00F533FB" w:rsidRPr="00386E47" w:rsidRDefault="00F533FB" w:rsidP="003C1378">
      <w:pPr>
        <w:tabs>
          <w:tab w:val="left" w:pos="567"/>
        </w:tabs>
        <w:jc w:val="both"/>
        <w:rPr>
          <w:rFonts w:asciiTheme="majorHAnsi" w:eastAsia="Calibri" w:hAnsiTheme="majorHAnsi"/>
          <w:sz w:val="20"/>
          <w:szCs w:val="20"/>
          <w:lang w:val="es-US"/>
        </w:rPr>
      </w:pPr>
    </w:p>
    <w:p w14:paraId="4C311D23" w14:textId="77777777" w:rsidR="00F533FB" w:rsidRPr="00386E47" w:rsidRDefault="00F533FB" w:rsidP="00F54071">
      <w:pPr>
        <w:pStyle w:val="Heading5"/>
      </w:pPr>
      <w:r w:rsidRPr="00386E47">
        <w:t xml:space="preserve">Diligencias iniciales en la escena del crimen y allanamientos realizados </w:t>
      </w:r>
      <w:r w:rsidR="00F54071" w:rsidRPr="00386E47">
        <w:t xml:space="preserve">por la Secretaria de Inteligencia del Estado </w:t>
      </w:r>
    </w:p>
    <w:p w14:paraId="1337AF45" w14:textId="77777777" w:rsidR="00F533FB" w:rsidRPr="00386E47" w:rsidRDefault="00F533FB" w:rsidP="003C1378">
      <w:pPr>
        <w:ind w:left="426"/>
        <w:contextualSpacing/>
        <w:jc w:val="both"/>
        <w:rPr>
          <w:rFonts w:asciiTheme="majorHAnsi" w:eastAsia="Calibri" w:hAnsiTheme="majorHAnsi"/>
          <w:b/>
          <w:sz w:val="20"/>
          <w:szCs w:val="20"/>
          <w:lang w:val="es-AR"/>
        </w:rPr>
      </w:pPr>
    </w:p>
    <w:p w14:paraId="5A4B9E97" w14:textId="77777777" w:rsidR="00B848B2" w:rsidRPr="00386E47" w:rsidRDefault="003C1378" w:rsidP="003A5860">
      <w:pPr>
        <w:numPr>
          <w:ilvl w:val="0"/>
          <w:numId w:val="55"/>
        </w:numPr>
        <w:tabs>
          <w:tab w:val="left" w:pos="567"/>
        </w:tabs>
        <w:ind w:left="0" w:firstLine="0"/>
        <w:jc w:val="both"/>
        <w:rPr>
          <w:rFonts w:asciiTheme="majorHAnsi" w:eastAsia="Calibri" w:hAnsiTheme="majorHAnsi"/>
          <w:sz w:val="20"/>
          <w:szCs w:val="20"/>
          <w:lang w:val="es-US"/>
        </w:rPr>
      </w:pPr>
      <w:r w:rsidRPr="00386E47">
        <w:rPr>
          <w:rFonts w:asciiTheme="majorHAnsi" w:eastAsia="Calibri" w:hAnsiTheme="majorHAnsi"/>
          <w:sz w:val="20"/>
          <w:szCs w:val="20"/>
          <w:lang w:val="es-US"/>
        </w:rPr>
        <w:t xml:space="preserve"> </w:t>
      </w:r>
      <w:r w:rsidR="00F533FB" w:rsidRPr="00386E47">
        <w:rPr>
          <w:rFonts w:asciiTheme="majorHAnsi" w:eastAsia="Calibri" w:hAnsiTheme="majorHAnsi"/>
          <w:sz w:val="20"/>
          <w:szCs w:val="20"/>
          <w:lang w:val="es-US"/>
        </w:rPr>
        <w:t xml:space="preserve">El </w:t>
      </w:r>
      <w:r w:rsidR="007E5792" w:rsidRPr="00386E47">
        <w:rPr>
          <w:rFonts w:asciiTheme="majorHAnsi" w:eastAsia="Calibri" w:hAnsiTheme="majorHAnsi"/>
          <w:sz w:val="20"/>
          <w:szCs w:val="20"/>
          <w:lang w:val="es-US"/>
        </w:rPr>
        <w:t xml:space="preserve"> TOF 3 señaló </w:t>
      </w:r>
      <w:r w:rsidR="009F70EA" w:rsidRPr="00386E47">
        <w:rPr>
          <w:rFonts w:asciiTheme="majorHAnsi" w:eastAsia="Calibri" w:hAnsiTheme="majorHAnsi"/>
          <w:sz w:val="20"/>
          <w:szCs w:val="20"/>
          <w:lang w:val="es-US"/>
        </w:rPr>
        <w:t>en su sentencia de 29 de octubre de 2004 que</w:t>
      </w:r>
      <w:r w:rsidR="00C50FAF" w:rsidRPr="00386E47">
        <w:rPr>
          <w:rFonts w:asciiTheme="majorHAnsi" w:eastAsia="Calibri" w:hAnsiTheme="majorHAnsi"/>
          <w:sz w:val="20"/>
          <w:szCs w:val="20"/>
          <w:lang w:val="es-US"/>
        </w:rPr>
        <w:t>,</w:t>
      </w:r>
      <w:r w:rsidR="009F70EA" w:rsidRPr="00386E47">
        <w:rPr>
          <w:rFonts w:asciiTheme="majorHAnsi" w:eastAsia="Calibri" w:hAnsiTheme="majorHAnsi"/>
          <w:sz w:val="20"/>
          <w:szCs w:val="20"/>
          <w:lang w:val="es-US"/>
        </w:rPr>
        <w:t xml:space="preserve"> </w:t>
      </w:r>
      <w:r w:rsidR="007E5792" w:rsidRPr="00386E47">
        <w:rPr>
          <w:rFonts w:asciiTheme="majorHAnsi" w:eastAsia="Calibri" w:hAnsiTheme="majorHAnsi"/>
          <w:sz w:val="20"/>
          <w:szCs w:val="20"/>
          <w:lang w:val="es-US"/>
        </w:rPr>
        <w:t>durante las primeras horas del atentado, la zona de la catástrofe resultó “</w:t>
      </w:r>
      <w:r w:rsidR="009F70EA" w:rsidRPr="00386E47">
        <w:rPr>
          <w:rFonts w:asciiTheme="majorHAnsi" w:eastAsia="Calibri" w:hAnsiTheme="majorHAnsi"/>
          <w:sz w:val="20"/>
          <w:szCs w:val="20"/>
          <w:lang w:val="es-US"/>
        </w:rPr>
        <w:t>invadida por un sinnúmero de personas ajenas a las fuerzas de seguridad y de rescate, movilizadas, en algunos casos, por la búsqueda afanosa de sus familiares o amigos y, en otros, por el solo deseo de prestar una ayuda</w:t>
      </w:r>
      <w:r w:rsidR="006A10F8" w:rsidRPr="00386E47">
        <w:rPr>
          <w:rFonts w:asciiTheme="majorHAnsi" w:eastAsia="Calibri" w:hAnsiTheme="majorHAnsi"/>
          <w:sz w:val="20"/>
          <w:szCs w:val="20"/>
          <w:lang w:val="es-US"/>
        </w:rPr>
        <w:t xml:space="preserve"> solidaria o aú</w:t>
      </w:r>
      <w:r w:rsidR="009F70EA" w:rsidRPr="00386E47">
        <w:rPr>
          <w:rFonts w:asciiTheme="majorHAnsi" w:eastAsia="Calibri" w:hAnsiTheme="majorHAnsi"/>
          <w:sz w:val="20"/>
          <w:szCs w:val="20"/>
          <w:lang w:val="es-US"/>
        </w:rPr>
        <w:t>n por mera curiosidad”</w:t>
      </w:r>
      <w:r w:rsidR="009F70EA" w:rsidRPr="00386E47">
        <w:rPr>
          <w:rFonts w:asciiTheme="majorHAnsi" w:eastAsia="Calibri" w:hAnsiTheme="majorHAnsi"/>
          <w:sz w:val="20"/>
          <w:szCs w:val="20"/>
          <w:vertAlign w:val="superscript"/>
          <w:lang w:val="es-US"/>
        </w:rPr>
        <w:footnoteReference w:id="135"/>
      </w:r>
      <w:r w:rsidR="009F70EA" w:rsidRPr="00386E47">
        <w:rPr>
          <w:rFonts w:asciiTheme="majorHAnsi" w:eastAsia="Calibri" w:hAnsiTheme="majorHAnsi"/>
          <w:sz w:val="20"/>
          <w:szCs w:val="20"/>
          <w:lang w:val="es-US"/>
        </w:rPr>
        <w:t>.</w:t>
      </w:r>
      <w:r w:rsidR="00183DC0" w:rsidRPr="00386E47">
        <w:rPr>
          <w:rFonts w:asciiTheme="majorHAnsi" w:eastAsia="Calibri" w:hAnsiTheme="majorHAnsi"/>
          <w:sz w:val="20"/>
          <w:szCs w:val="20"/>
          <w:lang w:val="es-US"/>
        </w:rPr>
        <w:t xml:space="preserve"> </w:t>
      </w:r>
    </w:p>
    <w:p w14:paraId="220FED5C" w14:textId="77777777" w:rsidR="00B848B2" w:rsidRPr="00386E47" w:rsidRDefault="00B848B2" w:rsidP="00B848B2">
      <w:pPr>
        <w:tabs>
          <w:tab w:val="left" w:pos="567"/>
        </w:tabs>
        <w:jc w:val="both"/>
        <w:rPr>
          <w:rFonts w:asciiTheme="majorHAnsi" w:eastAsia="Calibri" w:hAnsiTheme="majorHAnsi"/>
          <w:sz w:val="20"/>
          <w:szCs w:val="20"/>
          <w:lang w:val="es-US"/>
        </w:rPr>
      </w:pPr>
    </w:p>
    <w:p w14:paraId="5811A87B" w14:textId="77777777" w:rsidR="009F70EA" w:rsidRPr="00386E47" w:rsidRDefault="00183DC0" w:rsidP="003A5860">
      <w:pPr>
        <w:numPr>
          <w:ilvl w:val="0"/>
          <w:numId w:val="55"/>
        </w:numPr>
        <w:tabs>
          <w:tab w:val="left" w:pos="567"/>
        </w:tabs>
        <w:ind w:left="0" w:firstLine="0"/>
        <w:jc w:val="both"/>
        <w:rPr>
          <w:rFonts w:asciiTheme="majorHAnsi" w:eastAsia="Calibri" w:hAnsiTheme="majorHAnsi"/>
          <w:sz w:val="20"/>
          <w:szCs w:val="20"/>
          <w:lang w:val="es-US"/>
        </w:rPr>
      </w:pPr>
      <w:r w:rsidRPr="00386E47">
        <w:rPr>
          <w:rFonts w:asciiTheme="majorHAnsi" w:eastAsia="Calibri" w:hAnsiTheme="majorHAnsi"/>
          <w:sz w:val="20"/>
          <w:szCs w:val="20"/>
          <w:lang w:val="es-US"/>
        </w:rPr>
        <w:t xml:space="preserve">La </w:t>
      </w:r>
      <w:r w:rsidR="009F70EA" w:rsidRPr="00386E47">
        <w:rPr>
          <w:rFonts w:asciiTheme="majorHAnsi" w:eastAsia="Calibri" w:hAnsiTheme="majorHAnsi"/>
          <w:sz w:val="20"/>
          <w:szCs w:val="20"/>
          <w:lang w:val="es-US"/>
        </w:rPr>
        <w:t xml:space="preserve">Sala II de la Cámara de Casación Penal en su sentencia de 19 de mayo de 2006 </w:t>
      </w:r>
      <w:r w:rsidRPr="00386E47">
        <w:rPr>
          <w:rFonts w:asciiTheme="majorHAnsi" w:eastAsia="Calibri" w:hAnsiTheme="majorHAnsi"/>
          <w:sz w:val="20"/>
          <w:szCs w:val="20"/>
          <w:lang w:val="es-US"/>
        </w:rPr>
        <w:t xml:space="preserve">también </w:t>
      </w:r>
      <w:r w:rsidR="009F70EA" w:rsidRPr="00386E47">
        <w:rPr>
          <w:rFonts w:asciiTheme="majorHAnsi" w:eastAsia="Calibri" w:hAnsiTheme="majorHAnsi"/>
          <w:sz w:val="20"/>
          <w:szCs w:val="20"/>
          <w:lang w:val="es-US"/>
        </w:rPr>
        <w:t>retomó este punto y aseguró que “los funcionarios intervinientes inmediatamente con posterioridad a la explosión, omitieron establecer un cerco de seguridad a fin de controlar y ordenar el ingreso, egreso y traslado seguro de personas y objetos desde el lugar”</w:t>
      </w:r>
      <w:r w:rsidR="009F70EA" w:rsidRPr="00386E47">
        <w:rPr>
          <w:rFonts w:asciiTheme="majorHAnsi" w:eastAsia="Calibri" w:hAnsiTheme="majorHAnsi"/>
          <w:sz w:val="20"/>
          <w:szCs w:val="20"/>
          <w:vertAlign w:val="superscript"/>
          <w:lang w:val="es-US"/>
        </w:rPr>
        <w:footnoteReference w:id="136"/>
      </w:r>
      <w:r w:rsidRPr="00386E47">
        <w:rPr>
          <w:rFonts w:asciiTheme="majorHAnsi" w:eastAsia="Calibri" w:hAnsiTheme="majorHAnsi"/>
          <w:sz w:val="20"/>
          <w:szCs w:val="20"/>
          <w:lang w:val="es-US"/>
        </w:rPr>
        <w:t xml:space="preserve">. Asimismo, el tribunal aseguró </w:t>
      </w:r>
      <w:r w:rsidR="009F70EA" w:rsidRPr="00386E47">
        <w:rPr>
          <w:rFonts w:asciiTheme="majorHAnsi" w:eastAsia="Calibri" w:hAnsiTheme="majorHAnsi"/>
          <w:sz w:val="20"/>
          <w:szCs w:val="20"/>
          <w:lang w:val="es-US"/>
        </w:rPr>
        <w:t xml:space="preserve">que la labor de </w:t>
      </w:r>
      <w:r w:rsidRPr="00386E47">
        <w:rPr>
          <w:rFonts w:asciiTheme="majorHAnsi" w:eastAsia="Calibri" w:hAnsiTheme="majorHAnsi"/>
          <w:sz w:val="20"/>
          <w:szCs w:val="20"/>
          <w:lang w:val="es-US"/>
        </w:rPr>
        <w:t xml:space="preserve">búsqueda, reunión y conservación de elementos de </w:t>
      </w:r>
      <w:r w:rsidR="009F70EA" w:rsidRPr="00386E47">
        <w:rPr>
          <w:rFonts w:asciiTheme="majorHAnsi" w:eastAsia="Calibri" w:hAnsiTheme="majorHAnsi"/>
          <w:sz w:val="20"/>
          <w:szCs w:val="20"/>
          <w:lang w:val="es-US"/>
        </w:rPr>
        <w:t>prueba</w:t>
      </w:r>
      <w:r w:rsidRPr="00386E47">
        <w:rPr>
          <w:rFonts w:asciiTheme="majorHAnsi" w:eastAsia="Calibri" w:hAnsiTheme="majorHAnsi"/>
          <w:sz w:val="20"/>
          <w:szCs w:val="20"/>
          <w:lang w:val="es-US"/>
        </w:rPr>
        <w:t xml:space="preserve"> en la escena del hecho</w:t>
      </w:r>
      <w:r w:rsidR="009F70EA" w:rsidRPr="00386E47">
        <w:rPr>
          <w:rFonts w:asciiTheme="majorHAnsi" w:eastAsia="Calibri" w:hAnsiTheme="majorHAnsi"/>
          <w:sz w:val="20"/>
          <w:szCs w:val="20"/>
          <w:lang w:val="es-US"/>
        </w:rPr>
        <w:t xml:space="preserve"> “</w:t>
      </w:r>
      <w:r w:rsidR="007E5792" w:rsidRPr="00386E47">
        <w:rPr>
          <w:rFonts w:asciiTheme="majorHAnsi" w:eastAsia="Calibri" w:hAnsiTheme="majorHAnsi"/>
          <w:sz w:val="20"/>
          <w:szCs w:val="20"/>
          <w:lang w:val="es-US"/>
        </w:rPr>
        <w:t>se vio</w:t>
      </w:r>
      <w:r w:rsidR="009F70EA" w:rsidRPr="00386E47">
        <w:rPr>
          <w:rFonts w:asciiTheme="majorHAnsi" w:eastAsia="Calibri" w:hAnsiTheme="majorHAnsi"/>
          <w:sz w:val="20"/>
          <w:szCs w:val="20"/>
          <w:lang w:val="es-US"/>
        </w:rPr>
        <w:t xml:space="preserve"> seriamente afectada por la falta de un plan coordinado tendiente a […] asegurar tanto la integridad como la fiabilidad de los elementos […] que pudieran revestir interés para la investigación del hecho”</w:t>
      </w:r>
      <w:r w:rsidR="009F70EA" w:rsidRPr="00386E47">
        <w:rPr>
          <w:rFonts w:asciiTheme="majorHAnsi" w:eastAsia="Calibri" w:hAnsiTheme="majorHAnsi"/>
          <w:sz w:val="20"/>
          <w:szCs w:val="20"/>
          <w:vertAlign w:val="superscript"/>
          <w:lang w:val="es-US"/>
        </w:rPr>
        <w:footnoteReference w:id="137"/>
      </w:r>
      <w:r w:rsidR="009A5B18" w:rsidRPr="00386E47">
        <w:rPr>
          <w:rFonts w:asciiTheme="majorHAnsi" w:eastAsia="Calibri" w:hAnsiTheme="majorHAnsi"/>
          <w:sz w:val="20"/>
          <w:szCs w:val="20"/>
          <w:lang w:val="es-US"/>
        </w:rPr>
        <w:t>.</w:t>
      </w:r>
    </w:p>
    <w:p w14:paraId="38794A28" w14:textId="77777777" w:rsidR="003C1378" w:rsidRPr="00386E47" w:rsidRDefault="003C1378" w:rsidP="00D90B05">
      <w:pPr>
        <w:rPr>
          <w:rFonts w:asciiTheme="majorHAnsi" w:eastAsia="Calibri" w:hAnsiTheme="majorHAnsi"/>
          <w:b/>
          <w:sz w:val="20"/>
          <w:szCs w:val="20"/>
          <w:lang w:val="es-AR"/>
        </w:rPr>
      </w:pPr>
    </w:p>
    <w:p w14:paraId="201EA159" w14:textId="77777777" w:rsidR="009F70EA" w:rsidRPr="00386E47" w:rsidRDefault="00183DC0" w:rsidP="003A5860">
      <w:pPr>
        <w:numPr>
          <w:ilvl w:val="0"/>
          <w:numId w:val="55"/>
        </w:numPr>
        <w:tabs>
          <w:tab w:val="left" w:pos="567"/>
        </w:tabs>
        <w:ind w:left="0" w:firstLine="0"/>
        <w:contextualSpacing/>
        <w:jc w:val="both"/>
        <w:rPr>
          <w:rFonts w:asciiTheme="majorHAnsi" w:eastAsia="Calibri" w:hAnsiTheme="majorHAnsi"/>
          <w:sz w:val="20"/>
          <w:szCs w:val="20"/>
          <w:lang w:val="es-AR"/>
        </w:rPr>
      </w:pPr>
      <w:r w:rsidRPr="00386E47">
        <w:rPr>
          <w:rFonts w:asciiTheme="majorHAnsi" w:eastAsia="Calibri" w:hAnsiTheme="majorHAnsi"/>
          <w:sz w:val="20"/>
          <w:szCs w:val="20"/>
          <w:lang w:val="es-AR"/>
        </w:rPr>
        <w:t>Por otro lado, y en</w:t>
      </w:r>
      <w:r w:rsidR="009F70EA" w:rsidRPr="00386E47">
        <w:rPr>
          <w:rFonts w:asciiTheme="majorHAnsi" w:eastAsia="Calibri" w:hAnsiTheme="majorHAnsi"/>
          <w:sz w:val="20"/>
          <w:szCs w:val="20"/>
          <w:lang w:val="es-AR"/>
        </w:rPr>
        <w:t xml:space="preserve"> lo que </w:t>
      </w:r>
      <w:r w:rsidR="000853E5" w:rsidRPr="00386E47">
        <w:rPr>
          <w:rFonts w:asciiTheme="majorHAnsi" w:eastAsia="Calibri" w:hAnsiTheme="majorHAnsi"/>
          <w:sz w:val="20"/>
          <w:szCs w:val="20"/>
          <w:lang w:val="es-AR"/>
        </w:rPr>
        <w:t xml:space="preserve">tiene que ver en concreto con el </w:t>
      </w:r>
      <w:r w:rsidR="009F70EA" w:rsidRPr="00386E47">
        <w:rPr>
          <w:rFonts w:asciiTheme="majorHAnsi" w:eastAsia="Calibri" w:hAnsiTheme="majorHAnsi"/>
          <w:sz w:val="20"/>
          <w:szCs w:val="20"/>
          <w:lang w:val="es-AR"/>
        </w:rPr>
        <w:t>hallazgo de restos de un motor de un vehí</w:t>
      </w:r>
      <w:r w:rsidR="000853E5" w:rsidRPr="00386E47">
        <w:rPr>
          <w:rFonts w:asciiTheme="majorHAnsi" w:eastAsia="Calibri" w:hAnsiTheme="majorHAnsi"/>
          <w:sz w:val="20"/>
          <w:szCs w:val="20"/>
          <w:lang w:val="es-AR"/>
        </w:rPr>
        <w:t>culo Trafic entre los escombros,</w:t>
      </w:r>
      <w:r w:rsidR="00DC183D" w:rsidRPr="00386E47">
        <w:rPr>
          <w:rFonts w:asciiTheme="majorHAnsi" w:eastAsia="Calibri" w:hAnsiTheme="majorHAnsi"/>
          <w:sz w:val="20"/>
          <w:szCs w:val="20"/>
          <w:lang w:val="es-AR"/>
        </w:rPr>
        <w:t xml:space="preserve"> </w:t>
      </w:r>
      <w:r w:rsidR="009F70EA" w:rsidRPr="00386E47">
        <w:rPr>
          <w:rFonts w:asciiTheme="majorHAnsi" w:eastAsia="Calibri" w:hAnsiTheme="majorHAnsi"/>
          <w:sz w:val="20"/>
          <w:szCs w:val="20"/>
          <w:lang w:val="es-AR"/>
        </w:rPr>
        <w:t xml:space="preserve">el TOF 3 </w:t>
      </w:r>
      <w:r w:rsidR="00C50FAF" w:rsidRPr="00386E47">
        <w:rPr>
          <w:rFonts w:asciiTheme="majorHAnsi" w:eastAsia="Calibri" w:hAnsiTheme="majorHAnsi"/>
          <w:sz w:val="20"/>
          <w:szCs w:val="20"/>
          <w:lang w:val="es-AR"/>
        </w:rPr>
        <w:t>declaró</w:t>
      </w:r>
      <w:r w:rsidR="009F70EA" w:rsidRPr="00386E47">
        <w:rPr>
          <w:rFonts w:asciiTheme="majorHAnsi" w:eastAsia="Calibri" w:hAnsiTheme="majorHAnsi"/>
          <w:sz w:val="20"/>
          <w:szCs w:val="20"/>
          <w:lang w:val="es-AR"/>
        </w:rPr>
        <w:t xml:space="preserve"> la nulidad del acta de secuestro de fecha 25 de julio de 1994 labrada por efectivos de la Superintendencia de Bomberos </w:t>
      </w:r>
      <w:r w:rsidR="000853E5" w:rsidRPr="00386E47">
        <w:rPr>
          <w:rFonts w:asciiTheme="majorHAnsi" w:eastAsia="Calibri" w:hAnsiTheme="majorHAnsi"/>
          <w:sz w:val="20"/>
          <w:szCs w:val="20"/>
          <w:lang w:val="es-AR"/>
        </w:rPr>
        <w:t xml:space="preserve">de la Policía Federal Argentina, toda vez </w:t>
      </w:r>
      <w:r w:rsidR="009F70EA" w:rsidRPr="00386E47">
        <w:rPr>
          <w:rFonts w:asciiTheme="majorHAnsi" w:eastAsia="Calibri" w:hAnsiTheme="majorHAnsi"/>
          <w:sz w:val="20"/>
          <w:szCs w:val="20"/>
          <w:lang w:val="es-AR"/>
        </w:rPr>
        <w:t>que “las versiones ofrecidas por quienes suscribieron el acta en cuestión permiten concluir, sin esfuerzo, que las circunstancias consignadas en ella no reflejan, en modo alguno, lo realmente acontecido”</w:t>
      </w:r>
      <w:r w:rsidR="009F70EA" w:rsidRPr="00386E47">
        <w:rPr>
          <w:rFonts w:asciiTheme="majorHAnsi" w:eastAsia="Calibri" w:hAnsiTheme="majorHAnsi"/>
          <w:sz w:val="20"/>
          <w:szCs w:val="20"/>
          <w:vertAlign w:val="superscript"/>
          <w:lang w:val="es-AR"/>
        </w:rPr>
        <w:footnoteReference w:id="138"/>
      </w:r>
      <w:r w:rsidR="009F70EA" w:rsidRPr="00386E47">
        <w:rPr>
          <w:rFonts w:asciiTheme="majorHAnsi" w:eastAsia="Calibri" w:hAnsiTheme="majorHAnsi"/>
          <w:sz w:val="20"/>
          <w:szCs w:val="20"/>
          <w:lang w:val="es-AR"/>
        </w:rPr>
        <w:t xml:space="preserve">.  </w:t>
      </w:r>
    </w:p>
    <w:p w14:paraId="52208B61" w14:textId="77777777" w:rsidR="009F70EA" w:rsidRPr="00386E47" w:rsidRDefault="009F70EA" w:rsidP="00D90B05">
      <w:pPr>
        <w:rPr>
          <w:rFonts w:asciiTheme="majorHAnsi" w:eastAsia="Calibri" w:hAnsiTheme="majorHAnsi"/>
          <w:sz w:val="20"/>
          <w:szCs w:val="20"/>
          <w:lang w:val="es-AR"/>
        </w:rPr>
      </w:pPr>
    </w:p>
    <w:p w14:paraId="458FDCFB" w14:textId="77777777" w:rsidR="009F70EA" w:rsidRPr="00386E47" w:rsidRDefault="009F70EA" w:rsidP="003A5860">
      <w:pPr>
        <w:numPr>
          <w:ilvl w:val="0"/>
          <w:numId w:val="55"/>
        </w:numPr>
        <w:tabs>
          <w:tab w:val="left" w:pos="567"/>
        </w:tabs>
        <w:ind w:left="0" w:firstLine="0"/>
        <w:contextualSpacing/>
        <w:jc w:val="both"/>
        <w:rPr>
          <w:rFonts w:asciiTheme="majorHAnsi" w:eastAsia="Calibri" w:hAnsiTheme="majorHAnsi"/>
          <w:sz w:val="20"/>
          <w:szCs w:val="20"/>
          <w:lang w:val="es-AR"/>
        </w:rPr>
      </w:pPr>
      <w:r w:rsidRPr="00386E47">
        <w:rPr>
          <w:rFonts w:asciiTheme="majorHAnsi" w:eastAsia="Calibri" w:hAnsiTheme="majorHAnsi"/>
          <w:sz w:val="20"/>
          <w:szCs w:val="20"/>
          <w:lang w:val="es-AR"/>
        </w:rPr>
        <w:t>En efecto, el TOF 3 señaló que los funcionarios policiales que se encontraban en el lugar de</w:t>
      </w:r>
      <w:r w:rsidR="000C1D6A" w:rsidRPr="00386E47">
        <w:rPr>
          <w:rFonts w:asciiTheme="majorHAnsi" w:eastAsia="Calibri" w:hAnsiTheme="majorHAnsi"/>
          <w:sz w:val="20"/>
          <w:szCs w:val="20"/>
          <w:lang w:val="es-AR"/>
        </w:rPr>
        <w:t>l hecho el día 25 de julio, participaron en el hallazgo</w:t>
      </w:r>
      <w:r w:rsidR="00184159" w:rsidRPr="00386E47">
        <w:rPr>
          <w:rFonts w:asciiTheme="majorHAnsi" w:eastAsia="Calibri" w:hAnsiTheme="majorHAnsi"/>
          <w:sz w:val="20"/>
          <w:szCs w:val="20"/>
          <w:lang w:val="es-AR"/>
        </w:rPr>
        <w:t xml:space="preserve"> de los restos del motor</w:t>
      </w:r>
      <w:r w:rsidR="000C1D6A" w:rsidRPr="00386E47">
        <w:rPr>
          <w:rFonts w:asciiTheme="majorHAnsi" w:eastAsia="Calibri" w:hAnsiTheme="majorHAnsi"/>
          <w:sz w:val="20"/>
          <w:szCs w:val="20"/>
          <w:lang w:val="es-AR"/>
        </w:rPr>
        <w:t xml:space="preserve"> y labraron el acta de secuestro</w:t>
      </w:r>
      <w:r w:rsidRPr="00386E47">
        <w:rPr>
          <w:rFonts w:asciiTheme="majorHAnsi" w:eastAsia="Calibri" w:hAnsiTheme="majorHAnsi"/>
          <w:sz w:val="20"/>
          <w:szCs w:val="20"/>
          <w:lang w:val="es-AR"/>
        </w:rPr>
        <w:t xml:space="preserve"> incurrieron en una “inadmisible omisión […] toda vez que nada hicieron para establecer cómo y dónde se produjo ni para individualizar a las personas que intervinieron en él”</w:t>
      </w:r>
      <w:r w:rsidRPr="00386E47">
        <w:rPr>
          <w:rFonts w:asciiTheme="majorHAnsi" w:eastAsia="Calibri" w:hAnsiTheme="majorHAnsi"/>
          <w:sz w:val="20"/>
          <w:szCs w:val="20"/>
          <w:vertAlign w:val="superscript"/>
          <w:lang w:val="es-AR"/>
        </w:rPr>
        <w:footnoteReference w:id="139"/>
      </w:r>
      <w:r w:rsidRPr="00386E47">
        <w:rPr>
          <w:rFonts w:asciiTheme="majorHAnsi" w:eastAsia="Calibri" w:hAnsiTheme="majorHAnsi"/>
          <w:sz w:val="20"/>
          <w:szCs w:val="20"/>
          <w:lang w:val="es-AR"/>
        </w:rPr>
        <w:t>. En particular, el Tribunal reprochó a los efectivos policiales “no haber mostrado una mínima inquietud […] sea para recibirle declaración testimonial a quienes presenciaron el efectivo hallazgo del motor o para realizar una reconstrucción u observación del lugar donde éste fue encontrado”</w:t>
      </w:r>
      <w:r w:rsidRPr="00386E47">
        <w:rPr>
          <w:rFonts w:asciiTheme="majorHAnsi" w:eastAsia="Calibri" w:hAnsiTheme="majorHAnsi"/>
          <w:sz w:val="20"/>
          <w:szCs w:val="20"/>
          <w:vertAlign w:val="superscript"/>
          <w:lang w:val="es-AR"/>
        </w:rPr>
        <w:footnoteReference w:id="140"/>
      </w:r>
      <w:r w:rsidRPr="00386E47">
        <w:rPr>
          <w:rFonts w:asciiTheme="majorHAnsi" w:eastAsia="Calibri" w:hAnsiTheme="majorHAnsi"/>
          <w:sz w:val="20"/>
          <w:szCs w:val="20"/>
          <w:lang w:val="es-AR"/>
        </w:rPr>
        <w:t xml:space="preserve">. </w:t>
      </w:r>
    </w:p>
    <w:p w14:paraId="3B1D73BB" w14:textId="77777777" w:rsidR="009F70EA" w:rsidRPr="00386E47" w:rsidRDefault="009F70EA" w:rsidP="000853E5">
      <w:pPr>
        <w:rPr>
          <w:rFonts w:asciiTheme="majorHAnsi" w:eastAsia="Calibri" w:hAnsiTheme="majorHAnsi"/>
          <w:b/>
          <w:sz w:val="20"/>
          <w:szCs w:val="20"/>
          <w:lang w:val="es-AR"/>
        </w:rPr>
      </w:pPr>
    </w:p>
    <w:p w14:paraId="73EDB202" w14:textId="77777777" w:rsidR="006A10F8" w:rsidRPr="00386E47" w:rsidRDefault="00F533FB" w:rsidP="003A5860">
      <w:pPr>
        <w:numPr>
          <w:ilvl w:val="0"/>
          <w:numId w:val="55"/>
        </w:numPr>
        <w:tabs>
          <w:tab w:val="left" w:pos="567"/>
        </w:tabs>
        <w:ind w:left="0" w:firstLine="0"/>
        <w:contextualSpacing/>
        <w:jc w:val="both"/>
        <w:rPr>
          <w:rFonts w:asciiTheme="majorHAnsi" w:eastAsia="Calibri" w:hAnsiTheme="majorHAnsi"/>
          <w:sz w:val="20"/>
          <w:szCs w:val="20"/>
          <w:lang w:val="es-AR"/>
        </w:rPr>
      </w:pPr>
      <w:r w:rsidRPr="00386E47">
        <w:rPr>
          <w:rFonts w:asciiTheme="majorHAnsi" w:eastAsia="Calibri" w:hAnsiTheme="majorHAnsi"/>
          <w:sz w:val="20"/>
          <w:szCs w:val="20"/>
          <w:lang w:val="es-AR"/>
        </w:rPr>
        <w:t xml:space="preserve">Por otra parte, conforme </w:t>
      </w:r>
      <w:r w:rsidR="009F70EA" w:rsidRPr="00386E47">
        <w:rPr>
          <w:rFonts w:asciiTheme="majorHAnsi" w:eastAsia="Calibri" w:hAnsiTheme="majorHAnsi"/>
          <w:sz w:val="20"/>
          <w:szCs w:val="20"/>
          <w:lang w:val="es-AR"/>
        </w:rPr>
        <w:t>se desprende de la sentencia dictada por el Tribunal Oral en lo</w:t>
      </w:r>
      <w:r w:rsidR="006A10F8" w:rsidRPr="00386E47">
        <w:rPr>
          <w:rFonts w:asciiTheme="majorHAnsi" w:eastAsia="Calibri" w:hAnsiTheme="majorHAnsi"/>
          <w:sz w:val="20"/>
          <w:szCs w:val="20"/>
          <w:lang w:val="es-AR"/>
        </w:rPr>
        <w:t xml:space="preserve"> Criminal Federal Nro. 3</w:t>
      </w:r>
      <w:r w:rsidR="00DA54AF" w:rsidRPr="00386E47">
        <w:rPr>
          <w:rFonts w:asciiTheme="majorHAnsi" w:eastAsia="Calibri" w:hAnsiTheme="majorHAnsi"/>
          <w:sz w:val="20"/>
          <w:szCs w:val="20"/>
          <w:lang w:val="es-AR"/>
        </w:rPr>
        <w:t>,</w:t>
      </w:r>
      <w:r w:rsidR="006A10F8" w:rsidRPr="00386E47">
        <w:rPr>
          <w:rFonts w:asciiTheme="majorHAnsi" w:eastAsia="Calibri" w:hAnsiTheme="majorHAnsi"/>
          <w:sz w:val="20"/>
          <w:szCs w:val="20"/>
          <w:lang w:val="es-AR"/>
        </w:rPr>
        <w:t xml:space="preserve"> </w:t>
      </w:r>
      <w:r w:rsidR="009F70EA" w:rsidRPr="00386E47">
        <w:rPr>
          <w:rFonts w:asciiTheme="majorHAnsi" w:eastAsia="Calibri" w:hAnsiTheme="majorHAnsi"/>
          <w:sz w:val="20"/>
          <w:szCs w:val="20"/>
          <w:lang w:val="es-AR"/>
        </w:rPr>
        <w:t xml:space="preserve">una vez </w:t>
      </w:r>
      <w:r w:rsidR="006A10F8" w:rsidRPr="00386E47">
        <w:rPr>
          <w:rFonts w:asciiTheme="majorHAnsi" w:eastAsia="Calibri" w:hAnsiTheme="majorHAnsi"/>
          <w:sz w:val="20"/>
          <w:szCs w:val="20"/>
          <w:lang w:val="es-AR"/>
        </w:rPr>
        <w:t xml:space="preserve">extraídos de la zona de la explosión </w:t>
      </w:r>
      <w:r w:rsidR="009F70EA" w:rsidRPr="00386E47">
        <w:rPr>
          <w:rFonts w:asciiTheme="majorHAnsi" w:eastAsia="Calibri" w:hAnsiTheme="majorHAnsi"/>
          <w:sz w:val="20"/>
          <w:szCs w:val="20"/>
          <w:lang w:val="es-AR"/>
        </w:rPr>
        <w:t>los restos de</w:t>
      </w:r>
      <w:r w:rsidR="006A10F8" w:rsidRPr="00386E47">
        <w:rPr>
          <w:rFonts w:asciiTheme="majorHAnsi" w:eastAsia="Calibri" w:hAnsiTheme="majorHAnsi"/>
          <w:sz w:val="20"/>
          <w:szCs w:val="20"/>
          <w:lang w:val="es-AR"/>
        </w:rPr>
        <w:t>l</w:t>
      </w:r>
      <w:r w:rsidR="009F70EA" w:rsidRPr="00386E47">
        <w:rPr>
          <w:rFonts w:asciiTheme="majorHAnsi" w:eastAsia="Calibri" w:hAnsiTheme="majorHAnsi"/>
          <w:sz w:val="20"/>
          <w:szCs w:val="20"/>
          <w:lang w:val="es-AR"/>
        </w:rPr>
        <w:t xml:space="preserve"> motor y verificado el número de serie que se encontraba grabado en él, </w:t>
      </w:r>
      <w:r w:rsidR="00C50FAF" w:rsidRPr="00386E47">
        <w:rPr>
          <w:rFonts w:asciiTheme="majorHAnsi" w:eastAsia="Calibri" w:hAnsiTheme="majorHAnsi"/>
          <w:sz w:val="20"/>
          <w:szCs w:val="20"/>
          <w:lang w:val="es-AR"/>
        </w:rPr>
        <w:t xml:space="preserve">durante la noche del 25 de julio de 1994, </w:t>
      </w:r>
      <w:r w:rsidR="006A10F8" w:rsidRPr="00386E47">
        <w:rPr>
          <w:rFonts w:asciiTheme="majorHAnsi" w:eastAsia="Calibri" w:hAnsiTheme="majorHAnsi"/>
          <w:sz w:val="20"/>
          <w:szCs w:val="20"/>
          <w:lang w:val="es-AR"/>
        </w:rPr>
        <w:t>agentes</w:t>
      </w:r>
      <w:r w:rsidR="009F70EA" w:rsidRPr="00386E47">
        <w:rPr>
          <w:rFonts w:asciiTheme="majorHAnsi" w:eastAsia="Calibri" w:hAnsiTheme="majorHAnsi"/>
          <w:sz w:val="20"/>
          <w:szCs w:val="20"/>
          <w:lang w:val="es-AR"/>
        </w:rPr>
        <w:t xml:space="preserve"> del Departamento de Operaciones de la Dirección de Contrainteligencia de la SIDE </w:t>
      </w:r>
      <w:r w:rsidR="00C50FAF" w:rsidRPr="00386E47">
        <w:rPr>
          <w:rFonts w:asciiTheme="majorHAnsi" w:eastAsia="Calibri" w:hAnsiTheme="majorHAnsi"/>
          <w:sz w:val="20"/>
          <w:szCs w:val="20"/>
          <w:lang w:val="es-AR"/>
        </w:rPr>
        <w:t>iniciaron un operativo de</w:t>
      </w:r>
      <w:r w:rsidR="006A10F8" w:rsidRPr="00386E47">
        <w:rPr>
          <w:rFonts w:asciiTheme="majorHAnsi" w:eastAsia="Calibri" w:hAnsiTheme="majorHAnsi"/>
          <w:sz w:val="20"/>
          <w:szCs w:val="20"/>
          <w:lang w:val="es-AR"/>
        </w:rPr>
        <w:t xml:space="preserve"> búsqueda del </w:t>
      </w:r>
      <w:r w:rsidR="00C50FAF" w:rsidRPr="00386E47">
        <w:rPr>
          <w:rFonts w:asciiTheme="majorHAnsi" w:eastAsia="Calibri" w:hAnsiTheme="majorHAnsi"/>
          <w:sz w:val="20"/>
          <w:szCs w:val="20"/>
          <w:lang w:val="es-AR"/>
        </w:rPr>
        <w:t>propietario</w:t>
      </w:r>
      <w:r w:rsidR="006A10F8" w:rsidRPr="00386E47">
        <w:rPr>
          <w:rFonts w:asciiTheme="majorHAnsi" w:eastAsia="Calibri" w:hAnsiTheme="majorHAnsi"/>
          <w:sz w:val="20"/>
          <w:szCs w:val="20"/>
          <w:lang w:val="es-AR"/>
        </w:rPr>
        <w:t xml:space="preserve"> del vehículo que habría sido utilizado como coche bomba</w:t>
      </w:r>
      <w:r w:rsidR="006A10F8" w:rsidRPr="00386E47">
        <w:rPr>
          <w:rFonts w:asciiTheme="majorHAnsi" w:eastAsia="Calibri" w:hAnsiTheme="majorHAnsi"/>
          <w:sz w:val="22"/>
          <w:szCs w:val="22"/>
          <w:vertAlign w:val="superscript"/>
          <w:lang w:val="es-AR"/>
        </w:rPr>
        <w:footnoteReference w:id="141"/>
      </w:r>
      <w:r w:rsidR="006A10F8" w:rsidRPr="00386E47">
        <w:rPr>
          <w:rFonts w:asciiTheme="majorHAnsi" w:eastAsia="Calibri" w:hAnsiTheme="majorHAnsi"/>
          <w:sz w:val="20"/>
          <w:szCs w:val="20"/>
          <w:lang w:val="es-AR"/>
        </w:rPr>
        <w:t>. Con ese objetivo</w:t>
      </w:r>
      <w:r w:rsidR="0043628D" w:rsidRPr="00386E47">
        <w:rPr>
          <w:rFonts w:asciiTheme="majorHAnsi" w:eastAsia="Calibri" w:hAnsiTheme="majorHAnsi"/>
          <w:sz w:val="20"/>
          <w:szCs w:val="20"/>
          <w:lang w:val="es-AR"/>
        </w:rPr>
        <w:t>,</w:t>
      </w:r>
      <w:r w:rsidR="006A10F8" w:rsidRPr="00386E47">
        <w:rPr>
          <w:rFonts w:asciiTheme="majorHAnsi" w:eastAsia="Calibri" w:hAnsiTheme="majorHAnsi"/>
          <w:sz w:val="20"/>
          <w:szCs w:val="20"/>
          <w:lang w:val="es-AR"/>
        </w:rPr>
        <w:t xml:space="preserve"> y luego de consultar con los registros de la propiedad </w:t>
      </w:r>
      <w:r w:rsidR="006A10F8" w:rsidRPr="00386E47">
        <w:rPr>
          <w:rFonts w:asciiTheme="majorHAnsi" w:eastAsia="Calibri" w:hAnsiTheme="majorHAnsi"/>
          <w:sz w:val="20"/>
          <w:szCs w:val="20"/>
          <w:lang w:val="es-AR"/>
        </w:rPr>
        <w:lastRenderedPageBreak/>
        <w:t xml:space="preserve">automotor, los investigadores se dirigieron, en primer término, a la sede de la empresa Messin S.R.L, propietario original del vehículo y luego al local de una concesionaria de vehículos llamada “Alejandro Automotores” </w:t>
      </w:r>
      <w:r w:rsidR="009F70EA" w:rsidRPr="00386E47">
        <w:rPr>
          <w:rFonts w:asciiTheme="majorHAnsi" w:eastAsia="Calibri" w:hAnsiTheme="majorHAnsi"/>
          <w:sz w:val="20"/>
          <w:szCs w:val="20"/>
          <w:lang w:val="es-AR"/>
        </w:rPr>
        <w:t>Las averiguaciones efectuadas en “Alejandro Automotores” condujeron a los funcionarios a un inmueble ubi</w:t>
      </w:r>
      <w:r w:rsidR="006A10F8" w:rsidRPr="00386E47">
        <w:rPr>
          <w:rFonts w:asciiTheme="majorHAnsi" w:eastAsia="Calibri" w:hAnsiTheme="majorHAnsi"/>
          <w:sz w:val="20"/>
          <w:szCs w:val="20"/>
          <w:lang w:val="es-AR"/>
        </w:rPr>
        <w:t xml:space="preserve">cado en la calle República 107 de la localidad de </w:t>
      </w:r>
      <w:r w:rsidR="009F70EA" w:rsidRPr="00386E47">
        <w:rPr>
          <w:rFonts w:asciiTheme="majorHAnsi" w:eastAsia="Calibri" w:hAnsiTheme="majorHAnsi"/>
          <w:sz w:val="20"/>
          <w:szCs w:val="20"/>
          <w:lang w:val="es-AR"/>
        </w:rPr>
        <w:t>Villa Ballester, propiedad de Carlos Telleldin y de su</w:t>
      </w:r>
      <w:r w:rsidR="00722A4B" w:rsidRPr="00386E47">
        <w:rPr>
          <w:rFonts w:asciiTheme="majorHAnsi" w:eastAsia="Calibri" w:hAnsiTheme="majorHAnsi"/>
          <w:sz w:val="20"/>
          <w:szCs w:val="20"/>
          <w:lang w:val="es-AR"/>
        </w:rPr>
        <w:t xml:space="preserve"> pareja</w:t>
      </w:r>
      <w:r w:rsidR="00EF4DB1" w:rsidRPr="00386E47">
        <w:rPr>
          <w:rStyle w:val="FootnoteReference"/>
          <w:rFonts w:asciiTheme="majorHAnsi" w:eastAsia="Calibri" w:hAnsiTheme="majorHAnsi"/>
          <w:sz w:val="20"/>
          <w:szCs w:val="20"/>
          <w:lang w:val="es-AR"/>
        </w:rPr>
        <w:footnoteReference w:id="142"/>
      </w:r>
      <w:r w:rsidR="00722A4B" w:rsidRPr="00386E47">
        <w:rPr>
          <w:rFonts w:asciiTheme="majorHAnsi" w:eastAsia="Calibri" w:hAnsiTheme="majorHAnsi"/>
          <w:sz w:val="20"/>
          <w:szCs w:val="20"/>
          <w:lang w:val="es-AR"/>
        </w:rPr>
        <w:t>.</w:t>
      </w:r>
    </w:p>
    <w:p w14:paraId="00D2F835" w14:textId="77777777" w:rsidR="006A10F8" w:rsidRPr="00386E47" w:rsidRDefault="00722A4B" w:rsidP="00D90B05">
      <w:pPr>
        <w:tabs>
          <w:tab w:val="left" w:pos="426"/>
        </w:tabs>
        <w:contextualSpacing/>
        <w:jc w:val="both"/>
        <w:rPr>
          <w:rFonts w:asciiTheme="majorHAnsi" w:eastAsia="Calibri" w:hAnsiTheme="majorHAnsi"/>
          <w:sz w:val="20"/>
          <w:szCs w:val="20"/>
          <w:lang w:val="es-AR"/>
        </w:rPr>
      </w:pPr>
      <w:r w:rsidRPr="00386E47">
        <w:rPr>
          <w:rFonts w:asciiTheme="majorHAnsi" w:eastAsia="Calibri" w:hAnsiTheme="majorHAnsi"/>
          <w:sz w:val="20"/>
          <w:szCs w:val="20"/>
          <w:lang w:val="es-AR"/>
        </w:rPr>
        <w:t xml:space="preserve"> </w:t>
      </w:r>
    </w:p>
    <w:p w14:paraId="3888B7EF" w14:textId="77777777" w:rsidR="009F70EA" w:rsidRPr="00386E47" w:rsidRDefault="00DA54AF" w:rsidP="003A5860">
      <w:pPr>
        <w:numPr>
          <w:ilvl w:val="0"/>
          <w:numId w:val="55"/>
        </w:numPr>
        <w:tabs>
          <w:tab w:val="left" w:pos="567"/>
        </w:tabs>
        <w:ind w:left="0" w:firstLine="0"/>
        <w:contextualSpacing/>
        <w:jc w:val="both"/>
        <w:rPr>
          <w:rFonts w:asciiTheme="majorHAnsi" w:eastAsia="Calibri" w:hAnsiTheme="majorHAnsi"/>
          <w:sz w:val="20"/>
          <w:szCs w:val="20"/>
          <w:lang w:val="es-AR"/>
        </w:rPr>
      </w:pPr>
      <w:r w:rsidRPr="00386E47">
        <w:rPr>
          <w:rFonts w:asciiTheme="majorHAnsi" w:eastAsia="Calibri" w:hAnsiTheme="majorHAnsi"/>
          <w:sz w:val="20"/>
          <w:szCs w:val="20"/>
          <w:lang w:val="es-AR"/>
        </w:rPr>
        <w:t>Con base en</w:t>
      </w:r>
      <w:r w:rsidR="006A10F8" w:rsidRPr="00386E47">
        <w:rPr>
          <w:rFonts w:asciiTheme="majorHAnsi" w:eastAsia="Calibri" w:hAnsiTheme="majorHAnsi"/>
          <w:sz w:val="20"/>
          <w:szCs w:val="20"/>
          <w:lang w:val="es-AR"/>
        </w:rPr>
        <w:t xml:space="preserve"> la declaración en el juicio oral</w:t>
      </w:r>
      <w:r w:rsidR="009F70EA" w:rsidRPr="00386E47">
        <w:rPr>
          <w:rFonts w:asciiTheme="majorHAnsi" w:eastAsia="Calibri" w:hAnsiTheme="majorHAnsi"/>
          <w:sz w:val="20"/>
          <w:szCs w:val="20"/>
          <w:lang w:val="es-AR"/>
        </w:rPr>
        <w:t xml:space="preserve"> de </w:t>
      </w:r>
      <w:r w:rsidR="006A10F8" w:rsidRPr="00386E47">
        <w:rPr>
          <w:rFonts w:asciiTheme="majorHAnsi" w:eastAsia="Calibri" w:hAnsiTheme="majorHAnsi"/>
          <w:sz w:val="20"/>
          <w:szCs w:val="20"/>
          <w:lang w:val="es-AR"/>
        </w:rPr>
        <w:t xml:space="preserve">varios </w:t>
      </w:r>
      <w:r w:rsidR="009F70EA" w:rsidRPr="00386E47">
        <w:rPr>
          <w:rFonts w:asciiTheme="majorHAnsi" w:eastAsia="Calibri" w:hAnsiTheme="majorHAnsi"/>
          <w:sz w:val="20"/>
          <w:szCs w:val="20"/>
          <w:lang w:val="es-AR"/>
        </w:rPr>
        <w:t>agentes de la SIDE y de efectivos policiales pertenecientes al Departamento de Protección del Orden Constitucional de la Policía Federal Argentina (DPOC)</w:t>
      </w:r>
      <w:r w:rsidRPr="00386E47">
        <w:rPr>
          <w:rFonts w:asciiTheme="majorHAnsi" w:eastAsia="Calibri" w:hAnsiTheme="majorHAnsi"/>
          <w:sz w:val="20"/>
          <w:szCs w:val="20"/>
          <w:lang w:val="es-AR"/>
        </w:rPr>
        <w:t>,</w:t>
      </w:r>
      <w:r w:rsidR="009F70EA" w:rsidRPr="00386E47">
        <w:rPr>
          <w:rFonts w:asciiTheme="majorHAnsi" w:eastAsia="Calibri" w:hAnsiTheme="majorHAnsi"/>
          <w:sz w:val="20"/>
          <w:szCs w:val="20"/>
          <w:lang w:val="es-AR"/>
        </w:rPr>
        <w:t xml:space="preserve"> el Tribunal arribó a la conclusión que, durante los días 26 y 27 de julio, personal de ambas dependencias realizaron “una serie de diligencias ignoradas en el expediente, encaminadas a individualizar a Carlos Alberto Telleldin y a obtener, de modo subrepticio, información acerca de sus movimientos y entorno, todo ello en el marco de una anómala negociación entre los órganos investigadores - la Secretar</w:t>
      </w:r>
      <w:r w:rsidRPr="00386E47">
        <w:rPr>
          <w:rFonts w:asciiTheme="majorHAnsi" w:eastAsia="Calibri" w:hAnsiTheme="majorHAnsi"/>
          <w:sz w:val="20"/>
          <w:szCs w:val="20"/>
          <w:lang w:val="es-AR"/>
        </w:rPr>
        <w:t>í</w:t>
      </w:r>
      <w:r w:rsidR="009F70EA" w:rsidRPr="00386E47">
        <w:rPr>
          <w:rFonts w:asciiTheme="majorHAnsi" w:eastAsia="Calibri" w:hAnsiTheme="majorHAnsi"/>
          <w:sz w:val="20"/>
          <w:szCs w:val="20"/>
          <w:lang w:val="es-AR"/>
        </w:rPr>
        <w:t>a de Inteligencia de Estado y la Policía Federal Argentina – con los allegados de quien aparecía como el principal sospechoso de tal grave hecho”</w:t>
      </w:r>
      <w:r w:rsidR="009F70EA" w:rsidRPr="00386E47">
        <w:rPr>
          <w:rFonts w:asciiTheme="majorHAnsi" w:eastAsia="Calibri" w:hAnsiTheme="majorHAnsi"/>
          <w:sz w:val="20"/>
          <w:szCs w:val="20"/>
          <w:vertAlign w:val="superscript"/>
          <w:lang w:val="es-AR"/>
        </w:rPr>
        <w:footnoteReference w:id="143"/>
      </w:r>
      <w:r w:rsidR="00544816" w:rsidRPr="00386E47">
        <w:rPr>
          <w:rFonts w:asciiTheme="majorHAnsi" w:eastAsia="Calibri" w:hAnsiTheme="majorHAnsi"/>
          <w:sz w:val="20"/>
          <w:szCs w:val="20"/>
          <w:lang w:val="es-AR"/>
        </w:rPr>
        <w:t>.</w:t>
      </w:r>
    </w:p>
    <w:p w14:paraId="70052BE1" w14:textId="77777777" w:rsidR="009F70EA" w:rsidRPr="00386E47" w:rsidRDefault="009F70EA" w:rsidP="00D90B05">
      <w:pPr>
        <w:tabs>
          <w:tab w:val="left" w:pos="426"/>
        </w:tabs>
        <w:contextualSpacing/>
        <w:jc w:val="both"/>
        <w:rPr>
          <w:rFonts w:asciiTheme="majorHAnsi" w:eastAsia="Calibri" w:hAnsiTheme="majorHAnsi"/>
          <w:sz w:val="20"/>
          <w:szCs w:val="20"/>
          <w:lang w:val="es-AR"/>
        </w:rPr>
      </w:pPr>
    </w:p>
    <w:p w14:paraId="11715D2A" w14:textId="77777777" w:rsidR="009F70EA" w:rsidRPr="00386E47" w:rsidRDefault="00184159" w:rsidP="003A5860">
      <w:pPr>
        <w:numPr>
          <w:ilvl w:val="0"/>
          <w:numId w:val="55"/>
        </w:numPr>
        <w:tabs>
          <w:tab w:val="left" w:pos="567"/>
        </w:tabs>
        <w:ind w:left="0" w:firstLine="0"/>
        <w:contextualSpacing/>
        <w:jc w:val="both"/>
        <w:rPr>
          <w:rFonts w:asciiTheme="majorHAnsi" w:eastAsia="Calibri" w:hAnsiTheme="majorHAnsi"/>
          <w:sz w:val="20"/>
          <w:szCs w:val="20"/>
          <w:lang w:val="es-AR"/>
        </w:rPr>
      </w:pPr>
      <w:r w:rsidRPr="00386E47">
        <w:rPr>
          <w:rFonts w:asciiTheme="majorHAnsi" w:eastAsia="Calibri" w:hAnsiTheme="majorHAnsi"/>
          <w:sz w:val="20"/>
          <w:szCs w:val="20"/>
          <w:lang w:val="es-AR"/>
        </w:rPr>
        <w:t xml:space="preserve">En </w:t>
      </w:r>
      <w:r w:rsidR="001A09BF" w:rsidRPr="00386E47">
        <w:rPr>
          <w:rFonts w:asciiTheme="majorHAnsi" w:eastAsia="Calibri" w:hAnsiTheme="majorHAnsi"/>
          <w:sz w:val="20"/>
          <w:szCs w:val="20"/>
          <w:lang w:val="es-AR"/>
        </w:rPr>
        <w:t>concreto</w:t>
      </w:r>
      <w:r w:rsidR="009F70EA" w:rsidRPr="00386E47">
        <w:rPr>
          <w:rFonts w:asciiTheme="majorHAnsi" w:eastAsia="Calibri" w:hAnsiTheme="majorHAnsi"/>
          <w:sz w:val="20"/>
          <w:szCs w:val="20"/>
          <w:lang w:val="es-AR"/>
        </w:rPr>
        <w:t xml:space="preserve">, el TOF 3 </w:t>
      </w:r>
      <w:r w:rsidR="001A09BF" w:rsidRPr="00386E47">
        <w:rPr>
          <w:rFonts w:asciiTheme="majorHAnsi" w:eastAsia="Calibri" w:hAnsiTheme="majorHAnsi"/>
          <w:sz w:val="20"/>
          <w:szCs w:val="20"/>
          <w:lang w:val="es-AR"/>
        </w:rPr>
        <w:t xml:space="preserve">tuvo por comprobado </w:t>
      </w:r>
      <w:r w:rsidR="009F70EA" w:rsidRPr="00386E47">
        <w:rPr>
          <w:rFonts w:asciiTheme="majorHAnsi" w:eastAsia="Calibri" w:hAnsiTheme="majorHAnsi"/>
          <w:sz w:val="20"/>
          <w:szCs w:val="20"/>
          <w:lang w:val="es-AR"/>
        </w:rPr>
        <w:t xml:space="preserve">que, en horas de la tarde del día 26 de julio, agentes de la SIDE, </w:t>
      </w:r>
      <w:r w:rsidRPr="00386E47">
        <w:rPr>
          <w:rFonts w:asciiTheme="majorHAnsi" w:eastAsia="Calibri" w:hAnsiTheme="majorHAnsi"/>
          <w:sz w:val="20"/>
          <w:szCs w:val="20"/>
          <w:lang w:val="es-AR"/>
        </w:rPr>
        <w:t>junto con efectivos</w:t>
      </w:r>
      <w:r w:rsidR="009F70EA" w:rsidRPr="00386E47">
        <w:rPr>
          <w:rFonts w:asciiTheme="majorHAnsi" w:eastAsia="Calibri" w:hAnsiTheme="majorHAnsi"/>
          <w:sz w:val="20"/>
          <w:szCs w:val="20"/>
          <w:lang w:val="es-AR"/>
        </w:rPr>
        <w:t xml:space="preserve"> del DPOC, irrumpieron en el domicilio de la calle República 107</w:t>
      </w:r>
      <w:r w:rsidRPr="00386E47">
        <w:rPr>
          <w:rFonts w:asciiTheme="majorHAnsi" w:eastAsia="Calibri" w:hAnsiTheme="majorHAnsi"/>
          <w:sz w:val="20"/>
          <w:szCs w:val="20"/>
          <w:lang w:val="es-AR"/>
        </w:rPr>
        <w:t xml:space="preserve">. </w:t>
      </w:r>
      <w:r w:rsidR="001A09BF" w:rsidRPr="00386E47">
        <w:rPr>
          <w:rFonts w:asciiTheme="majorHAnsi" w:eastAsia="Calibri" w:hAnsiTheme="majorHAnsi"/>
          <w:sz w:val="20"/>
          <w:szCs w:val="20"/>
          <w:lang w:val="es-AR"/>
        </w:rPr>
        <w:t>Los efectivos policiales y de inteligencia no contaban con una orden judicial de allanamiento y en el expediente “no obra ninguna constancia acerca de la incursión”</w:t>
      </w:r>
      <w:r w:rsidR="001A09BF" w:rsidRPr="00386E47">
        <w:rPr>
          <w:rFonts w:asciiTheme="majorHAnsi" w:eastAsia="Calibri" w:hAnsiTheme="majorHAnsi"/>
          <w:sz w:val="20"/>
          <w:szCs w:val="20"/>
          <w:vertAlign w:val="superscript"/>
          <w:lang w:val="es-AR"/>
        </w:rPr>
        <w:footnoteReference w:id="144"/>
      </w:r>
      <w:r w:rsidR="001A09BF" w:rsidRPr="00386E47">
        <w:rPr>
          <w:rFonts w:asciiTheme="majorHAnsi" w:eastAsia="Calibri" w:hAnsiTheme="majorHAnsi"/>
          <w:sz w:val="20"/>
          <w:szCs w:val="20"/>
          <w:lang w:val="es-AR"/>
        </w:rPr>
        <w:t xml:space="preserve">. </w:t>
      </w:r>
      <w:r w:rsidRPr="00386E47">
        <w:rPr>
          <w:rFonts w:asciiTheme="majorHAnsi" w:eastAsia="Calibri" w:hAnsiTheme="majorHAnsi"/>
          <w:sz w:val="20"/>
          <w:szCs w:val="20"/>
          <w:lang w:val="es-AR"/>
        </w:rPr>
        <w:t>En ese momento en el</w:t>
      </w:r>
      <w:r w:rsidR="009F70EA" w:rsidRPr="00386E47">
        <w:rPr>
          <w:rFonts w:asciiTheme="majorHAnsi" w:eastAsia="Calibri" w:hAnsiTheme="majorHAnsi"/>
          <w:sz w:val="20"/>
          <w:szCs w:val="20"/>
          <w:lang w:val="es-AR"/>
        </w:rPr>
        <w:t xml:space="preserve"> inmu</w:t>
      </w:r>
      <w:r w:rsidRPr="00386E47">
        <w:rPr>
          <w:rFonts w:asciiTheme="majorHAnsi" w:eastAsia="Calibri" w:hAnsiTheme="majorHAnsi"/>
          <w:sz w:val="20"/>
          <w:szCs w:val="20"/>
          <w:lang w:val="es-AR"/>
        </w:rPr>
        <w:t>eble solo se hallaban presentes</w:t>
      </w:r>
      <w:r w:rsidR="009F70EA" w:rsidRPr="00386E47">
        <w:rPr>
          <w:rFonts w:asciiTheme="majorHAnsi" w:eastAsia="Calibri" w:hAnsiTheme="majorHAnsi"/>
          <w:sz w:val="20"/>
          <w:szCs w:val="20"/>
          <w:lang w:val="es-AR"/>
        </w:rPr>
        <w:t xml:space="preserve"> la </w:t>
      </w:r>
      <w:r w:rsidR="001A09BF" w:rsidRPr="00386E47">
        <w:rPr>
          <w:rFonts w:asciiTheme="majorHAnsi" w:eastAsia="Calibri" w:hAnsiTheme="majorHAnsi"/>
          <w:sz w:val="20"/>
          <w:szCs w:val="20"/>
          <w:lang w:val="es-AR"/>
        </w:rPr>
        <w:t>pareja de</w:t>
      </w:r>
      <w:r w:rsidR="009F70EA" w:rsidRPr="00386E47">
        <w:rPr>
          <w:rFonts w:asciiTheme="majorHAnsi" w:eastAsia="Calibri" w:hAnsiTheme="majorHAnsi"/>
          <w:sz w:val="20"/>
          <w:szCs w:val="20"/>
          <w:lang w:val="es-AR"/>
        </w:rPr>
        <w:t xml:space="preserve"> Telleldin</w:t>
      </w:r>
      <w:r w:rsidR="001A09BF" w:rsidRPr="00386E47">
        <w:rPr>
          <w:rFonts w:asciiTheme="majorHAnsi" w:eastAsia="Calibri" w:hAnsiTheme="majorHAnsi"/>
          <w:sz w:val="20"/>
          <w:szCs w:val="20"/>
          <w:lang w:val="es-AR"/>
        </w:rPr>
        <w:t>, Ana Maria Boragni</w:t>
      </w:r>
      <w:r w:rsidR="009F70EA" w:rsidRPr="00386E47">
        <w:rPr>
          <w:rFonts w:asciiTheme="majorHAnsi" w:eastAsia="Calibri" w:hAnsiTheme="majorHAnsi"/>
          <w:sz w:val="20"/>
          <w:szCs w:val="20"/>
          <w:lang w:val="es-AR"/>
        </w:rPr>
        <w:t xml:space="preserve"> y sus tres hijos menores de edad</w:t>
      </w:r>
      <w:r w:rsidR="009F70EA" w:rsidRPr="00386E47">
        <w:rPr>
          <w:rFonts w:asciiTheme="majorHAnsi" w:eastAsia="Calibri" w:hAnsiTheme="majorHAnsi"/>
          <w:sz w:val="20"/>
          <w:szCs w:val="20"/>
          <w:vertAlign w:val="superscript"/>
          <w:lang w:val="es-AR"/>
        </w:rPr>
        <w:footnoteReference w:id="145"/>
      </w:r>
      <w:r w:rsidR="009F70EA" w:rsidRPr="00386E47">
        <w:rPr>
          <w:rFonts w:asciiTheme="majorHAnsi" w:eastAsia="Calibri" w:hAnsiTheme="majorHAnsi"/>
          <w:sz w:val="20"/>
          <w:szCs w:val="20"/>
          <w:lang w:val="es-AR"/>
        </w:rPr>
        <w:t xml:space="preserve">. </w:t>
      </w:r>
    </w:p>
    <w:p w14:paraId="450FC2A3" w14:textId="77777777" w:rsidR="009F70EA" w:rsidRPr="00386E47" w:rsidRDefault="009F70EA" w:rsidP="00D90B05">
      <w:pPr>
        <w:tabs>
          <w:tab w:val="left" w:pos="426"/>
        </w:tabs>
        <w:contextualSpacing/>
        <w:jc w:val="both"/>
        <w:rPr>
          <w:rFonts w:asciiTheme="majorHAnsi" w:eastAsia="Calibri" w:hAnsiTheme="majorHAnsi"/>
          <w:sz w:val="20"/>
          <w:szCs w:val="20"/>
          <w:lang w:val="es-AR"/>
        </w:rPr>
      </w:pPr>
    </w:p>
    <w:p w14:paraId="08AAD1C4" w14:textId="77777777" w:rsidR="009F70EA" w:rsidRPr="00386E47" w:rsidRDefault="009F70EA" w:rsidP="003A5860">
      <w:pPr>
        <w:numPr>
          <w:ilvl w:val="0"/>
          <w:numId w:val="55"/>
        </w:numPr>
        <w:tabs>
          <w:tab w:val="left" w:pos="567"/>
        </w:tabs>
        <w:ind w:left="0" w:firstLine="0"/>
        <w:contextualSpacing/>
        <w:jc w:val="both"/>
        <w:rPr>
          <w:rFonts w:asciiTheme="majorHAnsi" w:eastAsia="Calibri" w:hAnsiTheme="majorHAnsi"/>
          <w:sz w:val="20"/>
          <w:szCs w:val="20"/>
          <w:lang w:val="es-AR"/>
        </w:rPr>
      </w:pPr>
      <w:r w:rsidRPr="00386E47">
        <w:rPr>
          <w:rFonts w:asciiTheme="majorHAnsi" w:eastAsia="Calibri" w:hAnsiTheme="majorHAnsi"/>
          <w:sz w:val="20"/>
          <w:szCs w:val="20"/>
          <w:lang w:val="es-AR"/>
        </w:rPr>
        <w:t xml:space="preserve">Durante la noche del 26 de julio, la </w:t>
      </w:r>
      <w:r w:rsidR="001A09BF" w:rsidRPr="00386E47">
        <w:rPr>
          <w:rFonts w:asciiTheme="majorHAnsi" w:eastAsia="Calibri" w:hAnsiTheme="majorHAnsi"/>
          <w:sz w:val="20"/>
          <w:szCs w:val="20"/>
          <w:lang w:val="es-AR"/>
        </w:rPr>
        <w:t xml:space="preserve">pareja </w:t>
      </w:r>
      <w:r w:rsidRPr="00386E47">
        <w:rPr>
          <w:rFonts w:asciiTheme="majorHAnsi" w:eastAsia="Calibri" w:hAnsiTheme="majorHAnsi"/>
          <w:sz w:val="20"/>
          <w:szCs w:val="20"/>
          <w:lang w:val="es-AR"/>
        </w:rPr>
        <w:t xml:space="preserve">de Telleldin fue trasladada a la sede del DPOC para prestar declaración, </w:t>
      </w:r>
      <w:r w:rsidR="00524888" w:rsidRPr="00386E47">
        <w:rPr>
          <w:rFonts w:asciiTheme="majorHAnsi" w:eastAsia="Calibri" w:hAnsiTheme="majorHAnsi"/>
          <w:sz w:val="20"/>
          <w:szCs w:val="20"/>
          <w:lang w:val="es-AR"/>
        </w:rPr>
        <w:t xml:space="preserve">en tanto </w:t>
      </w:r>
      <w:r w:rsidR="00184159" w:rsidRPr="00386E47">
        <w:rPr>
          <w:rFonts w:asciiTheme="majorHAnsi" w:eastAsia="Calibri" w:hAnsiTheme="majorHAnsi"/>
          <w:sz w:val="20"/>
          <w:szCs w:val="20"/>
          <w:lang w:val="es-AR"/>
        </w:rPr>
        <w:t xml:space="preserve">que otro un grupo de </w:t>
      </w:r>
      <w:r w:rsidRPr="00386E47">
        <w:rPr>
          <w:rFonts w:asciiTheme="majorHAnsi" w:eastAsia="Calibri" w:hAnsiTheme="majorHAnsi"/>
          <w:sz w:val="20"/>
          <w:szCs w:val="20"/>
          <w:lang w:val="es-AR"/>
        </w:rPr>
        <w:t xml:space="preserve">funcionarios </w:t>
      </w:r>
      <w:r w:rsidR="00524888" w:rsidRPr="00386E47">
        <w:rPr>
          <w:rFonts w:asciiTheme="majorHAnsi" w:eastAsia="Calibri" w:hAnsiTheme="majorHAnsi"/>
          <w:sz w:val="20"/>
          <w:szCs w:val="20"/>
          <w:lang w:val="es-AR"/>
        </w:rPr>
        <w:t xml:space="preserve">de la SIDE y </w:t>
      </w:r>
      <w:r w:rsidR="00184159" w:rsidRPr="00386E47">
        <w:rPr>
          <w:rFonts w:asciiTheme="majorHAnsi" w:eastAsia="Calibri" w:hAnsiTheme="majorHAnsi"/>
          <w:sz w:val="20"/>
          <w:szCs w:val="20"/>
          <w:lang w:val="es-AR"/>
        </w:rPr>
        <w:t xml:space="preserve">el DPOC permanecieron </w:t>
      </w:r>
      <w:r w:rsidRPr="00386E47">
        <w:rPr>
          <w:rFonts w:asciiTheme="majorHAnsi" w:eastAsia="Calibri" w:hAnsiTheme="majorHAnsi"/>
          <w:sz w:val="20"/>
          <w:szCs w:val="20"/>
          <w:lang w:val="es-AR"/>
        </w:rPr>
        <w:t xml:space="preserve">en el domicilio </w:t>
      </w:r>
      <w:r w:rsidR="001A09BF" w:rsidRPr="00386E47">
        <w:rPr>
          <w:rFonts w:asciiTheme="majorHAnsi" w:eastAsia="Calibri" w:hAnsiTheme="majorHAnsi"/>
          <w:sz w:val="20"/>
          <w:szCs w:val="20"/>
          <w:lang w:val="es-AR"/>
        </w:rPr>
        <w:t>junto con</w:t>
      </w:r>
      <w:r w:rsidRPr="00386E47">
        <w:rPr>
          <w:rFonts w:asciiTheme="majorHAnsi" w:eastAsia="Calibri" w:hAnsiTheme="majorHAnsi"/>
          <w:sz w:val="20"/>
          <w:szCs w:val="20"/>
          <w:lang w:val="es-AR"/>
        </w:rPr>
        <w:t xml:space="preserve"> </w:t>
      </w:r>
      <w:r w:rsidR="00184159" w:rsidRPr="00386E47">
        <w:rPr>
          <w:rFonts w:asciiTheme="majorHAnsi" w:eastAsia="Calibri" w:hAnsiTheme="majorHAnsi"/>
          <w:sz w:val="20"/>
          <w:szCs w:val="20"/>
          <w:lang w:val="es-AR"/>
        </w:rPr>
        <w:t xml:space="preserve">los </w:t>
      </w:r>
      <w:r w:rsidR="001A09BF" w:rsidRPr="00386E47">
        <w:rPr>
          <w:rFonts w:asciiTheme="majorHAnsi" w:eastAsia="Calibri" w:hAnsiTheme="majorHAnsi"/>
          <w:sz w:val="20"/>
          <w:szCs w:val="20"/>
          <w:lang w:val="es-AR"/>
        </w:rPr>
        <w:t>hijos de Boragni</w:t>
      </w:r>
      <w:r w:rsidRPr="00386E47">
        <w:rPr>
          <w:rFonts w:asciiTheme="majorHAnsi" w:eastAsia="Calibri" w:hAnsiTheme="majorHAnsi"/>
          <w:sz w:val="20"/>
          <w:szCs w:val="20"/>
          <w:vertAlign w:val="superscript"/>
          <w:lang w:val="es-AR"/>
        </w:rPr>
        <w:footnoteReference w:id="146"/>
      </w:r>
      <w:r w:rsidRPr="00386E47">
        <w:rPr>
          <w:rFonts w:asciiTheme="majorHAnsi" w:eastAsia="Calibri" w:hAnsiTheme="majorHAnsi"/>
          <w:sz w:val="20"/>
          <w:szCs w:val="20"/>
          <w:lang w:val="es-AR"/>
        </w:rPr>
        <w:t xml:space="preserve">.  De acuerdo con </w:t>
      </w:r>
      <w:r w:rsidR="00184159" w:rsidRPr="00386E47">
        <w:rPr>
          <w:rFonts w:asciiTheme="majorHAnsi" w:eastAsia="Calibri" w:hAnsiTheme="majorHAnsi"/>
          <w:sz w:val="20"/>
          <w:szCs w:val="20"/>
          <w:lang w:val="es-AR"/>
        </w:rPr>
        <w:t>estos agentes</w:t>
      </w:r>
      <w:r w:rsidRPr="00386E47">
        <w:rPr>
          <w:rFonts w:asciiTheme="majorHAnsi" w:eastAsia="Calibri" w:hAnsiTheme="majorHAnsi"/>
          <w:sz w:val="20"/>
          <w:szCs w:val="20"/>
          <w:lang w:val="es-AR"/>
        </w:rPr>
        <w:t xml:space="preserve">, </w:t>
      </w:r>
      <w:r w:rsidR="00184159" w:rsidRPr="00386E47">
        <w:rPr>
          <w:rFonts w:asciiTheme="majorHAnsi" w:eastAsia="Calibri" w:hAnsiTheme="majorHAnsi"/>
          <w:sz w:val="20"/>
          <w:szCs w:val="20"/>
          <w:lang w:val="es-AR"/>
        </w:rPr>
        <w:t xml:space="preserve">su </w:t>
      </w:r>
      <w:r w:rsidRPr="00386E47">
        <w:rPr>
          <w:rFonts w:asciiTheme="majorHAnsi" w:eastAsia="Calibri" w:hAnsiTheme="majorHAnsi"/>
          <w:sz w:val="20"/>
          <w:szCs w:val="20"/>
          <w:lang w:val="es-AR"/>
        </w:rPr>
        <w:t>permanencia en el domicilio de Telleldin se extendió desde la tarde del 26 de julio hasta la tarde del 27 y cesó cuando Telleldin fue detenido en el Aeroparque Jorge Newbery</w:t>
      </w:r>
      <w:r w:rsidR="001A09BF" w:rsidRPr="00386E47">
        <w:rPr>
          <w:rFonts w:asciiTheme="majorHAnsi" w:eastAsia="Calibri" w:hAnsiTheme="majorHAnsi"/>
          <w:sz w:val="20"/>
          <w:szCs w:val="20"/>
          <w:lang w:val="es-AR"/>
        </w:rPr>
        <w:t>, al regreso de un viaje al norte del país</w:t>
      </w:r>
      <w:r w:rsidRPr="00386E47">
        <w:rPr>
          <w:rFonts w:asciiTheme="majorHAnsi" w:eastAsia="Calibri" w:hAnsiTheme="majorHAnsi"/>
          <w:sz w:val="20"/>
          <w:szCs w:val="20"/>
          <w:vertAlign w:val="superscript"/>
          <w:lang w:val="es-AR"/>
        </w:rPr>
        <w:footnoteReference w:id="147"/>
      </w:r>
      <w:r w:rsidRPr="00386E47">
        <w:rPr>
          <w:rFonts w:asciiTheme="majorHAnsi" w:eastAsia="Calibri" w:hAnsiTheme="majorHAnsi"/>
          <w:sz w:val="20"/>
          <w:szCs w:val="20"/>
          <w:lang w:val="es-AR"/>
        </w:rPr>
        <w:t>. Un allana</w:t>
      </w:r>
      <w:r w:rsidR="00F54071" w:rsidRPr="00386E47">
        <w:rPr>
          <w:rFonts w:asciiTheme="majorHAnsi" w:eastAsia="Calibri" w:hAnsiTheme="majorHAnsi"/>
          <w:sz w:val="20"/>
          <w:szCs w:val="20"/>
          <w:lang w:val="es-AR"/>
        </w:rPr>
        <w:t>miento formal al inmueble de República</w:t>
      </w:r>
      <w:r w:rsidRPr="00386E47">
        <w:rPr>
          <w:rFonts w:asciiTheme="majorHAnsi" w:eastAsia="Calibri" w:hAnsiTheme="majorHAnsi"/>
          <w:sz w:val="20"/>
          <w:szCs w:val="20"/>
          <w:lang w:val="es-AR"/>
        </w:rPr>
        <w:t xml:space="preserve"> 107 tuvo lugar poco tie</w:t>
      </w:r>
      <w:r w:rsidR="00184159" w:rsidRPr="00386E47">
        <w:rPr>
          <w:rFonts w:asciiTheme="majorHAnsi" w:eastAsia="Calibri" w:hAnsiTheme="majorHAnsi"/>
          <w:sz w:val="20"/>
          <w:szCs w:val="20"/>
          <w:lang w:val="es-AR"/>
        </w:rPr>
        <w:t xml:space="preserve">mpo después del arresto de </w:t>
      </w:r>
      <w:r w:rsidRPr="00386E47">
        <w:rPr>
          <w:rFonts w:asciiTheme="majorHAnsi" w:eastAsia="Calibri" w:hAnsiTheme="majorHAnsi"/>
          <w:sz w:val="20"/>
          <w:szCs w:val="20"/>
          <w:lang w:val="es-AR"/>
        </w:rPr>
        <w:t>Telleldin</w:t>
      </w:r>
      <w:r w:rsidRPr="00386E47">
        <w:rPr>
          <w:rFonts w:asciiTheme="majorHAnsi" w:eastAsia="Calibri" w:hAnsiTheme="majorHAnsi"/>
          <w:sz w:val="20"/>
          <w:szCs w:val="20"/>
          <w:vertAlign w:val="superscript"/>
          <w:lang w:val="es-AR"/>
        </w:rPr>
        <w:footnoteReference w:id="148"/>
      </w:r>
      <w:r w:rsidRPr="00386E47">
        <w:rPr>
          <w:rFonts w:asciiTheme="majorHAnsi" w:eastAsia="Calibri" w:hAnsiTheme="majorHAnsi"/>
          <w:sz w:val="20"/>
          <w:szCs w:val="20"/>
          <w:lang w:val="es-AR"/>
        </w:rPr>
        <w:t xml:space="preserve">. </w:t>
      </w:r>
    </w:p>
    <w:p w14:paraId="1C3E0AEC" w14:textId="77777777" w:rsidR="009F70EA" w:rsidRPr="00386E47" w:rsidRDefault="009F70EA" w:rsidP="00D90B05">
      <w:pPr>
        <w:tabs>
          <w:tab w:val="left" w:pos="426"/>
        </w:tabs>
        <w:contextualSpacing/>
        <w:jc w:val="both"/>
        <w:rPr>
          <w:rFonts w:asciiTheme="majorHAnsi" w:eastAsia="Calibri" w:hAnsiTheme="majorHAnsi"/>
          <w:sz w:val="20"/>
          <w:szCs w:val="20"/>
          <w:lang w:val="es-AR"/>
        </w:rPr>
      </w:pPr>
    </w:p>
    <w:p w14:paraId="1335B47D" w14:textId="77777777" w:rsidR="009F70EA" w:rsidRPr="00386E47" w:rsidRDefault="009F70EA" w:rsidP="003A5860">
      <w:pPr>
        <w:numPr>
          <w:ilvl w:val="0"/>
          <w:numId w:val="55"/>
        </w:numPr>
        <w:tabs>
          <w:tab w:val="left" w:pos="567"/>
        </w:tabs>
        <w:ind w:left="0" w:firstLine="0"/>
        <w:contextualSpacing/>
        <w:jc w:val="both"/>
        <w:rPr>
          <w:rFonts w:asciiTheme="majorHAnsi" w:eastAsia="Calibri" w:hAnsiTheme="majorHAnsi"/>
          <w:sz w:val="20"/>
          <w:szCs w:val="20"/>
          <w:lang w:val="es-AR"/>
        </w:rPr>
      </w:pPr>
      <w:r w:rsidRPr="00386E47">
        <w:rPr>
          <w:rFonts w:asciiTheme="majorHAnsi" w:eastAsia="Calibri" w:hAnsiTheme="majorHAnsi"/>
          <w:sz w:val="20"/>
          <w:szCs w:val="20"/>
          <w:lang w:val="es-AR"/>
        </w:rPr>
        <w:t>Con respecto al significado y valor procesal del allanamiento efectuado con posterioridad a las actividades de los agentes de la SIDE y la DPOC, el TOF 3 señaló que “la permanencia, por casi dos días consecutivos en el domicilio en cuestión, incluso durante algunos lapsos en ausencia de sus titulares, despoja de certeza cualquier posible indicio emanado de los elementos posteriormente secuestrados en el allanamiento”</w:t>
      </w:r>
      <w:r w:rsidRPr="00386E47">
        <w:rPr>
          <w:rFonts w:asciiTheme="majorHAnsi" w:eastAsia="Calibri" w:hAnsiTheme="majorHAnsi"/>
          <w:sz w:val="20"/>
          <w:szCs w:val="20"/>
          <w:vertAlign w:val="superscript"/>
          <w:lang w:val="es-AR"/>
        </w:rPr>
        <w:footnoteReference w:id="149"/>
      </w:r>
      <w:r w:rsidRPr="00386E47">
        <w:rPr>
          <w:rFonts w:asciiTheme="majorHAnsi" w:eastAsia="Calibri" w:hAnsiTheme="majorHAnsi"/>
          <w:sz w:val="20"/>
          <w:szCs w:val="20"/>
          <w:lang w:val="es-AR"/>
        </w:rPr>
        <w:t>. En el mismo sentido, el Tribunal aseguró que “la incursión informal efectuada por los funcionarios de inteligencia en el domicilio del imputado, vulneró la incolumidad que poseían los elementos de prueba allí existentes privando así de validez a la diligencia posteriormente realizada convirtiéndola en una mera ficción”</w:t>
      </w:r>
      <w:r w:rsidRPr="00386E47">
        <w:rPr>
          <w:rFonts w:asciiTheme="majorHAnsi" w:eastAsia="Calibri" w:hAnsiTheme="majorHAnsi"/>
          <w:sz w:val="20"/>
          <w:szCs w:val="20"/>
          <w:vertAlign w:val="superscript"/>
          <w:lang w:val="es-AR"/>
        </w:rPr>
        <w:footnoteReference w:id="150"/>
      </w:r>
      <w:r w:rsidRPr="00386E47">
        <w:rPr>
          <w:rFonts w:asciiTheme="majorHAnsi" w:eastAsia="Calibri" w:hAnsiTheme="majorHAnsi"/>
          <w:sz w:val="20"/>
          <w:szCs w:val="20"/>
          <w:lang w:val="es-AR"/>
        </w:rPr>
        <w:t xml:space="preserve">. </w:t>
      </w:r>
    </w:p>
    <w:p w14:paraId="0E59CE18" w14:textId="77777777" w:rsidR="009F70EA" w:rsidRPr="00386E47" w:rsidRDefault="009F70EA" w:rsidP="00D90B05">
      <w:pPr>
        <w:tabs>
          <w:tab w:val="left" w:pos="426"/>
        </w:tabs>
        <w:contextualSpacing/>
        <w:jc w:val="both"/>
        <w:rPr>
          <w:rFonts w:asciiTheme="majorHAnsi" w:eastAsia="Calibri" w:hAnsiTheme="majorHAnsi"/>
          <w:sz w:val="20"/>
          <w:szCs w:val="20"/>
          <w:lang w:val="es-AR"/>
        </w:rPr>
      </w:pPr>
    </w:p>
    <w:p w14:paraId="2644286A" w14:textId="77777777" w:rsidR="009F70EA" w:rsidRPr="00386E47" w:rsidRDefault="009F70EA" w:rsidP="003A5860">
      <w:pPr>
        <w:numPr>
          <w:ilvl w:val="0"/>
          <w:numId w:val="55"/>
        </w:numPr>
        <w:tabs>
          <w:tab w:val="left" w:pos="567"/>
        </w:tabs>
        <w:ind w:left="0" w:firstLine="0"/>
        <w:contextualSpacing/>
        <w:jc w:val="both"/>
        <w:rPr>
          <w:rFonts w:asciiTheme="majorHAnsi" w:eastAsia="Calibri" w:hAnsiTheme="majorHAnsi"/>
          <w:sz w:val="20"/>
          <w:szCs w:val="20"/>
          <w:lang w:val="es-AR"/>
        </w:rPr>
      </w:pPr>
      <w:r w:rsidRPr="00386E47">
        <w:rPr>
          <w:rFonts w:asciiTheme="majorHAnsi" w:eastAsia="Calibri" w:hAnsiTheme="majorHAnsi"/>
          <w:sz w:val="20"/>
          <w:szCs w:val="20"/>
          <w:lang w:val="es-AR"/>
        </w:rPr>
        <w:t>Por último, el TOF 3 sostuvo que no resultaba creíble que “experimentados funcionarios de investigaciones, en vez de solicitar una orden de allanamiento a fin de incautar los elementos que podían echar luz sobre la pesquisa o las medidas de coerción personal, permanecieran inactivos […] en un rol de niñeros de los hijos del principal sospechoso”</w:t>
      </w:r>
      <w:r w:rsidR="00524888" w:rsidRPr="00386E47">
        <w:rPr>
          <w:rStyle w:val="FootnoteReference"/>
          <w:rFonts w:asciiTheme="majorHAnsi" w:eastAsia="Calibri" w:hAnsiTheme="majorHAnsi"/>
          <w:sz w:val="20"/>
          <w:szCs w:val="20"/>
          <w:lang w:val="es-AR"/>
        </w:rPr>
        <w:footnoteReference w:id="151"/>
      </w:r>
      <w:r w:rsidRPr="00386E47">
        <w:rPr>
          <w:rFonts w:asciiTheme="majorHAnsi" w:eastAsia="Calibri" w:hAnsiTheme="majorHAnsi"/>
          <w:sz w:val="20"/>
          <w:szCs w:val="20"/>
          <w:lang w:val="es-AR"/>
        </w:rPr>
        <w:t>. En consecuencia, el TOF 3 declaró la nulidad del allanamiento p</w:t>
      </w:r>
      <w:r w:rsidR="006812DA" w:rsidRPr="00386E47">
        <w:rPr>
          <w:rFonts w:asciiTheme="majorHAnsi" w:eastAsia="Calibri" w:hAnsiTheme="majorHAnsi"/>
          <w:sz w:val="20"/>
          <w:szCs w:val="20"/>
          <w:lang w:val="es-AR"/>
        </w:rPr>
        <w:t>racticado en el inmueble de la c</w:t>
      </w:r>
      <w:r w:rsidR="00F54071" w:rsidRPr="00386E47">
        <w:rPr>
          <w:rFonts w:asciiTheme="majorHAnsi" w:eastAsia="Calibri" w:hAnsiTheme="majorHAnsi"/>
          <w:sz w:val="20"/>
          <w:szCs w:val="20"/>
          <w:lang w:val="es-AR"/>
        </w:rPr>
        <w:t>alle República</w:t>
      </w:r>
      <w:r w:rsidR="006812DA" w:rsidRPr="00386E47">
        <w:rPr>
          <w:rFonts w:asciiTheme="majorHAnsi" w:eastAsia="Calibri" w:hAnsiTheme="majorHAnsi"/>
          <w:sz w:val="20"/>
          <w:szCs w:val="20"/>
          <w:lang w:val="es-AR"/>
        </w:rPr>
        <w:t xml:space="preserve"> 107</w:t>
      </w:r>
      <w:r w:rsidRPr="00386E47">
        <w:rPr>
          <w:rFonts w:asciiTheme="majorHAnsi" w:eastAsia="Calibri" w:hAnsiTheme="majorHAnsi"/>
          <w:sz w:val="20"/>
          <w:szCs w:val="20"/>
          <w:lang w:val="es-AR"/>
        </w:rPr>
        <w:t xml:space="preserve">. </w:t>
      </w:r>
    </w:p>
    <w:p w14:paraId="1FCF3F1B" w14:textId="77777777" w:rsidR="00F533FB" w:rsidRPr="00386E47" w:rsidRDefault="00F533FB" w:rsidP="004A09E0">
      <w:pPr>
        <w:tabs>
          <w:tab w:val="left" w:pos="567"/>
        </w:tabs>
        <w:contextualSpacing/>
        <w:jc w:val="both"/>
        <w:rPr>
          <w:rFonts w:asciiTheme="majorHAnsi" w:eastAsia="Calibri" w:hAnsiTheme="majorHAnsi"/>
          <w:sz w:val="20"/>
          <w:szCs w:val="20"/>
          <w:lang w:val="es-AR"/>
        </w:rPr>
      </w:pPr>
    </w:p>
    <w:p w14:paraId="6CB4A50E" w14:textId="77777777" w:rsidR="00F533FB" w:rsidRPr="00386E47" w:rsidRDefault="00F533FB" w:rsidP="003A5860">
      <w:pPr>
        <w:pStyle w:val="ListParagraph"/>
        <w:numPr>
          <w:ilvl w:val="0"/>
          <w:numId w:val="58"/>
        </w:numPr>
        <w:tabs>
          <w:tab w:val="left" w:pos="567"/>
        </w:tabs>
        <w:contextualSpacing/>
        <w:jc w:val="both"/>
        <w:rPr>
          <w:rFonts w:asciiTheme="majorHAnsi" w:eastAsia="Calibri" w:hAnsiTheme="majorHAnsi"/>
          <w:b/>
          <w:sz w:val="20"/>
          <w:szCs w:val="20"/>
          <w:lang w:val="es-AR"/>
        </w:rPr>
      </w:pPr>
      <w:r w:rsidRPr="00386E47">
        <w:rPr>
          <w:rFonts w:asciiTheme="majorHAnsi" w:eastAsia="Calibri" w:hAnsiTheme="majorHAnsi"/>
          <w:b/>
          <w:sz w:val="20"/>
          <w:szCs w:val="20"/>
          <w:lang w:val="es-AR"/>
        </w:rPr>
        <w:t>Consideraciones de la Comisión</w:t>
      </w:r>
    </w:p>
    <w:p w14:paraId="692CF767" w14:textId="77777777" w:rsidR="00F533FB" w:rsidRPr="00386E47" w:rsidRDefault="00F533FB" w:rsidP="004A09E0">
      <w:pPr>
        <w:tabs>
          <w:tab w:val="left" w:pos="567"/>
        </w:tabs>
        <w:contextualSpacing/>
        <w:jc w:val="both"/>
        <w:rPr>
          <w:rFonts w:asciiTheme="majorHAnsi" w:eastAsia="Calibri" w:hAnsiTheme="majorHAnsi"/>
          <w:sz w:val="20"/>
          <w:szCs w:val="20"/>
          <w:lang w:val="es-AR"/>
        </w:rPr>
      </w:pPr>
    </w:p>
    <w:p w14:paraId="7D1C2B37" w14:textId="77777777" w:rsidR="00F533FB" w:rsidRPr="00386E47" w:rsidRDefault="00F533FB" w:rsidP="003A5860">
      <w:pPr>
        <w:numPr>
          <w:ilvl w:val="0"/>
          <w:numId w:val="55"/>
        </w:numPr>
        <w:tabs>
          <w:tab w:val="left" w:pos="567"/>
        </w:tabs>
        <w:ind w:left="0" w:firstLine="0"/>
        <w:contextualSpacing/>
        <w:jc w:val="both"/>
        <w:rPr>
          <w:rFonts w:asciiTheme="majorHAnsi" w:eastAsia="Calibri" w:hAnsiTheme="majorHAnsi"/>
          <w:sz w:val="20"/>
          <w:szCs w:val="20"/>
          <w:lang w:val="es-ES_tradnl"/>
        </w:rPr>
      </w:pPr>
      <w:r w:rsidRPr="00386E47">
        <w:rPr>
          <w:rFonts w:asciiTheme="majorHAnsi" w:eastAsia="Calibri" w:hAnsiTheme="majorHAnsi"/>
          <w:sz w:val="20"/>
          <w:szCs w:val="20"/>
          <w:lang w:val="es-ES_tradnl"/>
        </w:rPr>
        <w:t xml:space="preserve">La Comisión resalta - en línea con lo advertido por el Tribunal Oral en lo Criminal Federal Nro. 3 y por la Sala II de la Cámara Nacional de Casación Penal en sus sentencias de fecha 29 de octubre de 2004 y 19 de mayo de </w:t>
      </w:r>
      <w:r w:rsidRPr="00386E47">
        <w:rPr>
          <w:rFonts w:asciiTheme="majorHAnsi" w:eastAsia="Calibri" w:hAnsiTheme="majorHAnsi"/>
          <w:sz w:val="20"/>
          <w:szCs w:val="20"/>
          <w:lang w:val="es-ES_tradnl"/>
        </w:rPr>
        <w:lastRenderedPageBreak/>
        <w:t>2006</w:t>
      </w:r>
      <w:r w:rsidRPr="00386E47">
        <w:rPr>
          <w:rFonts w:asciiTheme="majorHAnsi" w:eastAsia="Calibri" w:hAnsiTheme="majorHAnsi"/>
          <w:sz w:val="22"/>
          <w:szCs w:val="22"/>
          <w:vertAlign w:val="superscript"/>
          <w:lang w:val="es-ES_tradnl"/>
        </w:rPr>
        <w:footnoteReference w:id="152"/>
      </w:r>
      <w:r w:rsidRPr="00386E47">
        <w:rPr>
          <w:rFonts w:asciiTheme="majorHAnsi" w:eastAsia="Calibri" w:hAnsiTheme="majorHAnsi"/>
          <w:sz w:val="20"/>
          <w:szCs w:val="20"/>
          <w:lang w:val="es-ES_tradnl"/>
        </w:rPr>
        <w:t xml:space="preserve"> - que determinados funcionarios judiciales y policiales encargados de coordinar la investigación del atentado que se hallaban presentes en el sitio del atentado no cumplieron adecuadamente con sus deberes de proteger la escena del hecho, recoger de manera adecuada y oportuna las pruebas que allí se hallaron  y asegurar su cadena de custodia. </w:t>
      </w:r>
    </w:p>
    <w:p w14:paraId="3CB2E666" w14:textId="77777777" w:rsidR="00F533FB" w:rsidRPr="00386E47" w:rsidRDefault="00F533FB" w:rsidP="00F533FB">
      <w:pPr>
        <w:tabs>
          <w:tab w:val="left" w:pos="567"/>
        </w:tabs>
        <w:contextualSpacing/>
        <w:jc w:val="both"/>
        <w:rPr>
          <w:rFonts w:asciiTheme="majorHAnsi" w:eastAsia="Calibri" w:hAnsiTheme="majorHAnsi"/>
          <w:sz w:val="20"/>
          <w:szCs w:val="20"/>
          <w:lang w:val="es-ES_tradnl"/>
        </w:rPr>
      </w:pPr>
    </w:p>
    <w:p w14:paraId="363DB5FD" w14:textId="77777777" w:rsidR="00F533FB" w:rsidRPr="00386E47" w:rsidRDefault="00F533FB" w:rsidP="003A5860">
      <w:pPr>
        <w:numPr>
          <w:ilvl w:val="0"/>
          <w:numId w:val="55"/>
        </w:numPr>
        <w:tabs>
          <w:tab w:val="left" w:pos="567"/>
        </w:tabs>
        <w:ind w:left="0" w:firstLine="0"/>
        <w:contextualSpacing/>
        <w:jc w:val="both"/>
        <w:rPr>
          <w:rFonts w:asciiTheme="majorHAnsi" w:eastAsia="Calibri" w:hAnsiTheme="majorHAnsi"/>
          <w:sz w:val="20"/>
          <w:szCs w:val="20"/>
          <w:lang w:val="es-ES_tradnl"/>
        </w:rPr>
      </w:pPr>
      <w:r w:rsidRPr="00386E47">
        <w:rPr>
          <w:rFonts w:asciiTheme="majorHAnsi" w:eastAsia="Calibri" w:hAnsiTheme="majorHAnsi"/>
          <w:sz w:val="20"/>
          <w:szCs w:val="20"/>
          <w:lang w:val="es-ES_tradnl"/>
        </w:rPr>
        <w:t xml:space="preserve">La Comisión reconoce que la magnitud de este hecho delictivo, tanto en términos del grado de destrucción provocado por la explosión como por la cantidad de víctimas fatales y heridos existentes, determinó que, durante las primeras horas, la prioridad estuviera concentrada en las labores de remoción de escombros y búsqueda de personas sobrevivientes. En este sentido, la Comisión tiene en consideración la dificultad que supone la realización de las tareas de levantamiento de evidencias en el contexto de hechos de esta naturaleza. </w:t>
      </w:r>
    </w:p>
    <w:p w14:paraId="787B8A11" w14:textId="77777777" w:rsidR="00F533FB" w:rsidRPr="00386E47" w:rsidRDefault="00F533FB" w:rsidP="00F533FB">
      <w:pPr>
        <w:tabs>
          <w:tab w:val="left" w:pos="567"/>
        </w:tabs>
        <w:contextualSpacing/>
        <w:jc w:val="both"/>
        <w:rPr>
          <w:rFonts w:asciiTheme="majorHAnsi" w:eastAsia="Calibri" w:hAnsiTheme="majorHAnsi"/>
          <w:sz w:val="20"/>
          <w:szCs w:val="20"/>
          <w:lang w:val="es-ES_tradnl"/>
        </w:rPr>
      </w:pPr>
    </w:p>
    <w:p w14:paraId="366CA23E" w14:textId="77777777" w:rsidR="00F533FB" w:rsidRPr="00386E47" w:rsidRDefault="00F533FB" w:rsidP="003A5860">
      <w:pPr>
        <w:numPr>
          <w:ilvl w:val="0"/>
          <w:numId w:val="55"/>
        </w:numPr>
        <w:tabs>
          <w:tab w:val="left" w:pos="567"/>
        </w:tabs>
        <w:ind w:left="0" w:firstLine="0"/>
        <w:contextualSpacing/>
        <w:jc w:val="both"/>
        <w:rPr>
          <w:rFonts w:asciiTheme="majorHAnsi" w:eastAsia="Calibri" w:hAnsiTheme="majorHAnsi"/>
          <w:sz w:val="20"/>
          <w:szCs w:val="20"/>
          <w:lang w:val="es-ES_tradnl"/>
        </w:rPr>
      </w:pPr>
      <w:r w:rsidRPr="00386E47">
        <w:rPr>
          <w:rFonts w:asciiTheme="majorHAnsi" w:eastAsia="Calibri" w:hAnsiTheme="majorHAnsi"/>
          <w:sz w:val="20"/>
          <w:szCs w:val="20"/>
          <w:lang w:val="es-ES_tradnl"/>
        </w:rPr>
        <w:t>Sin embargo, la Comisión encuentra que no resultan justificables, a la luz del principio de debida diligencia, las acciones de aquellos funcionarios que omitieron documentar de manera fidedigna las circunstancias en que fueron hallados diversos elementos de gran relevancia para la investigación, en particular las partes del motor de la camioneta Renault Trafic. Como fue indicado en su momento por el TOF 3, los policías no mostraron una “mínima inquietud” por recibir la declaración de quienes presenciaron el hallazgo de dichas piezas o para realizar una reconstrucción u observación del lugar donde fueron encontradas. Por consiguiente, la Comisión no encuentra sustento en la confección del acta del secuestro, con base en declaraciones de personas respecto de quienes no se tiene efectiva constancia de que se encontraran presentes en el momento de dicho hallazgo</w:t>
      </w:r>
      <w:r w:rsidRPr="00386E47">
        <w:rPr>
          <w:rStyle w:val="CommentReference"/>
          <w:rFonts w:asciiTheme="majorHAnsi" w:hAnsiTheme="majorHAnsi"/>
          <w:sz w:val="20"/>
          <w:szCs w:val="20"/>
          <w:bdr w:val="nil"/>
          <w:lang w:val="es-AR" w:eastAsia="en-US"/>
        </w:rPr>
        <w:t>.</w:t>
      </w:r>
      <w:r w:rsidRPr="00386E47">
        <w:rPr>
          <w:rFonts w:asciiTheme="majorHAnsi" w:eastAsia="Calibri" w:hAnsiTheme="majorHAnsi"/>
          <w:sz w:val="20"/>
          <w:szCs w:val="20"/>
          <w:lang w:val="es-ES_tradnl"/>
        </w:rPr>
        <w:t xml:space="preserve"> </w:t>
      </w:r>
    </w:p>
    <w:p w14:paraId="0098E5F1" w14:textId="77777777" w:rsidR="00F533FB" w:rsidRPr="00386E47" w:rsidRDefault="00F533FB" w:rsidP="00F533FB">
      <w:pPr>
        <w:tabs>
          <w:tab w:val="left" w:pos="567"/>
        </w:tabs>
        <w:contextualSpacing/>
        <w:jc w:val="both"/>
        <w:rPr>
          <w:rFonts w:asciiTheme="majorHAnsi" w:eastAsia="Calibri" w:hAnsiTheme="majorHAnsi"/>
          <w:sz w:val="20"/>
          <w:szCs w:val="20"/>
          <w:lang w:val="es-ES_tradnl"/>
        </w:rPr>
      </w:pPr>
    </w:p>
    <w:p w14:paraId="04B9F19F" w14:textId="77777777" w:rsidR="00F533FB" w:rsidRPr="00386E47" w:rsidRDefault="00F533FB" w:rsidP="003A5860">
      <w:pPr>
        <w:numPr>
          <w:ilvl w:val="0"/>
          <w:numId w:val="55"/>
        </w:numPr>
        <w:tabs>
          <w:tab w:val="left" w:pos="567"/>
        </w:tabs>
        <w:ind w:left="0" w:firstLine="0"/>
        <w:contextualSpacing/>
        <w:jc w:val="both"/>
        <w:rPr>
          <w:rFonts w:asciiTheme="majorHAnsi" w:eastAsia="Calibri" w:hAnsiTheme="majorHAnsi"/>
          <w:sz w:val="20"/>
          <w:szCs w:val="20"/>
          <w:lang w:val="es-ES_tradnl"/>
        </w:rPr>
      </w:pPr>
      <w:r w:rsidRPr="00386E47">
        <w:rPr>
          <w:rFonts w:asciiTheme="majorHAnsi" w:eastAsia="Calibri" w:hAnsiTheme="majorHAnsi"/>
          <w:sz w:val="20"/>
          <w:szCs w:val="20"/>
          <w:lang w:val="es-ES_tradnl"/>
        </w:rPr>
        <w:t xml:space="preserve">Relacionado con este punto, la Comisión recuerda que, frente a una muerte violenta, la Corte </w:t>
      </w:r>
      <w:r w:rsidR="00C46758" w:rsidRPr="00386E47">
        <w:rPr>
          <w:rFonts w:asciiTheme="majorHAnsi" w:eastAsia="Calibri" w:hAnsiTheme="majorHAnsi"/>
          <w:sz w:val="20"/>
          <w:szCs w:val="20"/>
          <w:lang w:val="es-ES_tradnl"/>
        </w:rPr>
        <w:t>Interamericana</w:t>
      </w:r>
      <w:r w:rsidRPr="00386E47">
        <w:rPr>
          <w:rFonts w:asciiTheme="majorHAnsi" w:eastAsia="Calibri" w:hAnsiTheme="majorHAnsi"/>
          <w:sz w:val="20"/>
          <w:szCs w:val="20"/>
          <w:lang w:val="es-ES_tradnl"/>
        </w:rPr>
        <w:t xml:space="preserve"> ha señalado que “el correcto manejo de la escena del crimen es un punto de partida de la investigación y, por tanto, determinante para esclarecer la naturaleza, circunstancias y características del delito, así como los participantes en el hecho”</w:t>
      </w:r>
      <w:r w:rsidRPr="00386E47">
        <w:rPr>
          <w:rFonts w:asciiTheme="majorHAnsi" w:eastAsia="Calibri" w:hAnsiTheme="majorHAnsi"/>
          <w:sz w:val="20"/>
          <w:szCs w:val="20"/>
          <w:vertAlign w:val="superscript"/>
          <w:lang w:val="es-ES_tradnl"/>
        </w:rPr>
        <w:footnoteReference w:id="153"/>
      </w:r>
      <w:r w:rsidRPr="00386E47">
        <w:rPr>
          <w:rFonts w:asciiTheme="majorHAnsi" w:eastAsia="Calibri" w:hAnsiTheme="majorHAnsi"/>
          <w:sz w:val="20"/>
          <w:szCs w:val="20"/>
          <w:lang w:val="es-ES_tradnl"/>
        </w:rPr>
        <w:t xml:space="preserve"> y que, conforme los estándares internacionales sobre la materia, “los investigadores deben, como mínimo, fotografiar dicha escena, cualquier otra evidencia física […] y hacer un informe detallando</w:t>
      </w:r>
      <w:r w:rsidR="00473F91" w:rsidRPr="00386E47">
        <w:rPr>
          <w:rFonts w:asciiTheme="majorHAnsi" w:eastAsia="Calibri" w:hAnsiTheme="majorHAnsi"/>
          <w:sz w:val="20"/>
          <w:szCs w:val="20"/>
          <w:lang w:val="es-ES_tradnl"/>
        </w:rPr>
        <w:t xml:space="preserve"> </w:t>
      </w:r>
      <w:r w:rsidRPr="00386E47">
        <w:rPr>
          <w:rFonts w:asciiTheme="majorHAnsi" w:eastAsia="Calibri" w:hAnsiTheme="majorHAnsi"/>
          <w:sz w:val="20"/>
          <w:szCs w:val="20"/>
          <w:lang w:val="es-ES_tradnl"/>
        </w:rPr>
        <w:t>cualquier observación de la escena, las acciones de los investigadores y la disposición de toda la evidencia colectada”</w:t>
      </w:r>
      <w:r w:rsidRPr="00386E47">
        <w:rPr>
          <w:rFonts w:asciiTheme="majorHAnsi" w:eastAsia="Calibri" w:hAnsiTheme="majorHAnsi"/>
          <w:sz w:val="20"/>
          <w:szCs w:val="20"/>
          <w:vertAlign w:val="superscript"/>
          <w:lang w:val="es-ES_tradnl"/>
        </w:rPr>
        <w:footnoteReference w:id="154"/>
      </w:r>
      <w:r w:rsidRPr="00386E47">
        <w:rPr>
          <w:rFonts w:asciiTheme="majorHAnsi" w:eastAsia="Calibri" w:hAnsiTheme="majorHAnsi"/>
          <w:sz w:val="20"/>
          <w:szCs w:val="20"/>
          <w:lang w:val="es-ES_tradnl"/>
        </w:rPr>
        <w:t xml:space="preserve">. </w:t>
      </w:r>
    </w:p>
    <w:p w14:paraId="6C771489" w14:textId="77777777" w:rsidR="00F533FB" w:rsidRPr="00386E47" w:rsidRDefault="00F533FB" w:rsidP="00F533FB">
      <w:pPr>
        <w:tabs>
          <w:tab w:val="left" w:pos="567"/>
        </w:tabs>
        <w:contextualSpacing/>
        <w:jc w:val="both"/>
        <w:rPr>
          <w:rFonts w:asciiTheme="majorHAnsi" w:eastAsia="Calibri" w:hAnsiTheme="majorHAnsi"/>
          <w:sz w:val="20"/>
          <w:szCs w:val="20"/>
          <w:lang w:val="es-ES_tradnl"/>
        </w:rPr>
      </w:pPr>
    </w:p>
    <w:p w14:paraId="2F5BC4D0" w14:textId="77777777" w:rsidR="00F533FB" w:rsidRPr="00386E47" w:rsidRDefault="00F533FB" w:rsidP="003A5860">
      <w:pPr>
        <w:numPr>
          <w:ilvl w:val="0"/>
          <w:numId w:val="55"/>
        </w:numPr>
        <w:tabs>
          <w:tab w:val="left" w:pos="567"/>
        </w:tabs>
        <w:ind w:left="0" w:firstLine="0"/>
        <w:contextualSpacing/>
        <w:jc w:val="both"/>
        <w:rPr>
          <w:rFonts w:asciiTheme="majorHAnsi" w:eastAsia="Calibri" w:hAnsiTheme="majorHAnsi"/>
          <w:sz w:val="20"/>
          <w:szCs w:val="20"/>
          <w:lang w:val="es-ES_tradnl"/>
        </w:rPr>
      </w:pPr>
      <w:r w:rsidRPr="00386E47">
        <w:rPr>
          <w:rFonts w:asciiTheme="majorHAnsi" w:eastAsia="Calibri" w:hAnsiTheme="majorHAnsi"/>
          <w:sz w:val="20"/>
          <w:szCs w:val="20"/>
          <w:lang w:val="es-ES_tradnl"/>
        </w:rPr>
        <w:t xml:space="preserve">Por otra parte, la Comisión entiende que el procedimiento protagonizado por agentes de la SIDE y el DPOC en el domicilio de Carlos Telleldín durante los días 26 y 27 de julio implicó también una ausencia de debida diligencia en la práctica de esta diligencia esencial. Ello es así si se advierte - de manera coincidente a como lo hizo el TOF 3 en su sentencia de octubre de 2004 - que la permanencia informal de agentes estatales en el domicilio del por entonces único acusado por el atentado por espacio de casi dos días, sin que dichos agentes procedieran de manera inmediata al aseguramiento de aquellos elementos que pudieran ser de interés a la investigación, generó dudas razonables respecto de la integridad de la prueba recolectada en el posterior allanamiento realizado en ese inmueble. En efecto, existe una falta a la debida diligencia cuando no se reúne o se preserva de manera efectiva </w:t>
      </w:r>
      <w:r w:rsidRPr="00386E47">
        <w:rPr>
          <w:rFonts w:asciiTheme="majorHAnsi" w:eastAsia="Calibri" w:hAnsiTheme="majorHAnsi"/>
          <w:sz w:val="20"/>
          <w:szCs w:val="20"/>
          <w:lang w:val="es-ES_tradnl"/>
        </w:rPr>
        <w:lastRenderedPageBreak/>
        <w:t>prueba documental de importancia para la determinación de los hechos, pues ello puede afectar directamente el éxito de las investigaciones</w:t>
      </w:r>
      <w:r w:rsidRPr="00386E47">
        <w:rPr>
          <w:rFonts w:asciiTheme="majorHAnsi" w:eastAsia="Calibri" w:hAnsiTheme="majorHAnsi"/>
          <w:sz w:val="20"/>
          <w:szCs w:val="20"/>
          <w:vertAlign w:val="superscript"/>
          <w:lang w:val="es-ES_tradnl"/>
        </w:rPr>
        <w:footnoteReference w:id="155"/>
      </w:r>
      <w:r w:rsidRPr="00386E47">
        <w:rPr>
          <w:rFonts w:asciiTheme="majorHAnsi" w:eastAsia="Calibri" w:hAnsiTheme="majorHAnsi"/>
          <w:sz w:val="20"/>
          <w:szCs w:val="20"/>
          <w:lang w:val="es-ES_tradnl"/>
        </w:rPr>
        <w:t>.</w:t>
      </w:r>
    </w:p>
    <w:p w14:paraId="6E9A2F82" w14:textId="77777777" w:rsidR="00F533FB" w:rsidRPr="00386E47" w:rsidRDefault="00F533FB" w:rsidP="00A311A0">
      <w:pPr>
        <w:pStyle w:val="ListParagraph"/>
        <w:rPr>
          <w:rFonts w:asciiTheme="majorHAnsi" w:eastAsia="Calibri" w:hAnsiTheme="majorHAnsi"/>
          <w:sz w:val="20"/>
          <w:szCs w:val="20"/>
          <w:lang w:val="es-ES_tradnl"/>
        </w:rPr>
      </w:pPr>
    </w:p>
    <w:p w14:paraId="2C1D872A" w14:textId="77777777" w:rsidR="00F533FB" w:rsidRPr="00386E47" w:rsidRDefault="00F533FB" w:rsidP="00B528BF">
      <w:pPr>
        <w:numPr>
          <w:ilvl w:val="0"/>
          <w:numId w:val="55"/>
        </w:numPr>
        <w:tabs>
          <w:tab w:val="left" w:pos="567"/>
        </w:tabs>
        <w:ind w:left="0" w:firstLine="0"/>
        <w:contextualSpacing/>
        <w:jc w:val="both"/>
        <w:rPr>
          <w:rFonts w:asciiTheme="majorHAnsi" w:eastAsia="Calibri" w:hAnsiTheme="majorHAnsi"/>
          <w:sz w:val="20"/>
          <w:szCs w:val="20"/>
          <w:lang w:val="es-ES_tradnl"/>
        </w:rPr>
      </w:pPr>
      <w:r w:rsidRPr="00386E47">
        <w:rPr>
          <w:rFonts w:asciiTheme="majorHAnsi" w:eastAsia="Calibri" w:hAnsiTheme="majorHAnsi"/>
          <w:sz w:val="20"/>
          <w:szCs w:val="20"/>
          <w:lang w:val="es-ES_tradnl"/>
        </w:rPr>
        <w:t>En vista de lo indicado, la Comisión observa que el Estado no cumplió con la debida diligencia requerida en las diligencias iniciales. Como se indicará más adelante, las omisiones realizadas en esta etapa han tenido un severo impacto en el desarrollo de la investigación.</w:t>
      </w:r>
    </w:p>
    <w:p w14:paraId="03D71055" w14:textId="77777777" w:rsidR="00B528BF" w:rsidRPr="00386E47" w:rsidRDefault="00B528BF" w:rsidP="00B528BF">
      <w:pPr>
        <w:tabs>
          <w:tab w:val="left" w:pos="567"/>
        </w:tabs>
        <w:contextualSpacing/>
        <w:jc w:val="both"/>
        <w:rPr>
          <w:rFonts w:asciiTheme="majorHAnsi" w:eastAsia="Calibri" w:hAnsiTheme="majorHAnsi"/>
          <w:sz w:val="20"/>
          <w:szCs w:val="20"/>
          <w:lang w:val="es-ES_tradnl"/>
        </w:rPr>
      </w:pPr>
    </w:p>
    <w:p w14:paraId="6C9A3796" w14:textId="77777777" w:rsidR="009F70EA" w:rsidRPr="00386E47" w:rsidRDefault="00F533FB" w:rsidP="00B528BF">
      <w:pPr>
        <w:pStyle w:val="Heading5"/>
      </w:pPr>
      <w:r w:rsidRPr="00386E47">
        <w:t xml:space="preserve">En </w:t>
      </w:r>
      <w:r w:rsidR="009146F2" w:rsidRPr="00386E47">
        <w:t>lo que respecta</w:t>
      </w:r>
      <w:r w:rsidRPr="00386E47">
        <w:t xml:space="preserve"> a </w:t>
      </w:r>
      <w:r w:rsidR="007511E3" w:rsidRPr="00386E47">
        <w:t>la denominada</w:t>
      </w:r>
      <w:r w:rsidR="009F70EA" w:rsidRPr="00386E47">
        <w:t xml:space="preserve"> “Pista Siria/Kanoore Edul” </w:t>
      </w:r>
    </w:p>
    <w:p w14:paraId="735363DC" w14:textId="77777777" w:rsidR="009F70EA" w:rsidRPr="00386E47" w:rsidRDefault="009F70EA" w:rsidP="009F70EA">
      <w:pPr>
        <w:tabs>
          <w:tab w:val="left" w:pos="709"/>
        </w:tabs>
        <w:jc w:val="both"/>
        <w:rPr>
          <w:rFonts w:asciiTheme="majorHAnsi" w:eastAsia="Calibri" w:hAnsiTheme="majorHAnsi"/>
          <w:b/>
          <w:sz w:val="20"/>
          <w:szCs w:val="20"/>
          <w:lang w:val="es-US"/>
        </w:rPr>
      </w:pPr>
    </w:p>
    <w:p w14:paraId="612ADE30" w14:textId="77777777" w:rsidR="00207892" w:rsidRPr="00386E47" w:rsidRDefault="009F70EA" w:rsidP="003A5860">
      <w:pPr>
        <w:numPr>
          <w:ilvl w:val="0"/>
          <w:numId w:val="55"/>
        </w:numPr>
        <w:tabs>
          <w:tab w:val="left" w:pos="0"/>
          <w:tab w:val="left" w:pos="567"/>
        </w:tabs>
        <w:ind w:left="0" w:firstLine="0"/>
        <w:contextualSpacing/>
        <w:jc w:val="both"/>
        <w:rPr>
          <w:rFonts w:asciiTheme="majorHAnsi" w:eastAsia="Calibri" w:hAnsiTheme="majorHAnsi"/>
          <w:b/>
          <w:sz w:val="20"/>
          <w:szCs w:val="20"/>
          <w:lang w:val="es-AR"/>
        </w:rPr>
      </w:pPr>
      <w:r w:rsidRPr="00386E47">
        <w:rPr>
          <w:rFonts w:asciiTheme="majorHAnsi" w:eastAsia="Calibri" w:hAnsiTheme="majorHAnsi"/>
          <w:sz w:val="20"/>
          <w:szCs w:val="20"/>
          <w:lang w:val="es-AR"/>
        </w:rPr>
        <w:t xml:space="preserve">Entre las líneas de investigación abiertas durante los primeros días del atentado </w:t>
      </w:r>
      <w:r w:rsidR="00AD6467" w:rsidRPr="00386E47">
        <w:rPr>
          <w:rFonts w:asciiTheme="majorHAnsi" w:eastAsia="Calibri" w:hAnsiTheme="majorHAnsi"/>
          <w:sz w:val="20"/>
          <w:szCs w:val="20"/>
          <w:lang w:val="es-AR"/>
        </w:rPr>
        <w:t>se encuentra</w:t>
      </w:r>
      <w:r w:rsidRPr="00386E47">
        <w:rPr>
          <w:rFonts w:asciiTheme="majorHAnsi" w:eastAsia="Calibri" w:hAnsiTheme="majorHAnsi"/>
          <w:sz w:val="20"/>
          <w:szCs w:val="20"/>
          <w:lang w:val="es-AR"/>
        </w:rPr>
        <w:t xml:space="preserve"> </w:t>
      </w:r>
      <w:r w:rsidR="00524888" w:rsidRPr="00386E47">
        <w:rPr>
          <w:rFonts w:asciiTheme="majorHAnsi" w:eastAsia="Calibri" w:hAnsiTheme="majorHAnsi"/>
          <w:sz w:val="20"/>
          <w:szCs w:val="20"/>
          <w:lang w:val="es-AR"/>
        </w:rPr>
        <w:t>aquella que se conoce como la</w:t>
      </w:r>
      <w:r w:rsidR="003D55E1" w:rsidRPr="00386E47">
        <w:rPr>
          <w:rFonts w:asciiTheme="majorHAnsi" w:eastAsia="Calibri" w:hAnsiTheme="majorHAnsi"/>
          <w:sz w:val="20"/>
          <w:szCs w:val="20"/>
          <w:lang w:val="es-AR"/>
        </w:rPr>
        <w:t xml:space="preserve"> “</w:t>
      </w:r>
      <w:r w:rsidR="00524888" w:rsidRPr="00386E47">
        <w:rPr>
          <w:rFonts w:asciiTheme="majorHAnsi" w:eastAsia="Calibri" w:hAnsiTheme="majorHAnsi"/>
          <w:sz w:val="20"/>
          <w:szCs w:val="20"/>
          <w:lang w:val="es-AR"/>
        </w:rPr>
        <w:t>Pista S</w:t>
      </w:r>
      <w:r w:rsidRPr="00386E47">
        <w:rPr>
          <w:rFonts w:asciiTheme="majorHAnsi" w:eastAsia="Calibri" w:hAnsiTheme="majorHAnsi"/>
          <w:sz w:val="20"/>
          <w:szCs w:val="20"/>
          <w:lang w:val="es-AR"/>
        </w:rPr>
        <w:t>iria</w:t>
      </w:r>
      <w:r w:rsidR="003D55E1" w:rsidRPr="00386E47">
        <w:rPr>
          <w:rFonts w:asciiTheme="majorHAnsi" w:eastAsia="Calibri" w:hAnsiTheme="majorHAnsi"/>
          <w:sz w:val="20"/>
          <w:szCs w:val="20"/>
          <w:lang w:val="es-AR"/>
        </w:rPr>
        <w:t>/Kanoore Edul</w:t>
      </w:r>
      <w:r w:rsidRPr="00386E47">
        <w:rPr>
          <w:rFonts w:asciiTheme="majorHAnsi" w:eastAsia="Calibri" w:hAnsiTheme="majorHAnsi"/>
          <w:sz w:val="20"/>
          <w:szCs w:val="20"/>
          <w:lang w:val="es-AR"/>
        </w:rPr>
        <w:t xml:space="preserve">”. Su origen tiene que ver con la constatación, efectuada a partir del análisis del registro de llamadas entrantes y salientes </w:t>
      </w:r>
      <w:r w:rsidR="00207892" w:rsidRPr="00386E47">
        <w:rPr>
          <w:rFonts w:asciiTheme="majorHAnsi" w:eastAsia="Calibri" w:hAnsiTheme="majorHAnsi"/>
          <w:sz w:val="20"/>
          <w:szCs w:val="20"/>
          <w:lang w:val="es-AR"/>
        </w:rPr>
        <w:t>de la línea telefónica instalada</w:t>
      </w:r>
      <w:r w:rsidRPr="00386E47">
        <w:rPr>
          <w:rFonts w:asciiTheme="majorHAnsi" w:eastAsia="Calibri" w:hAnsiTheme="majorHAnsi"/>
          <w:sz w:val="20"/>
          <w:szCs w:val="20"/>
          <w:lang w:val="es-AR"/>
        </w:rPr>
        <w:t xml:space="preserve"> en el domicilio de Carlos Telleldin, que el día 10 de julio de 1994 recibió un llamado proveniente de una línea </w:t>
      </w:r>
      <w:r w:rsidR="00207892" w:rsidRPr="00386E47">
        <w:rPr>
          <w:rFonts w:asciiTheme="majorHAnsi" w:eastAsia="Calibri" w:hAnsiTheme="majorHAnsi"/>
          <w:sz w:val="20"/>
          <w:szCs w:val="20"/>
          <w:lang w:val="es-AR"/>
        </w:rPr>
        <w:t>perteneciente a</w:t>
      </w:r>
      <w:r w:rsidRPr="00386E47">
        <w:rPr>
          <w:rFonts w:asciiTheme="majorHAnsi" w:eastAsia="Calibri" w:hAnsiTheme="majorHAnsi"/>
          <w:sz w:val="20"/>
          <w:szCs w:val="20"/>
          <w:lang w:val="es-AR"/>
        </w:rPr>
        <w:t xml:space="preserve"> una empresa propiedad de un hombre llamado Alberto Jacinto Kanoore Edul. La investigación judicial también comprobó que, durante los días 9 y 10 de julio de 1994, esto es 8 días antes del atentado, Carlos Telleldin había publicado un aviso clasificado en un periódico ofreciendo </w:t>
      </w:r>
      <w:r w:rsidR="003D55E1" w:rsidRPr="00386E47">
        <w:rPr>
          <w:rFonts w:asciiTheme="majorHAnsi" w:eastAsia="Calibri" w:hAnsiTheme="majorHAnsi"/>
          <w:sz w:val="20"/>
          <w:szCs w:val="20"/>
          <w:lang w:val="es-AR"/>
        </w:rPr>
        <w:t xml:space="preserve">en venta </w:t>
      </w:r>
      <w:r w:rsidRPr="00386E47">
        <w:rPr>
          <w:rFonts w:asciiTheme="majorHAnsi" w:eastAsia="Calibri" w:hAnsiTheme="majorHAnsi"/>
          <w:sz w:val="20"/>
          <w:szCs w:val="20"/>
          <w:lang w:val="es-AR"/>
        </w:rPr>
        <w:t>una camioneta Renault Trafic</w:t>
      </w:r>
      <w:r w:rsidR="00207892" w:rsidRPr="00386E47">
        <w:rPr>
          <w:rStyle w:val="FootnoteReference"/>
          <w:rFonts w:asciiTheme="majorHAnsi" w:eastAsia="Calibri" w:hAnsiTheme="majorHAnsi"/>
          <w:sz w:val="20"/>
          <w:szCs w:val="20"/>
          <w:lang w:val="es-AR"/>
        </w:rPr>
        <w:footnoteReference w:id="156"/>
      </w:r>
      <w:r w:rsidRPr="00386E47">
        <w:rPr>
          <w:rFonts w:asciiTheme="majorHAnsi" w:eastAsia="Calibri" w:hAnsiTheme="majorHAnsi"/>
          <w:sz w:val="20"/>
          <w:szCs w:val="20"/>
          <w:lang w:val="es-AR"/>
        </w:rPr>
        <w:t>.</w:t>
      </w:r>
    </w:p>
    <w:p w14:paraId="449ACD99" w14:textId="77777777" w:rsidR="00207892" w:rsidRPr="00386E47" w:rsidRDefault="00207892" w:rsidP="00D90B05">
      <w:pPr>
        <w:tabs>
          <w:tab w:val="left" w:pos="0"/>
          <w:tab w:val="left" w:pos="567"/>
        </w:tabs>
        <w:contextualSpacing/>
        <w:jc w:val="both"/>
        <w:rPr>
          <w:rFonts w:asciiTheme="majorHAnsi" w:eastAsia="Calibri" w:hAnsiTheme="majorHAnsi"/>
          <w:b/>
          <w:sz w:val="20"/>
          <w:szCs w:val="20"/>
          <w:lang w:val="es-AR"/>
        </w:rPr>
      </w:pPr>
    </w:p>
    <w:p w14:paraId="01CE5195" w14:textId="77777777" w:rsidR="00207892" w:rsidRPr="00386E47" w:rsidRDefault="009F70EA" w:rsidP="003A5860">
      <w:pPr>
        <w:numPr>
          <w:ilvl w:val="0"/>
          <w:numId w:val="55"/>
        </w:numPr>
        <w:tabs>
          <w:tab w:val="left" w:pos="0"/>
          <w:tab w:val="left" w:pos="567"/>
        </w:tabs>
        <w:ind w:left="0" w:firstLine="0"/>
        <w:contextualSpacing/>
        <w:jc w:val="both"/>
        <w:rPr>
          <w:rFonts w:asciiTheme="majorHAnsi" w:eastAsia="Calibri" w:hAnsiTheme="majorHAnsi"/>
          <w:b/>
          <w:sz w:val="20"/>
          <w:szCs w:val="20"/>
          <w:lang w:val="es-AR"/>
        </w:rPr>
      </w:pPr>
      <w:r w:rsidRPr="00386E47">
        <w:rPr>
          <w:rFonts w:asciiTheme="majorHAnsi" w:eastAsia="Calibri" w:hAnsiTheme="majorHAnsi"/>
          <w:sz w:val="20"/>
          <w:szCs w:val="20"/>
          <w:lang w:val="es-AR"/>
        </w:rPr>
        <w:t xml:space="preserve">Asimismo, </w:t>
      </w:r>
      <w:r w:rsidR="002B48A7" w:rsidRPr="00386E47">
        <w:rPr>
          <w:rFonts w:asciiTheme="majorHAnsi" w:eastAsia="Calibri" w:hAnsiTheme="majorHAnsi"/>
          <w:sz w:val="20"/>
          <w:szCs w:val="20"/>
          <w:lang w:val="es-AR"/>
        </w:rPr>
        <w:t xml:space="preserve">y de acuerdo con la sentencia del Tribunal Oral en lo Criminal Federal Nro. 2 (TOF 2) de mayo de 2019, </w:t>
      </w:r>
      <w:r w:rsidR="00207892" w:rsidRPr="00386E47">
        <w:rPr>
          <w:rFonts w:asciiTheme="majorHAnsi" w:eastAsia="Calibri" w:hAnsiTheme="majorHAnsi"/>
          <w:sz w:val="20"/>
          <w:szCs w:val="20"/>
          <w:lang w:val="es-AR"/>
        </w:rPr>
        <w:t xml:space="preserve">en el mismo </w:t>
      </w:r>
      <w:r w:rsidR="002B48A7" w:rsidRPr="00386E47">
        <w:rPr>
          <w:rFonts w:asciiTheme="majorHAnsi" w:eastAsia="Calibri" w:hAnsiTheme="majorHAnsi"/>
          <w:sz w:val="20"/>
          <w:szCs w:val="20"/>
          <w:lang w:val="es-AR"/>
        </w:rPr>
        <w:t>día</w:t>
      </w:r>
      <w:r w:rsidR="00207892" w:rsidRPr="00386E47">
        <w:rPr>
          <w:rFonts w:asciiTheme="majorHAnsi" w:eastAsia="Calibri" w:hAnsiTheme="majorHAnsi"/>
          <w:sz w:val="20"/>
          <w:szCs w:val="20"/>
          <w:lang w:val="es-AR"/>
        </w:rPr>
        <w:t xml:space="preserve"> de</w:t>
      </w:r>
      <w:r w:rsidR="003D55E1" w:rsidRPr="00386E47">
        <w:rPr>
          <w:rFonts w:asciiTheme="majorHAnsi" w:eastAsia="Calibri" w:hAnsiTheme="majorHAnsi"/>
          <w:sz w:val="20"/>
          <w:szCs w:val="20"/>
          <w:lang w:val="es-AR"/>
        </w:rPr>
        <w:t>l</w:t>
      </w:r>
      <w:r w:rsidRPr="00386E47">
        <w:rPr>
          <w:rFonts w:asciiTheme="majorHAnsi" w:eastAsia="Calibri" w:hAnsiTheme="majorHAnsi"/>
          <w:sz w:val="20"/>
          <w:szCs w:val="20"/>
          <w:lang w:val="es-AR"/>
        </w:rPr>
        <w:t xml:space="preserve"> atentado</w:t>
      </w:r>
      <w:r w:rsidR="007D1821" w:rsidRPr="00386E47">
        <w:rPr>
          <w:rFonts w:asciiTheme="majorHAnsi" w:eastAsia="Calibri" w:hAnsiTheme="majorHAnsi"/>
          <w:sz w:val="20"/>
          <w:szCs w:val="20"/>
          <w:lang w:val="es-AR"/>
        </w:rPr>
        <w:t>,</w:t>
      </w:r>
      <w:r w:rsidR="00840D8A" w:rsidRPr="00386E47">
        <w:rPr>
          <w:rFonts w:asciiTheme="majorHAnsi" w:eastAsia="Calibri" w:hAnsiTheme="majorHAnsi"/>
          <w:sz w:val="20"/>
          <w:szCs w:val="20"/>
          <w:lang w:val="es-AR"/>
        </w:rPr>
        <w:t xml:space="preserve"> </w:t>
      </w:r>
      <w:r w:rsidR="002B48A7" w:rsidRPr="00386E47">
        <w:rPr>
          <w:rFonts w:asciiTheme="majorHAnsi" w:eastAsia="Calibri" w:hAnsiTheme="majorHAnsi"/>
          <w:sz w:val="20"/>
          <w:szCs w:val="20"/>
          <w:lang w:val="es-AR"/>
        </w:rPr>
        <w:t>los investigadores ya habían constatado</w:t>
      </w:r>
      <w:r w:rsidRPr="00386E47">
        <w:rPr>
          <w:rFonts w:asciiTheme="majorHAnsi" w:eastAsia="Calibri" w:hAnsiTheme="majorHAnsi"/>
          <w:sz w:val="20"/>
          <w:szCs w:val="20"/>
          <w:lang w:val="es-AR"/>
        </w:rPr>
        <w:t xml:space="preserve"> que,</w:t>
      </w:r>
      <w:r w:rsidR="002B48A7" w:rsidRPr="00386E47">
        <w:rPr>
          <w:rFonts w:asciiTheme="majorHAnsi" w:eastAsia="Calibri" w:hAnsiTheme="majorHAnsi"/>
          <w:sz w:val="20"/>
          <w:szCs w:val="20"/>
          <w:lang w:val="es-AR"/>
        </w:rPr>
        <w:t xml:space="preserve"> unos</w:t>
      </w:r>
      <w:r w:rsidRPr="00386E47">
        <w:rPr>
          <w:rFonts w:asciiTheme="majorHAnsi" w:eastAsia="Calibri" w:hAnsiTheme="majorHAnsi"/>
          <w:sz w:val="20"/>
          <w:szCs w:val="20"/>
          <w:lang w:val="es-AR"/>
        </w:rPr>
        <w:t xml:space="preserve"> minutos previos a la explosión, “un empleado de la empresa Cascotera Santa Rita, cuyo dueño era Nassib Haddad, depositó un volquete frente a la sed</w:t>
      </w:r>
      <w:r w:rsidR="00DB6627" w:rsidRPr="00386E47">
        <w:rPr>
          <w:rFonts w:asciiTheme="majorHAnsi" w:eastAsia="Calibri" w:hAnsiTheme="majorHAnsi"/>
          <w:sz w:val="20"/>
          <w:szCs w:val="20"/>
          <w:lang w:val="es-AR"/>
        </w:rPr>
        <w:t>e de la AMIA-DAIA y que trasladó</w:t>
      </w:r>
      <w:r w:rsidRPr="00386E47">
        <w:rPr>
          <w:rFonts w:asciiTheme="majorHAnsi" w:eastAsia="Calibri" w:hAnsiTheme="majorHAnsi"/>
          <w:sz w:val="20"/>
          <w:szCs w:val="20"/>
          <w:lang w:val="es-AR"/>
        </w:rPr>
        <w:t xml:space="preserve"> otro volquete que estaba allí apostado al domicilio sito en la calle Constitución 2657”</w:t>
      </w:r>
      <w:r w:rsidRPr="00386E47">
        <w:rPr>
          <w:rFonts w:asciiTheme="majorHAnsi" w:eastAsia="Calibri" w:hAnsiTheme="majorHAnsi"/>
          <w:sz w:val="20"/>
          <w:szCs w:val="20"/>
          <w:vertAlign w:val="superscript"/>
          <w:lang w:val="es-AR"/>
        </w:rPr>
        <w:footnoteReference w:id="157"/>
      </w:r>
      <w:r w:rsidRPr="00386E47">
        <w:rPr>
          <w:rFonts w:asciiTheme="majorHAnsi" w:eastAsia="Calibri" w:hAnsiTheme="majorHAnsi"/>
          <w:sz w:val="20"/>
          <w:szCs w:val="20"/>
          <w:lang w:val="es-AR"/>
        </w:rPr>
        <w:t xml:space="preserve">. El domicilio de la empresa de Kanoore Edul </w:t>
      </w:r>
      <w:r w:rsidR="00DB6627" w:rsidRPr="00386E47">
        <w:rPr>
          <w:rFonts w:asciiTheme="majorHAnsi" w:eastAsia="Calibri" w:hAnsiTheme="majorHAnsi"/>
          <w:sz w:val="20"/>
          <w:szCs w:val="20"/>
          <w:lang w:val="es-AR"/>
        </w:rPr>
        <w:t>estaba situado en</w:t>
      </w:r>
      <w:r w:rsidRPr="00386E47">
        <w:rPr>
          <w:rFonts w:asciiTheme="majorHAnsi" w:eastAsia="Calibri" w:hAnsiTheme="majorHAnsi"/>
          <w:sz w:val="20"/>
          <w:szCs w:val="20"/>
          <w:lang w:val="es-AR"/>
        </w:rPr>
        <w:t xml:space="preserve"> Constitución 2695, es decir en la misma cuadra donde fue depositado el volquete de la Cascotera Santa Rita. </w:t>
      </w:r>
    </w:p>
    <w:p w14:paraId="631C834A" w14:textId="77777777" w:rsidR="00207892" w:rsidRPr="00386E47" w:rsidRDefault="00207892" w:rsidP="00D90B05">
      <w:pPr>
        <w:tabs>
          <w:tab w:val="left" w:pos="0"/>
          <w:tab w:val="left" w:pos="567"/>
        </w:tabs>
        <w:contextualSpacing/>
        <w:jc w:val="both"/>
        <w:rPr>
          <w:rFonts w:asciiTheme="majorHAnsi" w:eastAsia="Calibri" w:hAnsiTheme="majorHAnsi"/>
          <w:b/>
          <w:sz w:val="20"/>
          <w:szCs w:val="20"/>
          <w:lang w:val="es-AR"/>
        </w:rPr>
      </w:pPr>
    </w:p>
    <w:p w14:paraId="57E596A2" w14:textId="77777777" w:rsidR="00667DDF" w:rsidRPr="00386E47" w:rsidRDefault="002B48A7" w:rsidP="003A5860">
      <w:pPr>
        <w:numPr>
          <w:ilvl w:val="0"/>
          <w:numId w:val="55"/>
        </w:numPr>
        <w:tabs>
          <w:tab w:val="left" w:pos="0"/>
          <w:tab w:val="left" w:pos="567"/>
        </w:tabs>
        <w:ind w:left="0" w:firstLine="0"/>
        <w:contextualSpacing/>
        <w:jc w:val="both"/>
        <w:rPr>
          <w:rFonts w:asciiTheme="majorHAnsi" w:eastAsia="Calibri" w:hAnsiTheme="majorHAnsi"/>
          <w:b/>
          <w:sz w:val="20"/>
          <w:szCs w:val="20"/>
          <w:lang w:val="es-AR"/>
        </w:rPr>
      </w:pPr>
      <w:r w:rsidRPr="00386E47">
        <w:rPr>
          <w:rFonts w:asciiTheme="majorHAnsi" w:eastAsia="Calibri" w:hAnsiTheme="majorHAnsi"/>
          <w:sz w:val="20"/>
          <w:szCs w:val="20"/>
          <w:lang w:val="es-AR"/>
        </w:rPr>
        <w:t xml:space="preserve">Teniendo en cuenta ambos datos, el TOF 2 concluyó que, </w:t>
      </w:r>
      <w:r w:rsidR="009F70EA" w:rsidRPr="00386E47">
        <w:rPr>
          <w:rFonts w:asciiTheme="majorHAnsi" w:eastAsia="Calibri" w:hAnsiTheme="majorHAnsi"/>
          <w:sz w:val="20"/>
          <w:szCs w:val="20"/>
          <w:lang w:val="es-AR"/>
        </w:rPr>
        <w:t>hacia fines del mes de julio de 1994</w:t>
      </w:r>
      <w:r w:rsidRPr="00386E47">
        <w:rPr>
          <w:rFonts w:asciiTheme="majorHAnsi" w:eastAsia="Calibri" w:hAnsiTheme="majorHAnsi"/>
          <w:sz w:val="20"/>
          <w:szCs w:val="20"/>
          <w:lang w:val="es-AR"/>
        </w:rPr>
        <w:t>,</w:t>
      </w:r>
      <w:r w:rsidR="009F70EA" w:rsidRPr="00386E47">
        <w:rPr>
          <w:rFonts w:asciiTheme="majorHAnsi" w:eastAsia="Calibri" w:hAnsiTheme="majorHAnsi"/>
          <w:sz w:val="20"/>
          <w:szCs w:val="20"/>
          <w:lang w:val="es-AR"/>
        </w:rPr>
        <w:t xml:space="preserve"> resultaba “evidente la seriedad y consecuente necesidad e importancia de profundizar la hipótesis respecto de la intervención de Alberto Jacinto Kanoore Edul en el atentado</w:t>
      </w:r>
      <w:r w:rsidR="00DB6627" w:rsidRPr="00386E47">
        <w:rPr>
          <w:rFonts w:asciiTheme="majorHAnsi" w:eastAsia="Calibri" w:hAnsiTheme="majorHAnsi"/>
          <w:sz w:val="20"/>
          <w:szCs w:val="20"/>
          <w:lang w:val="es-AR"/>
        </w:rPr>
        <w:t>,</w:t>
      </w:r>
      <w:r w:rsidR="009F70EA" w:rsidRPr="00386E47">
        <w:rPr>
          <w:rFonts w:asciiTheme="majorHAnsi" w:eastAsia="Calibri" w:hAnsiTheme="majorHAnsi"/>
          <w:sz w:val="20"/>
          <w:szCs w:val="20"/>
          <w:lang w:val="es-AR"/>
        </w:rPr>
        <w:t xml:space="preserve"> ya que a ese momento constituía la línea de investigación más sólida y concreta que presentaba el proceso”</w:t>
      </w:r>
      <w:r w:rsidR="009F70EA" w:rsidRPr="00386E47">
        <w:rPr>
          <w:rFonts w:asciiTheme="majorHAnsi" w:eastAsia="Calibri" w:hAnsiTheme="majorHAnsi"/>
          <w:sz w:val="20"/>
          <w:szCs w:val="20"/>
          <w:vertAlign w:val="superscript"/>
          <w:lang w:val="es-AR"/>
        </w:rPr>
        <w:footnoteReference w:id="158"/>
      </w:r>
      <w:r w:rsidR="009F70EA" w:rsidRPr="00386E47">
        <w:rPr>
          <w:rFonts w:asciiTheme="majorHAnsi" w:eastAsia="Calibri" w:hAnsiTheme="majorHAnsi"/>
          <w:sz w:val="20"/>
          <w:szCs w:val="20"/>
          <w:lang w:val="es-AR"/>
        </w:rPr>
        <w:t xml:space="preserve">. </w:t>
      </w:r>
      <w:r w:rsidR="00667DDF" w:rsidRPr="00386E47">
        <w:rPr>
          <w:rFonts w:asciiTheme="majorHAnsi" w:eastAsia="Calibri" w:hAnsiTheme="majorHAnsi"/>
          <w:sz w:val="20"/>
          <w:szCs w:val="20"/>
          <w:lang w:val="es-AR"/>
        </w:rPr>
        <w:t>En consecuencia, el juez Galeano dispuso la intervención telefónica con escucha directa de una serie de teléfonos vinculados a Kanoore Edul y ordenó a la Policía Federal que proced</w:t>
      </w:r>
      <w:r w:rsidR="006B795B" w:rsidRPr="00386E47">
        <w:rPr>
          <w:rFonts w:asciiTheme="majorHAnsi" w:eastAsia="Calibri" w:hAnsiTheme="majorHAnsi"/>
          <w:sz w:val="20"/>
          <w:szCs w:val="20"/>
          <w:lang w:val="es-AR"/>
        </w:rPr>
        <w:t>ier</w:t>
      </w:r>
      <w:r w:rsidR="00667DDF" w:rsidRPr="00386E47">
        <w:rPr>
          <w:rFonts w:asciiTheme="majorHAnsi" w:eastAsia="Calibri" w:hAnsiTheme="majorHAnsi"/>
          <w:sz w:val="20"/>
          <w:szCs w:val="20"/>
          <w:lang w:val="es-AR"/>
        </w:rPr>
        <w:t>a a allanar el domicilio de la calle Constitución 2695 y otros dos situados en Constitución 2633 y 2745</w:t>
      </w:r>
      <w:r w:rsidR="00667DDF" w:rsidRPr="00386E47">
        <w:rPr>
          <w:rStyle w:val="FootnoteReference"/>
          <w:rFonts w:asciiTheme="majorHAnsi" w:eastAsia="Calibri" w:hAnsiTheme="majorHAnsi"/>
          <w:sz w:val="20"/>
          <w:szCs w:val="20"/>
          <w:lang w:val="es-AR"/>
        </w:rPr>
        <w:footnoteReference w:id="159"/>
      </w:r>
      <w:r w:rsidR="00667DDF" w:rsidRPr="00386E47">
        <w:rPr>
          <w:rFonts w:asciiTheme="majorHAnsi" w:eastAsia="Calibri" w:hAnsiTheme="majorHAnsi"/>
          <w:sz w:val="20"/>
          <w:szCs w:val="20"/>
          <w:lang w:val="es-AR"/>
        </w:rPr>
        <w:t>.</w:t>
      </w:r>
    </w:p>
    <w:p w14:paraId="1DD0B326" w14:textId="77777777" w:rsidR="00667DDF" w:rsidRPr="00386E47" w:rsidRDefault="00667DDF" w:rsidP="00D90B05">
      <w:pPr>
        <w:tabs>
          <w:tab w:val="left" w:pos="0"/>
          <w:tab w:val="left" w:pos="567"/>
        </w:tabs>
        <w:contextualSpacing/>
        <w:jc w:val="both"/>
        <w:rPr>
          <w:rFonts w:asciiTheme="majorHAnsi" w:eastAsia="Calibri" w:hAnsiTheme="majorHAnsi"/>
          <w:b/>
          <w:sz w:val="20"/>
          <w:szCs w:val="20"/>
          <w:lang w:val="es-AR"/>
        </w:rPr>
      </w:pPr>
    </w:p>
    <w:p w14:paraId="6A757AAA" w14:textId="77777777" w:rsidR="002D7022" w:rsidRPr="00386E47" w:rsidRDefault="009F70EA" w:rsidP="003A5860">
      <w:pPr>
        <w:numPr>
          <w:ilvl w:val="0"/>
          <w:numId w:val="55"/>
        </w:numPr>
        <w:tabs>
          <w:tab w:val="left" w:pos="0"/>
          <w:tab w:val="left" w:pos="567"/>
        </w:tabs>
        <w:ind w:left="0" w:firstLine="0"/>
        <w:contextualSpacing/>
        <w:jc w:val="both"/>
        <w:rPr>
          <w:rFonts w:asciiTheme="majorHAnsi" w:eastAsia="Calibri" w:hAnsiTheme="majorHAnsi"/>
          <w:b/>
          <w:sz w:val="20"/>
          <w:szCs w:val="20"/>
          <w:lang w:val="es-AR"/>
        </w:rPr>
      </w:pPr>
      <w:r w:rsidRPr="00386E47">
        <w:rPr>
          <w:rFonts w:asciiTheme="majorHAnsi" w:eastAsia="Calibri" w:hAnsiTheme="majorHAnsi"/>
          <w:sz w:val="20"/>
          <w:szCs w:val="20"/>
          <w:lang w:val="es-AR"/>
        </w:rPr>
        <w:t>Con respecto a los allanamientos, el TOF 2 tuvo por acreditado que “no fueron realizados en forma simultánea, sino sucesiva”</w:t>
      </w:r>
      <w:r w:rsidRPr="00386E47">
        <w:rPr>
          <w:rFonts w:asciiTheme="majorHAnsi" w:eastAsia="Calibri" w:hAnsiTheme="majorHAnsi"/>
          <w:sz w:val="20"/>
          <w:szCs w:val="20"/>
          <w:vertAlign w:val="superscript"/>
          <w:lang w:val="es-AR"/>
        </w:rPr>
        <w:footnoteReference w:id="160"/>
      </w:r>
      <w:r w:rsidRPr="00386E47">
        <w:rPr>
          <w:rFonts w:asciiTheme="majorHAnsi" w:eastAsia="Calibri" w:hAnsiTheme="majorHAnsi"/>
          <w:sz w:val="20"/>
          <w:szCs w:val="20"/>
          <w:lang w:val="es-AR"/>
        </w:rPr>
        <w:t xml:space="preserve"> y que ello “conspiró al mayor éxito de la medida toda vez que podría haber permitido que los ocupantes de la segunda finca, advertidos del allanamiento anterior, descarten elementos de interés a la investigación”</w:t>
      </w:r>
      <w:r w:rsidRPr="00386E47">
        <w:rPr>
          <w:rFonts w:asciiTheme="majorHAnsi" w:eastAsia="Calibri" w:hAnsiTheme="majorHAnsi"/>
          <w:sz w:val="20"/>
          <w:szCs w:val="20"/>
          <w:vertAlign w:val="superscript"/>
          <w:lang w:val="es-AR"/>
        </w:rPr>
        <w:footnoteReference w:id="161"/>
      </w:r>
      <w:r w:rsidRPr="00386E47">
        <w:rPr>
          <w:rFonts w:asciiTheme="majorHAnsi" w:eastAsia="Calibri" w:hAnsiTheme="majorHAnsi"/>
          <w:sz w:val="20"/>
          <w:szCs w:val="20"/>
          <w:lang w:val="es-AR"/>
        </w:rPr>
        <w:t xml:space="preserve">. Asimismo, el Tribunal también comprobó que los funcionarios policiales omitieron </w:t>
      </w:r>
      <w:r w:rsidR="002D7022" w:rsidRPr="00386E47">
        <w:rPr>
          <w:rFonts w:asciiTheme="majorHAnsi" w:eastAsia="Calibri" w:hAnsiTheme="majorHAnsi"/>
          <w:sz w:val="20"/>
          <w:szCs w:val="20"/>
          <w:lang w:val="es-AR"/>
        </w:rPr>
        <w:t>ejecutar el allanamiento d</w:t>
      </w:r>
      <w:r w:rsidRPr="00386E47">
        <w:rPr>
          <w:rFonts w:asciiTheme="majorHAnsi" w:eastAsia="Calibri" w:hAnsiTheme="majorHAnsi"/>
          <w:sz w:val="20"/>
          <w:szCs w:val="20"/>
          <w:lang w:val="es-AR"/>
        </w:rPr>
        <w:t xml:space="preserve">el inmueble de la calle Constitución 2633 y no dieron razones valederas para actuar de ese modo. El ex juez Galeano, conforme lo estableció el TOF 2, “se limitó a agregar en el expediente las actuaciones […] sin </w:t>
      </w:r>
      <w:r w:rsidRPr="00386E47">
        <w:rPr>
          <w:rFonts w:asciiTheme="majorHAnsi" w:eastAsia="Calibri" w:hAnsiTheme="majorHAnsi"/>
          <w:sz w:val="20"/>
          <w:szCs w:val="20"/>
          <w:lang w:val="es-AR"/>
        </w:rPr>
        <w:lastRenderedPageBreak/>
        <w:t>realizar ningún tipo de observación ni requerir explicaciones, consintiendo así el ilegal accionar del personal que estaba a cargo de la medida”</w:t>
      </w:r>
      <w:r w:rsidRPr="00386E47">
        <w:rPr>
          <w:rFonts w:asciiTheme="majorHAnsi" w:eastAsia="Calibri" w:hAnsiTheme="majorHAnsi"/>
          <w:sz w:val="20"/>
          <w:szCs w:val="20"/>
          <w:vertAlign w:val="superscript"/>
          <w:lang w:val="es-AR"/>
        </w:rPr>
        <w:footnoteReference w:id="162"/>
      </w:r>
      <w:r w:rsidRPr="00386E47">
        <w:rPr>
          <w:rFonts w:asciiTheme="majorHAnsi" w:eastAsia="Calibri" w:hAnsiTheme="majorHAnsi"/>
          <w:sz w:val="20"/>
          <w:szCs w:val="20"/>
          <w:lang w:val="es-AR"/>
        </w:rPr>
        <w:t xml:space="preserve">.   </w:t>
      </w:r>
    </w:p>
    <w:p w14:paraId="37EFBF00" w14:textId="77777777" w:rsidR="002D7022" w:rsidRPr="00386E47" w:rsidRDefault="002D7022" w:rsidP="00D90B05">
      <w:pPr>
        <w:tabs>
          <w:tab w:val="left" w:pos="0"/>
          <w:tab w:val="left" w:pos="567"/>
        </w:tabs>
        <w:contextualSpacing/>
        <w:jc w:val="both"/>
        <w:rPr>
          <w:rFonts w:asciiTheme="majorHAnsi" w:eastAsia="Calibri" w:hAnsiTheme="majorHAnsi"/>
          <w:b/>
          <w:sz w:val="20"/>
          <w:szCs w:val="20"/>
          <w:lang w:val="es-AR"/>
        </w:rPr>
      </w:pPr>
    </w:p>
    <w:p w14:paraId="037F246B" w14:textId="77777777" w:rsidR="00FF50CB" w:rsidRPr="00386E47" w:rsidRDefault="009F70EA" w:rsidP="003A5860">
      <w:pPr>
        <w:numPr>
          <w:ilvl w:val="0"/>
          <w:numId w:val="55"/>
        </w:numPr>
        <w:tabs>
          <w:tab w:val="left" w:pos="0"/>
          <w:tab w:val="left" w:pos="567"/>
        </w:tabs>
        <w:ind w:left="0" w:firstLine="0"/>
        <w:contextualSpacing/>
        <w:jc w:val="both"/>
        <w:rPr>
          <w:rFonts w:asciiTheme="majorHAnsi" w:eastAsia="Calibri" w:hAnsiTheme="majorHAnsi"/>
          <w:b/>
          <w:sz w:val="20"/>
          <w:szCs w:val="20"/>
          <w:lang w:val="es-AR"/>
        </w:rPr>
      </w:pPr>
      <w:r w:rsidRPr="00386E47">
        <w:rPr>
          <w:rFonts w:asciiTheme="majorHAnsi" w:eastAsia="Calibri" w:hAnsiTheme="majorHAnsi"/>
          <w:sz w:val="20"/>
          <w:szCs w:val="20"/>
          <w:lang w:val="es-AR"/>
        </w:rPr>
        <w:t xml:space="preserve">En lo que tiene que ver con las medidas de interceptación de las comunicaciones telefónicas de los abonados vinculados con el Sr. Kanoore </w:t>
      </w:r>
      <w:r w:rsidR="002D7022" w:rsidRPr="00386E47">
        <w:rPr>
          <w:rFonts w:asciiTheme="majorHAnsi" w:eastAsia="Calibri" w:hAnsiTheme="majorHAnsi"/>
          <w:sz w:val="20"/>
          <w:szCs w:val="20"/>
          <w:lang w:val="es-AR"/>
        </w:rPr>
        <w:t>Edul, el</w:t>
      </w:r>
      <w:r w:rsidRPr="00386E47">
        <w:rPr>
          <w:rFonts w:asciiTheme="majorHAnsi" w:eastAsia="Calibri" w:hAnsiTheme="majorHAnsi"/>
          <w:sz w:val="20"/>
          <w:szCs w:val="20"/>
          <w:lang w:val="es-AR"/>
        </w:rPr>
        <w:t xml:space="preserve"> TOF 2 constató que el 26 de julio de 1994 el ex Juez Galeano </w:t>
      </w:r>
      <w:r w:rsidR="002D7022" w:rsidRPr="00386E47">
        <w:rPr>
          <w:rFonts w:asciiTheme="majorHAnsi" w:eastAsia="Calibri" w:hAnsiTheme="majorHAnsi"/>
          <w:sz w:val="20"/>
          <w:szCs w:val="20"/>
          <w:lang w:val="es-AR"/>
        </w:rPr>
        <w:t>dispuso</w:t>
      </w:r>
      <w:r w:rsidRPr="00386E47">
        <w:rPr>
          <w:rFonts w:asciiTheme="majorHAnsi" w:eastAsia="Calibri" w:hAnsiTheme="majorHAnsi"/>
          <w:sz w:val="20"/>
          <w:szCs w:val="20"/>
          <w:lang w:val="es-AR"/>
        </w:rPr>
        <w:t xml:space="preserve"> la intervención bajo la modalidad de escucha directa de tres líneas solicitadas por la SIDE. Las interceptaciones </w:t>
      </w:r>
      <w:r w:rsidR="002D7022" w:rsidRPr="00386E47">
        <w:rPr>
          <w:rFonts w:asciiTheme="majorHAnsi" w:eastAsia="Calibri" w:hAnsiTheme="majorHAnsi"/>
          <w:sz w:val="20"/>
          <w:szCs w:val="20"/>
          <w:lang w:val="es-AR"/>
        </w:rPr>
        <w:t>fueron materializadas a partir del 29 de julio</w:t>
      </w:r>
      <w:r w:rsidR="00B52E89" w:rsidRPr="00386E47">
        <w:rPr>
          <w:rStyle w:val="FootnoteReference"/>
          <w:rFonts w:asciiTheme="majorHAnsi" w:eastAsia="Calibri" w:hAnsiTheme="majorHAnsi"/>
          <w:sz w:val="20"/>
          <w:szCs w:val="20"/>
          <w:lang w:val="es-AR"/>
        </w:rPr>
        <w:footnoteReference w:id="163"/>
      </w:r>
      <w:r w:rsidR="002D7022" w:rsidRPr="00386E47">
        <w:rPr>
          <w:rFonts w:asciiTheme="majorHAnsi" w:eastAsia="Calibri" w:hAnsiTheme="majorHAnsi"/>
          <w:sz w:val="20"/>
          <w:szCs w:val="20"/>
          <w:lang w:val="es-AR"/>
        </w:rPr>
        <w:t xml:space="preserve"> De acuerdo con la legislación y las pr</w:t>
      </w:r>
      <w:r w:rsidR="00840D8A" w:rsidRPr="00386E47">
        <w:rPr>
          <w:rFonts w:asciiTheme="majorHAnsi" w:eastAsia="Calibri" w:hAnsiTheme="majorHAnsi"/>
          <w:sz w:val="20"/>
          <w:szCs w:val="20"/>
          <w:lang w:val="es-AR"/>
        </w:rPr>
        <w:t>á</w:t>
      </w:r>
      <w:r w:rsidR="002D7022" w:rsidRPr="00386E47">
        <w:rPr>
          <w:rFonts w:asciiTheme="majorHAnsi" w:eastAsia="Calibri" w:hAnsiTheme="majorHAnsi"/>
          <w:sz w:val="20"/>
          <w:szCs w:val="20"/>
          <w:lang w:val="es-AR"/>
        </w:rPr>
        <w:t>cticas vigentes en ese momento, agentes de la SIDE</w:t>
      </w:r>
      <w:r w:rsidR="00FF50CB" w:rsidRPr="00386E47">
        <w:rPr>
          <w:rFonts w:asciiTheme="majorHAnsi" w:eastAsia="Calibri" w:hAnsiTheme="majorHAnsi"/>
          <w:sz w:val="20"/>
          <w:szCs w:val="20"/>
          <w:lang w:val="es-AR"/>
        </w:rPr>
        <w:t xml:space="preserve"> estaban</w:t>
      </w:r>
      <w:r w:rsidR="002D7022" w:rsidRPr="00386E47">
        <w:rPr>
          <w:rFonts w:asciiTheme="majorHAnsi" w:eastAsia="Calibri" w:hAnsiTheme="majorHAnsi"/>
          <w:sz w:val="20"/>
          <w:szCs w:val="20"/>
          <w:lang w:val="es-AR"/>
        </w:rPr>
        <w:t xml:space="preserve"> encargados tanto</w:t>
      </w:r>
      <w:r w:rsidR="00FF50CB" w:rsidRPr="00386E47">
        <w:rPr>
          <w:rFonts w:asciiTheme="majorHAnsi" w:eastAsia="Calibri" w:hAnsiTheme="majorHAnsi"/>
          <w:sz w:val="20"/>
          <w:szCs w:val="20"/>
          <w:lang w:val="es-AR"/>
        </w:rPr>
        <w:t xml:space="preserve"> de</w:t>
      </w:r>
      <w:r w:rsidR="002D7022" w:rsidRPr="00386E47">
        <w:rPr>
          <w:rFonts w:asciiTheme="majorHAnsi" w:eastAsia="Calibri" w:hAnsiTheme="majorHAnsi"/>
          <w:sz w:val="20"/>
          <w:szCs w:val="20"/>
          <w:lang w:val="es-AR"/>
        </w:rPr>
        <w:t xml:space="preserve"> arbitrar los </w:t>
      </w:r>
      <w:r w:rsidR="00FF50CB" w:rsidRPr="00386E47">
        <w:rPr>
          <w:rFonts w:asciiTheme="majorHAnsi" w:eastAsia="Calibri" w:hAnsiTheme="majorHAnsi"/>
          <w:sz w:val="20"/>
          <w:szCs w:val="20"/>
          <w:lang w:val="es-AR"/>
        </w:rPr>
        <w:t>medios para interceptar las comunicaciones, como de proceder a escuchar de manera directa las conversaciones</w:t>
      </w:r>
      <w:r w:rsidR="00C46AD4" w:rsidRPr="00386E47">
        <w:rPr>
          <w:rFonts w:asciiTheme="majorHAnsi" w:eastAsia="Calibri" w:hAnsiTheme="majorHAnsi"/>
          <w:sz w:val="20"/>
          <w:szCs w:val="20"/>
          <w:lang w:val="es-AR"/>
        </w:rPr>
        <w:t xml:space="preserve"> y </w:t>
      </w:r>
      <w:r w:rsidR="00FF50CB" w:rsidRPr="00386E47">
        <w:rPr>
          <w:rFonts w:asciiTheme="majorHAnsi" w:eastAsia="Calibri" w:hAnsiTheme="majorHAnsi"/>
          <w:sz w:val="20"/>
          <w:szCs w:val="20"/>
          <w:lang w:val="es-AR"/>
        </w:rPr>
        <w:t>grabarlas en diversos soportes</w:t>
      </w:r>
      <w:r w:rsidR="00FF50CB" w:rsidRPr="00386E47">
        <w:rPr>
          <w:rStyle w:val="FootnoteReference"/>
          <w:rFonts w:asciiTheme="majorHAnsi" w:eastAsia="Calibri" w:hAnsiTheme="majorHAnsi"/>
          <w:sz w:val="20"/>
          <w:szCs w:val="20"/>
          <w:lang w:val="es-AR"/>
        </w:rPr>
        <w:footnoteReference w:id="164"/>
      </w:r>
      <w:r w:rsidR="00FF50CB" w:rsidRPr="00386E47">
        <w:rPr>
          <w:rFonts w:asciiTheme="majorHAnsi" w:eastAsia="Calibri" w:hAnsiTheme="majorHAnsi"/>
          <w:sz w:val="20"/>
          <w:szCs w:val="20"/>
          <w:lang w:val="es-AR"/>
        </w:rPr>
        <w:t>.</w:t>
      </w:r>
    </w:p>
    <w:p w14:paraId="3FA4BFF0" w14:textId="77777777" w:rsidR="00FF50CB" w:rsidRPr="00386E47" w:rsidRDefault="00FF50CB" w:rsidP="00D90B05">
      <w:pPr>
        <w:tabs>
          <w:tab w:val="left" w:pos="0"/>
          <w:tab w:val="left" w:pos="567"/>
        </w:tabs>
        <w:contextualSpacing/>
        <w:jc w:val="both"/>
        <w:rPr>
          <w:rFonts w:asciiTheme="majorHAnsi" w:eastAsia="Calibri" w:hAnsiTheme="majorHAnsi"/>
          <w:b/>
          <w:sz w:val="20"/>
          <w:szCs w:val="20"/>
          <w:lang w:val="es-AR"/>
        </w:rPr>
      </w:pPr>
    </w:p>
    <w:p w14:paraId="2E643454" w14:textId="77777777" w:rsidR="00FF50CB" w:rsidRPr="00386E47" w:rsidRDefault="002D7022" w:rsidP="003A5860">
      <w:pPr>
        <w:numPr>
          <w:ilvl w:val="0"/>
          <w:numId w:val="55"/>
        </w:numPr>
        <w:tabs>
          <w:tab w:val="left" w:pos="0"/>
          <w:tab w:val="left" w:pos="567"/>
        </w:tabs>
        <w:ind w:left="0" w:firstLine="0"/>
        <w:contextualSpacing/>
        <w:jc w:val="both"/>
        <w:rPr>
          <w:rFonts w:asciiTheme="majorHAnsi" w:eastAsia="Calibri" w:hAnsiTheme="majorHAnsi"/>
          <w:b/>
          <w:sz w:val="20"/>
          <w:szCs w:val="20"/>
          <w:lang w:val="es-AR"/>
        </w:rPr>
      </w:pPr>
      <w:r w:rsidRPr="00386E47">
        <w:rPr>
          <w:rFonts w:asciiTheme="majorHAnsi" w:eastAsia="Calibri" w:hAnsiTheme="majorHAnsi"/>
          <w:sz w:val="20"/>
          <w:szCs w:val="20"/>
          <w:lang w:val="es-AR"/>
        </w:rPr>
        <w:t>Sin embargo, e</w:t>
      </w:r>
      <w:r w:rsidR="009F70EA" w:rsidRPr="00386E47">
        <w:rPr>
          <w:rFonts w:asciiTheme="majorHAnsi" w:eastAsia="Calibri" w:hAnsiTheme="majorHAnsi"/>
          <w:sz w:val="20"/>
          <w:szCs w:val="20"/>
          <w:lang w:val="es-AR"/>
        </w:rPr>
        <w:t xml:space="preserve">l TOF 2 verificó que </w:t>
      </w:r>
      <w:r w:rsidRPr="00386E47">
        <w:rPr>
          <w:rFonts w:asciiTheme="majorHAnsi" w:eastAsia="Calibri" w:hAnsiTheme="majorHAnsi"/>
          <w:sz w:val="20"/>
          <w:szCs w:val="20"/>
          <w:lang w:val="es-AR"/>
        </w:rPr>
        <w:t xml:space="preserve">estas </w:t>
      </w:r>
      <w:r w:rsidR="009F70EA" w:rsidRPr="00386E47">
        <w:rPr>
          <w:rFonts w:asciiTheme="majorHAnsi" w:eastAsia="Calibri" w:hAnsiTheme="majorHAnsi"/>
          <w:sz w:val="20"/>
          <w:szCs w:val="20"/>
          <w:lang w:val="es-AR"/>
        </w:rPr>
        <w:t>tres medidas de interceptación de las comunicaciones fueron dejadas sin efecto por el Juez Galeano a instancias del Secretario y del Subsecretario de Inteligencia de la Naci</w:t>
      </w:r>
      <w:r w:rsidRPr="00386E47">
        <w:rPr>
          <w:rFonts w:asciiTheme="majorHAnsi" w:eastAsia="Calibri" w:hAnsiTheme="majorHAnsi"/>
          <w:sz w:val="20"/>
          <w:szCs w:val="20"/>
          <w:lang w:val="es-AR"/>
        </w:rPr>
        <w:t>ón. Estos funcionarios</w:t>
      </w:r>
      <w:r w:rsidR="009F70EA" w:rsidRPr="00386E47">
        <w:rPr>
          <w:rFonts w:asciiTheme="majorHAnsi" w:eastAsia="Calibri" w:hAnsiTheme="majorHAnsi"/>
          <w:sz w:val="20"/>
          <w:szCs w:val="20"/>
          <w:lang w:val="es-AR"/>
        </w:rPr>
        <w:t xml:space="preserve"> en sucesivas notas, informaron al magistrado que las medidas “carecían de valor informativo”</w:t>
      </w:r>
      <w:r w:rsidR="009F70EA" w:rsidRPr="00386E47">
        <w:rPr>
          <w:rFonts w:asciiTheme="majorHAnsi" w:eastAsia="Calibri" w:hAnsiTheme="majorHAnsi"/>
          <w:sz w:val="20"/>
          <w:szCs w:val="20"/>
          <w:vertAlign w:val="superscript"/>
          <w:lang w:val="es-AR"/>
        </w:rPr>
        <w:footnoteReference w:id="165"/>
      </w:r>
      <w:r w:rsidR="009F70EA" w:rsidRPr="00386E47">
        <w:rPr>
          <w:rFonts w:asciiTheme="majorHAnsi" w:eastAsia="Calibri" w:hAnsiTheme="majorHAnsi"/>
          <w:sz w:val="20"/>
          <w:szCs w:val="20"/>
          <w:lang w:val="es-AR"/>
        </w:rPr>
        <w:t>. El Tribunal hizo notar, asimismo, que, en los tres casos, el ex Juez Galeano “aun sin contar con las escuchas y las transcripciones que le permitieran realizar una real evaluación acerca de la importancia o no de mantener la intervención de la línea, decretó sin análisis alguno […] el cese de la intervención telefónica”</w:t>
      </w:r>
      <w:r w:rsidR="009F70EA" w:rsidRPr="00386E47">
        <w:rPr>
          <w:rFonts w:asciiTheme="majorHAnsi" w:eastAsia="Calibri" w:hAnsiTheme="majorHAnsi"/>
          <w:sz w:val="20"/>
          <w:szCs w:val="20"/>
          <w:vertAlign w:val="superscript"/>
          <w:lang w:val="es-AR"/>
        </w:rPr>
        <w:footnoteReference w:id="166"/>
      </w:r>
      <w:r w:rsidR="009F70EA" w:rsidRPr="00386E47">
        <w:rPr>
          <w:rFonts w:asciiTheme="majorHAnsi" w:eastAsia="Calibri" w:hAnsiTheme="majorHAnsi"/>
          <w:sz w:val="20"/>
          <w:szCs w:val="20"/>
          <w:lang w:val="es-AR"/>
        </w:rPr>
        <w:t>. En vista de esta situación, el TOF 2 concluyó</w:t>
      </w:r>
      <w:r w:rsidR="009F70EA" w:rsidRPr="00386E47">
        <w:rPr>
          <w:rFonts w:asciiTheme="majorHAnsi" w:eastAsia="Calibri" w:hAnsiTheme="majorHAnsi"/>
          <w:sz w:val="20"/>
          <w:szCs w:val="20"/>
          <w:lang w:val="es-US"/>
        </w:rPr>
        <w:t xml:space="preserve"> que resultaba </w:t>
      </w:r>
      <w:r w:rsidR="009F70EA" w:rsidRPr="00386E47">
        <w:rPr>
          <w:rFonts w:asciiTheme="majorHAnsi" w:eastAsia="Calibri" w:hAnsiTheme="majorHAnsi"/>
          <w:sz w:val="20"/>
          <w:szCs w:val="20"/>
          <w:lang w:val="es-AR"/>
        </w:rPr>
        <w:t>“inadmisible concluir que el producto de la escucha de la línea carecía de valor informativo sin haber realizado su correspondiente análisis y ello se explica en la voluntad de perjudicar y deliberadamente frustrar la línea de investigación sobre Kanoore Edul por parte de los agentes auxiliares de la justicia con la complacencia deliberada del juez de la causa”</w:t>
      </w:r>
      <w:r w:rsidR="009F70EA" w:rsidRPr="00386E47">
        <w:rPr>
          <w:rFonts w:asciiTheme="majorHAnsi" w:eastAsia="Calibri" w:hAnsiTheme="majorHAnsi"/>
          <w:sz w:val="20"/>
          <w:szCs w:val="20"/>
          <w:vertAlign w:val="superscript"/>
          <w:lang w:val="es-AR"/>
        </w:rPr>
        <w:footnoteReference w:id="167"/>
      </w:r>
      <w:r w:rsidR="009F70EA" w:rsidRPr="00386E47">
        <w:rPr>
          <w:rFonts w:asciiTheme="majorHAnsi" w:eastAsia="Calibri" w:hAnsiTheme="majorHAnsi"/>
          <w:sz w:val="20"/>
          <w:szCs w:val="20"/>
          <w:lang w:val="es-AR"/>
        </w:rPr>
        <w:t>.</w:t>
      </w:r>
    </w:p>
    <w:p w14:paraId="553841B2" w14:textId="77777777" w:rsidR="00FF50CB" w:rsidRPr="00386E47" w:rsidRDefault="00FF50CB" w:rsidP="00D90B05">
      <w:pPr>
        <w:tabs>
          <w:tab w:val="left" w:pos="0"/>
          <w:tab w:val="left" w:pos="567"/>
        </w:tabs>
        <w:contextualSpacing/>
        <w:jc w:val="both"/>
        <w:rPr>
          <w:rFonts w:asciiTheme="majorHAnsi" w:eastAsia="Calibri" w:hAnsiTheme="majorHAnsi"/>
          <w:b/>
          <w:sz w:val="20"/>
          <w:szCs w:val="20"/>
          <w:lang w:val="es-AR"/>
        </w:rPr>
      </w:pPr>
    </w:p>
    <w:p w14:paraId="6A3D38EE" w14:textId="77777777" w:rsidR="00FF50CB" w:rsidRPr="00386E47" w:rsidRDefault="009F70EA" w:rsidP="003A5860">
      <w:pPr>
        <w:numPr>
          <w:ilvl w:val="0"/>
          <w:numId w:val="55"/>
        </w:numPr>
        <w:tabs>
          <w:tab w:val="left" w:pos="0"/>
          <w:tab w:val="left" w:pos="567"/>
        </w:tabs>
        <w:ind w:left="0" w:firstLine="0"/>
        <w:contextualSpacing/>
        <w:jc w:val="both"/>
        <w:rPr>
          <w:rFonts w:asciiTheme="majorHAnsi" w:eastAsia="Calibri" w:hAnsiTheme="majorHAnsi"/>
          <w:b/>
          <w:sz w:val="20"/>
          <w:szCs w:val="20"/>
          <w:lang w:val="es-AR"/>
        </w:rPr>
      </w:pPr>
      <w:r w:rsidRPr="00386E47">
        <w:rPr>
          <w:rFonts w:asciiTheme="majorHAnsi" w:eastAsia="Calibri" w:hAnsiTheme="majorHAnsi"/>
          <w:sz w:val="20"/>
          <w:szCs w:val="20"/>
          <w:lang w:val="es-AR"/>
        </w:rPr>
        <w:t xml:space="preserve">Por otra parte, el Tribunal también </w:t>
      </w:r>
      <w:r w:rsidR="009F5F7E" w:rsidRPr="00386E47">
        <w:rPr>
          <w:rFonts w:asciiTheme="majorHAnsi" w:eastAsia="Calibri" w:hAnsiTheme="majorHAnsi"/>
          <w:sz w:val="20"/>
          <w:szCs w:val="20"/>
          <w:lang w:val="es-AR"/>
        </w:rPr>
        <w:t>consideró</w:t>
      </w:r>
      <w:r w:rsidRPr="00386E47">
        <w:rPr>
          <w:rFonts w:asciiTheme="majorHAnsi" w:eastAsia="Calibri" w:hAnsiTheme="majorHAnsi"/>
          <w:sz w:val="20"/>
          <w:szCs w:val="20"/>
          <w:lang w:val="es-AR"/>
        </w:rPr>
        <w:t xml:space="preserve"> probado que las cintas donde se grabaron las comunicaciones interceptadas por la SIDE a los abonados vinculados con Kanoore Edul </w:t>
      </w:r>
      <w:r w:rsidR="00B52E89" w:rsidRPr="00386E47">
        <w:rPr>
          <w:rFonts w:asciiTheme="majorHAnsi" w:eastAsia="Calibri" w:hAnsiTheme="majorHAnsi"/>
          <w:sz w:val="20"/>
          <w:szCs w:val="20"/>
          <w:lang w:val="es-AR"/>
        </w:rPr>
        <w:t>desaparecieron</w:t>
      </w:r>
      <w:r w:rsidRPr="00386E47">
        <w:rPr>
          <w:rFonts w:asciiTheme="majorHAnsi" w:eastAsia="Calibri" w:hAnsiTheme="majorHAnsi"/>
          <w:sz w:val="20"/>
          <w:szCs w:val="20"/>
          <w:lang w:val="es-AR"/>
        </w:rPr>
        <w:t xml:space="preserve"> cuando se encontraban </w:t>
      </w:r>
      <w:r w:rsidR="00C46AD4" w:rsidRPr="00386E47">
        <w:rPr>
          <w:rFonts w:asciiTheme="majorHAnsi" w:eastAsia="Calibri" w:hAnsiTheme="majorHAnsi"/>
          <w:sz w:val="20"/>
          <w:szCs w:val="20"/>
          <w:lang w:val="es-AR"/>
        </w:rPr>
        <w:t>en</w:t>
      </w:r>
      <w:r w:rsidRPr="00386E47">
        <w:rPr>
          <w:rFonts w:asciiTheme="majorHAnsi" w:eastAsia="Calibri" w:hAnsiTheme="majorHAnsi"/>
          <w:sz w:val="20"/>
          <w:szCs w:val="20"/>
          <w:lang w:val="es-AR"/>
        </w:rPr>
        <w:t xml:space="preserve"> custodia del DPOC y de la División </w:t>
      </w:r>
      <w:r w:rsidR="006B795B" w:rsidRPr="00386E47">
        <w:rPr>
          <w:rFonts w:asciiTheme="majorHAnsi" w:eastAsia="Calibri" w:hAnsiTheme="majorHAnsi"/>
          <w:sz w:val="20"/>
          <w:szCs w:val="20"/>
          <w:lang w:val="es-AR"/>
        </w:rPr>
        <w:t xml:space="preserve">de </w:t>
      </w:r>
      <w:r w:rsidRPr="00386E47">
        <w:rPr>
          <w:rFonts w:asciiTheme="majorHAnsi" w:eastAsia="Calibri" w:hAnsiTheme="majorHAnsi"/>
          <w:sz w:val="20"/>
          <w:szCs w:val="20"/>
          <w:lang w:val="es-AR"/>
        </w:rPr>
        <w:t>Operaciones Federales de la Superintendencia de Drogas Peligrosas de la Policía Federal, unidades que estaban a cargo de la transcripción en soporte papel de las comunicaciones grabadas</w:t>
      </w:r>
      <w:r w:rsidRPr="00386E47">
        <w:rPr>
          <w:rFonts w:asciiTheme="majorHAnsi" w:eastAsia="Calibri" w:hAnsiTheme="majorHAnsi"/>
          <w:sz w:val="20"/>
          <w:szCs w:val="20"/>
          <w:vertAlign w:val="superscript"/>
          <w:lang w:val="es-AR"/>
        </w:rPr>
        <w:footnoteReference w:id="168"/>
      </w:r>
      <w:r w:rsidRPr="00386E47">
        <w:rPr>
          <w:rFonts w:asciiTheme="majorHAnsi" w:eastAsia="Calibri" w:hAnsiTheme="majorHAnsi"/>
          <w:sz w:val="20"/>
          <w:szCs w:val="20"/>
          <w:lang w:val="es-AR"/>
        </w:rPr>
        <w:t xml:space="preserve">. </w:t>
      </w:r>
    </w:p>
    <w:p w14:paraId="49BDF88C" w14:textId="77777777" w:rsidR="00FF50CB" w:rsidRPr="00386E47" w:rsidRDefault="00FF50CB" w:rsidP="00D90B05">
      <w:pPr>
        <w:tabs>
          <w:tab w:val="left" w:pos="0"/>
          <w:tab w:val="left" w:pos="567"/>
        </w:tabs>
        <w:contextualSpacing/>
        <w:jc w:val="both"/>
        <w:rPr>
          <w:rFonts w:asciiTheme="majorHAnsi" w:eastAsia="Calibri" w:hAnsiTheme="majorHAnsi"/>
          <w:b/>
          <w:sz w:val="20"/>
          <w:szCs w:val="20"/>
          <w:lang w:val="es-AR"/>
        </w:rPr>
      </w:pPr>
    </w:p>
    <w:p w14:paraId="17F4F6E4" w14:textId="77777777" w:rsidR="00C46AD4" w:rsidRPr="00386E47" w:rsidRDefault="009F70EA" w:rsidP="003A5860">
      <w:pPr>
        <w:numPr>
          <w:ilvl w:val="0"/>
          <w:numId w:val="55"/>
        </w:numPr>
        <w:tabs>
          <w:tab w:val="left" w:pos="0"/>
          <w:tab w:val="left" w:pos="567"/>
        </w:tabs>
        <w:ind w:left="0" w:firstLine="0"/>
        <w:contextualSpacing/>
        <w:jc w:val="both"/>
        <w:rPr>
          <w:rFonts w:asciiTheme="majorHAnsi" w:eastAsia="Calibri" w:hAnsiTheme="majorHAnsi"/>
          <w:b/>
          <w:sz w:val="20"/>
          <w:szCs w:val="20"/>
          <w:lang w:val="es-AR"/>
        </w:rPr>
      </w:pPr>
      <w:r w:rsidRPr="00386E47">
        <w:rPr>
          <w:rFonts w:asciiTheme="majorHAnsi" w:eastAsia="Calibri" w:hAnsiTheme="majorHAnsi"/>
          <w:sz w:val="20"/>
          <w:szCs w:val="20"/>
          <w:lang w:val="es-AR"/>
        </w:rPr>
        <w:t>Asimismo, las transcripciones realizadas por las mencionadas reparticiones de la Policía Federal se remitieron al juzgado de</w:t>
      </w:r>
      <w:r w:rsidR="002C22A1" w:rsidRPr="00386E47">
        <w:rPr>
          <w:rFonts w:asciiTheme="majorHAnsi" w:eastAsia="Calibri" w:hAnsiTheme="majorHAnsi"/>
          <w:sz w:val="20"/>
          <w:szCs w:val="20"/>
          <w:lang w:val="es-AR"/>
        </w:rPr>
        <w:t>l ex j</w:t>
      </w:r>
      <w:r w:rsidRPr="00386E47">
        <w:rPr>
          <w:rFonts w:asciiTheme="majorHAnsi" w:eastAsia="Calibri" w:hAnsiTheme="majorHAnsi"/>
          <w:sz w:val="20"/>
          <w:szCs w:val="20"/>
          <w:lang w:val="es-AR"/>
        </w:rPr>
        <w:t>uez Galeano, donde, el TOF 2 verificó</w:t>
      </w:r>
      <w:r w:rsidR="002913F6" w:rsidRPr="00386E47">
        <w:rPr>
          <w:rFonts w:asciiTheme="majorHAnsi" w:eastAsia="Calibri" w:hAnsiTheme="majorHAnsi"/>
          <w:sz w:val="20"/>
          <w:szCs w:val="20"/>
          <w:lang w:val="es-AR"/>
        </w:rPr>
        <w:t xml:space="preserve"> que </w:t>
      </w:r>
      <w:r w:rsidRPr="00386E47">
        <w:rPr>
          <w:rFonts w:asciiTheme="majorHAnsi" w:eastAsia="Calibri" w:hAnsiTheme="majorHAnsi"/>
          <w:sz w:val="20"/>
          <w:szCs w:val="20"/>
          <w:lang w:val="es-AR"/>
        </w:rPr>
        <w:t>también fueron extraviadas. En efecto, el T</w:t>
      </w:r>
      <w:r w:rsidR="002C22A1" w:rsidRPr="00386E47">
        <w:rPr>
          <w:rFonts w:asciiTheme="majorHAnsi" w:eastAsia="Calibri" w:hAnsiTheme="majorHAnsi"/>
          <w:sz w:val="20"/>
          <w:szCs w:val="20"/>
          <w:lang w:val="es-AR"/>
        </w:rPr>
        <w:t>ribunal señaló que “el entonces j</w:t>
      </w:r>
      <w:r w:rsidRPr="00386E47">
        <w:rPr>
          <w:rFonts w:asciiTheme="majorHAnsi" w:eastAsia="Calibri" w:hAnsiTheme="majorHAnsi"/>
          <w:sz w:val="20"/>
          <w:szCs w:val="20"/>
          <w:lang w:val="es-AR"/>
        </w:rPr>
        <w:t>uez Galeano ante los requerimientos formulados por los magistrados del Tribunal Oral en lo Criminal Federal Nro. 3 de esta ciudad al momento que le fueran solicitadas las escuchas en cuestión y sus transcripciones adujo no encontrarlas en el juzgado y en ningún momento las pudo remitir a la judicatura encargada de realizar el juicio oral y público”</w:t>
      </w:r>
      <w:r w:rsidRPr="00386E47">
        <w:rPr>
          <w:rFonts w:asciiTheme="majorHAnsi" w:eastAsia="Calibri" w:hAnsiTheme="majorHAnsi"/>
          <w:sz w:val="20"/>
          <w:szCs w:val="20"/>
          <w:vertAlign w:val="superscript"/>
          <w:lang w:val="es-AR"/>
        </w:rPr>
        <w:footnoteReference w:id="169"/>
      </w:r>
      <w:r w:rsidRPr="00386E47">
        <w:rPr>
          <w:rFonts w:asciiTheme="majorHAnsi" w:eastAsia="Calibri" w:hAnsiTheme="majorHAnsi"/>
          <w:sz w:val="20"/>
          <w:szCs w:val="20"/>
          <w:lang w:val="es-AR"/>
        </w:rPr>
        <w:t>.</w:t>
      </w:r>
    </w:p>
    <w:p w14:paraId="2BB04F1D" w14:textId="77777777" w:rsidR="00C46AD4" w:rsidRPr="00386E47" w:rsidRDefault="00C46AD4" w:rsidP="00D90B05">
      <w:pPr>
        <w:tabs>
          <w:tab w:val="left" w:pos="0"/>
          <w:tab w:val="left" w:pos="567"/>
        </w:tabs>
        <w:contextualSpacing/>
        <w:jc w:val="both"/>
        <w:rPr>
          <w:rFonts w:asciiTheme="majorHAnsi" w:eastAsia="Calibri" w:hAnsiTheme="majorHAnsi"/>
          <w:b/>
          <w:sz w:val="20"/>
          <w:szCs w:val="20"/>
          <w:lang w:val="es-AR"/>
        </w:rPr>
      </w:pPr>
    </w:p>
    <w:p w14:paraId="25D7CD8D" w14:textId="77777777" w:rsidR="009F70EA" w:rsidRPr="00386E47" w:rsidRDefault="009F70EA" w:rsidP="003A5860">
      <w:pPr>
        <w:numPr>
          <w:ilvl w:val="0"/>
          <w:numId w:val="55"/>
        </w:numPr>
        <w:tabs>
          <w:tab w:val="left" w:pos="0"/>
          <w:tab w:val="left" w:pos="567"/>
        </w:tabs>
        <w:ind w:left="0" w:firstLine="0"/>
        <w:contextualSpacing/>
        <w:jc w:val="both"/>
        <w:rPr>
          <w:rFonts w:asciiTheme="majorHAnsi" w:eastAsia="Calibri" w:hAnsiTheme="majorHAnsi"/>
          <w:b/>
          <w:sz w:val="20"/>
          <w:szCs w:val="20"/>
          <w:lang w:val="es-AR"/>
        </w:rPr>
      </w:pPr>
      <w:r w:rsidRPr="00386E47">
        <w:rPr>
          <w:rFonts w:asciiTheme="majorHAnsi" w:eastAsia="Calibri" w:hAnsiTheme="majorHAnsi"/>
          <w:sz w:val="20"/>
          <w:szCs w:val="20"/>
          <w:lang w:val="es-AR"/>
        </w:rPr>
        <w:t xml:space="preserve">En resumen, los dos grandes núcleos de irregularidades acreditados por el Tribunal Oral en lo Criminal Federal Nro. 2 que afectaron la profundización de la denominada “pista siria/ Kanoore Edul” fueron: por un lado, el incumplimiento deliberado de la orden de allanamiento al inmueble de la calle Constitución 2633 por parte de </w:t>
      </w:r>
      <w:r w:rsidRPr="00386E47">
        <w:rPr>
          <w:rFonts w:asciiTheme="majorHAnsi" w:eastAsia="Calibri" w:hAnsiTheme="majorHAnsi"/>
          <w:sz w:val="20"/>
          <w:szCs w:val="20"/>
          <w:lang w:val="es-AR"/>
        </w:rPr>
        <w:lastRenderedPageBreak/>
        <w:t>las fuerzas policiale</w:t>
      </w:r>
      <w:r w:rsidR="00B52E89" w:rsidRPr="00386E47">
        <w:rPr>
          <w:rFonts w:asciiTheme="majorHAnsi" w:eastAsia="Calibri" w:hAnsiTheme="majorHAnsi"/>
          <w:sz w:val="20"/>
          <w:szCs w:val="20"/>
          <w:lang w:val="es-AR"/>
        </w:rPr>
        <w:t xml:space="preserve">s </w:t>
      </w:r>
      <w:r w:rsidR="00F55D99" w:rsidRPr="00386E47">
        <w:rPr>
          <w:rFonts w:asciiTheme="majorHAnsi" w:eastAsia="Calibri" w:hAnsiTheme="majorHAnsi"/>
          <w:sz w:val="20"/>
          <w:szCs w:val="20"/>
          <w:lang w:val="es-AR"/>
        </w:rPr>
        <w:t>sin una explicación a ese respecto por parte</w:t>
      </w:r>
      <w:r w:rsidR="00B52E89" w:rsidRPr="00386E47">
        <w:rPr>
          <w:rFonts w:asciiTheme="majorHAnsi" w:eastAsia="Calibri" w:hAnsiTheme="majorHAnsi"/>
          <w:sz w:val="20"/>
          <w:szCs w:val="20"/>
          <w:lang w:val="es-AR"/>
        </w:rPr>
        <w:t xml:space="preserve"> del magistrado; y por otra parte</w:t>
      </w:r>
      <w:r w:rsidR="002913F6" w:rsidRPr="00386E47">
        <w:rPr>
          <w:rFonts w:asciiTheme="majorHAnsi" w:eastAsia="Calibri" w:hAnsiTheme="majorHAnsi"/>
          <w:sz w:val="20"/>
          <w:szCs w:val="20"/>
          <w:lang w:val="es-AR"/>
        </w:rPr>
        <w:t>,</w:t>
      </w:r>
      <w:r w:rsidR="00B52E89" w:rsidRPr="00386E47">
        <w:rPr>
          <w:rFonts w:asciiTheme="majorHAnsi" w:eastAsia="Calibri" w:hAnsiTheme="majorHAnsi"/>
          <w:sz w:val="20"/>
          <w:szCs w:val="20"/>
          <w:lang w:val="es-AR"/>
        </w:rPr>
        <w:t xml:space="preserve"> </w:t>
      </w:r>
      <w:r w:rsidRPr="00386E47">
        <w:rPr>
          <w:rFonts w:asciiTheme="majorHAnsi" w:eastAsia="Calibri" w:hAnsiTheme="majorHAnsi"/>
          <w:sz w:val="20"/>
          <w:szCs w:val="20"/>
          <w:lang w:val="es-AR"/>
        </w:rPr>
        <w:t>la interrupción de las medidas de escuchas telefónicas iniciadas respecto a tres abonados vinculados con el Sr. Kanoore Edul y el posterior extravío de las cintas donde se grabaron y de sus transcripciones en papel. A criterio del TOF 2, el ex juez Galeano evitó “producir todas aquellas pruebas que tenían por objeto esclarecer la responsabilidad de Kanoore Edul en el atentado situación que importó que se perdieran elementos de prueba que requerían ser inmediatamente producidos y de difícil concreción con el paso del tiempo, lo que dificultó la averiguación de la verdad”</w:t>
      </w:r>
      <w:r w:rsidRPr="00386E47">
        <w:rPr>
          <w:rFonts w:asciiTheme="majorHAnsi" w:eastAsia="Calibri" w:hAnsiTheme="majorHAnsi"/>
          <w:sz w:val="20"/>
          <w:szCs w:val="20"/>
          <w:vertAlign w:val="superscript"/>
          <w:lang w:val="es-AR"/>
        </w:rPr>
        <w:footnoteReference w:id="170"/>
      </w:r>
      <w:r w:rsidRPr="00386E47">
        <w:rPr>
          <w:rFonts w:asciiTheme="majorHAnsi" w:eastAsia="Calibri" w:hAnsiTheme="majorHAnsi"/>
          <w:sz w:val="20"/>
          <w:szCs w:val="20"/>
          <w:lang w:val="es-AR"/>
        </w:rPr>
        <w:t xml:space="preserve">.  </w:t>
      </w:r>
    </w:p>
    <w:p w14:paraId="62F54EAC" w14:textId="77777777" w:rsidR="009F70EA" w:rsidRPr="00386E47" w:rsidRDefault="009F70EA" w:rsidP="009F70EA">
      <w:pPr>
        <w:tabs>
          <w:tab w:val="left" w:pos="426"/>
        </w:tabs>
        <w:contextualSpacing/>
        <w:jc w:val="both"/>
        <w:rPr>
          <w:rFonts w:asciiTheme="majorHAnsi" w:eastAsia="Calibri" w:hAnsiTheme="majorHAnsi"/>
          <w:sz w:val="20"/>
          <w:szCs w:val="20"/>
          <w:lang w:val="es-AR"/>
        </w:rPr>
      </w:pPr>
    </w:p>
    <w:p w14:paraId="77D7FC04" w14:textId="77777777" w:rsidR="00F533FB" w:rsidRPr="00386E47" w:rsidRDefault="00402A9D" w:rsidP="003A5860">
      <w:pPr>
        <w:pStyle w:val="ListParagraph"/>
        <w:numPr>
          <w:ilvl w:val="0"/>
          <w:numId w:val="58"/>
        </w:numPr>
        <w:tabs>
          <w:tab w:val="left" w:pos="426"/>
        </w:tabs>
        <w:contextualSpacing/>
        <w:jc w:val="both"/>
        <w:rPr>
          <w:rFonts w:asciiTheme="majorHAnsi" w:eastAsia="Calibri" w:hAnsiTheme="majorHAnsi"/>
          <w:b/>
          <w:sz w:val="20"/>
          <w:szCs w:val="20"/>
          <w:lang w:val="es-ES_tradnl"/>
        </w:rPr>
      </w:pPr>
      <w:r w:rsidRPr="00386E47">
        <w:rPr>
          <w:rFonts w:asciiTheme="majorHAnsi" w:eastAsia="Calibri" w:hAnsiTheme="majorHAnsi"/>
          <w:b/>
          <w:sz w:val="20"/>
          <w:szCs w:val="20"/>
          <w:lang w:val="es-ES_tradnl"/>
        </w:rPr>
        <w:t>Consideraciones de la Comisión</w:t>
      </w:r>
    </w:p>
    <w:p w14:paraId="33EC15FF" w14:textId="77777777" w:rsidR="00402A9D" w:rsidRPr="00386E47" w:rsidRDefault="00402A9D" w:rsidP="009C2C14">
      <w:pPr>
        <w:tabs>
          <w:tab w:val="left" w:pos="426"/>
        </w:tabs>
        <w:contextualSpacing/>
        <w:jc w:val="both"/>
        <w:rPr>
          <w:rFonts w:asciiTheme="majorHAnsi" w:eastAsia="Calibri" w:hAnsiTheme="majorHAnsi"/>
          <w:b/>
          <w:sz w:val="20"/>
          <w:szCs w:val="20"/>
          <w:lang w:val="es-ES_tradnl"/>
        </w:rPr>
      </w:pPr>
    </w:p>
    <w:p w14:paraId="0314AAE3" w14:textId="77777777" w:rsidR="0092045B" w:rsidRPr="00386E47" w:rsidRDefault="0092045B" w:rsidP="003A5860">
      <w:pPr>
        <w:numPr>
          <w:ilvl w:val="0"/>
          <w:numId w:val="55"/>
        </w:numPr>
        <w:tabs>
          <w:tab w:val="left" w:pos="567"/>
        </w:tabs>
        <w:ind w:left="0" w:firstLine="0"/>
        <w:contextualSpacing/>
        <w:jc w:val="both"/>
        <w:rPr>
          <w:rFonts w:asciiTheme="majorHAnsi" w:eastAsia="Calibri" w:hAnsiTheme="majorHAnsi"/>
          <w:sz w:val="20"/>
          <w:szCs w:val="20"/>
          <w:lang w:val="es-ES_tradnl"/>
        </w:rPr>
      </w:pPr>
      <w:r w:rsidRPr="00386E47">
        <w:rPr>
          <w:rFonts w:asciiTheme="majorHAnsi" w:eastAsia="Calibri" w:hAnsiTheme="majorHAnsi"/>
          <w:sz w:val="20"/>
          <w:szCs w:val="20"/>
          <w:lang w:val="es-ES_tradnl"/>
        </w:rPr>
        <w:t>La Comisión observa que la sentencia dictada por el Tribunal Oral en lo Criminal Federal Nro. 2 que condenó a diversos</w:t>
      </w:r>
      <w:r w:rsidR="00245A1A" w:rsidRPr="00386E47">
        <w:rPr>
          <w:rFonts w:asciiTheme="majorHAnsi" w:eastAsia="Calibri" w:hAnsiTheme="majorHAnsi"/>
          <w:sz w:val="20"/>
          <w:szCs w:val="20"/>
          <w:lang w:val="es-ES_tradnl"/>
        </w:rPr>
        <w:t xml:space="preserve"> funcionarios judiciales a</w:t>
      </w:r>
      <w:r w:rsidRPr="00386E47">
        <w:rPr>
          <w:rFonts w:asciiTheme="majorHAnsi" w:eastAsia="Calibri" w:hAnsiTheme="majorHAnsi"/>
          <w:sz w:val="20"/>
          <w:szCs w:val="20"/>
          <w:lang w:val="es-ES_tradnl"/>
        </w:rPr>
        <w:t xml:space="preserve"> </w:t>
      </w:r>
      <w:r w:rsidR="00245A1A" w:rsidRPr="00386E47">
        <w:rPr>
          <w:rFonts w:asciiTheme="majorHAnsi" w:eastAsia="Calibri" w:hAnsiTheme="majorHAnsi"/>
          <w:sz w:val="20"/>
          <w:szCs w:val="20"/>
          <w:lang w:val="es-ES_tradnl"/>
        </w:rPr>
        <w:t xml:space="preserve">cargo </w:t>
      </w:r>
      <w:r w:rsidRPr="00386E47">
        <w:rPr>
          <w:rFonts w:asciiTheme="majorHAnsi" w:eastAsia="Calibri" w:hAnsiTheme="majorHAnsi"/>
          <w:sz w:val="20"/>
          <w:szCs w:val="20"/>
          <w:lang w:val="es-ES_tradnl"/>
        </w:rPr>
        <w:t>de la investigación conducida por el Juzgado de Instrucción en lo Criminal Federal 9 por los delitos de encubrimiento, peculado e incumplimiento de los deberes de funcionario público, resalta la realización de maniobras de encubrimiento dirigidas a interrumpir de manera deliberada cualquier progreso de la línea de investigación conocida com</w:t>
      </w:r>
      <w:r w:rsidR="00245A1A" w:rsidRPr="00386E47">
        <w:rPr>
          <w:rFonts w:asciiTheme="majorHAnsi" w:eastAsia="Calibri" w:hAnsiTheme="majorHAnsi"/>
          <w:sz w:val="20"/>
          <w:szCs w:val="20"/>
          <w:lang w:val="es-ES_tradnl"/>
        </w:rPr>
        <w:t xml:space="preserve">o la “pista siria/Kanoore Edul”. </w:t>
      </w:r>
    </w:p>
    <w:p w14:paraId="4AEC725F" w14:textId="77777777" w:rsidR="0092045B" w:rsidRPr="00386E47" w:rsidRDefault="0092045B" w:rsidP="0092045B">
      <w:pPr>
        <w:tabs>
          <w:tab w:val="left" w:pos="567"/>
        </w:tabs>
        <w:contextualSpacing/>
        <w:jc w:val="both"/>
        <w:rPr>
          <w:rFonts w:asciiTheme="majorHAnsi" w:eastAsia="Calibri" w:hAnsiTheme="majorHAnsi"/>
          <w:sz w:val="20"/>
          <w:szCs w:val="20"/>
          <w:lang w:val="es-ES_tradnl"/>
        </w:rPr>
      </w:pPr>
    </w:p>
    <w:p w14:paraId="6BEC9149" w14:textId="77777777" w:rsidR="0092045B" w:rsidRPr="00386E47" w:rsidRDefault="0092045B" w:rsidP="003A5860">
      <w:pPr>
        <w:numPr>
          <w:ilvl w:val="0"/>
          <w:numId w:val="55"/>
        </w:numPr>
        <w:tabs>
          <w:tab w:val="left" w:pos="567"/>
        </w:tabs>
        <w:ind w:left="0" w:firstLine="0"/>
        <w:contextualSpacing/>
        <w:jc w:val="both"/>
        <w:rPr>
          <w:rFonts w:asciiTheme="majorHAnsi" w:eastAsia="Calibri" w:hAnsiTheme="majorHAnsi"/>
          <w:sz w:val="20"/>
          <w:szCs w:val="20"/>
          <w:lang w:val="es-ES_tradnl"/>
        </w:rPr>
      </w:pPr>
      <w:r w:rsidRPr="00386E47">
        <w:rPr>
          <w:rFonts w:asciiTheme="majorHAnsi" w:eastAsia="Calibri" w:hAnsiTheme="majorHAnsi"/>
          <w:sz w:val="20"/>
          <w:szCs w:val="20"/>
          <w:lang w:val="es-ES_tradnl"/>
        </w:rPr>
        <w:t>Conforme a la propia sentencia del TOF 2, la Comisión nota que los agentes del Estado encargados de dirigir e impulsar la investigación por el atentado a la AMIA obviaron ejecutar y sostener diversas diligencias procesales que, de haberse realizado de manera oportuna, podrían haber sido útiles para el esclarecimiento del hecho o, cuanto menos, para conocer más acerca del grado de verosimilitud de la llamada “pista siria”. Estas omisiones resultan aún más problemáticas si se tiene en cuenta lo consignado por el TOF 2 con respecto a la solidez de en esa línea de investigación durante los primeros días de la instrucción judicial</w:t>
      </w:r>
      <w:r w:rsidRPr="00386E47">
        <w:rPr>
          <w:rStyle w:val="FootnoteReference"/>
          <w:rFonts w:asciiTheme="majorHAnsi" w:eastAsia="Calibri" w:hAnsiTheme="majorHAnsi"/>
          <w:sz w:val="20"/>
          <w:szCs w:val="20"/>
          <w:lang w:val="es-ES_tradnl"/>
        </w:rPr>
        <w:footnoteReference w:id="171"/>
      </w:r>
      <w:r w:rsidRPr="00386E47">
        <w:rPr>
          <w:rFonts w:asciiTheme="majorHAnsi" w:eastAsia="Calibri" w:hAnsiTheme="majorHAnsi"/>
          <w:sz w:val="20"/>
          <w:szCs w:val="20"/>
          <w:lang w:val="es-ES_tradnl"/>
        </w:rPr>
        <w:t xml:space="preserve">. </w:t>
      </w:r>
    </w:p>
    <w:p w14:paraId="6D8E8824" w14:textId="77777777" w:rsidR="0092045B" w:rsidRPr="00386E47" w:rsidRDefault="0092045B" w:rsidP="0092045B">
      <w:pPr>
        <w:tabs>
          <w:tab w:val="left" w:pos="567"/>
        </w:tabs>
        <w:contextualSpacing/>
        <w:jc w:val="both"/>
        <w:rPr>
          <w:rFonts w:asciiTheme="majorHAnsi" w:eastAsia="Calibri" w:hAnsiTheme="majorHAnsi"/>
          <w:sz w:val="20"/>
          <w:szCs w:val="20"/>
          <w:lang w:val="es-ES_tradnl"/>
        </w:rPr>
      </w:pPr>
    </w:p>
    <w:p w14:paraId="1009B934" w14:textId="77777777" w:rsidR="0092045B" w:rsidRPr="00386E47" w:rsidRDefault="0092045B" w:rsidP="003A5860">
      <w:pPr>
        <w:numPr>
          <w:ilvl w:val="0"/>
          <w:numId w:val="55"/>
        </w:numPr>
        <w:tabs>
          <w:tab w:val="left" w:pos="567"/>
        </w:tabs>
        <w:ind w:left="0" w:firstLine="0"/>
        <w:contextualSpacing/>
        <w:jc w:val="both"/>
        <w:rPr>
          <w:rFonts w:asciiTheme="majorHAnsi" w:eastAsia="Calibri" w:hAnsiTheme="majorHAnsi"/>
          <w:sz w:val="20"/>
          <w:szCs w:val="20"/>
          <w:lang w:val="es-ES_tradnl"/>
        </w:rPr>
      </w:pPr>
      <w:r w:rsidRPr="00386E47">
        <w:rPr>
          <w:rFonts w:asciiTheme="majorHAnsi" w:eastAsia="Calibri" w:hAnsiTheme="majorHAnsi"/>
          <w:sz w:val="20"/>
          <w:szCs w:val="20"/>
          <w:lang w:val="es-ES_tradnl"/>
        </w:rPr>
        <w:t xml:space="preserve">Entre las principales omisiones en las que incurrieron los funcionarios cabe mencionar el allanamiento frustrado al inmueble de la Calle Constitución 2633 y, en segundo término, la interrupción de las medidas de interceptación de las comunicaciones telefónicas de personas de interés para la investigación, sin realizar un previo análisis del contenido de aquellas comunicaciones ya captadas. </w:t>
      </w:r>
    </w:p>
    <w:p w14:paraId="6012B790" w14:textId="77777777" w:rsidR="0092045B" w:rsidRPr="00386E47" w:rsidRDefault="0092045B" w:rsidP="0092045B">
      <w:pPr>
        <w:tabs>
          <w:tab w:val="left" w:pos="567"/>
        </w:tabs>
        <w:contextualSpacing/>
        <w:jc w:val="both"/>
        <w:rPr>
          <w:rFonts w:asciiTheme="majorHAnsi" w:eastAsia="Calibri" w:hAnsiTheme="majorHAnsi"/>
          <w:sz w:val="20"/>
          <w:szCs w:val="20"/>
          <w:lang w:val="es-ES_tradnl"/>
        </w:rPr>
      </w:pPr>
    </w:p>
    <w:p w14:paraId="4918E794" w14:textId="77777777" w:rsidR="0092045B" w:rsidRPr="00386E47" w:rsidRDefault="0092045B" w:rsidP="003A5860">
      <w:pPr>
        <w:numPr>
          <w:ilvl w:val="0"/>
          <w:numId w:val="55"/>
        </w:numPr>
        <w:tabs>
          <w:tab w:val="left" w:pos="567"/>
        </w:tabs>
        <w:ind w:left="0" w:firstLine="0"/>
        <w:contextualSpacing/>
        <w:jc w:val="both"/>
        <w:rPr>
          <w:rFonts w:asciiTheme="majorHAnsi" w:eastAsia="Calibri" w:hAnsiTheme="majorHAnsi"/>
          <w:sz w:val="20"/>
          <w:szCs w:val="20"/>
          <w:lang w:val="es-ES_tradnl"/>
        </w:rPr>
      </w:pPr>
      <w:r w:rsidRPr="00386E47">
        <w:rPr>
          <w:rFonts w:asciiTheme="majorHAnsi" w:eastAsia="Calibri" w:hAnsiTheme="majorHAnsi"/>
          <w:sz w:val="20"/>
          <w:szCs w:val="20"/>
          <w:lang w:val="es-ES_tradnl"/>
        </w:rPr>
        <w:t xml:space="preserve">En torno al principio de exhaustividad en las investigaciones por violaciones a derechos humanos, la Comisión considera oportuno recordar que la jurisprudencia de la Corte IDH es abundante en lo que tiene que ver con </w:t>
      </w:r>
      <w:r w:rsidRPr="00386E47">
        <w:rPr>
          <w:rFonts w:asciiTheme="majorHAnsi" w:eastAsia="Calibri" w:hAnsiTheme="majorHAnsi"/>
          <w:sz w:val="20"/>
          <w:szCs w:val="20"/>
          <w:lang w:val="es-AR"/>
        </w:rPr>
        <w:t>la responsabilidad internacional del Estado por no ordenar, practicar o valorar pruebas que puedan resultar fundamentales para el debido esclarecimiento de los hechos. La Corte IDH señaló, en este mismo sentido, que la pesquisa debe estar orientada a explorar todas las líneas investigativas posibles que permitan la identificación de los autores del delito, su posterior juzgamiento y sanción</w:t>
      </w:r>
      <w:r w:rsidRPr="00386E47">
        <w:rPr>
          <w:rFonts w:asciiTheme="majorHAnsi" w:eastAsia="Calibri" w:hAnsiTheme="majorHAnsi"/>
          <w:sz w:val="20"/>
          <w:szCs w:val="20"/>
          <w:vertAlign w:val="superscript"/>
          <w:lang w:val="es-AR"/>
        </w:rPr>
        <w:footnoteReference w:id="172"/>
      </w:r>
      <w:r w:rsidRPr="00386E47">
        <w:rPr>
          <w:rFonts w:asciiTheme="majorHAnsi" w:eastAsia="Calibri" w:hAnsiTheme="majorHAnsi"/>
          <w:sz w:val="20"/>
          <w:szCs w:val="20"/>
          <w:lang w:val="es-AR"/>
        </w:rPr>
        <w:t>.</w:t>
      </w:r>
    </w:p>
    <w:p w14:paraId="5B78F18E" w14:textId="77777777" w:rsidR="0092045B" w:rsidRPr="00386E47" w:rsidRDefault="0092045B" w:rsidP="0092045B">
      <w:pPr>
        <w:tabs>
          <w:tab w:val="left" w:pos="567"/>
        </w:tabs>
        <w:contextualSpacing/>
        <w:jc w:val="both"/>
        <w:rPr>
          <w:rFonts w:asciiTheme="majorHAnsi" w:eastAsia="Calibri" w:hAnsiTheme="majorHAnsi"/>
          <w:sz w:val="20"/>
          <w:szCs w:val="20"/>
          <w:lang w:val="es-ES_tradnl"/>
        </w:rPr>
      </w:pPr>
    </w:p>
    <w:p w14:paraId="49D7B7CA" w14:textId="77777777" w:rsidR="00F533FB" w:rsidRPr="00386E47" w:rsidRDefault="0092045B" w:rsidP="003A5860">
      <w:pPr>
        <w:numPr>
          <w:ilvl w:val="0"/>
          <w:numId w:val="55"/>
        </w:numPr>
        <w:tabs>
          <w:tab w:val="left" w:pos="567"/>
        </w:tabs>
        <w:ind w:left="0" w:firstLine="0"/>
        <w:contextualSpacing/>
        <w:jc w:val="both"/>
        <w:rPr>
          <w:rFonts w:asciiTheme="majorHAnsi" w:eastAsia="Calibri" w:hAnsiTheme="majorHAnsi"/>
          <w:sz w:val="20"/>
          <w:szCs w:val="20"/>
          <w:lang w:val="es-AR"/>
        </w:rPr>
      </w:pPr>
      <w:r w:rsidRPr="00386E47">
        <w:rPr>
          <w:rFonts w:asciiTheme="majorHAnsi" w:eastAsia="Calibri" w:hAnsiTheme="majorHAnsi"/>
          <w:sz w:val="20"/>
          <w:szCs w:val="20"/>
          <w:lang w:val="es-ES_tradnl"/>
        </w:rPr>
        <w:t xml:space="preserve">En </w:t>
      </w:r>
      <w:r w:rsidR="003D23F8" w:rsidRPr="00386E47">
        <w:rPr>
          <w:rFonts w:asciiTheme="majorHAnsi" w:eastAsia="Calibri" w:hAnsiTheme="majorHAnsi"/>
          <w:sz w:val="20"/>
          <w:szCs w:val="20"/>
          <w:lang w:val="es-ES_tradnl"/>
        </w:rPr>
        <w:t>vista de lo expuesto</w:t>
      </w:r>
      <w:r w:rsidRPr="00386E47">
        <w:rPr>
          <w:rFonts w:asciiTheme="majorHAnsi" w:eastAsia="Calibri" w:hAnsiTheme="majorHAnsi"/>
          <w:sz w:val="20"/>
          <w:szCs w:val="20"/>
          <w:lang w:val="es-ES_tradnl"/>
        </w:rPr>
        <w:t xml:space="preserve">, </w:t>
      </w:r>
      <w:r w:rsidR="003D23F8" w:rsidRPr="00386E47">
        <w:rPr>
          <w:rFonts w:asciiTheme="majorHAnsi" w:eastAsia="Calibri" w:hAnsiTheme="majorHAnsi"/>
          <w:sz w:val="20"/>
          <w:szCs w:val="20"/>
          <w:lang w:val="es-ES_tradnl"/>
        </w:rPr>
        <w:t xml:space="preserve">y ante la ausencia de </w:t>
      </w:r>
      <w:r w:rsidR="00C46758" w:rsidRPr="00386E47">
        <w:rPr>
          <w:rFonts w:asciiTheme="majorHAnsi" w:eastAsia="Calibri" w:hAnsiTheme="majorHAnsi"/>
          <w:sz w:val="20"/>
          <w:szCs w:val="20"/>
          <w:lang w:val="es-ES_tradnl"/>
        </w:rPr>
        <w:t xml:space="preserve">cumplimiento de las </w:t>
      </w:r>
      <w:r w:rsidR="003D23F8" w:rsidRPr="00386E47">
        <w:rPr>
          <w:rFonts w:asciiTheme="majorHAnsi" w:eastAsia="Calibri" w:hAnsiTheme="majorHAnsi"/>
          <w:sz w:val="20"/>
          <w:szCs w:val="20"/>
          <w:lang w:val="es-ES_tradnl"/>
        </w:rPr>
        <w:t xml:space="preserve">diligencias </w:t>
      </w:r>
      <w:r w:rsidRPr="00386E47">
        <w:rPr>
          <w:rFonts w:asciiTheme="majorHAnsi" w:eastAsia="Calibri" w:hAnsiTheme="majorHAnsi"/>
          <w:sz w:val="20"/>
          <w:szCs w:val="20"/>
          <w:lang w:val="es-ES_tradnl"/>
        </w:rPr>
        <w:t>identificadas por el TOF 2</w:t>
      </w:r>
      <w:r w:rsidR="003D23F8" w:rsidRPr="00386E47">
        <w:rPr>
          <w:rFonts w:asciiTheme="majorHAnsi" w:eastAsia="Calibri" w:hAnsiTheme="majorHAnsi"/>
          <w:sz w:val="20"/>
          <w:szCs w:val="20"/>
          <w:lang w:val="es-ES_tradnl"/>
        </w:rPr>
        <w:t xml:space="preserve">, la Comisión observa que los funcionarios estatales se abstuvieron de continuar profundizando y desarrollando una línea lógica esencial para el desarrollo de la investigación. En este sentido, </w:t>
      </w:r>
      <w:r w:rsidR="003D23F8" w:rsidRPr="00386E47">
        <w:rPr>
          <w:rFonts w:asciiTheme="majorHAnsi" w:eastAsia="Calibri" w:hAnsiTheme="majorHAnsi"/>
          <w:sz w:val="20"/>
          <w:szCs w:val="20"/>
          <w:lang w:val="es-AR"/>
        </w:rPr>
        <w:t>la Comisión considera que el Estado no cumplió con investigar de manera seria y exhaustiva los hechos con el objetivo de llegar al conocimiento de la verdad sobre los hechos.</w:t>
      </w:r>
    </w:p>
    <w:p w14:paraId="73B2AD1A" w14:textId="77777777" w:rsidR="00F533FB" w:rsidRPr="00386E47" w:rsidRDefault="00F533FB" w:rsidP="009F70EA">
      <w:pPr>
        <w:tabs>
          <w:tab w:val="left" w:pos="426"/>
        </w:tabs>
        <w:contextualSpacing/>
        <w:jc w:val="both"/>
        <w:rPr>
          <w:rFonts w:asciiTheme="majorHAnsi" w:eastAsia="Calibri" w:hAnsiTheme="majorHAnsi"/>
          <w:sz w:val="20"/>
          <w:szCs w:val="20"/>
          <w:lang w:val="es-AR"/>
        </w:rPr>
      </w:pPr>
    </w:p>
    <w:p w14:paraId="28A7ADCA" w14:textId="77777777" w:rsidR="003D23F8" w:rsidRPr="00386E47" w:rsidRDefault="003D23F8" w:rsidP="00B528BF">
      <w:pPr>
        <w:pStyle w:val="Heading5"/>
      </w:pPr>
      <w:r w:rsidRPr="00386E47">
        <w:t xml:space="preserve">Actuaciones realizadas por el Juez de Instrucción No. 9 en relación </w:t>
      </w:r>
      <w:r w:rsidR="00B528BF" w:rsidRPr="00386E47">
        <w:t>al</w:t>
      </w:r>
      <w:r w:rsidRPr="00386E47">
        <w:t xml:space="preserve"> imputado</w:t>
      </w:r>
      <w:r w:rsidR="009F70EA" w:rsidRPr="00386E47">
        <w:t xml:space="preserve"> </w:t>
      </w:r>
      <w:r w:rsidRPr="00386E47">
        <w:t xml:space="preserve">Carlos </w:t>
      </w:r>
      <w:r w:rsidR="009F70EA" w:rsidRPr="00386E47">
        <w:t xml:space="preserve">Telleldin </w:t>
      </w:r>
    </w:p>
    <w:p w14:paraId="43C2F53A" w14:textId="77777777" w:rsidR="003D23F8" w:rsidRPr="00386E47" w:rsidRDefault="003D23F8" w:rsidP="00A311A0">
      <w:pPr>
        <w:tabs>
          <w:tab w:val="left" w:pos="426"/>
        </w:tabs>
        <w:ind w:left="426"/>
        <w:contextualSpacing/>
        <w:jc w:val="both"/>
        <w:rPr>
          <w:rFonts w:asciiTheme="majorHAnsi" w:eastAsia="Calibri" w:hAnsiTheme="majorHAnsi"/>
          <w:b/>
          <w:sz w:val="20"/>
          <w:szCs w:val="20"/>
          <w:lang w:val="es-AR"/>
        </w:rPr>
      </w:pPr>
    </w:p>
    <w:p w14:paraId="2946798E" w14:textId="77777777" w:rsidR="003D23F8" w:rsidRPr="00386E47" w:rsidRDefault="003D23F8" w:rsidP="003A5860">
      <w:pPr>
        <w:numPr>
          <w:ilvl w:val="0"/>
          <w:numId w:val="55"/>
        </w:numPr>
        <w:tabs>
          <w:tab w:val="left" w:pos="567"/>
        </w:tabs>
        <w:ind w:left="0" w:firstLine="0"/>
        <w:contextualSpacing/>
        <w:jc w:val="both"/>
        <w:rPr>
          <w:rFonts w:asciiTheme="majorHAnsi" w:eastAsia="Calibri" w:hAnsiTheme="majorHAnsi"/>
          <w:b/>
          <w:sz w:val="20"/>
          <w:szCs w:val="20"/>
          <w:lang w:val="es-AR"/>
        </w:rPr>
      </w:pPr>
      <w:r w:rsidRPr="00386E47">
        <w:rPr>
          <w:rFonts w:asciiTheme="majorHAnsi" w:eastAsia="Calibri" w:hAnsiTheme="majorHAnsi"/>
          <w:sz w:val="20"/>
          <w:szCs w:val="20"/>
          <w:lang w:val="es-AR"/>
        </w:rPr>
        <w:t>D</w:t>
      </w:r>
      <w:r w:rsidR="00C74910" w:rsidRPr="00386E47">
        <w:rPr>
          <w:rFonts w:asciiTheme="majorHAnsi" w:eastAsia="Calibri" w:hAnsiTheme="majorHAnsi"/>
          <w:sz w:val="20"/>
          <w:szCs w:val="20"/>
          <w:lang w:val="es-AR"/>
        </w:rPr>
        <w:t xml:space="preserve">urante el lapso de tiempo que transcurrió entre </w:t>
      </w:r>
      <w:r w:rsidR="009F70EA" w:rsidRPr="00386E47">
        <w:rPr>
          <w:rFonts w:asciiTheme="majorHAnsi" w:eastAsia="Calibri" w:hAnsiTheme="majorHAnsi"/>
          <w:sz w:val="20"/>
          <w:szCs w:val="20"/>
          <w:lang w:val="es-AR"/>
        </w:rPr>
        <w:t xml:space="preserve">julio de 1994 y mediados de 1996, Carlos Telleldin era la única persona detenida </w:t>
      </w:r>
      <w:r w:rsidR="00C74910" w:rsidRPr="00386E47">
        <w:rPr>
          <w:rFonts w:asciiTheme="majorHAnsi" w:eastAsia="Calibri" w:hAnsiTheme="majorHAnsi"/>
          <w:sz w:val="20"/>
          <w:szCs w:val="20"/>
          <w:lang w:val="es-AR"/>
        </w:rPr>
        <w:t xml:space="preserve">a </w:t>
      </w:r>
      <w:r w:rsidRPr="00386E47">
        <w:rPr>
          <w:rFonts w:asciiTheme="majorHAnsi" w:eastAsia="Calibri" w:hAnsiTheme="majorHAnsi"/>
          <w:sz w:val="20"/>
          <w:szCs w:val="20"/>
          <w:lang w:val="es-AR"/>
        </w:rPr>
        <w:t>disposición</w:t>
      </w:r>
      <w:r w:rsidR="00C74910" w:rsidRPr="00386E47">
        <w:rPr>
          <w:rFonts w:asciiTheme="majorHAnsi" w:eastAsia="Calibri" w:hAnsiTheme="majorHAnsi"/>
          <w:sz w:val="20"/>
          <w:szCs w:val="20"/>
          <w:lang w:val="es-AR"/>
        </w:rPr>
        <w:t xml:space="preserve"> de las autoridades judiciales e imputada </w:t>
      </w:r>
      <w:r w:rsidR="009F70EA" w:rsidRPr="00386E47">
        <w:rPr>
          <w:rFonts w:asciiTheme="majorHAnsi" w:eastAsia="Calibri" w:hAnsiTheme="majorHAnsi"/>
          <w:sz w:val="20"/>
          <w:szCs w:val="20"/>
          <w:lang w:val="es-AR"/>
        </w:rPr>
        <w:t xml:space="preserve">de haber tenido algún grado de </w:t>
      </w:r>
      <w:r w:rsidR="009F70EA" w:rsidRPr="00386E47">
        <w:rPr>
          <w:rFonts w:asciiTheme="majorHAnsi" w:eastAsia="Calibri" w:hAnsiTheme="majorHAnsi"/>
          <w:sz w:val="20"/>
          <w:szCs w:val="20"/>
          <w:lang w:val="es-AR"/>
        </w:rPr>
        <w:lastRenderedPageBreak/>
        <w:t>participación en el atentado</w:t>
      </w:r>
      <w:r w:rsidR="00EF4DB1" w:rsidRPr="00386E47">
        <w:rPr>
          <w:rStyle w:val="FootnoteReference"/>
          <w:rFonts w:asciiTheme="majorHAnsi" w:eastAsia="Calibri" w:hAnsiTheme="majorHAnsi"/>
          <w:sz w:val="20"/>
          <w:szCs w:val="20"/>
          <w:lang w:val="es-AR"/>
        </w:rPr>
        <w:footnoteReference w:id="173"/>
      </w:r>
      <w:r w:rsidR="009F70EA" w:rsidRPr="00386E47">
        <w:rPr>
          <w:rFonts w:asciiTheme="majorHAnsi" w:eastAsia="Calibri" w:hAnsiTheme="majorHAnsi"/>
          <w:sz w:val="20"/>
          <w:szCs w:val="20"/>
          <w:lang w:val="es-AR"/>
        </w:rPr>
        <w:t xml:space="preserve"> </w:t>
      </w:r>
      <w:r w:rsidRPr="00386E47">
        <w:rPr>
          <w:rFonts w:asciiTheme="majorHAnsi" w:eastAsia="Calibri" w:hAnsiTheme="majorHAnsi"/>
          <w:sz w:val="20"/>
          <w:szCs w:val="20"/>
          <w:lang w:val="es-AR"/>
        </w:rPr>
        <w:t xml:space="preserve"> En el transcurso de la investigación fue conocido que dicho imputado tuvo una serie de reuniones informales con diversas autoridades y que recibió una suma de dinero por parte del SIDE con el objetivo de emitir una declaración que involucró a algunos policías en los hechos. A </w:t>
      </w:r>
      <w:r w:rsidR="00C46758" w:rsidRPr="00386E47">
        <w:rPr>
          <w:rFonts w:asciiTheme="majorHAnsi" w:eastAsia="Calibri" w:hAnsiTheme="majorHAnsi"/>
          <w:sz w:val="20"/>
          <w:szCs w:val="20"/>
          <w:lang w:val="es-AR"/>
        </w:rPr>
        <w:t>continuación,</w:t>
      </w:r>
      <w:r w:rsidRPr="00386E47">
        <w:rPr>
          <w:rFonts w:asciiTheme="majorHAnsi" w:eastAsia="Calibri" w:hAnsiTheme="majorHAnsi"/>
          <w:sz w:val="20"/>
          <w:szCs w:val="20"/>
          <w:lang w:val="es-AR"/>
        </w:rPr>
        <w:t xml:space="preserve"> se describen los hechos relevantes en relación con estos aspectos y, la Comisión realizará sus consideraciones respectivas.</w:t>
      </w:r>
    </w:p>
    <w:p w14:paraId="0FB1FB01" w14:textId="77777777" w:rsidR="003D23F8" w:rsidRPr="00386E47" w:rsidRDefault="003D23F8" w:rsidP="00A311A0">
      <w:pPr>
        <w:tabs>
          <w:tab w:val="left" w:pos="567"/>
        </w:tabs>
        <w:contextualSpacing/>
        <w:jc w:val="both"/>
        <w:rPr>
          <w:rFonts w:asciiTheme="majorHAnsi" w:eastAsia="Calibri" w:hAnsiTheme="majorHAnsi"/>
          <w:sz w:val="20"/>
          <w:szCs w:val="20"/>
          <w:lang w:val="es-AR"/>
        </w:rPr>
      </w:pPr>
    </w:p>
    <w:p w14:paraId="39F7149A" w14:textId="77777777" w:rsidR="00AD270D" w:rsidRPr="00386E47" w:rsidRDefault="003D23F8" w:rsidP="003A5860">
      <w:pPr>
        <w:pStyle w:val="ListParagraph"/>
        <w:numPr>
          <w:ilvl w:val="0"/>
          <w:numId w:val="58"/>
        </w:numPr>
        <w:tabs>
          <w:tab w:val="left" w:pos="567"/>
        </w:tabs>
        <w:contextualSpacing/>
        <w:jc w:val="both"/>
        <w:rPr>
          <w:rFonts w:asciiTheme="majorHAnsi" w:eastAsia="Calibri" w:hAnsiTheme="majorHAnsi"/>
          <w:b/>
          <w:sz w:val="20"/>
          <w:szCs w:val="20"/>
          <w:lang w:val="es-AR"/>
        </w:rPr>
      </w:pPr>
      <w:r w:rsidRPr="00386E47">
        <w:rPr>
          <w:rFonts w:asciiTheme="majorHAnsi" w:eastAsia="Calibri" w:hAnsiTheme="majorHAnsi"/>
          <w:b/>
          <w:sz w:val="20"/>
          <w:szCs w:val="20"/>
          <w:lang w:val="es-AR"/>
        </w:rPr>
        <w:t xml:space="preserve">Respecto de las reuniones informales entre autoridades y el imputado Carlos Telleldín </w:t>
      </w:r>
    </w:p>
    <w:p w14:paraId="56DE3D79" w14:textId="77777777" w:rsidR="00AD270D" w:rsidRPr="00386E47" w:rsidRDefault="00AD270D" w:rsidP="00D90B05">
      <w:pPr>
        <w:tabs>
          <w:tab w:val="left" w:pos="426"/>
        </w:tabs>
        <w:contextualSpacing/>
        <w:jc w:val="both"/>
        <w:rPr>
          <w:rFonts w:asciiTheme="majorHAnsi" w:eastAsia="Calibri" w:hAnsiTheme="majorHAnsi"/>
          <w:b/>
          <w:sz w:val="20"/>
          <w:szCs w:val="20"/>
          <w:lang w:val="es-AR"/>
        </w:rPr>
      </w:pPr>
    </w:p>
    <w:p w14:paraId="26E92985" w14:textId="77777777" w:rsidR="00AD270D" w:rsidRPr="00386E47" w:rsidRDefault="007C4B9E" w:rsidP="003A5860">
      <w:pPr>
        <w:numPr>
          <w:ilvl w:val="0"/>
          <w:numId w:val="55"/>
        </w:numPr>
        <w:tabs>
          <w:tab w:val="left" w:pos="567"/>
        </w:tabs>
        <w:ind w:left="0" w:firstLine="0"/>
        <w:contextualSpacing/>
        <w:jc w:val="both"/>
        <w:rPr>
          <w:rFonts w:asciiTheme="majorHAnsi" w:eastAsia="Calibri" w:hAnsiTheme="majorHAnsi"/>
          <w:b/>
          <w:sz w:val="20"/>
          <w:szCs w:val="20"/>
          <w:lang w:val="es-AR"/>
        </w:rPr>
      </w:pPr>
      <w:r w:rsidRPr="00386E47">
        <w:rPr>
          <w:rFonts w:asciiTheme="majorHAnsi" w:eastAsia="Calibri" w:hAnsiTheme="majorHAnsi"/>
          <w:sz w:val="20"/>
          <w:szCs w:val="20"/>
          <w:lang w:val="es-AR"/>
        </w:rPr>
        <w:t>El TOF 3 en su sentencia de octubre de 2004 tuvo por acreditado que, a</w:t>
      </w:r>
      <w:r w:rsidR="009F70EA" w:rsidRPr="00386E47">
        <w:rPr>
          <w:rFonts w:asciiTheme="majorHAnsi" w:eastAsia="Calibri" w:hAnsiTheme="majorHAnsi"/>
          <w:sz w:val="20"/>
          <w:szCs w:val="20"/>
          <w:lang w:val="es-AR"/>
        </w:rPr>
        <w:t xml:space="preserve"> principios de 1995</w:t>
      </w:r>
      <w:r w:rsidRPr="00386E47">
        <w:rPr>
          <w:rFonts w:asciiTheme="majorHAnsi" w:eastAsia="Calibri" w:hAnsiTheme="majorHAnsi"/>
          <w:sz w:val="20"/>
          <w:szCs w:val="20"/>
          <w:lang w:val="es-AR"/>
        </w:rPr>
        <w:t>,</w:t>
      </w:r>
      <w:r w:rsidR="009F70EA" w:rsidRPr="00386E47">
        <w:rPr>
          <w:rFonts w:asciiTheme="majorHAnsi" w:eastAsia="Calibri" w:hAnsiTheme="majorHAnsi"/>
          <w:sz w:val="20"/>
          <w:szCs w:val="20"/>
          <w:lang w:val="es-AR"/>
        </w:rPr>
        <w:t xml:space="preserve"> una persona llamada Héctor Pedro Vergéz, por entonces oficial en situación de retiro del Ejército Argentino, se presentó ante los estrados del Juzgado en lo Criminal y Correccional Federal Nro. 9 y solicitó </w:t>
      </w:r>
      <w:r w:rsidR="00AD270D" w:rsidRPr="00386E47">
        <w:rPr>
          <w:rFonts w:asciiTheme="majorHAnsi" w:eastAsia="Calibri" w:hAnsiTheme="majorHAnsi"/>
          <w:sz w:val="20"/>
          <w:szCs w:val="20"/>
          <w:lang w:val="es-AR"/>
        </w:rPr>
        <w:t>mantener</w:t>
      </w:r>
      <w:r w:rsidR="009F70EA" w:rsidRPr="00386E47">
        <w:rPr>
          <w:rFonts w:asciiTheme="majorHAnsi" w:eastAsia="Calibri" w:hAnsiTheme="majorHAnsi"/>
          <w:sz w:val="20"/>
          <w:szCs w:val="20"/>
          <w:lang w:val="es-AR"/>
        </w:rPr>
        <w:t xml:space="preserve"> una entrevista</w:t>
      </w:r>
      <w:r w:rsidR="00AD270D" w:rsidRPr="00386E47">
        <w:rPr>
          <w:rFonts w:asciiTheme="majorHAnsi" w:eastAsia="Calibri" w:hAnsiTheme="majorHAnsi"/>
          <w:sz w:val="20"/>
          <w:szCs w:val="20"/>
          <w:lang w:val="es-AR"/>
        </w:rPr>
        <w:t xml:space="preserve"> privada</w:t>
      </w:r>
      <w:r w:rsidR="009F70EA" w:rsidRPr="00386E47">
        <w:rPr>
          <w:rFonts w:asciiTheme="majorHAnsi" w:eastAsia="Calibri" w:hAnsiTheme="majorHAnsi"/>
          <w:sz w:val="20"/>
          <w:szCs w:val="20"/>
          <w:lang w:val="es-AR"/>
        </w:rPr>
        <w:t xml:space="preserve"> con el Sr. Telleldin. </w:t>
      </w:r>
      <w:r w:rsidR="00AD270D" w:rsidRPr="00386E47">
        <w:rPr>
          <w:rFonts w:asciiTheme="majorHAnsi" w:eastAsia="Calibri" w:hAnsiTheme="majorHAnsi"/>
          <w:sz w:val="20"/>
          <w:szCs w:val="20"/>
          <w:lang w:val="es-AR"/>
        </w:rPr>
        <w:t>El juez Galeano accedió al pedido y, en consecuencia, d</w:t>
      </w:r>
      <w:r w:rsidR="009F70EA" w:rsidRPr="00386E47">
        <w:rPr>
          <w:rFonts w:asciiTheme="majorHAnsi" w:eastAsia="Calibri" w:hAnsiTheme="majorHAnsi"/>
          <w:sz w:val="20"/>
          <w:szCs w:val="20"/>
          <w:lang w:val="es-AR"/>
        </w:rPr>
        <w:t xml:space="preserve">os </w:t>
      </w:r>
      <w:r w:rsidR="00AD270D" w:rsidRPr="00386E47">
        <w:rPr>
          <w:rFonts w:asciiTheme="majorHAnsi" w:eastAsia="Calibri" w:hAnsiTheme="majorHAnsi"/>
          <w:sz w:val="20"/>
          <w:szCs w:val="20"/>
          <w:lang w:val="es-AR"/>
        </w:rPr>
        <w:t xml:space="preserve">reuniones </w:t>
      </w:r>
      <w:r w:rsidR="009F70EA" w:rsidRPr="00386E47">
        <w:rPr>
          <w:rFonts w:asciiTheme="majorHAnsi" w:eastAsia="Calibri" w:hAnsiTheme="majorHAnsi"/>
          <w:sz w:val="20"/>
          <w:szCs w:val="20"/>
          <w:lang w:val="es-AR"/>
        </w:rPr>
        <w:t>tuvieron lugar en las oficinas del juzgado los días 20 de</w:t>
      </w:r>
      <w:r w:rsidR="00FF50CB" w:rsidRPr="00386E47">
        <w:rPr>
          <w:rFonts w:asciiTheme="majorHAnsi" w:eastAsia="Calibri" w:hAnsiTheme="majorHAnsi"/>
          <w:sz w:val="20"/>
          <w:szCs w:val="20"/>
          <w:lang w:val="es-AR"/>
        </w:rPr>
        <w:t xml:space="preserve"> enero y 2 de febrero de 1995. </w:t>
      </w:r>
      <w:r w:rsidR="009F70EA" w:rsidRPr="00386E47">
        <w:rPr>
          <w:rFonts w:asciiTheme="majorHAnsi" w:eastAsia="Calibri" w:hAnsiTheme="majorHAnsi"/>
          <w:sz w:val="20"/>
          <w:szCs w:val="20"/>
          <w:lang w:val="es-AR"/>
        </w:rPr>
        <w:t>Vergéz concurrió</w:t>
      </w:r>
      <w:r w:rsidR="00AD270D" w:rsidRPr="00386E47">
        <w:rPr>
          <w:rFonts w:asciiTheme="majorHAnsi" w:eastAsia="Calibri" w:hAnsiTheme="majorHAnsi"/>
          <w:sz w:val="20"/>
          <w:szCs w:val="20"/>
          <w:lang w:val="es-AR"/>
        </w:rPr>
        <w:t xml:space="preserve"> a esos encuentros</w:t>
      </w:r>
      <w:r w:rsidR="009F70EA" w:rsidRPr="00386E47">
        <w:rPr>
          <w:rFonts w:asciiTheme="majorHAnsi" w:eastAsia="Calibri" w:hAnsiTheme="majorHAnsi"/>
          <w:sz w:val="20"/>
          <w:szCs w:val="20"/>
          <w:lang w:val="es-AR"/>
        </w:rPr>
        <w:t xml:space="preserve"> acompañado de un agente de la SIDE llamado Daniel Ricardo Romero, quien se encargó de </w:t>
      </w:r>
      <w:r w:rsidR="00AD270D" w:rsidRPr="00386E47">
        <w:rPr>
          <w:rFonts w:asciiTheme="majorHAnsi" w:eastAsia="Calibri" w:hAnsiTheme="majorHAnsi"/>
          <w:sz w:val="20"/>
          <w:szCs w:val="20"/>
          <w:lang w:val="es-AR"/>
        </w:rPr>
        <w:t>registrar en video las conversaciones</w:t>
      </w:r>
      <w:r w:rsidR="009F70EA" w:rsidRPr="00386E47">
        <w:rPr>
          <w:rFonts w:asciiTheme="majorHAnsi" w:eastAsia="Calibri" w:hAnsiTheme="majorHAnsi"/>
          <w:sz w:val="20"/>
          <w:szCs w:val="20"/>
          <w:lang w:val="es-AR"/>
        </w:rPr>
        <w:t>. Hacia fines de febrero</w:t>
      </w:r>
      <w:r w:rsidR="006B795B" w:rsidRPr="00386E47">
        <w:rPr>
          <w:rFonts w:asciiTheme="majorHAnsi" w:eastAsia="Calibri" w:hAnsiTheme="majorHAnsi"/>
          <w:sz w:val="20"/>
          <w:szCs w:val="20"/>
          <w:lang w:val="es-AR"/>
        </w:rPr>
        <w:t>,</w:t>
      </w:r>
      <w:r w:rsidR="009F70EA" w:rsidRPr="00386E47">
        <w:rPr>
          <w:rFonts w:asciiTheme="majorHAnsi" w:eastAsia="Calibri" w:hAnsiTheme="majorHAnsi"/>
          <w:sz w:val="20"/>
          <w:szCs w:val="20"/>
          <w:lang w:val="es-AR"/>
        </w:rPr>
        <w:t xml:space="preserve"> Vergéz y Romero concurrieron en otras dos oportunidades a la unidad penitenciaria donde Telleldin estaba detenido</w:t>
      </w:r>
      <w:r w:rsidR="00701B67" w:rsidRPr="00386E47">
        <w:rPr>
          <w:rStyle w:val="FootnoteReference"/>
          <w:rFonts w:asciiTheme="majorHAnsi" w:eastAsia="Calibri" w:hAnsiTheme="majorHAnsi"/>
          <w:sz w:val="20"/>
          <w:szCs w:val="20"/>
          <w:lang w:val="es-AR"/>
        </w:rPr>
        <w:footnoteReference w:id="174"/>
      </w:r>
      <w:r w:rsidR="009F70EA" w:rsidRPr="00386E47">
        <w:rPr>
          <w:rFonts w:asciiTheme="majorHAnsi" w:eastAsia="Calibri" w:hAnsiTheme="majorHAnsi"/>
          <w:sz w:val="20"/>
          <w:szCs w:val="20"/>
          <w:lang w:val="es-AR"/>
        </w:rPr>
        <w:t xml:space="preserve">. </w:t>
      </w:r>
    </w:p>
    <w:p w14:paraId="59EA8FA2" w14:textId="77777777" w:rsidR="00AD270D" w:rsidRPr="00386E47" w:rsidRDefault="00AD270D" w:rsidP="00D90B05">
      <w:pPr>
        <w:tabs>
          <w:tab w:val="left" w:pos="426"/>
        </w:tabs>
        <w:contextualSpacing/>
        <w:jc w:val="both"/>
        <w:rPr>
          <w:rFonts w:asciiTheme="majorHAnsi" w:eastAsia="Calibri" w:hAnsiTheme="majorHAnsi"/>
          <w:b/>
          <w:sz w:val="20"/>
          <w:szCs w:val="20"/>
          <w:lang w:val="es-AR"/>
        </w:rPr>
      </w:pPr>
    </w:p>
    <w:p w14:paraId="16951C29" w14:textId="77777777" w:rsidR="006845EA" w:rsidRPr="00386E47" w:rsidRDefault="009F70EA" w:rsidP="003A5860">
      <w:pPr>
        <w:numPr>
          <w:ilvl w:val="0"/>
          <w:numId w:val="55"/>
        </w:numPr>
        <w:tabs>
          <w:tab w:val="left" w:pos="567"/>
        </w:tabs>
        <w:ind w:left="0" w:firstLine="0"/>
        <w:contextualSpacing/>
        <w:jc w:val="both"/>
        <w:rPr>
          <w:rFonts w:asciiTheme="majorHAnsi" w:eastAsia="Calibri" w:hAnsiTheme="majorHAnsi"/>
          <w:b/>
          <w:sz w:val="20"/>
          <w:szCs w:val="20"/>
          <w:lang w:val="es-AR"/>
        </w:rPr>
      </w:pPr>
      <w:r w:rsidRPr="00386E47">
        <w:rPr>
          <w:rFonts w:asciiTheme="majorHAnsi" w:hAnsiTheme="majorHAnsi"/>
          <w:sz w:val="20"/>
          <w:szCs w:val="20"/>
          <w:lang w:val="es-AR"/>
        </w:rPr>
        <w:t>En su declaración en el juicio oral sustancia</w:t>
      </w:r>
      <w:r w:rsidR="00701B67" w:rsidRPr="00386E47">
        <w:rPr>
          <w:rFonts w:asciiTheme="majorHAnsi" w:hAnsiTheme="majorHAnsi"/>
          <w:sz w:val="20"/>
          <w:szCs w:val="20"/>
          <w:lang w:val="es-AR"/>
        </w:rPr>
        <w:t>do por el TOF 3 Vergéz aseguró</w:t>
      </w:r>
      <w:r w:rsidRPr="00386E47">
        <w:rPr>
          <w:rFonts w:asciiTheme="majorHAnsi" w:hAnsiTheme="majorHAnsi"/>
          <w:sz w:val="20"/>
          <w:szCs w:val="20"/>
          <w:lang w:val="es-AR"/>
        </w:rPr>
        <w:t xml:space="preserve"> que “el Dr. Galeano ten</w:t>
      </w:r>
      <w:r w:rsidR="005950E4" w:rsidRPr="00386E47">
        <w:rPr>
          <w:rFonts w:asciiTheme="majorHAnsi" w:hAnsiTheme="majorHAnsi"/>
          <w:sz w:val="20"/>
          <w:szCs w:val="20"/>
          <w:lang w:val="es-AR"/>
        </w:rPr>
        <w:t>í</w:t>
      </w:r>
      <w:r w:rsidRPr="00386E47">
        <w:rPr>
          <w:rFonts w:asciiTheme="majorHAnsi" w:hAnsiTheme="majorHAnsi"/>
          <w:sz w:val="20"/>
          <w:szCs w:val="20"/>
          <w:lang w:val="es-AR"/>
        </w:rPr>
        <w:t>a pleno conocimiento de las entrevistas que mantuvo con Telleldin y de la investigación que realizaba junto con Daniel Romero”</w:t>
      </w:r>
      <w:r w:rsidRPr="00386E47">
        <w:rPr>
          <w:rFonts w:asciiTheme="majorHAnsi" w:hAnsiTheme="majorHAnsi"/>
          <w:sz w:val="20"/>
          <w:szCs w:val="20"/>
          <w:vertAlign w:val="superscript"/>
        </w:rPr>
        <w:footnoteReference w:id="175"/>
      </w:r>
      <w:r w:rsidRPr="00386E47">
        <w:rPr>
          <w:rFonts w:asciiTheme="majorHAnsi" w:hAnsiTheme="majorHAnsi"/>
          <w:sz w:val="20"/>
          <w:szCs w:val="20"/>
          <w:lang w:val="es-AR"/>
        </w:rPr>
        <w:t>. Romero, por su parte, sostuvo que entregó una copia de las grabaciones al juzgado y otra copia a agentes de la SIDE pertenecientes a una oficina denominada “Sala Patria”</w:t>
      </w:r>
      <w:r w:rsidR="006845EA" w:rsidRPr="00386E47">
        <w:rPr>
          <w:rStyle w:val="FootnoteReference"/>
          <w:rFonts w:asciiTheme="majorHAnsi" w:hAnsiTheme="majorHAnsi"/>
          <w:sz w:val="20"/>
          <w:szCs w:val="20"/>
          <w:lang w:val="es-AR"/>
        </w:rPr>
        <w:footnoteReference w:id="176"/>
      </w:r>
      <w:r w:rsidRPr="00386E47">
        <w:rPr>
          <w:rFonts w:asciiTheme="majorHAnsi" w:hAnsiTheme="majorHAnsi"/>
          <w:sz w:val="20"/>
          <w:szCs w:val="20"/>
          <w:lang w:val="es-AR"/>
        </w:rPr>
        <w:t xml:space="preserve">. </w:t>
      </w:r>
    </w:p>
    <w:p w14:paraId="7166105B" w14:textId="77777777" w:rsidR="006845EA" w:rsidRPr="00386E47" w:rsidRDefault="006845EA" w:rsidP="00D90B05">
      <w:pPr>
        <w:tabs>
          <w:tab w:val="left" w:pos="567"/>
        </w:tabs>
        <w:contextualSpacing/>
        <w:jc w:val="both"/>
        <w:rPr>
          <w:rFonts w:asciiTheme="majorHAnsi" w:eastAsia="Calibri" w:hAnsiTheme="majorHAnsi"/>
          <w:b/>
          <w:sz w:val="20"/>
          <w:szCs w:val="20"/>
          <w:lang w:val="es-AR"/>
        </w:rPr>
      </w:pPr>
    </w:p>
    <w:p w14:paraId="738E6D7D" w14:textId="77777777" w:rsidR="006845EA" w:rsidRPr="00386E47" w:rsidRDefault="009F70EA" w:rsidP="003A5860">
      <w:pPr>
        <w:numPr>
          <w:ilvl w:val="0"/>
          <w:numId w:val="55"/>
        </w:numPr>
        <w:tabs>
          <w:tab w:val="left" w:pos="567"/>
        </w:tabs>
        <w:ind w:left="0" w:firstLine="0"/>
        <w:contextualSpacing/>
        <w:jc w:val="both"/>
        <w:rPr>
          <w:rFonts w:asciiTheme="majorHAnsi" w:eastAsia="Calibri" w:hAnsiTheme="majorHAnsi"/>
          <w:b/>
          <w:sz w:val="20"/>
          <w:szCs w:val="20"/>
          <w:lang w:val="es-AR"/>
        </w:rPr>
      </w:pPr>
      <w:r w:rsidRPr="00386E47">
        <w:rPr>
          <w:rFonts w:asciiTheme="majorHAnsi" w:eastAsia="Calibri" w:hAnsiTheme="majorHAnsi"/>
          <w:sz w:val="20"/>
          <w:szCs w:val="20"/>
          <w:lang w:val="es-AR"/>
        </w:rPr>
        <w:t>Las entrevistas de Vergéz, Romero y Telleldin significaron, a juicio del Tribunal Oral en lo Criminal Federal Nro. 3 “la primera maniobra tendiente a obtener información de boca del detenido Telleldin al margen de la normativa procesal”</w:t>
      </w:r>
      <w:r w:rsidRPr="00386E47">
        <w:rPr>
          <w:rFonts w:asciiTheme="majorHAnsi" w:eastAsia="Calibri" w:hAnsiTheme="majorHAnsi"/>
          <w:sz w:val="20"/>
          <w:szCs w:val="20"/>
          <w:vertAlign w:val="superscript"/>
          <w:lang w:val="es-AR"/>
        </w:rPr>
        <w:footnoteReference w:id="177"/>
      </w:r>
      <w:r w:rsidRPr="00386E47">
        <w:rPr>
          <w:rFonts w:asciiTheme="majorHAnsi" w:eastAsia="Calibri" w:hAnsiTheme="majorHAnsi"/>
          <w:sz w:val="20"/>
          <w:szCs w:val="20"/>
          <w:lang w:val="es-AR"/>
        </w:rPr>
        <w:t>. En efecto, el TOF 3 tuvo por acreditado q</w:t>
      </w:r>
      <w:r w:rsidR="006845EA" w:rsidRPr="00386E47">
        <w:rPr>
          <w:rFonts w:asciiTheme="majorHAnsi" w:eastAsia="Calibri" w:hAnsiTheme="majorHAnsi"/>
          <w:sz w:val="20"/>
          <w:szCs w:val="20"/>
          <w:lang w:val="es-AR"/>
        </w:rPr>
        <w:t>ue en los encuentros entre Vergé</w:t>
      </w:r>
      <w:r w:rsidRPr="00386E47">
        <w:rPr>
          <w:rFonts w:asciiTheme="majorHAnsi" w:eastAsia="Calibri" w:hAnsiTheme="majorHAnsi"/>
          <w:sz w:val="20"/>
          <w:szCs w:val="20"/>
          <w:lang w:val="es-AR"/>
        </w:rPr>
        <w:t xml:space="preserve">z, Romero y Telleldin, este último mencionó que, </w:t>
      </w:r>
      <w:r w:rsidR="006845EA" w:rsidRPr="00386E47">
        <w:rPr>
          <w:rFonts w:asciiTheme="majorHAnsi" w:eastAsia="Calibri" w:hAnsiTheme="majorHAnsi"/>
          <w:sz w:val="20"/>
          <w:szCs w:val="20"/>
          <w:lang w:val="es-AR"/>
        </w:rPr>
        <w:t xml:space="preserve">en los meses previos </w:t>
      </w:r>
      <w:r w:rsidRPr="00386E47">
        <w:rPr>
          <w:rFonts w:asciiTheme="majorHAnsi" w:eastAsia="Calibri" w:hAnsiTheme="majorHAnsi"/>
          <w:sz w:val="20"/>
          <w:szCs w:val="20"/>
          <w:lang w:val="es-AR"/>
        </w:rPr>
        <w:t xml:space="preserve">a su detención, había sido víctima de extorsiones por parte de efectivos de la Policía de la Provincia de Buenos Aires, quienes le exigían dinero y automóviles para permitirle continuar con su actividad </w:t>
      </w:r>
      <w:r w:rsidR="006845EA" w:rsidRPr="00386E47">
        <w:rPr>
          <w:rFonts w:asciiTheme="majorHAnsi" w:eastAsia="Calibri" w:hAnsiTheme="majorHAnsi"/>
          <w:sz w:val="20"/>
          <w:szCs w:val="20"/>
          <w:lang w:val="es-AR"/>
        </w:rPr>
        <w:t>de</w:t>
      </w:r>
      <w:r w:rsidRPr="00386E47">
        <w:rPr>
          <w:rFonts w:asciiTheme="majorHAnsi" w:eastAsia="Calibri" w:hAnsiTheme="majorHAnsi"/>
          <w:sz w:val="20"/>
          <w:szCs w:val="20"/>
          <w:lang w:val="es-AR"/>
        </w:rPr>
        <w:t xml:space="preserve"> c</w:t>
      </w:r>
      <w:r w:rsidR="006845EA" w:rsidRPr="00386E47">
        <w:rPr>
          <w:rFonts w:asciiTheme="majorHAnsi" w:eastAsia="Calibri" w:hAnsiTheme="majorHAnsi"/>
          <w:sz w:val="20"/>
          <w:szCs w:val="20"/>
          <w:lang w:val="es-AR"/>
        </w:rPr>
        <w:t xml:space="preserve">ompraventa de vehículos robados </w:t>
      </w:r>
      <w:r w:rsidRPr="00386E47">
        <w:rPr>
          <w:rFonts w:asciiTheme="majorHAnsi" w:eastAsia="Calibri" w:hAnsiTheme="majorHAnsi"/>
          <w:sz w:val="20"/>
          <w:szCs w:val="20"/>
          <w:vertAlign w:val="superscript"/>
          <w:lang w:val="es-AR"/>
        </w:rPr>
        <w:footnoteReference w:id="178"/>
      </w:r>
      <w:r w:rsidRPr="00386E47">
        <w:rPr>
          <w:rFonts w:asciiTheme="majorHAnsi" w:eastAsia="Calibri" w:hAnsiTheme="majorHAnsi"/>
          <w:sz w:val="20"/>
          <w:szCs w:val="20"/>
          <w:lang w:val="es-AR"/>
        </w:rPr>
        <w:t xml:space="preserve">.  </w:t>
      </w:r>
    </w:p>
    <w:p w14:paraId="3A0B4D1F" w14:textId="77777777" w:rsidR="006845EA" w:rsidRPr="00386E47" w:rsidRDefault="006845EA" w:rsidP="00D90B05">
      <w:pPr>
        <w:tabs>
          <w:tab w:val="left" w:pos="567"/>
        </w:tabs>
        <w:contextualSpacing/>
        <w:jc w:val="both"/>
        <w:rPr>
          <w:rFonts w:asciiTheme="majorHAnsi" w:eastAsia="Calibri" w:hAnsiTheme="majorHAnsi"/>
          <w:b/>
          <w:sz w:val="20"/>
          <w:szCs w:val="20"/>
          <w:lang w:val="es-AR"/>
        </w:rPr>
      </w:pPr>
    </w:p>
    <w:p w14:paraId="5E9A69B7" w14:textId="77777777" w:rsidR="006845EA" w:rsidRPr="00386E47" w:rsidRDefault="009F70EA" w:rsidP="003A5860">
      <w:pPr>
        <w:numPr>
          <w:ilvl w:val="0"/>
          <w:numId w:val="55"/>
        </w:numPr>
        <w:tabs>
          <w:tab w:val="left" w:pos="567"/>
        </w:tabs>
        <w:ind w:left="0" w:firstLine="0"/>
        <w:contextualSpacing/>
        <w:jc w:val="both"/>
        <w:rPr>
          <w:rFonts w:asciiTheme="majorHAnsi" w:eastAsia="Calibri" w:hAnsiTheme="majorHAnsi"/>
          <w:b/>
          <w:sz w:val="20"/>
          <w:szCs w:val="20"/>
          <w:lang w:val="es-AR"/>
        </w:rPr>
      </w:pPr>
      <w:r w:rsidRPr="00386E47">
        <w:rPr>
          <w:rFonts w:asciiTheme="majorHAnsi" w:eastAsia="Calibri" w:hAnsiTheme="majorHAnsi"/>
          <w:sz w:val="20"/>
          <w:szCs w:val="20"/>
          <w:lang w:val="es-AR"/>
        </w:rPr>
        <w:t xml:space="preserve">De acuerdo con lo probado por los tribunales orales 3 y 2 en sus sentencias de octubre de 2004 y mayo de 2019, respectivamente, Vergéz y Romero no fueron los únicos individuos que se </w:t>
      </w:r>
      <w:r w:rsidR="006845EA" w:rsidRPr="00386E47">
        <w:rPr>
          <w:rFonts w:asciiTheme="majorHAnsi" w:eastAsia="Calibri" w:hAnsiTheme="majorHAnsi"/>
          <w:sz w:val="20"/>
          <w:szCs w:val="20"/>
          <w:lang w:val="es-AR"/>
        </w:rPr>
        <w:t>reunieron</w:t>
      </w:r>
      <w:r w:rsidRPr="00386E47">
        <w:rPr>
          <w:rFonts w:asciiTheme="majorHAnsi" w:eastAsia="Calibri" w:hAnsiTheme="majorHAnsi"/>
          <w:sz w:val="20"/>
          <w:szCs w:val="20"/>
          <w:lang w:val="es-AR"/>
        </w:rPr>
        <w:t xml:space="preserve"> personalmente con Telleldin </w:t>
      </w:r>
      <w:r w:rsidR="006845EA" w:rsidRPr="00386E47">
        <w:rPr>
          <w:rFonts w:asciiTheme="majorHAnsi" w:eastAsia="Calibri" w:hAnsiTheme="majorHAnsi"/>
          <w:sz w:val="20"/>
          <w:szCs w:val="20"/>
          <w:lang w:val="es-AR"/>
        </w:rPr>
        <w:t>en los meses en lo que era</w:t>
      </w:r>
      <w:r w:rsidRPr="00386E47">
        <w:rPr>
          <w:rFonts w:asciiTheme="majorHAnsi" w:eastAsia="Calibri" w:hAnsiTheme="majorHAnsi"/>
          <w:sz w:val="20"/>
          <w:szCs w:val="20"/>
          <w:lang w:val="es-AR"/>
        </w:rPr>
        <w:t xml:space="preserve"> el único detenido en la causa por el atentado. Telleldin también recibió en prisión la visita de la entonces presidenta de la Cámara Nacional de Apelaciones en lo Criminal y Correccional Federal, Luisa Riva Aramayo. Los resultados de las entrevistas entre Riva Aramayo y Telle</w:t>
      </w:r>
      <w:r w:rsidR="002C22A1" w:rsidRPr="00386E47">
        <w:rPr>
          <w:rFonts w:asciiTheme="majorHAnsi" w:eastAsia="Calibri" w:hAnsiTheme="majorHAnsi"/>
          <w:sz w:val="20"/>
          <w:szCs w:val="20"/>
          <w:lang w:val="es-AR"/>
        </w:rPr>
        <w:t>ldin fueron registradas por el j</w:t>
      </w:r>
      <w:r w:rsidRPr="00386E47">
        <w:rPr>
          <w:rFonts w:asciiTheme="majorHAnsi" w:eastAsia="Calibri" w:hAnsiTheme="majorHAnsi"/>
          <w:sz w:val="20"/>
          <w:szCs w:val="20"/>
          <w:lang w:val="es-AR"/>
        </w:rPr>
        <w:t>uez Galeano en constancias incorporadas al expediente</w:t>
      </w:r>
      <w:r w:rsidR="00671D5A" w:rsidRPr="00386E47">
        <w:rPr>
          <w:rStyle w:val="FootnoteReference"/>
          <w:rFonts w:asciiTheme="majorHAnsi" w:eastAsia="Calibri" w:hAnsiTheme="majorHAnsi"/>
          <w:sz w:val="20"/>
          <w:szCs w:val="20"/>
          <w:lang w:val="es-AR"/>
        </w:rPr>
        <w:footnoteReference w:id="179"/>
      </w:r>
      <w:r w:rsidRPr="00386E47">
        <w:rPr>
          <w:rFonts w:asciiTheme="majorHAnsi" w:eastAsia="Calibri" w:hAnsiTheme="majorHAnsi"/>
          <w:sz w:val="20"/>
          <w:szCs w:val="20"/>
          <w:lang w:val="es-AR"/>
        </w:rPr>
        <w:t xml:space="preserve">. </w:t>
      </w:r>
    </w:p>
    <w:p w14:paraId="64D667F2" w14:textId="77777777" w:rsidR="006845EA" w:rsidRPr="00386E47" w:rsidRDefault="006845EA" w:rsidP="00D90B05">
      <w:pPr>
        <w:tabs>
          <w:tab w:val="left" w:pos="567"/>
        </w:tabs>
        <w:contextualSpacing/>
        <w:jc w:val="both"/>
        <w:rPr>
          <w:rFonts w:asciiTheme="majorHAnsi" w:eastAsia="Calibri" w:hAnsiTheme="majorHAnsi"/>
          <w:b/>
          <w:sz w:val="20"/>
          <w:szCs w:val="20"/>
          <w:lang w:val="es-AR"/>
        </w:rPr>
      </w:pPr>
    </w:p>
    <w:p w14:paraId="105EA049" w14:textId="77777777" w:rsidR="002142AE" w:rsidRPr="00386E47" w:rsidRDefault="009F70EA" w:rsidP="003A5860">
      <w:pPr>
        <w:numPr>
          <w:ilvl w:val="0"/>
          <w:numId w:val="55"/>
        </w:numPr>
        <w:tabs>
          <w:tab w:val="left" w:pos="567"/>
        </w:tabs>
        <w:ind w:left="0" w:firstLine="0"/>
        <w:contextualSpacing/>
        <w:jc w:val="both"/>
        <w:rPr>
          <w:rFonts w:asciiTheme="majorHAnsi" w:eastAsia="Calibri" w:hAnsiTheme="majorHAnsi"/>
          <w:b/>
          <w:sz w:val="20"/>
          <w:szCs w:val="20"/>
          <w:lang w:val="es-AR"/>
        </w:rPr>
      </w:pPr>
      <w:r w:rsidRPr="00386E47">
        <w:rPr>
          <w:rFonts w:asciiTheme="majorHAnsi" w:eastAsia="Calibri" w:hAnsiTheme="majorHAnsi"/>
          <w:sz w:val="20"/>
          <w:szCs w:val="20"/>
          <w:lang w:val="es-AR"/>
        </w:rPr>
        <w:t>La jueza Riva Aramayo concurrió a la prisión donde estaba detenido Telleldin en diversas ocasiones entre los meses de agosto y octubre de 1995</w:t>
      </w:r>
      <w:r w:rsidRPr="00386E47">
        <w:rPr>
          <w:rFonts w:asciiTheme="majorHAnsi" w:eastAsia="Calibri" w:hAnsiTheme="majorHAnsi"/>
          <w:sz w:val="20"/>
          <w:szCs w:val="20"/>
          <w:vertAlign w:val="superscript"/>
          <w:lang w:val="es-AR"/>
        </w:rPr>
        <w:footnoteReference w:id="180"/>
      </w:r>
      <w:r w:rsidRPr="00386E47">
        <w:rPr>
          <w:rFonts w:asciiTheme="majorHAnsi" w:eastAsia="Calibri" w:hAnsiTheme="majorHAnsi"/>
          <w:sz w:val="20"/>
          <w:szCs w:val="20"/>
          <w:lang w:val="es-AR"/>
        </w:rPr>
        <w:t xml:space="preserve">. En algunas </w:t>
      </w:r>
      <w:r w:rsidR="006845EA" w:rsidRPr="00386E47">
        <w:rPr>
          <w:rFonts w:asciiTheme="majorHAnsi" w:eastAsia="Calibri" w:hAnsiTheme="majorHAnsi"/>
          <w:sz w:val="20"/>
          <w:szCs w:val="20"/>
          <w:lang w:val="es-AR"/>
        </w:rPr>
        <w:t xml:space="preserve">de esas </w:t>
      </w:r>
      <w:r w:rsidRPr="00386E47">
        <w:rPr>
          <w:rFonts w:asciiTheme="majorHAnsi" w:eastAsia="Calibri" w:hAnsiTheme="majorHAnsi"/>
          <w:sz w:val="20"/>
          <w:szCs w:val="20"/>
          <w:lang w:val="es-AR"/>
        </w:rPr>
        <w:t xml:space="preserve">oportunidades la Sra. Riva Aramayo se trasladó a la cárcel en un automóvil conducido por el chofer personal del entonces Secretario de Inteligencia de la Nación, Hugo </w:t>
      </w:r>
      <w:r w:rsidRPr="00386E47">
        <w:rPr>
          <w:rFonts w:asciiTheme="majorHAnsi" w:eastAsia="Calibri" w:hAnsiTheme="majorHAnsi"/>
          <w:sz w:val="20"/>
          <w:szCs w:val="20"/>
          <w:lang w:val="es-AR"/>
        </w:rPr>
        <w:lastRenderedPageBreak/>
        <w:t>Anzorreguy</w:t>
      </w:r>
      <w:r w:rsidRPr="00386E47">
        <w:rPr>
          <w:rFonts w:asciiTheme="majorHAnsi" w:eastAsia="Calibri" w:hAnsiTheme="majorHAnsi"/>
          <w:sz w:val="20"/>
          <w:szCs w:val="20"/>
          <w:vertAlign w:val="superscript"/>
          <w:lang w:val="es-AR"/>
        </w:rPr>
        <w:footnoteReference w:id="181"/>
      </w:r>
      <w:r w:rsidRPr="00386E47">
        <w:rPr>
          <w:rFonts w:asciiTheme="majorHAnsi" w:eastAsia="Calibri" w:hAnsiTheme="majorHAnsi"/>
          <w:sz w:val="20"/>
          <w:szCs w:val="20"/>
          <w:lang w:val="es-AR"/>
        </w:rPr>
        <w:t xml:space="preserve">. Como resultado de dichas entrevistas, la Sra. Riva Aramayo informó a </w:t>
      </w:r>
      <w:r w:rsidR="00F80736" w:rsidRPr="00386E47">
        <w:rPr>
          <w:rFonts w:asciiTheme="majorHAnsi" w:eastAsia="Calibri" w:hAnsiTheme="majorHAnsi"/>
          <w:sz w:val="20"/>
          <w:szCs w:val="20"/>
          <w:lang w:val="es-AR"/>
        </w:rPr>
        <w:t>Galeano que Telleldin “</w:t>
      </w:r>
      <w:r w:rsidRPr="00386E47">
        <w:rPr>
          <w:rFonts w:asciiTheme="majorHAnsi" w:eastAsia="Calibri" w:hAnsiTheme="majorHAnsi"/>
          <w:sz w:val="20"/>
          <w:szCs w:val="20"/>
          <w:lang w:val="es-AR"/>
        </w:rPr>
        <w:t>le mencionó que quienes recibieron la camioneta eran policías de la Provincia de Buenos Aires que conocía, cuyos nombres se reservaba”</w:t>
      </w:r>
      <w:r w:rsidRPr="00386E47">
        <w:rPr>
          <w:rFonts w:asciiTheme="majorHAnsi" w:eastAsia="Calibri" w:hAnsiTheme="majorHAnsi"/>
          <w:sz w:val="20"/>
          <w:szCs w:val="20"/>
          <w:vertAlign w:val="superscript"/>
          <w:lang w:val="es-AR"/>
        </w:rPr>
        <w:footnoteReference w:id="182"/>
      </w:r>
      <w:r w:rsidRPr="00386E47">
        <w:rPr>
          <w:rFonts w:asciiTheme="majorHAnsi" w:eastAsia="Calibri" w:hAnsiTheme="majorHAnsi"/>
          <w:sz w:val="20"/>
          <w:szCs w:val="20"/>
          <w:lang w:val="es-AR"/>
        </w:rPr>
        <w:t>.</w:t>
      </w:r>
      <w:r w:rsidR="00347DFB" w:rsidRPr="00386E47">
        <w:rPr>
          <w:rFonts w:asciiTheme="majorHAnsi" w:eastAsia="Calibri" w:hAnsiTheme="majorHAnsi"/>
          <w:sz w:val="20"/>
          <w:szCs w:val="20"/>
          <w:lang w:val="es-AR"/>
        </w:rPr>
        <w:t xml:space="preserve"> </w:t>
      </w:r>
      <w:r w:rsidRPr="00386E47">
        <w:rPr>
          <w:rFonts w:asciiTheme="majorHAnsi" w:eastAsia="Calibri" w:hAnsiTheme="majorHAnsi"/>
          <w:sz w:val="20"/>
          <w:szCs w:val="20"/>
          <w:lang w:val="es-AR"/>
        </w:rPr>
        <w:t xml:space="preserve">Asimismo, Riva Aramayo le </w:t>
      </w:r>
      <w:r w:rsidR="00347DFB" w:rsidRPr="00386E47">
        <w:rPr>
          <w:rFonts w:asciiTheme="majorHAnsi" w:eastAsia="Calibri" w:hAnsiTheme="majorHAnsi"/>
          <w:sz w:val="20"/>
          <w:szCs w:val="20"/>
          <w:lang w:val="es-AR"/>
        </w:rPr>
        <w:t>transmiti</w:t>
      </w:r>
      <w:r w:rsidRPr="00386E47">
        <w:rPr>
          <w:rFonts w:asciiTheme="majorHAnsi" w:eastAsia="Calibri" w:hAnsiTheme="majorHAnsi"/>
          <w:sz w:val="20"/>
          <w:szCs w:val="20"/>
          <w:lang w:val="es-AR"/>
        </w:rPr>
        <w:t>ó a Galeano que Telleldin “condicionó su cooperación al cumplimiento previo de d</w:t>
      </w:r>
      <w:r w:rsidR="00846B28" w:rsidRPr="00386E47">
        <w:rPr>
          <w:rFonts w:asciiTheme="majorHAnsi" w:eastAsia="Calibri" w:hAnsiTheme="majorHAnsi"/>
          <w:sz w:val="20"/>
          <w:szCs w:val="20"/>
          <w:lang w:val="es-AR"/>
        </w:rPr>
        <w:t>eterminadas exigencias que no</w:t>
      </w:r>
      <w:r w:rsidRPr="00386E47">
        <w:rPr>
          <w:rFonts w:asciiTheme="majorHAnsi" w:eastAsia="Calibri" w:hAnsiTheme="majorHAnsi"/>
          <w:sz w:val="20"/>
          <w:szCs w:val="20"/>
          <w:lang w:val="es-AR"/>
        </w:rPr>
        <w:t xml:space="preserve"> precisó”</w:t>
      </w:r>
      <w:r w:rsidRPr="00386E47">
        <w:rPr>
          <w:rFonts w:asciiTheme="majorHAnsi" w:eastAsia="Calibri" w:hAnsiTheme="majorHAnsi"/>
          <w:sz w:val="20"/>
          <w:szCs w:val="20"/>
          <w:vertAlign w:val="superscript"/>
          <w:lang w:val="es-AR"/>
        </w:rPr>
        <w:footnoteReference w:id="183"/>
      </w:r>
      <w:r w:rsidRPr="00386E47">
        <w:rPr>
          <w:rFonts w:asciiTheme="majorHAnsi" w:eastAsia="Calibri" w:hAnsiTheme="majorHAnsi"/>
          <w:sz w:val="20"/>
          <w:szCs w:val="20"/>
          <w:lang w:val="es-AR"/>
        </w:rPr>
        <w:t xml:space="preserve">. </w:t>
      </w:r>
    </w:p>
    <w:p w14:paraId="1937BD2E" w14:textId="77777777" w:rsidR="002142AE" w:rsidRPr="00386E47" w:rsidRDefault="002142AE" w:rsidP="00D90B05">
      <w:pPr>
        <w:tabs>
          <w:tab w:val="left" w:pos="567"/>
        </w:tabs>
        <w:contextualSpacing/>
        <w:jc w:val="both"/>
        <w:rPr>
          <w:rFonts w:asciiTheme="majorHAnsi" w:eastAsia="Calibri" w:hAnsiTheme="majorHAnsi"/>
          <w:b/>
          <w:sz w:val="20"/>
          <w:szCs w:val="20"/>
          <w:lang w:val="es-AR"/>
        </w:rPr>
      </w:pPr>
    </w:p>
    <w:p w14:paraId="0A614B15" w14:textId="77777777" w:rsidR="009F70EA" w:rsidRPr="00386E47" w:rsidRDefault="009F70EA" w:rsidP="003A5860">
      <w:pPr>
        <w:numPr>
          <w:ilvl w:val="0"/>
          <w:numId w:val="55"/>
        </w:numPr>
        <w:tabs>
          <w:tab w:val="left" w:pos="567"/>
        </w:tabs>
        <w:ind w:left="0" w:firstLine="0"/>
        <w:contextualSpacing/>
        <w:jc w:val="both"/>
        <w:rPr>
          <w:rFonts w:asciiTheme="majorHAnsi" w:eastAsia="Calibri" w:hAnsiTheme="majorHAnsi"/>
          <w:b/>
          <w:sz w:val="20"/>
          <w:szCs w:val="20"/>
          <w:lang w:val="es-AR"/>
        </w:rPr>
      </w:pPr>
      <w:r w:rsidRPr="00386E47">
        <w:rPr>
          <w:rFonts w:asciiTheme="majorHAnsi" w:eastAsia="Calibri" w:hAnsiTheme="majorHAnsi"/>
          <w:sz w:val="20"/>
          <w:szCs w:val="20"/>
          <w:lang w:val="es-AR"/>
        </w:rPr>
        <w:t xml:space="preserve">Según dieron por probado los tribunales orales federales 3 y 2, las acciones de Vergéz, Romero y Riva Aramayo </w:t>
      </w:r>
      <w:r w:rsidR="00846B28" w:rsidRPr="00386E47">
        <w:rPr>
          <w:rFonts w:asciiTheme="majorHAnsi" w:eastAsia="Calibri" w:hAnsiTheme="majorHAnsi"/>
          <w:sz w:val="20"/>
          <w:szCs w:val="20"/>
          <w:lang w:val="es-AR"/>
        </w:rPr>
        <w:t>significaron</w:t>
      </w:r>
      <w:r w:rsidR="002142AE" w:rsidRPr="00386E47">
        <w:rPr>
          <w:rFonts w:asciiTheme="majorHAnsi" w:eastAsia="Calibri" w:hAnsiTheme="majorHAnsi"/>
          <w:sz w:val="20"/>
          <w:szCs w:val="20"/>
          <w:lang w:val="es-AR"/>
        </w:rPr>
        <w:t xml:space="preserve"> una</w:t>
      </w:r>
      <w:r w:rsidRPr="00386E47">
        <w:rPr>
          <w:rFonts w:asciiTheme="majorHAnsi" w:eastAsia="Calibri" w:hAnsiTheme="majorHAnsi"/>
          <w:sz w:val="20"/>
          <w:szCs w:val="20"/>
          <w:lang w:val="es-AR"/>
        </w:rPr>
        <w:t xml:space="preserve"> “actividad informal y subrepticia del Estado a fin de obtener la declaración de Carlos Telleldin”</w:t>
      </w:r>
      <w:r w:rsidRPr="00386E47">
        <w:rPr>
          <w:rFonts w:asciiTheme="majorHAnsi" w:eastAsia="Calibri" w:hAnsiTheme="majorHAnsi"/>
          <w:sz w:val="20"/>
          <w:szCs w:val="20"/>
          <w:vertAlign w:val="superscript"/>
          <w:lang w:val="es-AR"/>
        </w:rPr>
        <w:footnoteReference w:id="184"/>
      </w:r>
      <w:r w:rsidRPr="00386E47">
        <w:rPr>
          <w:rFonts w:asciiTheme="majorHAnsi" w:eastAsia="Calibri" w:hAnsiTheme="majorHAnsi"/>
          <w:sz w:val="20"/>
          <w:szCs w:val="20"/>
          <w:lang w:val="es-AR"/>
        </w:rPr>
        <w:t xml:space="preserve">. </w:t>
      </w:r>
      <w:r w:rsidR="00846B28" w:rsidRPr="00386E47">
        <w:rPr>
          <w:rFonts w:asciiTheme="majorHAnsi" w:eastAsia="Calibri" w:hAnsiTheme="majorHAnsi"/>
          <w:sz w:val="20"/>
          <w:szCs w:val="20"/>
          <w:lang w:val="es-AR"/>
        </w:rPr>
        <w:t>La nueva declaración indagatoria</w:t>
      </w:r>
      <w:r w:rsidRPr="00386E47">
        <w:rPr>
          <w:rFonts w:asciiTheme="majorHAnsi" w:eastAsia="Calibri" w:hAnsiTheme="majorHAnsi"/>
          <w:sz w:val="20"/>
          <w:szCs w:val="20"/>
          <w:lang w:val="es-AR"/>
        </w:rPr>
        <w:t xml:space="preserve"> se terminó celebrando el 5 de julio de 1996 y fue en esa oportunidad </w:t>
      </w:r>
      <w:r w:rsidR="002142AE" w:rsidRPr="00386E47">
        <w:rPr>
          <w:rFonts w:asciiTheme="majorHAnsi" w:eastAsia="Calibri" w:hAnsiTheme="majorHAnsi"/>
          <w:sz w:val="20"/>
          <w:szCs w:val="20"/>
          <w:lang w:val="es-AR"/>
        </w:rPr>
        <w:t xml:space="preserve">en </w:t>
      </w:r>
      <w:r w:rsidRPr="00386E47">
        <w:rPr>
          <w:rFonts w:asciiTheme="majorHAnsi" w:eastAsia="Calibri" w:hAnsiTheme="majorHAnsi"/>
          <w:sz w:val="20"/>
          <w:szCs w:val="20"/>
          <w:lang w:val="es-AR"/>
        </w:rPr>
        <w:t>que Telleldin involucró</w:t>
      </w:r>
      <w:r w:rsidR="002142AE" w:rsidRPr="00386E47">
        <w:rPr>
          <w:rFonts w:asciiTheme="majorHAnsi" w:eastAsia="Calibri" w:hAnsiTheme="majorHAnsi"/>
          <w:sz w:val="20"/>
          <w:szCs w:val="20"/>
          <w:lang w:val="es-AR"/>
        </w:rPr>
        <w:t xml:space="preserve"> por primera vez en el atentado </w:t>
      </w:r>
      <w:r w:rsidRPr="00386E47">
        <w:rPr>
          <w:rFonts w:asciiTheme="majorHAnsi" w:eastAsia="Calibri" w:hAnsiTheme="majorHAnsi"/>
          <w:sz w:val="20"/>
          <w:szCs w:val="20"/>
          <w:lang w:val="es-AR"/>
        </w:rPr>
        <w:t xml:space="preserve">a efectivos policiales pertenecientes a las brigadas de Lanús y Vicente López de la </w:t>
      </w:r>
      <w:r w:rsidR="002142AE" w:rsidRPr="00386E47">
        <w:rPr>
          <w:rFonts w:asciiTheme="majorHAnsi" w:eastAsia="Calibri" w:hAnsiTheme="majorHAnsi"/>
          <w:sz w:val="20"/>
          <w:szCs w:val="20"/>
          <w:lang w:val="es-AR"/>
        </w:rPr>
        <w:t>Policía de la Provincia de Buenos Aires</w:t>
      </w:r>
      <w:r w:rsidRPr="00386E47">
        <w:rPr>
          <w:rFonts w:asciiTheme="majorHAnsi" w:eastAsia="Calibri" w:hAnsiTheme="majorHAnsi"/>
          <w:sz w:val="20"/>
          <w:szCs w:val="20"/>
          <w:vertAlign w:val="superscript"/>
          <w:lang w:val="es-AR"/>
        </w:rPr>
        <w:footnoteReference w:id="185"/>
      </w:r>
      <w:r w:rsidR="002142AE" w:rsidRPr="00386E47">
        <w:rPr>
          <w:rFonts w:asciiTheme="majorHAnsi" w:eastAsia="Calibri" w:hAnsiTheme="majorHAnsi"/>
          <w:sz w:val="20"/>
          <w:szCs w:val="20"/>
          <w:lang w:val="es-AR"/>
        </w:rPr>
        <w:t>.</w:t>
      </w:r>
      <w:r w:rsidRPr="00386E47">
        <w:rPr>
          <w:rFonts w:asciiTheme="majorHAnsi" w:eastAsia="Calibri" w:hAnsiTheme="majorHAnsi"/>
          <w:sz w:val="20"/>
          <w:szCs w:val="20"/>
          <w:lang w:val="es-AR"/>
        </w:rPr>
        <w:t xml:space="preserve"> En palabras del TOF 3, la declaración de Telleldin “estuvo precedida de un arquitectónico armado, consentido y guiado por el juez federal Galeano, del que no fue ajena la camarista Riva Aramayo, quienes eran, precisamente, los que debían velar para que ese tipo de maniobras ilícitas nunca sucedieran”</w:t>
      </w:r>
      <w:r w:rsidRPr="00386E47">
        <w:rPr>
          <w:rFonts w:asciiTheme="majorHAnsi" w:eastAsia="Calibri" w:hAnsiTheme="majorHAnsi"/>
          <w:sz w:val="20"/>
          <w:szCs w:val="20"/>
          <w:vertAlign w:val="superscript"/>
          <w:lang w:val="es-AR"/>
        </w:rPr>
        <w:footnoteReference w:id="186"/>
      </w:r>
      <w:r w:rsidRPr="00386E47">
        <w:rPr>
          <w:rFonts w:asciiTheme="majorHAnsi" w:eastAsia="Calibri" w:hAnsiTheme="majorHAnsi"/>
          <w:sz w:val="20"/>
          <w:szCs w:val="20"/>
          <w:lang w:val="es-AR"/>
        </w:rPr>
        <w:t xml:space="preserve"> (ver supra párr. </w:t>
      </w:r>
      <w:r w:rsidR="00853C49" w:rsidRPr="00386E47">
        <w:rPr>
          <w:rFonts w:asciiTheme="majorHAnsi" w:eastAsia="Calibri" w:hAnsiTheme="majorHAnsi"/>
          <w:sz w:val="20"/>
          <w:szCs w:val="20"/>
          <w:lang w:val="es-AR"/>
        </w:rPr>
        <w:t>61</w:t>
      </w:r>
      <w:r w:rsidRPr="00386E47">
        <w:rPr>
          <w:rFonts w:asciiTheme="majorHAnsi" w:eastAsia="Calibri" w:hAnsiTheme="majorHAnsi"/>
          <w:sz w:val="20"/>
          <w:szCs w:val="20"/>
          <w:lang w:val="es-AR"/>
        </w:rPr>
        <w:t xml:space="preserve">) </w:t>
      </w:r>
    </w:p>
    <w:p w14:paraId="518A0F0A" w14:textId="77777777" w:rsidR="009F70EA" w:rsidRPr="00386E47" w:rsidRDefault="009F70EA" w:rsidP="009F70EA">
      <w:pPr>
        <w:tabs>
          <w:tab w:val="left" w:pos="426"/>
        </w:tabs>
        <w:contextualSpacing/>
        <w:jc w:val="both"/>
        <w:rPr>
          <w:rFonts w:asciiTheme="majorHAnsi" w:eastAsia="Calibri" w:hAnsiTheme="majorHAnsi"/>
          <w:sz w:val="20"/>
          <w:szCs w:val="20"/>
          <w:lang w:val="es-AR"/>
        </w:rPr>
      </w:pPr>
    </w:p>
    <w:p w14:paraId="386FC521" w14:textId="77777777" w:rsidR="009F70EA" w:rsidRPr="00386E47" w:rsidRDefault="00C21134" w:rsidP="003A5860">
      <w:pPr>
        <w:pStyle w:val="ListParagraph"/>
        <w:numPr>
          <w:ilvl w:val="0"/>
          <w:numId w:val="58"/>
        </w:numPr>
        <w:jc w:val="both"/>
        <w:rPr>
          <w:rFonts w:asciiTheme="majorHAnsi" w:eastAsia="Calibri" w:hAnsiTheme="majorHAnsi"/>
          <w:b/>
          <w:sz w:val="20"/>
          <w:szCs w:val="20"/>
          <w:lang w:val="es-AR"/>
        </w:rPr>
      </w:pPr>
      <w:r w:rsidRPr="00386E47">
        <w:rPr>
          <w:rFonts w:asciiTheme="majorHAnsi" w:eastAsia="Calibri" w:hAnsiTheme="majorHAnsi"/>
          <w:b/>
          <w:sz w:val="20"/>
          <w:szCs w:val="20"/>
          <w:lang w:val="es-AR"/>
        </w:rPr>
        <w:t xml:space="preserve">Respecto al </w:t>
      </w:r>
      <w:r w:rsidR="00846B28" w:rsidRPr="00386E47">
        <w:rPr>
          <w:rFonts w:asciiTheme="majorHAnsi" w:eastAsia="Calibri" w:hAnsiTheme="majorHAnsi"/>
          <w:b/>
          <w:sz w:val="20"/>
          <w:szCs w:val="20"/>
          <w:lang w:val="es-AR"/>
        </w:rPr>
        <w:t>desembolso</w:t>
      </w:r>
      <w:r w:rsidR="009F70EA" w:rsidRPr="00386E47">
        <w:rPr>
          <w:rFonts w:asciiTheme="majorHAnsi" w:eastAsia="Calibri" w:hAnsiTheme="majorHAnsi"/>
          <w:b/>
          <w:sz w:val="20"/>
          <w:szCs w:val="20"/>
          <w:lang w:val="es-AR"/>
        </w:rPr>
        <w:t xml:space="preserve"> de una suma de dinero a Carlos Telleldin proveniente de los fondos reservados de la Secretaria de Inteligencia del Estado </w:t>
      </w:r>
    </w:p>
    <w:p w14:paraId="32EA5C4E" w14:textId="77777777" w:rsidR="009F70EA" w:rsidRPr="00386E47" w:rsidRDefault="009F70EA" w:rsidP="009F70EA">
      <w:pPr>
        <w:ind w:left="567"/>
        <w:jc w:val="both"/>
        <w:rPr>
          <w:rFonts w:asciiTheme="majorHAnsi" w:eastAsia="Calibri" w:hAnsiTheme="majorHAnsi"/>
          <w:b/>
          <w:sz w:val="20"/>
          <w:szCs w:val="20"/>
          <w:lang w:val="es-AR"/>
        </w:rPr>
      </w:pPr>
    </w:p>
    <w:p w14:paraId="63E3E397" w14:textId="77777777" w:rsidR="009F70EA" w:rsidRPr="00386E47" w:rsidRDefault="009F70EA" w:rsidP="003A5860">
      <w:pPr>
        <w:numPr>
          <w:ilvl w:val="0"/>
          <w:numId w:val="55"/>
        </w:numPr>
        <w:tabs>
          <w:tab w:val="left" w:pos="567"/>
        </w:tabs>
        <w:ind w:left="0" w:firstLine="0"/>
        <w:contextualSpacing/>
        <w:jc w:val="both"/>
        <w:rPr>
          <w:rFonts w:asciiTheme="majorHAnsi" w:eastAsia="Calibri" w:hAnsiTheme="majorHAnsi"/>
          <w:sz w:val="20"/>
          <w:szCs w:val="20"/>
          <w:lang w:val="es-AR"/>
        </w:rPr>
      </w:pPr>
      <w:r w:rsidRPr="00386E47">
        <w:rPr>
          <w:rFonts w:asciiTheme="majorHAnsi" w:eastAsia="Calibri" w:hAnsiTheme="majorHAnsi"/>
          <w:sz w:val="20"/>
          <w:szCs w:val="20"/>
          <w:lang w:val="es-AR"/>
        </w:rPr>
        <w:t xml:space="preserve">En la sentencia dictada por el TOF 3 en octubre de 2004 se </w:t>
      </w:r>
      <w:r w:rsidR="00683038" w:rsidRPr="00386E47">
        <w:rPr>
          <w:rFonts w:asciiTheme="majorHAnsi" w:eastAsia="Calibri" w:hAnsiTheme="majorHAnsi"/>
          <w:sz w:val="20"/>
          <w:szCs w:val="20"/>
          <w:lang w:val="es-AR"/>
        </w:rPr>
        <w:t>consideró acreditado</w:t>
      </w:r>
      <w:r w:rsidRPr="00386E47">
        <w:rPr>
          <w:rFonts w:asciiTheme="majorHAnsi" w:eastAsia="Calibri" w:hAnsiTheme="majorHAnsi"/>
          <w:sz w:val="20"/>
          <w:szCs w:val="20"/>
          <w:lang w:val="es-AR"/>
        </w:rPr>
        <w:t xml:space="preserve"> que el entonces juez Galeano mantuvo dos reuniones informales con Carlos Telleldin en su despacho oficial</w:t>
      </w:r>
      <w:r w:rsidR="00683038" w:rsidRPr="00386E47">
        <w:rPr>
          <w:rFonts w:asciiTheme="majorHAnsi" w:eastAsia="Calibri" w:hAnsiTheme="majorHAnsi"/>
          <w:sz w:val="20"/>
          <w:szCs w:val="20"/>
          <w:lang w:val="es-AR"/>
        </w:rPr>
        <w:t xml:space="preserve"> durante los días 10 de abril y</w:t>
      </w:r>
      <w:r w:rsidR="00536704" w:rsidRPr="00386E47">
        <w:rPr>
          <w:rFonts w:asciiTheme="majorHAnsi" w:eastAsia="Calibri" w:hAnsiTheme="majorHAnsi"/>
          <w:sz w:val="20"/>
          <w:szCs w:val="20"/>
          <w:lang w:val="es-AR"/>
        </w:rPr>
        <w:t xml:space="preserve"> 1 de julio de 1996</w:t>
      </w:r>
      <w:r w:rsidRPr="00386E47">
        <w:rPr>
          <w:rFonts w:asciiTheme="majorHAnsi" w:eastAsia="Calibri" w:hAnsiTheme="majorHAnsi"/>
          <w:sz w:val="20"/>
          <w:szCs w:val="20"/>
          <w:lang w:val="es-AR"/>
        </w:rPr>
        <w:t xml:space="preserve">. </w:t>
      </w:r>
      <w:r w:rsidR="00683038" w:rsidRPr="00386E47">
        <w:rPr>
          <w:rFonts w:asciiTheme="majorHAnsi" w:eastAsia="Calibri" w:hAnsiTheme="majorHAnsi"/>
          <w:sz w:val="20"/>
          <w:szCs w:val="20"/>
          <w:lang w:val="es-AR"/>
        </w:rPr>
        <w:t>Ambos encuentros</w:t>
      </w:r>
      <w:r w:rsidRPr="00386E47">
        <w:rPr>
          <w:rFonts w:asciiTheme="majorHAnsi" w:eastAsia="Calibri" w:hAnsiTheme="majorHAnsi"/>
          <w:sz w:val="20"/>
          <w:szCs w:val="20"/>
          <w:lang w:val="es-AR"/>
        </w:rPr>
        <w:t xml:space="preserve"> fueron </w:t>
      </w:r>
      <w:r w:rsidR="00683038" w:rsidRPr="00386E47">
        <w:rPr>
          <w:rFonts w:asciiTheme="majorHAnsi" w:eastAsia="Calibri" w:hAnsiTheme="majorHAnsi"/>
          <w:sz w:val="20"/>
          <w:szCs w:val="20"/>
          <w:lang w:val="es-AR"/>
        </w:rPr>
        <w:t>grabados</w:t>
      </w:r>
      <w:r w:rsidRPr="00386E47">
        <w:rPr>
          <w:rFonts w:asciiTheme="majorHAnsi" w:eastAsia="Calibri" w:hAnsiTheme="majorHAnsi"/>
          <w:sz w:val="20"/>
          <w:szCs w:val="20"/>
          <w:lang w:val="es-AR"/>
        </w:rPr>
        <w:t xml:space="preserve"> en video por medio de una cámara oculta </w:t>
      </w:r>
      <w:r w:rsidR="00683038" w:rsidRPr="00386E47">
        <w:rPr>
          <w:rFonts w:asciiTheme="majorHAnsi" w:eastAsia="Calibri" w:hAnsiTheme="majorHAnsi"/>
          <w:sz w:val="20"/>
          <w:szCs w:val="20"/>
          <w:lang w:val="es-AR"/>
        </w:rPr>
        <w:t>colocada por el juez dentro de su propia oficina</w:t>
      </w:r>
      <w:r w:rsidRPr="00386E47">
        <w:rPr>
          <w:rFonts w:asciiTheme="majorHAnsi" w:eastAsia="Calibri" w:hAnsiTheme="majorHAnsi"/>
          <w:sz w:val="20"/>
          <w:szCs w:val="20"/>
          <w:lang w:val="es-AR"/>
        </w:rPr>
        <w:t>. El TOF 3 advirtió que en el video correspondiente a la reunión del 1 de julio, “puede verse al Dr. Galeano conversando con Telleldin de manera amena y distendida”</w:t>
      </w:r>
      <w:r w:rsidRPr="00386E47">
        <w:rPr>
          <w:rFonts w:asciiTheme="majorHAnsi" w:eastAsia="Calibri" w:hAnsiTheme="majorHAnsi"/>
          <w:sz w:val="20"/>
          <w:szCs w:val="20"/>
          <w:vertAlign w:val="superscript"/>
          <w:lang w:val="es-AR"/>
        </w:rPr>
        <w:footnoteReference w:id="187"/>
      </w:r>
      <w:r w:rsidRPr="00386E47">
        <w:rPr>
          <w:rFonts w:asciiTheme="majorHAnsi" w:eastAsia="Calibri" w:hAnsiTheme="majorHAnsi"/>
          <w:sz w:val="20"/>
          <w:szCs w:val="20"/>
          <w:lang w:val="es-AR"/>
        </w:rPr>
        <w:t xml:space="preserve"> y</w:t>
      </w:r>
      <w:r w:rsidR="00683038" w:rsidRPr="00386E47">
        <w:rPr>
          <w:rFonts w:asciiTheme="majorHAnsi" w:eastAsia="Calibri" w:hAnsiTheme="majorHAnsi"/>
          <w:sz w:val="20"/>
          <w:szCs w:val="20"/>
          <w:lang w:val="es-AR"/>
        </w:rPr>
        <w:t xml:space="preserve"> que</w:t>
      </w:r>
      <w:r w:rsidRPr="00386E47">
        <w:rPr>
          <w:rFonts w:asciiTheme="majorHAnsi" w:eastAsia="Calibri" w:hAnsiTheme="majorHAnsi"/>
          <w:sz w:val="20"/>
          <w:szCs w:val="20"/>
          <w:lang w:val="es-AR"/>
        </w:rPr>
        <w:t xml:space="preserve"> “se abordaron diversos temas que eran materia de investigación en la causa y acerca de los cuales el procesado, en oportunidad de ejercer su defensa material, aun no se había pronunciado”</w:t>
      </w:r>
      <w:r w:rsidRPr="00386E47">
        <w:rPr>
          <w:rFonts w:asciiTheme="majorHAnsi" w:eastAsia="Calibri" w:hAnsiTheme="majorHAnsi"/>
          <w:sz w:val="20"/>
          <w:szCs w:val="20"/>
          <w:vertAlign w:val="superscript"/>
          <w:lang w:val="es-AR"/>
        </w:rPr>
        <w:footnoteReference w:id="188"/>
      </w:r>
      <w:r w:rsidRPr="00386E47">
        <w:rPr>
          <w:rFonts w:asciiTheme="majorHAnsi" w:eastAsia="Calibri" w:hAnsiTheme="majorHAnsi"/>
          <w:sz w:val="20"/>
          <w:szCs w:val="20"/>
          <w:lang w:val="es-AR"/>
        </w:rPr>
        <w:t xml:space="preserve">. </w:t>
      </w:r>
    </w:p>
    <w:p w14:paraId="389F0E18" w14:textId="77777777" w:rsidR="009F70EA" w:rsidRPr="00386E47" w:rsidRDefault="009F70EA" w:rsidP="00D90B05">
      <w:pPr>
        <w:tabs>
          <w:tab w:val="left" w:pos="567"/>
        </w:tabs>
        <w:contextualSpacing/>
        <w:jc w:val="both"/>
        <w:rPr>
          <w:rFonts w:asciiTheme="majorHAnsi" w:eastAsia="Calibri" w:hAnsiTheme="majorHAnsi"/>
          <w:sz w:val="20"/>
          <w:szCs w:val="20"/>
          <w:lang w:val="es-AR"/>
        </w:rPr>
      </w:pPr>
    </w:p>
    <w:p w14:paraId="48EC7A52" w14:textId="77777777" w:rsidR="009F70EA" w:rsidRPr="00386E47" w:rsidRDefault="009F70EA" w:rsidP="003A5860">
      <w:pPr>
        <w:numPr>
          <w:ilvl w:val="0"/>
          <w:numId w:val="55"/>
        </w:numPr>
        <w:tabs>
          <w:tab w:val="left" w:pos="567"/>
        </w:tabs>
        <w:ind w:left="0" w:firstLine="0"/>
        <w:contextualSpacing/>
        <w:jc w:val="both"/>
        <w:rPr>
          <w:rFonts w:asciiTheme="majorHAnsi" w:eastAsia="Calibri" w:hAnsiTheme="majorHAnsi"/>
          <w:sz w:val="20"/>
          <w:szCs w:val="20"/>
          <w:lang w:val="es-AR"/>
        </w:rPr>
      </w:pPr>
      <w:r w:rsidRPr="00386E47">
        <w:rPr>
          <w:rFonts w:asciiTheme="majorHAnsi" w:eastAsia="Calibri" w:hAnsiTheme="majorHAnsi"/>
          <w:sz w:val="20"/>
          <w:szCs w:val="20"/>
          <w:lang w:val="es-AR"/>
        </w:rPr>
        <w:t>Según pudo reconstruir el TOF 3, durante el intercambio en</w:t>
      </w:r>
      <w:r w:rsidR="00683038" w:rsidRPr="00386E47">
        <w:rPr>
          <w:rFonts w:asciiTheme="majorHAnsi" w:eastAsia="Calibri" w:hAnsiTheme="majorHAnsi"/>
          <w:sz w:val="20"/>
          <w:szCs w:val="20"/>
          <w:lang w:val="es-AR"/>
        </w:rPr>
        <w:t xml:space="preserve">tre el juez Galeano y Telleldin, </w:t>
      </w:r>
      <w:r w:rsidRPr="00386E47">
        <w:rPr>
          <w:rFonts w:asciiTheme="majorHAnsi" w:eastAsia="Calibri" w:hAnsiTheme="majorHAnsi"/>
          <w:sz w:val="20"/>
          <w:szCs w:val="20"/>
          <w:lang w:val="es-AR"/>
        </w:rPr>
        <w:t>el magistrado “bajo el disfraz de una supuesta compra de derechos de autor de un libro […] intenta acordar con el imputado una declaración a cambio de una suma de dinero, como así también la forma de pago”</w:t>
      </w:r>
      <w:r w:rsidRPr="00386E47">
        <w:rPr>
          <w:rFonts w:asciiTheme="majorHAnsi" w:eastAsia="Calibri" w:hAnsiTheme="majorHAnsi"/>
          <w:sz w:val="20"/>
          <w:szCs w:val="20"/>
          <w:vertAlign w:val="superscript"/>
          <w:lang w:val="es-AR"/>
        </w:rPr>
        <w:footnoteReference w:id="189"/>
      </w:r>
      <w:r w:rsidRPr="00386E47">
        <w:rPr>
          <w:rFonts w:asciiTheme="majorHAnsi" w:eastAsia="Calibri" w:hAnsiTheme="majorHAnsi"/>
          <w:sz w:val="20"/>
          <w:szCs w:val="20"/>
          <w:lang w:val="es-AR"/>
        </w:rPr>
        <w:t>. Adicionalmente, de la cinta se desprende que el juez Galeano le aseguró a Telleldin que la persona interesada en adquirir el libro necesitaba saber si este “podía contestar determinados puntos, aunque fuese por sí o por no”, a lo que Telleldin respondió que</w:t>
      </w:r>
      <w:r w:rsidR="00683038" w:rsidRPr="00386E47">
        <w:rPr>
          <w:rFonts w:asciiTheme="majorHAnsi" w:eastAsia="Calibri" w:hAnsiTheme="majorHAnsi"/>
          <w:sz w:val="20"/>
          <w:szCs w:val="20"/>
          <w:lang w:val="es-AR"/>
        </w:rPr>
        <w:t xml:space="preserve"> lo que</w:t>
      </w:r>
      <w:r w:rsidRPr="00386E47">
        <w:rPr>
          <w:rFonts w:asciiTheme="majorHAnsi" w:eastAsia="Calibri" w:hAnsiTheme="majorHAnsi"/>
          <w:sz w:val="20"/>
          <w:szCs w:val="20"/>
          <w:lang w:val="es-AR"/>
        </w:rPr>
        <w:t xml:space="preserve"> quería</w:t>
      </w:r>
      <w:r w:rsidR="00683038" w:rsidRPr="00386E47">
        <w:rPr>
          <w:rFonts w:asciiTheme="majorHAnsi" w:eastAsia="Calibri" w:hAnsiTheme="majorHAnsi"/>
          <w:sz w:val="20"/>
          <w:szCs w:val="20"/>
          <w:lang w:val="es-AR"/>
        </w:rPr>
        <w:t xml:space="preserve"> era</w:t>
      </w:r>
      <w:r w:rsidRPr="00386E47">
        <w:rPr>
          <w:rFonts w:asciiTheme="majorHAnsi" w:eastAsia="Calibri" w:hAnsiTheme="majorHAnsi"/>
          <w:sz w:val="20"/>
          <w:szCs w:val="20"/>
          <w:lang w:val="es-AR"/>
        </w:rPr>
        <w:t xml:space="preserve"> que el dinero le fuera depositado a su esposa en una cuenta de banco</w:t>
      </w:r>
      <w:r w:rsidRPr="00386E47">
        <w:rPr>
          <w:rFonts w:asciiTheme="majorHAnsi" w:eastAsia="Calibri" w:hAnsiTheme="majorHAnsi"/>
          <w:sz w:val="20"/>
          <w:szCs w:val="20"/>
          <w:vertAlign w:val="superscript"/>
          <w:lang w:val="es-AR"/>
        </w:rPr>
        <w:footnoteReference w:id="190"/>
      </w:r>
      <w:r w:rsidRPr="00386E47">
        <w:rPr>
          <w:rFonts w:asciiTheme="majorHAnsi" w:eastAsia="Calibri" w:hAnsiTheme="majorHAnsi"/>
          <w:sz w:val="20"/>
          <w:szCs w:val="20"/>
          <w:lang w:val="es-AR"/>
        </w:rPr>
        <w:t xml:space="preserve">. </w:t>
      </w:r>
    </w:p>
    <w:p w14:paraId="331D8032" w14:textId="77777777" w:rsidR="009F70EA" w:rsidRPr="00386E47" w:rsidRDefault="009F70EA" w:rsidP="00D90B05">
      <w:pPr>
        <w:tabs>
          <w:tab w:val="left" w:pos="567"/>
        </w:tabs>
        <w:contextualSpacing/>
        <w:jc w:val="both"/>
        <w:rPr>
          <w:rFonts w:asciiTheme="majorHAnsi" w:eastAsia="Calibri" w:hAnsiTheme="majorHAnsi"/>
          <w:sz w:val="20"/>
          <w:szCs w:val="20"/>
          <w:lang w:val="es-AR"/>
        </w:rPr>
      </w:pPr>
    </w:p>
    <w:p w14:paraId="0DCBC0EE" w14:textId="77777777" w:rsidR="009F70EA" w:rsidRPr="00386E47" w:rsidRDefault="009F70EA" w:rsidP="003A5860">
      <w:pPr>
        <w:numPr>
          <w:ilvl w:val="0"/>
          <w:numId w:val="55"/>
        </w:numPr>
        <w:tabs>
          <w:tab w:val="left" w:pos="567"/>
        </w:tabs>
        <w:ind w:left="0" w:firstLine="0"/>
        <w:contextualSpacing/>
        <w:jc w:val="both"/>
        <w:rPr>
          <w:rFonts w:asciiTheme="majorHAnsi" w:eastAsia="Calibri" w:hAnsiTheme="majorHAnsi"/>
          <w:sz w:val="20"/>
          <w:szCs w:val="20"/>
          <w:lang w:val="es-AR"/>
        </w:rPr>
      </w:pPr>
      <w:r w:rsidRPr="00386E47">
        <w:rPr>
          <w:rFonts w:asciiTheme="majorHAnsi" w:eastAsia="Calibri" w:hAnsiTheme="majorHAnsi"/>
          <w:sz w:val="20"/>
          <w:szCs w:val="20"/>
          <w:lang w:val="es-AR"/>
        </w:rPr>
        <w:t>A partir de la</w:t>
      </w:r>
      <w:r w:rsidR="007907EB" w:rsidRPr="00386E47">
        <w:rPr>
          <w:rFonts w:asciiTheme="majorHAnsi" w:eastAsia="Calibri" w:hAnsiTheme="majorHAnsi"/>
          <w:sz w:val="20"/>
          <w:szCs w:val="20"/>
          <w:lang w:val="es-AR"/>
        </w:rPr>
        <w:t>s</w:t>
      </w:r>
      <w:r w:rsidRPr="00386E47">
        <w:rPr>
          <w:rFonts w:asciiTheme="majorHAnsi" w:eastAsia="Calibri" w:hAnsiTheme="majorHAnsi"/>
          <w:sz w:val="20"/>
          <w:szCs w:val="20"/>
          <w:lang w:val="es-AR"/>
        </w:rPr>
        <w:t xml:space="preserve"> </w:t>
      </w:r>
      <w:r w:rsidR="007907EB" w:rsidRPr="00386E47">
        <w:rPr>
          <w:rFonts w:asciiTheme="majorHAnsi" w:eastAsia="Calibri" w:hAnsiTheme="majorHAnsi"/>
          <w:sz w:val="20"/>
          <w:szCs w:val="20"/>
          <w:lang w:val="es-AR"/>
        </w:rPr>
        <w:t>declaraciones</w:t>
      </w:r>
      <w:r w:rsidRPr="00386E47">
        <w:rPr>
          <w:rFonts w:asciiTheme="majorHAnsi" w:eastAsia="Calibri" w:hAnsiTheme="majorHAnsi"/>
          <w:sz w:val="20"/>
          <w:szCs w:val="20"/>
          <w:lang w:val="es-AR"/>
        </w:rPr>
        <w:t xml:space="preserve"> </w:t>
      </w:r>
      <w:r w:rsidR="007907EB" w:rsidRPr="00386E47">
        <w:rPr>
          <w:rFonts w:asciiTheme="majorHAnsi" w:eastAsia="Calibri" w:hAnsiTheme="majorHAnsi"/>
          <w:sz w:val="20"/>
          <w:szCs w:val="20"/>
          <w:lang w:val="es-AR"/>
        </w:rPr>
        <w:t>testimoniales prestadas por</w:t>
      </w:r>
      <w:r w:rsidRPr="00386E47">
        <w:rPr>
          <w:rFonts w:asciiTheme="majorHAnsi" w:eastAsia="Calibri" w:hAnsiTheme="majorHAnsi"/>
          <w:sz w:val="20"/>
          <w:szCs w:val="20"/>
          <w:lang w:val="es-AR"/>
        </w:rPr>
        <w:t xml:space="preserve"> diversas autoridades y agentes de la SI</w:t>
      </w:r>
      <w:r w:rsidR="007907EB" w:rsidRPr="00386E47">
        <w:rPr>
          <w:rFonts w:asciiTheme="majorHAnsi" w:eastAsia="Calibri" w:hAnsiTheme="majorHAnsi"/>
          <w:sz w:val="20"/>
          <w:szCs w:val="20"/>
          <w:lang w:val="es-AR"/>
        </w:rPr>
        <w:t xml:space="preserve">DE en el juicio oral celebrado ante </w:t>
      </w:r>
      <w:r w:rsidRPr="00386E47">
        <w:rPr>
          <w:rFonts w:asciiTheme="majorHAnsi" w:eastAsia="Calibri" w:hAnsiTheme="majorHAnsi"/>
          <w:sz w:val="20"/>
          <w:szCs w:val="20"/>
          <w:lang w:val="es-AR"/>
        </w:rPr>
        <w:t xml:space="preserve">el TOF 3 se </w:t>
      </w:r>
      <w:r w:rsidR="007907EB" w:rsidRPr="00386E47">
        <w:rPr>
          <w:rFonts w:asciiTheme="majorHAnsi" w:eastAsia="Calibri" w:hAnsiTheme="majorHAnsi"/>
          <w:sz w:val="20"/>
          <w:szCs w:val="20"/>
          <w:lang w:val="es-AR"/>
        </w:rPr>
        <w:t>estableció</w:t>
      </w:r>
      <w:r w:rsidRPr="00386E47">
        <w:rPr>
          <w:rFonts w:asciiTheme="majorHAnsi" w:eastAsia="Calibri" w:hAnsiTheme="majorHAnsi"/>
          <w:sz w:val="20"/>
          <w:szCs w:val="20"/>
          <w:lang w:val="es-AR"/>
        </w:rPr>
        <w:t xml:space="preserve"> que Carlos Telleldin, a través de su </w:t>
      </w:r>
      <w:r w:rsidR="007907EB" w:rsidRPr="00386E47">
        <w:rPr>
          <w:rFonts w:asciiTheme="majorHAnsi" w:eastAsia="Calibri" w:hAnsiTheme="majorHAnsi"/>
          <w:sz w:val="20"/>
          <w:szCs w:val="20"/>
          <w:lang w:val="es-AR"/>
        </w:rPr>
        <w:t>pareja</w:t>
      </w:r>
      <w:r w:rsidRPr="00386E47">
        <w:rPr>
          <w:rFonts w:asciiTheme="majorHAnsi" w:eastAsia="Calibri" w:hAnsiTheme="majorHAnsi"/>
          <w:sz w:val="20"/>
          <w:szCs w:val="20"/>
          <w:lang w:val="es-AR"/>
        </w:rPr>
        <w:t xml:space="preserve">, recibió la suma de 400.000 dólares provenientes de fondos reservados confiados a la administración de la propia Secretaria de Inteligencia del Estado. En efecto, el entonces Secretario de Inteligencia del Estado, Hugo Anzorreguy, declaró ante el TOF 3 que “a fines de mayo de 1996 el Dr. Galeano concurrió a su despacho, comentándole que la causa estaba </w:t>
      </w:r>
      <w:r w:rsidRPr="00386E47">
        <w:rPr>
          <w:rFonts w:asciiTheme="majorHAnsi" w:eastAsia="Calibri" w:hAnsiTheme="majorHAnsi"/>
          <w:sz w:val="20"/>
          <w:szCs w:val="20"/>
          <w:lang w:val="es-AR"/>
        </w:rPr>
        <w:lastRenderedPageBreak/>
        <w:t>estancada, que los familiares de Telleldin tenían miedo y que necesitaba una suma de dinero para destrabarla”</w:t>
      </w:r>
      <w:r w:rsidRPr="00386E47">
        <w:rPr>
          <w:rFonts w:asciiTheme="majorHAnsi" w:eastAsia="Calibri" w:hAnsiTheme="majorHAnsi"/>
          <w:sz w:val="20"/>
          <w:szCs w:val="20"/>
          <w:vertAlign w:val="superscript"/>
          <w:lang w:val="es-AR"/>
        </w:rPr>
        <w:footnoteReference w:id="191"/>
      </w:r>
      <w:r w:rsidRPr="00386E47">
        <w:rPr>
          <w:rFonts w:asciiTheme="majorHAnsi" w:eastAsia="Calibri" w:hAnsiTheme="majorHAnsi"/>
          <w:sz w:val="20"/>
          <w:szCs w:val="20"/>
          <w:lang w:val="es-AR"/>
        </w:rPr>
        <w:t>. El Sr. Anzorreguy también añadió “que no preguntó acerca de que aportaría Telleldin, ni tampoco el magistrado se lo comentó, pero de inmediato respondió afirmativamente a su solicitud por cuanto era una contribución más del organismo a su cargo ‘para salir adelante’</w:t>
      </w:r>
      <w:r w:rsidRPr="00386E47">
        <w:rPr>
          <w:rFonts w:asciiTheme="majorHAnsi" w:eastAsia="Calibri" w:hAnsiTheme="majorHAnsi"/>
          <w:sz w:val="20"/>
          <w:szCs w:val="20"/>
          <w:vertAlign w:val="superscript"/>
          <w:lang w:val="es-AR"/>
        </w:rPr>
        <w:footnoteReference w:id="192"/>
      </w:r>
      <w:r w:rsidRPr="00386E47">
        <w:rPr>
          <w:rFonts w:asciiTheme="majorHAnsi" w:eastAsia="Calibri" w:hAnsiTheme="majorHAnsi"/>
          <w:sz w:val="20"/>
          <w:szCs w:val="20"/>
          <w:lang w:val="es-AR"/>
        </w:rPr>
        <w:t xml:space="preserve">. </w:t>
      </w:r>
    </w:p>
    <w:p w14:paraId="5CB517DE" w14:textId="77777777" w:rsidR="009F70EA" w:rsidRPr="00386E47" w:rsidRDefault="009F70EA" w:rsidP="00D90B05">
      <w:pPr>
        <w:tabs>
          <w:tab w:val="left" w:pos="567"/>
        </w:tabs>
        <w:contextualSpacing/>
        <w:jc w:val="both"/>
        <w:rPr>
          <w:rFonts w:asciiTheme="majorHAnsi" w:eastAsia="Calibri" w:hAnsiTheme="majorHAnsi"/>
          <w:sz w:val="20"/>
          <w:szCs w:val="20"/>
          <w:lang w:val="es-AR"/>
        </w:rPr>
      </w:pPr>
    </w:p>
    <w:p w14:paraId="2A617C56" w14:textId="77777777" w:rsidR="009F70EA" w:rsidRPr="00386E47" w:rsidRDefault="009F70EA" w:rsidP="003A5860">
      <w:pPr>
        <w:numPr>
          <w:ilvl w:val="0"/>
          <w:numId w:val="55"/>
        </w:numPr>
        <w:tabs>
          <w:tab w:val="left" w:pos="567"/>
        </w:tabs>
        <w:ind w:left="0" w:firstLine="0"/>
        <w:contextualSpacing/>
        <w:jc w:val="both"/>
        <w:rPr>
          <w:rFonts w:asciiTheme="majorHAnsi" w:eastAsia="Calibri" w:hAnsiTheme="majorHAnsi"/>
          <w:sz w:val="20"/>
          <w:szCs w:val="20"/>
          <w:lang w:val="es-AR"/>
        </w:rPr>
      </w:pPr>
      <w:r w:rsidRPr="00386E47">
        <w:rPr>
          <w:rFonts w:asciiTheme="majorHAnsi" w:eastAsia="Calibri" w:hAnsiTheme="majorHAnsi"/>
          <w:sz w:val="20"/>
          <w:szCs w:val="20"/>
          <w:lang w:val="es-AR"/>
        </w:rPr>
        <w:t xml:space="preserve">El TOF 3 tuvo por acreditado que la entrega del dinero a la </w:t>
      </w:r>
      <w:r w:rsidR="007907EB" w:rsidRPr="00386E47">
        <w:rPr>
          <w:rFonts w:asciiTheme="majorHAnsi" w:eastAsia="Calibri" w:hAnsiTheme="majorHAnsi"/>
          <w:sz w:val="20"/>
          <w:szCs w:val="20"/>
          <w:lang w:val="es-AR"/>
        </w:rPr>
        <w:t>pareja</w:t>
      </w:r>
      <w:r w:rsidRPr="00386E47">
        <w:rPr>
          <w:rFonts w:asciiTheme="majorHAnsi" w:eastAsia="Calibri" w:hAnsiTheme="majorHAnsi"/>
          <w:sz w:val="20"/>
          <w:szCs w:val="20"/>
          <w:lang w:val="es-AR"/>
        </w:rPr>
        <w:t xml:space="preserve"> de Telleldin fue realizada en dos cuotas de 200.000 dólares cada una. La primera entrega tuvo lugar el 5 de julio de 1996 en el sector de cajas de seguridad de una institución bancaria ubicada en la localidad de Ramos Mejía. La segunda se efectivizó en el mes de octubre del mismo año en un banco de la Capital Federal. La logística del operativo estuvo a cargo de agentes de la SIDE, quienes reportaron su conclusión exitosa de manera inmediata al Secretario Anzo</w:t>
      </w:r>
      <w:r w:rsidR="002C22A1" w:rsidRPr="00386E47">
        <w:rPr>
          <w:rFonts w:asciiTheme="majorHAnsi" w:eastAsia="Calibri" w:hAnsiTheme="majorHAnsi"/>
          <w:sz w:val="20"/>
          <w:szCs w:val="20"/>
          <w:lang w:val="es-AR"/>
        </w:rPr>
        <w:t>rreguy y al j</w:t>
      </w:r>
      <w:r w:rsidRPr="00386E47">
        <w:rPr>
          <w:rFonts w:asciiTheme="majorHAnsi" w:eastAsia="Calibri" w:hAnsiTheme="majorHAnsi"/>
          <w:sz w:val="20"/>
          <w:szCs w:val="20"/>
          <w:lang w:val="es-AR"/>
        </w:rPr>
        <w:t>uez Galeano</w:t>
      </w:r>
      <w:r w:rsidRPr="00386E47">
        <w:rPr>
          <w:rFonts w:asciiTheme="majorHAnsi" w:eastAsia="Calibri" w:hAnsiTheme="majorHAnsi"/>
          <w:sz w:val="20"/>
          <w:szCs w:val="20"/>
          <w:vertAlign w:val="superscript"/>
          <w:lang w:val="es-AR"/>
        </w:rPr>
        <w:footnoteReference w:id="193"/>
      </w:r>
      <w:r w:rsidRPr="00386E47">
        <w:rPr>
          <w:rFonts w:asciiTheme="majorHAnsi" w:eastAsia="Calibri" w:hAnsiTheme="majorHAnsi"/>
          <w:sz w:val="20"/>
          <w:szCs w:val="20"/>
          <w:lang w:val="es-AR"/>
        </w:rPr>
        <w:t xml:space="preserve">. </w:t>
      </w:r>
    </w:p>
    <w:p w14:paraId="78EBBD2A" w14:textId="77777777" w:rsidR="009F70EA" w:rsidRPr="00386E47" w:rsidRDefault="009F70EA" w:rsidP="00D90B05">
      <w:pPr>
        <w:tabs>
          <w:tab w:val="left" w:pos="567"/>
        </w:tabs>
        <w:contextualSpacing/>
        <w:jc w:val="both"/>
        <w:rPr>
          <w:rFonts w:asciiTheme="majorHAnsi" w:eastAsia="Calibri" w:hAnsiTheme="majorHAnsi"/>
          <w:sz w:val="20"/>
          <w:szCs w:val="20"/>
          <w:lang w:val="es-AR"/>
        </w:rPr>
      </w:pPr>
    </w:p>
    <w:p w14:paraId="06C4F0DE" w14:textId="77777777" w:rsidR="009F70EA" w:rsidRPr="00386E47" w:rsidRDefault="009F70EA" w:rsidP="003A5860">
      <w:pPr>
        <w:numPr>
          <w:ilvl w:val="0"/>
          <w:numId w:val="55"/>
        </w:numPr>
        <w:tabs>
          <w:tab w:val="left" w:pos="567"/>
        </w:tabs>
        <w:ind w:left="0" w:firstLine="0"/>
        <w:contextualSpacing/>
        <w:jc w:val="both"/>
        <w:rPr>
          <w:rFonts w:asciiTheme="majorHAnsi" w:eastAsia="Calibri" w:hAnsiTheme="majorHAnsi"/>
          <w:sz w:val="20"/>
          <w:szCs w:val="20"/>
          <w:lang w:val="es-AR"/>
        </w:rPr>
      </w:pPr>
      <w:r w:rsidRPr="00386E47">
        <w:rPr>
          <w:rFonts w:asciiTheme="majorHAnsi" w:eastAsia="Calibri" w:hAnsiTheme="majorHAnsi"/>
          <w:sz w:val="20"/>
          <w:szCs w:val="20"/>
          <w:lang w:val="es-AR"/>
        </w:rPr>
        <w:t>Conforme surge de la sentencia de mayo</w:t>
      </w:r>
      <w:r w:rsidR="007907EB" w:rsidRPr="00386E47">
        <w:rPr>
          <w:rFonts w:asciiTheme="majorHAnsi" w:eastAsia="Calibri" w:hAnsiTheme="majorHAnsi"/>
          <w:sz w:val="20"/>
          <w:szCs w:val="20"/>
          <w:lang w:val="es-AR"/>
        </w:rPr>
        <w:t xml:space="preserve"> de 2019 dictada por el TOF 2, </w:t>
      </w:r>
      <w:r w:rsidRPr="00386E47">
        <w:rPr>
          <w:rFonts w:asciiTheme="majorHAnsi" w:eastAsia="Calibri" w:hAnsiTheme="majorHAnsi"/>
          <w:sz w:val="20"/>
          <w:szCs w:val="20"/>
          <w:lang w:val="es-AR"/>
        </w:rPr>
        <w:t>el mismo 5 de julio de 1996  “Carlos Alberto Telleldin, después de recibir el llamado telefónico de su pareja Ana Maria Boragni, quien le hizo saber de la efectivización del primer pago, prestó - conforme lo acordado con Juan Jose Galeano - una nueva declaración indagatoria […] en la ocasión brindó una versión de los hechos distinta a las anteriores, indicando que el día 10 de julio de 1994 entregó la camioneta Trafic - cuyo motor fue hallado entre los escombros de la sede de la AMIA - a personal de la Policía de la Provincia de Buenos Aires, más precisamente de las Brigadas de Lanús y Vicente López”</w:t>
      </w:r>
      <w:r w:rsidRPr="00386E47">
        <w:rPr>
          <w:rFonts w:asciiTheme="majorHAnsi" w:eastAsia="Calibri" w:hAnsiTheme="majorHAnsi"/>
          <w:sz w:val="20"/>
          <w:szCs w:val="20"/>
          <w:vertAlign w:val="superscript"/>
          <w:lang w:val="es-AR"/>
        </w:rPr>
        <w:footnoteReference w:id="194"/>
      </w:r>
      <w:r w:rsidRPr="00386E47">
        <w:rPr>
          <w:rFonts w:asciiTheme="majorHAnsi" w:eastAsia="Calibri" w:hAnsiTheme="majorHAnsi"/>
          <w:sz w:val="20"/>
          <w:szCs w:val="20"/>
          <w:lang w:val="es-AR"/>
        </w:rPr>
        <w:t xml:space="preserve">. </w:t>
      </w:r>
    </w:p>
    <w:p w14:paraId="4C592AD2" w14:textId="77777777" w:rsidR="009F70EA" w:rsidRPr="00386E47" w:rsidRDefault="009F70EA" w:rsidP="00D90B05">
      <w:pPr>
        <w:tabs>
          <w:tab w:val="left" w:pos="567"/>
        </w:tabs>
        <w:contextualSpacing/>
        <w:rPr>
          <w:rFonts w:asciiTheme="majorHAnsi" w:eastAsia="Calibri" w:hAnsiTheme="majorHAnsi"/>
          <w:sz w:val="20"/>
          <w:szCs w:val="20"/>
          <w:lang w:val="es-AR"/>
        </w:rPr>
      </w:pPr>
    </w:p>
    <w:p w14:paraId="13CCA0A5" w14:textId="77777777" w:rsidR="009F70EA" w:rsidRPr="00386E47" w:rsidRDefault="009F70EA" w:rsidP="003A5860">
      <w:pPr>
        <w:numPr>
          <w:ilvl w:val="0"/>
          <w:numId w:val="55"/>
        </w:numPr>
        <w:tabs>
          <w:tab w:val="left" w:pos="567"/>
        </w:tabs>
        <w:ind w:left="0" w:firstLine="0"/>
        <w:contextualSpacing/>
        <w:jc w:val="both"/>
        <w:rPr>
          <w:rFonts w:asciiTheme="majorHAnsi" w:eastAsia="Calibri" w:hAnsiTheme="majorHAnsi"/>
          <w:sz w:val="20"/>
          <w:szCs w:val="20"/>
          <w:lang w:val="es-AR"/>
        </w:rPr>
      </w:pPr>
      <w:r w:rsidRPr="00386E47">
        <w:rPr>
          <w:rFonts w:asciiTheme="majorHAnsi" w:eastAsia="Calibri" w:hAnsiTheme="majorHAnsi"/>
          <w:sz w:val="20"/>
          <w:szCs w:val="20"/>
          <w:lang w:val="es-AR"/>
        </w:rPr>
        <w:t>La declaración indagatoria de Telleldin del día 5 de julio de 1996, junto con las que prestaron algunas personas de su círculo íntimo en los días subsiguientes, constituyeron la base de la acusación construida por Galeano contra los policías bonaerenses Juan Jose Ribelli, Raúl Edilio Ibarra, Anastasio Irineo Leal y Mario Norberto Barreto. Los mencionados efectivos fueron detenidos, indagados y finalmente, el 31 de julio de 1996, procesados como participes necesarios del atentado</w:t>
      </w:r>
      <w:r w:rsidRPr="00386E47">
        <w:rPr>
          <w:rFonts w:asciiTheme="majorHAnsi" w:eastAsia="Calibri" w:hAnsiTheme="majorHAnsi"/>
          <w:sz w:val="20"/>
          <w:szCs w:val="20"/>
          <w:vertAlign w:val="superscript"/>
          <w:lang w:val="es-AR"/>
        </w:rPr>
        <w:footnoteReference w:id="195"/>
      </w:r>
      <w:r w:rsidRPr="00386E47">
        <w:rPr>
          <w:rFonts w:asciiTheme="majorHAnsi" w:eastAsia="Calibri" w:hAnsiTheme="majorHAnsi"/>
          <w:sz w:val="20"/>
          <w:szCs w:val="20"/>
          <w:lang w:val="es-AR"/>
        </w:rPr>
        <w:t xml:space="preserve">. </w:t>
      </w:r>
      <w:r w:rsidR="00041810" w:rsidRPr="00386E47">
        <w:rPr>
          <w:rFonts w:asciiTheme="majorHAnsi" w:eastAsia="Calibri" w:hAnsiTheme="majorHAnsi"/>
          <w:sz w:val="20"/>
          <w:szCs w:val="20"/>
          <w:lang w:val="es-AR"/>
        </w:rPr>
        <w:t xml:space="preserve"> </w:t>
      </w:r>
      <w:r w:rsidR="007907EB" w:rsidRPr="00386E47">
        <w:rPr>
          <w:rFonts w:asciiTheme="majorHAnsi" w:eastAsia="Calibri" w:hAnsiTheme="majorHAnsi"/>
          <w:sz w:val="20"/>
          <w:szCs w:val="20"/>
          <w:lang w:val="es-AR"/>
        </w:rPr>
        <w:t xml:space="preserve">En febrero de 2000, </w:t>
      </w:r>
      <w:r w:rsidRPr="00386E47">
        <w:rPr>
          <w:rFonts w:asciiTheme="majorHAnsi" w:eastAsia="Calibri" w:hAnsiTheme="majorHAnsi"/>
          <w:sz w:val="20"/>
          <w:szCs w:val="20"/>
          <w:lang w:val="es-AR"/>
        </w:rPr>
        <w:t xml:space="preserve">el juez Galeano elevó a juicio oral </w:t>
      </w:r>
      <w:r w:rsidR="007A6186" w:rsidRPr="00386E47">
        <w:rPr>
          <w:rFonts w:asciiTheme="majorHAnsi" w:eastAsia="Calibri" w:hAnsiTheme="majorHAnsi"/>
          <w:sz w:val="20"/>
          <w:szCs w:val="20"/>
          <w:lang w:val="es-AR"/>
        </w:rPr>
        <w:t xml:space="preserve">la </w:t>
      </w:r>
      <w:r w:rsidRPr="00386E47">
        <w:rPr>
          <w:rFonts w:asciiTheme="majorHAnsi" w:eastAsia="Calibri" w:hAnsiTheme="majorHAnsi"/>
          <w:sz w:val="20"/>
          <w:szCs w:val="20"/>
          <w:lang w:val="es-AR"/>
        </w:rPr>
        <w:t xml:space="preserve">causa contra Telleldin y los policías, bajo la acusación de formar parte de la denominada “conexión local” del atentado. </w:t>
      </w:r>
    </w:p>
    <w:p w14:paraId="2C3B9210" w14:textId="77777777" w:rsidR="009F70EA" w:rsidRPr="00386E47" w:rsidRDefault="009F70EA" w:rsidP="00D90B05">
      <w:pPr>
        <w:tabs>
          <w:tab w:val="left" w:pos="567"/>
        </w:tabs>
        <w:contextualSpacing/>
        <w:rPr>
          <w:rFonts w:asciiTheme="majorHAnsi" w:eastAsia="Calibri" w:hAnsiTheme="majorHAnsi"/>
          <w:sz w:val="20"/>
          <w:szCs w:val="20"/>
          <w:lang w:val="es-AR"/>
        </w:rPr>
      </w:pPr>
    </w:p>
    <w:p w14:paraId="045F4B87" w14:textId="77777777" w:rsidR="009F70EA" w:rsidRPr="00386E47" w:rsidRDefault="009F70EA" w:rsidP="003A5860">
      <w:pPr>
        <w:numPr>
          <w:ilvl w:val="0"/>
          <w:numId w:val="55"/>
        </w:numPr>
        <w:tabs>
          <w:tab w:val="left" w:pos="567"/>
        </w:tabs>
        <w:ind w:left="0" w:firstLine="0"/>
        <w:contextualSpacing/>
        <w:jc w:val="both"/>
        <w:rPr>
          <w:rFonts w:asciiTheme="majorHAnsi" w:eastAsia="Calibri" w:hAnsiTheme="majorHAnsi"/>
          <w:sz w:val="20"/>
          <w:szCs w:val="20"/>
          <w:lang w:val="es-AR"/>
        </w:rPr>
      </w:pPr>
      <w:r w:rsidRPr="00386E47">
        <w:rPr>
          <w:rFonts w:asciiTheme="majorHAnsi" w:eastAsia="Calibri" w:hAnsiTheme="majorHAnsi"/>
          <w:sz w:val="20"/>
          <w:szCs w:val="20"/>
          <w:lang w:val="es-AR"/>
        </w:rPr>
        <w:t>El Tribunal Oral en lo Criminal Federal 3, en virtud de las irregularidades expuest</w:t>
      </w:r>
      <w:r w:rsidR="0069541F" w:rsidRPr="00386E47">
        <w:rPr>
          <w:rFonts w:asciiTheme="majorHAnsi" w:eastAsia="Calibri" w:hAnsiTheme="majorHAnsi"/>
          <w:sz w:val="20"/>
          <w:szCs w:val="20"/>
          <w:lang w:val="es-AR"/>
        </w:rPr>
        <w:t xml:space="preserve">as a lo largo de este capítulo - </w:t>
      </w:r>
      <w:r w:rsidRPr="00386E47">
        <w:rPr>
          <w:rFonts w:asciiTheme="majorHAnsi" w:eastAsia="Calibri" w:hAnsiTheme="majorHAnsi"/>
          <w:sz w:val="20"/>
          <w:szCs w:val="20"/>
          <w:lang w:val="es-AR"/>
        </w:rPr>
        <w:t>sintetizadas en el comunicado de prensa adjunto a la sentencia</w:t>
      </w:r>
      <w:r w:rsidR="0069541F" w:rsidRPr="00386E47">
        <w:rPr>
          <w:rFonts w:asciiTheme="majorHAnsi" w:eastAsia="Calibri" w:hAnsiTheme="majorHAnsi"/>
          <w:sz w:val="20"/>
          <w:szCs w:val="20"/>
          <w:lang w:val="es-AR"/>
        </w:rPr>
        <w:t xml:space="preserve"> de fecha 29 de octubre de 2004 - </w:t>
      </w:r>
      <w:r w:rsidRPr="00386E47">
        <w:rPr>
          <w:rFonts w:asciiTheme="majorHAnsi" w:eastAsia="Calibri" w:hAnsiTheme="majorHAnsi"/>
          <w:sz w:val="20"/>
          <w:szCs w:val="20"/>
          <w:lang w:val="es-AR"/>
        </w:rPr>
        <w:t xml:space="preserve"> declaró la nulidad de todo lo actuado a partir de la iniciación de la investigación contra los policías bonaerenses y ordenó que se extraigan testimonios a fin de que se investigue la responsabilidad penal de una serie de personas </w:t>
      </w:r>
      <w:r w:rsidR="0069541F" w:rsidRPr="00386E47">
        <w:rPr>
          <w:rFonts w:asciiTheme="majorHAnsi" w:eastAsia="Calibri" w:hAnsiTheme="majorHAnsi"/>
          <w:sz w:val="20"/>
          <w:szCs w:val="20"/>
          <w:lang w:val="es-AR"/>
        </w:rPr>
        <w:t>que participaron</w:t>
      </w:r>
      <w:r w:rsidRPr="00386E47">
        <w:rPr>
          <w:rFonts w:asciiTheme="majorHAnsi" w:eastAsia="Calibri" w:hAnsiTheme="majorHAnsi"/>
          <w:sz w:val="20"/>
          <w:szCs w:val="20"/>
          <w:lang w:val="es-AR"/>
        </w:rPr>
        <w:t xml:space="preserve"> en la instrucción, entre </w:t>
      </w:r>
      <w:r w:rsidR="0069541F" w:rsidRPr="00386E47">
        <w:rPr>
          <w:rFonts w:asciiTheme="majorHAnsi" w:eastAsia="Calibri" w:hAnsiTheme="majorHAnsi"/>
          <w:sz w:val="20"/>
          <w:szCs w:val="20"/>
          <w:lang w:val="es-AR"/>
        </w:rPr>
        <w:t>las que se cuentan</w:t>
      </w:r>
      <w:r w:rsidRPr="00386E47">
        <w:rPr>
          <w:rFonts w:asciiTheme="majorHAnsi" w:eastAsia="Calibri" w:hAnsiTheme="majorHAnsi"/>
          <w:sz w:val="20"/>
          <w:szCs w:val="20"/>
          <w:lang w:val="es-AR"/>
        </w:rPr>
        <w:t xml:space="preserve"> el juez Galeano y diversos funcionarios judiciales, policiales, de la SIDE y del Poder Ejecutivo</w:t>
      </w:r>
      <w:r w:rsidRPr="00386E47">
        <w:rPr>
          <w:rFonts w:asciiTheme="majorHAnsi" w:eastAsia="Calibri" w:hAnsiTheme="majorHAnsi"/>
          <w:sz w:val="20"/>
          <w:szCs w:val="20"/>
          <w:vertAlign w:val="superscript"/>
          <w:lang w:val="es-AR"/>
        </w:rPr>
        <w:footnoteReference w:id="196"/>
      </w:r>
      <w:r w:rsidRPr="00386E47">
        <w:rPr>
          <w:rFonts w:asciiTheme="majorHAnsi" w:eastAsia="Calibri" w:hAnsiTheme="majorHAnsi"/>
          <w:sz w:val="20"/>
          <w:szCs w:val="20"/>
          <w:lang w:val="es-AR"/>
        </w:rPr>
        <w:t>.</w:t>
      </w:r>
    </w:p>
    <w:p w14:paraId="56E13A1B" w14:textId="77777777" w:rsidR="009F70EA" w:rsidRPr="00386E47" w:rsidRDefault="009F70EA" w:rsidP="00D90B05">
      <w:pPr>
        <w:tabs>
          <w:tab w:val="left" w:pos="567"/>
        </w:tabs>
        <w:contextualSpacing/>
        <w:rPr>
          <w:rFonts w:asciiTheme="majorHAnsi" w:eastAsia="Calibri" w:hAnsiTheme="majorHAnsi"/>
          <w:sz w:val="20"/>
          <w:szCs w:val="20"/>
          <w:lang w:val="es-AR"/>
        </w:rPr>
      </w:pPr>
    </w:p>
    <w:p w14:paraId="197F0344" w14:textId="77777777" w:rsidR="009F70EA" w:rsidRPr="00386E47" w:rsidRDefault="009F70EA" w:rsidP="003A5860">
      <w:pPr>
        <w:numPr>
          <w:ilvl w:val="0"/>
          <w:numId w:val="55"/>
        </w:numPr>
        <w:tabs>
          <w:tab w:val="left" w:pos="567"/>
        </w:tabs>
        <w:ind w:left="0" w:firstLine="0"/>
        <w:contextualSpacing/>
        <w:jc w:val="both"/>
        <w:rPr>
          <w:rFonts w:asciiTheme="majorHAnsi" w:eastAsia="Calibri" w:hAnsiTheme="majorHAnsi"/>
          <w:sz w:val="20"/>
          <w:szCs w:val="20"/>
          <w:lang w:val="es-AR"/>
        </w:rPr>
      </w:pPr>
      <w:r w:rsidRPr="00386E47">
        <w:rPr>
          <w:rFonts w:asciiTheme="majorHAnsi" w:eastAsia="Calibri" w:hAnsiTheme="majorHAnsi"/>
          <w:sz w:val="20"/>
          <w:szCs w:val="20"/>
          <w:lang w:val="es-AR"/>
        </w:rPr>
        <w:t xml:space="preserve"> Finalmente, cabe destacar que, en aras de “dar acabada respuesta a las legítimas expectativas de conocer la verdad de lo acontecido, puestas sobre este debate por las victimas del hecho y la sociedad”</w:t>
      </w:r>
      <w:r w:rsidRPr="00386E47">
        <w:rPr>
          <w:rFonts w:asciiTheme="majorHAnsi" w:eastAsia="Calibri" w:hAnsiTheme="majorHAnsi"/>
          <w:sz w:val="20"/>
          <w:szCs w:val="20"/>
          <w:vertAlign w:val="superscript"/>
          <w:lang w:val="es-AR"/>
        </w:rPr>
        <w:footnoteReference w:id="197"/>
      </w:r>
      <w:r w:rsidRPr="00386E47">
        <w:rPr>
          <w:rFonts w:asciiTheme="majorHAnsi" w:eastAsia="Calibri" w:hAnsiTheme="majorHAnsi"/>
          <w:sz w:val="20"/>
          <w:szCs w:val="20"/>
          <w:lang w:val="es-AR"/>
        </w:rPr>
        <w:t>, el TOF 3 realizó un amplio análisis de la prue</w:t>
      </w:r>
      <w:r w:rsidR="007907EB" w:rsidRPr="00386E47">
        <w:rPr>
          <w:rFonts w:asciiTheme="majorHAnsi" w:eastAsia="Calibri" w:hAnsiTheme="majorHAnsi"/>
          <w:sz w:val="20"/>
          <w:szCs w:val="20"/>
          <w:lang w:val="es-AR"/>
        </w:rPr>
        <w:t>ba existente en el expediente. En el marco de esa tarea, el tribunal arribó a la conclusión</w:t>
      </w:r>
      <w:r w:rsidRPr="00386E47">
        <w:rPr>
          <w:rFonts w:asciiTheme="majorHAnsi" w:eastAsia="Calibri" w:hAnsiTheme="majorHAnsi"/>
          <w:sz w:val="20"/>
          <w:szCs w:val="20"/>
          <w:lang w:val="es-AR"/>
        </w:rPr>
        <w:t xml:space="preserve"> que “no se ha demostrado que el 10 de julio de 1994 […] ni en ninguna otra fecha, Carlos Alberto Telleldin entregara a los ex policías bonaerenses imputados alguna camioneta Renault Trafic”</w:t>
      </w:r>
      <w:r w:rsidRPr="00386E47">
        <w:rPr>
          <w:rFonts w:asciiTheme="majorHAnsi" w:eastAsia="Calibri" w:hAnsiTheme="majorHAnsi"/>
          <w:sz w:val="20"/>
          <w:szCs w:val="20"/>
          <w:vertAlign w:val="superscript"/>
          <w:lang w:val="es-AR"/>
        </w:rPr>
        <w:footnoteReference w:id="198"/>
      </w:r>
      <w:r w:rsidRPr="00386E47">
        <w:rPr>
          <w:rFonts w:asciiTheme="majorHAnsi" w:eastAsia="Calibri" w:hAnsiTheme="majorHAnsi"/>
          <w:sz w:val="20"/>
          <w:szCs w:val="20"/>
          <w:lang w:val="es-AR"/>
        </w:rPr>
        <w:t xml:space="preserve"> y reiteró que “la </w:t>
      </w:r>
      <w:r w:rsidRPr="00386E47">
        <w:rPr>
          <w:rFonts w:asciiTheme="majorHAnsi" w:eastAsia="Calibri" w:hAnsiTheme="majorHAnsi"/>
          <w:sz w:val="20"/>
          <w:szCs w:val="20"/>
          <w:lang w:val="es-AR"/>
        </w:rPr>
        <w:lastRenderedPageBreak/>
        <w:t>declaración indagatoria prestada por Telleldin el 5 de julio de 1996, en la que introduce formalmente la imputación a los ex policías bonaerenses por el atenta</w:t>
      </w:r>
      <w:r w:rsidR="007907EB" w:rsidRPr="00386E47">
        <w:rPr>
          <w:rFonts w:asciiTheme="majorHAnsi" w:eastAsia="Calibri" w:hAnsiTheme="majorHAnsi"/>
          <w:sz w:val="20"/>
          <w:szCs w:val="20"/>
          <w:lang w:val="es-AR"/>
        </w:rPr>
        <w:t>do, fue el resultado del simultá</w:t>
      </w:r>
      <w:r w:rsidRPr="00386E47">
        <w:rPr>
          <w:rFonts w:asciiTheme="majorHAnsi" w:eastAsia="Calibri" w:hAnsiTheme="majorHAnsi"/>
          <w:sz w:val="20"/>
          <w:szCs w:val="20"/>
          <w:lang w:val="es-AR"/>
        </w:rPr>
        <w:t>neo pago efectuado por representantes del Estado con la innegable intervención del magistrado instructor, doctor Juan Jose Galeano”</w:t>
      </w:r>
      <w:r w:rsidRPr="00386E47">
        <w:rPr>
          <w:rFonts w:asciiTheme="majorHAnsi" w:eastAsia="Calibri" w:hAnsiTheme="majorHAnsi"/>
          <w:sz w:val="20"/>
          <w:szCs w:val="20"/>
          <w:vertAlign w:val="superscript"/>
          <w:lang w:val="es-AR"/>
        </w:rPr>
        <w:footnoteReference w:id="199"/>
      </w:r>
      <w:r w:rsidRPr="00386E47">
        <w:rPr>
          <w:rFonts w:asciiTheme="majorHAnsi" w:eastAsia="Calibri" w:hAnsiTheme="majorHAnsi"/>
          <w:sz w:val="20"/>
          <w:szCs w:val="20"/>
          <w:lang w:val="es-AR"/>
        </w:rPr>
        <w:t xml:space="preserve">. </w:t>
      </w:r>
    </w:p>
    <w:p w14:paraId="38ACF8EF" w14:textId="77777777" w:rsidR="003C1378" w:rsidRPr="00386E47" w:rsidRDefault="003C1378" w:rsidP="0071718D">
      <w:pPr>
        <w:tabs>
          <w:tab w:val="left" w:pos="426"/>
        </w:tabs>
        <w:contextualSpacing/>
        <w:jc w:val="both"/>
        <w:rPr>
          <w:rFonts w:asciiTheme="majorHAnsi" w:eastAsia="Calibri" w:hAnsiTheme="majorHAnsi"/>
          <w:sz w:val="20"/>
          <w:szCs w:val="20"/>
          <w:lang w:val="es-AR"/>
        </w:rPr>
      </w:pPr>
    </w:p>
    <w:p w14:paraId="5ED6A943" w14:textId="77777777" w:rsidR="003D23F8" w:rsidRPr="00386E47" w:rsidRDefault="003D23F8" w:rsidP="00C21134">
      <w:pPr>
        <w:pStyle w:val="ListParagraph"/>
        <w:tabs>
          <w:tab w:val="left" w:pos="567"/>
        </w:tabs>
        <w:contextualSpacing/>
        <w:jc w:val="both"/>
        <w:rPr>
          <w:rFonts w:asciiTheme="majorHAnsi" w:eastAsia="Calibri" w:hAnsiTheme="majorHAnsi"/>
          <w:b/>
          <w:sz w:val="20"/>
          <w:szCs w:val="20"/>
          <w:lang w:val="es-AR"/>
        </w:rPr>
      </w:pPr>
      <w:r w:rsidRPr="00386E47">
        <w:rPr>
          <w:rFonts w:asciiTheme="majorHAnsi" w:eastAsia="Calibri" w:hAnsiTheme="majorHAnsi"/>
          <w:b/>
          <w:sz w:val="20"/>
          <w:szCs w:val="20"/>
          <w:lang w:val="es-AR"/>
        </w:rPr>
        <w:t>Consideraciones de la Comisión</w:t>
      </w:r>
    </w:p>
    <w:p w14:paraId="6C285145" w14:textId="77777777" w:rsidR="003D23F8" w:rsidRPr="00386E47" w:rsidRDefault="003D23F8" w:rsidP="00A311A0">
      <w:pPr>
        <w:pStyle w:val="ListParagraph"/>
        <w:tabs>
          <w:tab w:val="left" w:pos="567"/>
        </w:tabs>
        <w:contextualSpacing/>
        <w:jc w:val="both"/>
        <w:rPr>
          <w:rFonts w:asciiTheme="majorHAnsi" w:eastAsia="Calibri" w:hAnsiTheme="majorHAnsi"/>
          <w:b/>
          <w:sz w:val="20"/>
          <w:szCs w:val="20"/>
          <w:lang w:val="es-AR"/>
        </w:rPr>
      </w:pPr>
    </w:p>
    <w:p w14:paraId="61C2AD6A" w14:textId="77777777" w:rsidR="003D23F8" w:rsidRPr="00386E47" w:rsidRDefault="003D23F8" w:rsidP="003A5860">
      <w:pPr>
        <w:numPr>
          <w:ilvl w:val="0"/>
          <w:numId w:val="55"/>
        </w:numPr>
        <w:tabs>
          <w:tab w:val="left" w:pos="567"/>
        </w:tabs>
        <w:ind w:left="0" w:firstLine="0"/>
        <w:contextualSpacing/>
        <w:jc w:val="both"/>
        <w:rPr>
          <w:rFonts w:asciiTheme="majorHAnsi" w:eastAsia="Calibri" w:hAnsiTheme="majorHAnsi"/>
          <w:sz w:val="20"/>
          <w:szCs w:val="20"/>
          <w:lang w:val="es-ES_tradnl"/>
        </w:rPr>
      </w:pPr>
      <w:r w:rsidRPr="00386E47">
        <w:rPr>
          <w:rFonts w:asciiTheme="majorHAnsi" w:eastAsia="Calibri" w:hAnsiTheme="majorHAnsi"/>
          <w:sz w:val="20"/>
          <w:szCs w:val="20"/>
          <w:lang w:val="es-ES_tradnl"/>
        </w:rPr>
        <w:t xml:space="preserve">La Comisión observa que durante el transcurso de la investigación dirigida por el Juzgado Federal en lo Criminal Nro. 9, se produjeron </w:t>
      </w:r>
      <w:r w:rsidR="00C46758" w:rsidRPr="00386E47">
        <w:rPr>
          <w:rFonts w:asciiTheme="majorHAnsi" w:eastAsia="Calibri" w:hAnsiTheme="majorHAnsi"/>
          <w:sz w:val="20"/>
          <w:szCs w:val="20"/>
          <w:lang w:val="es-ES_tradnl"/>
        </w:rPr>
        <w:t xml:space="preserve">al menos </w:t>
      </w:r>
      <w:r w:rsidR="00713782" w:rsidRPr="00386E47">
        <w:rPr>
          <w:rFonts w:asciiTheme="majorHAnsi" w:eastAsia="Calibri" w:hAnsiTheme="majorHAnsi"/>
          <w:sz w:val="20"/>
          <w:szCs w:val="20"/>
          <w:lang w:val="es-ES_tradnl"/>
        </w:rPr>
        <w:t>dos graves</w:t>
      </w:r>
      <w:r w:rsidRPr="00386E47">
        <w:rPr>
          <w:rFonts w:asciiTheme="majorHAnsi" w:eastAsia="Calibri" w:hAnsiTheme="majorHAnsi"/>
          <w:sz w:val="20"/>
          <w:szCs w:val="20"/>
          <w:lang w:val="es-ES_tradnl"/>
        </w:rPr>
        <w:t xml:space="preserve"> irregularidades.</w:t>
      </w:r>
    </w:p>
    <w:p w14:paraId="0483A456" w14:textId="77777777" w:rsidR="003D23F8" w:rsidRPr="00386E47" w:rsidRDefault="003D23F8" w:rsidP="003D23F8">
      <w:pPr>
        <w:tabs>
          <w:tab w:val="left" w:pos="567"/>
        </w:tabs>
        <w:contextualSpacing/>
        <w:jc w:val="both"/>
        <w:rPr>
          <w:rFonts w:asciiTheme="majorHAnsi" w:eastAsia="Calibri" w:hAnsiTheme="majorHAnsi"/>
          <w:sz w:val="20"/>
          <w:szCs w:val="20"/>
          <w:lang w:val="es-ES_tradnl"/>
        </w:rPr>
      </w:pPr>
    </w:p>
    <w:p w14:paraId="49442F23" w14:textId="77777777" w:rsidR="003D23F8" w:rsidRPr="00386E47" w:rsidRDefault="003D23F8" w:rsidP="003A5860">
      <w:pPr>
        <w:numPr>
          <w:ilvl w:val="0"/>
          <w:numId w:val="55"/>
        </w:numPr>
        <w:tabs>
          <w:tab w:val="left" w:pos="567"/>
        </w:tabs>
        <w:ind w:left="0" w:firstLine="0"/>
        <w:contextualSpacing/>
        <w:jc w:val="both"/>
        <w:rPr>
          <w:rFonts w:asciiTheme="majorHAnsi" w:eastAsia="Calibri" w:hAnsiTheme="majorHAnsi"/>
          <w:sz w:val="20"/>
          <w:szCs w:val="20"/>
          <w:lang w:val="es-ES_tradnl"/>
        </w:rPr>
      </w:pPr>
      <w:r w:rsidRPr="00386E47">
        <w:rPr>
          <w:rFonts w:asciiTheme="majorHAnsi" w:eastAsia="Calibri" w:hAnsiTheme="majorHAnsi"/>
          <w:sz w:val="20"/>
          <w:szCs w:val="20"/>
          <w:lang w:val="es-ES_tradnl"/>
        </w:rPr>
        <w:t xml:space="preserve">En primer término, la Comisión </w:t>
      </w:r>
      <w:r w:rsidR="00C46758" w:rsidRPr="00386E47">
        <w:rPr>
          <w:rFonts w:asciiTheme="majorHAnsi" w:eastAsia="Calibri" w:hAnsiTheme="majorHAnsi"/>
          <w:sz w:val="20"/>
          <w:szCs w:val="20"/>
          <w:lang w:val="es-ES_tradnl"/>
        </w:rPr>
        <w:t>nota</w:t>
      </w:r>
      <w:r w:rsidRPr="00386E47">
        <w:rPr>
          <w:rFonts w:asciiTheme="majorHAnsi" w:eastAsia="Calibri" w:hAnsiTheme="majorHAnsi"/>
          <w:sz w:val="20"/>
          <w:szCs w:val="20"/>
          <w:lang w:val="es-ES_tradnl"/>
        </w:rPr>
        <w:t xml:space="preserve"> - en línea con los pronunciamientos reseñados del ámbito nacional - que a partir de 1995 los funcionarios encargados de conducir la investigación permitieron y facilitaron que terceras personas no vinculadas directamente con la instrucción judicial se entrevistaran con Carlos Telleldín, quien hasta ese momento era el único detenido sobre el cual pesaba una acusación de haber participado en el atentado a la AMIA. </w:t>
      </w:r>
    </w:p>
    <w:p w14:paraId="57D13EE2" w14:textId="77777777" w:rsidR="003D23F8" w:rsidRPr="00386E47" w:rsidRDefault="003D23F8" w:rsidP="003D23F8">
      <w:pPr>
        <w:tabs>
          <w:tab w:val="left" w:pos="567"/>
        </w:tabs>
        <w:contextualSpacing/>
        <w:jc w:val="both"/>
        <w:rPr>
          <w:rFonts w:asciiTheme="majorHAnsi" w:eastAsia="Calibri" w:hAnsiTheme="majorHAnsi"/>
          <w:sz w:val="20"/>
          <w:szCs w:val="20"/>
          <w:lang w:val="es-ES_tradnl"/>
        </w:rPr>
      </w:pPr>
    </w:p>
    <w:p w14:paraId="116656E5" w14:textId="77777777" w:rsidR="003D23F8" w:rsidRPr="00386E47" w:rsidRDefault="003D23F8" w:rsidP="003A5860">
      <w:pPr>
        <w:numPr>
          <w:ilvl w:val="0"/>
          <w:numId w:val="55"/>
        </w:numPr>
        <w:tabs>
          <w:tab w:val="left" w:pos="567"/>
        </w:tabs>
        <w:ind w:left="0" w:firstLine="0"/>
        <w:contextualSpacing/>
        <w:jc w:val="both"/>
        <w:rPr>
          <w:rFonts w:asciiTheme="majorHAnsi" w:eastAsia="Calibri" w:hAnsiTheme="majorHAnsi"/>
          <w:sz w:val="20"/>
          <w:szCs w:val="20"/>
          <w:lang w:val="es-ES_tradnl"/>
        </w:rPr>
      </w:pPr>
      <w:r w:rsidRPr="00386E47">
        <w:rPr>
          <w:rFonts w:asciiTheme="majorHAnsi" w:eastAsia="Calibri" w:hAnsiTheme="majorHAnsi"/>
          <w:sz w:val="20"/>
          <w:szCs w:val="20"/>
          <w:lang w:val="es-ES_tradnl"/>
        </w:rPr>
        <w:t xml:space="preserve">El Estado no acreditó que estas reuniones informales estuvieran previstas en alguna norma procesal vigente en ese momento. Asimismo, dichos encuentros fueron protagonizados por actores estatales - como lo era en ese momento la </w:t>
      </w:r>
      <w:r w:rsidR="00F06B1C" w:rsidRPr="00386E47">
        <w:rPr>
          <w:rFonts w:asciiTheme="majorHAnsi" w:eastAsia="Calibri" w:hAnsiTheme="majorHAnsi"/>
          <w:sz w:val="20"/>
          <w:szCs w:val="20"/>
          <w:lang w:val="es-ES_tradnl"/>
        </w:rPr>
        <w:t>J</w:t>
      </w:r>
      <w:r w:rsidRPr="00386E47">
        <w:rPr>
          <w:rFonts w:asciiTheme="majorHAnsi" w:eastAsia="Calibri" w:hAnsiTheme="majorHAnsi"/>
          <w:sz w:val="20"/>
          <w:szCs w:val="20"/>
          <w:lang w:val="es-ES_tradnl"/>
        </w:rPr>
        <w:t>ueza Riva Aramayo -  o por personas que, o bien se identificaron como agentes de los servicios de inteligencia, como en el caso de Daniel Ricardo Romero, o bien invocaron representar intereses públicos, como el ex Capitán Vergéz</w:t>
      </w:r>
      <w:r w:rsidRPr="00386E47">
        <w:rPr>
          <w:rStyle w:val="FootnoteReference"/>
          <w:rFonts w:asciiTheme="majorHAnsi" w:eastAsia="Calibri" w:hAnsiTheme="majorHAnsi"/>
          <w:sz w:val="20"/>
          <w:szCs w:val="20"/>
          <w:lang w:val="es-ES_tradnl"/>
        </w:rPr>
        <w:footnoteReference w:id="200"/>
      </w:r>
      <w:r w:rsidRPr="00386E47">
        <w:rPr>
          <w:rFonts w:asciiTheme="majorHAnsi" w:eastAsia="Calibri" w:hAnsiTheme="majorHAnsi"/>
          <w:sz w:val="20"/>
          <w:szCs w:val="20"/>
          <w:lang w:val="es-ES_tradnl"/>
        </w:rPr>
        <w:t>. La Comisión subraya que los tribunales nacionales han tenido por acreditado que tales reuniones tuvieron como objetivo preparar el terreno para que Telleldín proporcionara una declaración que permitiera incluir en la investigación la hipótesis que involucraba en la preparación del atentado a determinados agentes de la Policía de la Provincia de Buenos Aires</w:t>
      </w:r>
      <w:r w:rsidRPr="00386E47">
        <w:rPr>
          <w:rStyle w:val="FootnoteReference"/>
          <w:rFonts w:asciiTheme="majorHAnsi" w:eastAsia="Calibri" w:hAnsiTheme="majorHAnsi"/>
          <w:sz w:val="20"/>
          <w:szCs w:val="20"/>
          <w:lang w:val="es-ES_tradnl"/>
        </w:rPr>
        <w:footnoteReference w:id="201"/>
      </w:r>
      <w:r w:rsidRPr="00386E47">
        <w:rPr>
          <w:rFonts w:asciiTheme="majorHAnsi" w:eastAsia="Calibri" w:hAnsiTheme="majorHAnsi"/>
          <w:sz w:val="20"/>
          <w:szCs w:val="20"/>
          <w:lang w:val="es-ES_tradnl"/>
        </w:rPr>
        <w:t xml:space="preserve">.  </w:t>
      </w:r>
    </w:p>
    <w:p w14:paraId="1E204D29" w14:textId="77777777" w:rsidR="003D23F8" w:rsidRPr="00386E47" w:rsidRDefault="003D23F8" w:rsidP="003D23F8">
      <w:pPr>
        <w:tabs>
          <w:tab w:val="left" w:pos="567"/>
        </w:tabs>
        <w:contextualSpacing/>
        <w:jc w:val="both"/>
        <w:rPr>
          <w:rFonts w:asciiTheme="majorHAnsi" w:eastAsia="Calibri" w:hAnsiTheme="majorHAnsi"/>
          <w:sz w:val="20"/>
          <w:szCs w:val="20"/>
          <w:lang w:val="es-ES_tradnl"/>
        </w:rPr>
      </w:pPr>
    </w:p>
    <w:p w14:paraId="583CD9B0" w14:textId="77777777" w:rsidR="003D23F8" w:rsidRPr="00386E47" w:rsidRDefault="003D23F8" w:rsidP="003A5860">
      <w:pPr>
        <w:numPr>
          <w:ilvl w:val="0"/>
          <w:numId w:val="55"/>
        </w:numPr>
        <w:tabs>
          <w:tab w:val="left" w:pos="567"/>
        </w:tabs>
        <w:ind w:left="0" w:firstLine="0"/>
        <w:contextualSpacing/>
        <w:jc w:val="both"/>
        <w:rPr>
          <w:rFonts w:asciiTheme="majorHAnsi" w:eastAsia="Calibri" w:hAnsiTheme="majorHAnsi"/>
          <w:sz w:val="20"/>
          <w:szCs w:val="20"/>
          <w:lang w:val="es-ES_tradnl"/>
        </w:rPr>
      </w:pPr>
      <w:r w:rsidRPr="00386E47">
        <w:rPr>
          <w:rFonts w:asciiTheme="majorHAnsi" w:eastAsia="Calibri" w:hAnsiTheme="majorHAnsi"/>
          <w:sz w:val="20"/>
          <w:szCs w:val="20"/>
          <w:lang w:val="es-ES_tradnl"/>
        </w:rPr>
        <w:t>La Comisión verificó - a partir de su rol de observador del juicio oral celebrado ante el TOF 3 – que, en efecto, fue recién durante las audiencias de debate que los jueces del tribunal oral y la querella conformada por los peticionarios pudieron conocer por primera vez las circunstancias que rodearon la decisión de iniciar e impulsar la línea de investigación que inculpaba de manera falsa a determinados miembros de la policía bonaerense de la autoría del atentado</w:t>
      </w:r>
      <w:r w:rsidRPr="00386E47">
        <w:rPr>
          <w:rStyle w:val="FootnoteReference"/>
          <w:rFonts w:asciiTheme="majorHAnsi" w:eastAsia="Calibri" w:hAnsiTheme="majorHAnsi"/>
          <w:sz w:val="20"/>
          <w:szCs w:val="20"/>
          <w:lang w:val="es-ES_tradnl"/>
        </w:rPr>
        <w:footnoteReference w:id="202"/>
      </w:r>
      <w:r w:rsidRPr="00386E47">
        <w:rPr>
          <w:rFonts w:asciiTheme="majorHAnsi" w:eastAsia="Calibri" w:hAnsiTheme="majorHAnsi"/>
          <w:sz w:val="20"/>
          <w:szCs w:val="20"/>
          <w:lang w:val="es-ES_tradnl"/>
        </w:rPr>
        <w:t xml:space="preserve">. </w:t>
      </w:r>
    </w:p>
    <w:p w14:paraId="31780CD4" w14:textId="77777777" w:rsidR="003D23F8" w:rsidRPr="00386E47" w:rsidRDefault="003D23F8" w:rsidP="003D23F8">
      <w:pPr>
        <w:tabs>
          <w:tab w:val="left" w:pos="567"/>
        </w:tabs>
        <w:contextualSpacing/>
        <w:jc w:val="both"/>
        <w:rPr>
          <w:rFonts w:asciiTheme="majorHAnsi" w:eastAsia="Calibri" w:hAnsiTheme="majorHAnsi"/>
          <w:sz w:val="20"/>
          <w:szCs w:val="20"/>
          <w:lang w:val="es-ES_tradnl"/>
        </w:rPr>
      </w:pPr>
    </w:p>
    <w:p w14:paraId="6590FD53" w14:textId="77777777" w:rsidR="003D23F8" w:rsidRPr="00386E47" w:rsidRDefault="003D23F8" w:rsidP="003A5860">
      <w:pPr>
        <w:numPr>
          <w:ilvl w:val="0"/>
          <w:numId w:val="55"/>
        </w:numPr>
        <w:tabs>
          <w:tab w:val="left" w:pos="567"/>
        </w:tabs>
        <w:ind w:left="0" w:firstLine="0"/>
        <w:contextualSpacing/>
        <w:jc w:val="both"/>
        <w:rPr>
          <w:rFonts w:asciiTheme="majorHAnsi" w:eastAsia="Calibri" w:hAnsiTheme="majorHAnsi"/>
          <w:sz w:val="20"/>
          <w:szCs w:val="20"/>
          <w:lang w:val="es-ES_tradnl"/>
        </w:rPr>
      </w:pPr>
      <w:r w:rsidRPr="00386E47">
        <w:rPr>
          <w:rFonts w:asciiTheme="majorHAnsi" w:eastAsia="Calibri" w:hAnsiTheme="majorHAnsi"/>
          <w:sz w:val="20"/>
          <w:szCs w:val="20"/>
          <w:lang w:val="es-ES_tradnl"/>
        </w:rPr>
        <w:t xml:space="preserve">En segundo lugar, la Comisión </w:t>
      </w:r>
      <w:r w:rsidR="00C46758" w:rsidRPr="00386E47">
        <w:rPr>
          <w:rFonts w:asciiTheme="majorHAnsi" w:eastAsia="Calibri" w:hAnsiTheme="majorHAnsi"/>
          <w:sz w:val="20"/>
          <w:szCs w:val="20"/>
          <w:lang w:val="es-ES_tradnl"/>
        </w:rPr>
        <w:t>nota</w:t>
      </w:r>
      <w:r w:rsidRPr="00386E47">
        <w:rPr>
          <w:rFonts w:asciiTheme="majorHAnsi" w:eastAsia="Calibri" w:hAnsiTheme="majorHAnsi"/>
          <w:sz w:val="20"/>
          <w:szCs w:val="20"/>
          <w:lang w:val="es-ES_tradnl"/>
        </w:rPr>
        <w:t xml:space="preserve"> que fue solo recién a partir de la comparecencia en las audiencias de juicio oral de aquellos agentes de la SIDE que fueron relevados de su deber de guardar secreto que resultó posible reconstruir los sucesos del 5 de julio de 1996; a saber: el desembolso de una suma de dinero a la pareja de Telleldín en el Banco Quilmes de Ramos Mejía; la comunicación simultanea del éxito de esa operación al juez Galeano y al propio Telleldín y, finalmente, la iniciación de la declaración indagatoria ampliatoria donde este último mencionó que entregó la Trafic que supuestamente fue usada como coche bomba a </w:t>
      </w:r>
      <w:r w:rsidR="00C408A8" w:rsidRPr="00386E47">
        <w:rPr>
          <w:rFonts w:asciiTheme="majorHAnsi" w:eastAsia="Calibri" w:hAnsiTheme="majorHAnsi"/>
          <w:sz w:val="20"/>
          <w:szCs w:val="20"/>
          <w:lang w:val="es-ES_tradnl"/>
        </w:rPr>
        <w:t>los policías bonaerenses pertenecientes a</w:t>
      </w:r>
      <w:r w:rsidRPr="00386E47">
        <w:rPr>
          <w:rFonts w:asciiTheme="majorHAnsi" w:eastAsia="Calibri" w:hAnsiTheme="majorHAnsi"/>
          <w:sz w:val="20"/>
          <w:szCs w:val="20"/>
          <w:lang w:val="es-ES_tradnl"/>
        </w:rPr>
        <w:t xml:space="preserve"> las brigadas de Vicente López y Lanús.</w:t>
      </w:r>
    </w:p>
    <w:p w14:paraId="065350F7" w14:textId="77777777" w:rsidR="003D23F8" w:rsidRPr="00386E47" w:rsidRDefault="003D23F8" w:rsidP="003D23F8">
      <w:pPr>
        <w:tabs>
          <w:tab w:val="left" w:pos="567"/>
        </w:tabs>
        <w:contextualSpacing/>
        <w:jc w:val="both"/>
        <w:rPr>
          <w:rFonts w:asciiTheme="majorHAnsi" w:eastAsia="Calibri" w:hAnsiTheme="majorHAnsi"/>
          <w:sz w:val="20"/>
          <w:szCs w:val="20"/>
          <w:lang w:val="es-ES_tradnl"/>
        </w:rPr>
      </w:pPr>
    </w:p>
    <w:p w14:paraId="4555D837" w14:textId="77777777" w:rsidR="003D23F8" w:rsidRPr="00386E47" w:rsidRDefault="003D23F8" w:rsidP="003A5860">
      <w:pPr>
        <w:numPr>
          <w:ilvl w:val="0"/>
          <w:numId w:val="55"/>
        </w:numPr>
        <w:tabs>
          <w:tab w:val="left" w:pos="567"/>
        </w:tabs>
        <w:ind w:left="0" w:firstLine="0"/>
        <w:contextualSpacing/>
        <w:jc w:val="both"/>
        <w:rPr>
          <w:rFonts w:asciiTheme="majorHAnsi" w:eastAsia="Calibri" w:hAnsiTheme="majorHAnsi"/>
          <w:sz w:val="20"/>
          <w:szCs w:val="20"/>
          <w:lang w:val="es-ES_tradnl"/>
        </w:rPr>
      </w:pPr>
      <w:r w:rsidRPr="00386E47">
        <w:rPr>
          <w:rFonts w:asciiTheme="majorHAnsi" w:eastAsia="Calibri" w:hAnsiTheme="majorHAnsi"/>
          <w:sz w:val="20"/>
          <w:szCs w:val="20"/>
          <w:lang w:val="es-ES_tradnl"/>
        </w:rPr>
        <w:t>En relación con este punto, la Comisión considera oportuno resaltar que el magistrado a cargo de la investigación convocó, en los instantes iniciales de la pesquisa, a la Secretaria de Inteligencia del Estado (SIDE) para que actúe en calidad de auxiliar de la justicia</w:t>
      </w:r>
      <w:r w:rsidRPr="00386E47">
        <w:rPr>
          <w:rFonts w:asciiTheme="majorHAnsi" w:eastAsia="Calibri" w:hAnsiTheme="majorHAnsi"/>
          <w:sz w:val="20"/>
          <w:szCs w:val="20"/>
          <w:vertAlign w:val="superscript"/>
          <w:lang w:val="es-ES_tradnl"/>
        </w:rPr>
        <w:footnoteReference w:id="203"/>
      </w:r>
      <w:r w:rsidRPr="00386E47">
        <w:rPr>
          <w:rFonts w:asciiTheme="majorHAnsi" w:eastAsia="Calibri" w:hAnsiTheme="majorHAnsi"/>
          <w:sz w:val="20"/>
          <w:szCs w:val="20"/>
          <w:lang w:val="es-ES_tradnl"/>
        </w:rPr>
        <w:t xml:space="preserve">. La Comisión también verificó que, conforme la legislación vigente en ese momento, el mandato de la SIDE comprendía el </w:t>
      </w:r>
      <w:r w:rsidRPr="00386E47">
        <w:rPr>
          <w:rFonts w:asciiTheme="majorHAnsi" w:eastAsia="Calibri" w:hAnsiTheme="majorHAnsi"/>
          <w:sz w:val="20"/>
          <w:szCs w:val="20"/>
          <w:lang w:val="es-AR"/>
        </w:rPr>
        <w:t>“prestar su colaboración a tareas militares, policiales y judiciales cuando las autoridades competentes así lo requieran”</w:t>
      </w:r>
      <w:r w:rsidRPr="00386E47">
        <w:rPr>
          <w:rFonts w:asciiTheme="majorHAnsi" w:eastAsia="Calibri" w:hAnsiTheme="majorHAnsi"/>
          <w:sz w:val="20"/>
          <w:szCs w:val="20"/>
          <w:vertAlign w:val="superscript"/>
          <w:lang w:val="es-AR"/>
        </w:rPr>
        <w:footnoteReference w:id="204"/>
      </w:r>
      <w:r w:rsidRPr="00386E47">
        <w:rPr>
          <w:rFonts w:asciiTheme="majorHAnsi" w:eastAsia="Calibri" w:hAnsiTheme="majorHAnsi"/>
          <w:sz w:val="20"/>
          <w:szCs w:val="20"/>
          <w:lang w:val="es-AR"/>
        </w:rPr>
        <w:t>.</w:t>
      </w:r>
    </w:p>
    <w:p w14:paraId="09549093" w14:textId="77777777" w:rsidR="003D23F8" w:rsidRPr="00386E47" w:rsidRDefault="003D23F8" w:rsidP="003D23F8">
      <w:pPr>
        <w:tabs>
          <w:tab w:val="left" w:pos="567"/>
        </w:tabs>
        <w:contextualSpacing/>
        <w:jc w:val="both"/>
        <w:rPr>
          <w:rFonts w:asciiTheme="majorHAnsi" w:eastAsia="Calibri" w:hAnsiTheme="majorHAnsi"/>
          <w:sz w:val="20"/>
          <w:szCs w:val="20"/>
          <w:lang w:val="es-ES_tradnl"/>
        </w:rPr>
      </w:pPr>
    </w:p>
    <w:p w14:paraId="0C3AFBAC" w14:textId="77777777" w:rsidR="003D23F8" w:rsidRPr="00386E47" w:rsidRDefault="003D23F8" w:rsidP="003A5860">
      <w:pPr>
        <w:numPr>
          <w:ilvl w:val="0"/>
          <w:numId w:val="55"/>
        </w:numPr>
        <w:tabs>
          <w:tab w:val="left" w:pos="567"/>
        </w:tabs>
        <w:ind w:left="0" w:firstLine="0"/>
        <w:contextualSpacing/>
        <w:jc w:val="both"/>
        <w:rPr>
          <w:rFonts w:asciiTheme="majorHAnsi" w:eastAsia="Calibri" w:hAnsiTheme="majorHAnsi"/>
          <w:sz w:val="20"/>
          <w:szCs w:val="20"/>
          <w:lang w:val="es-ES_tradnl"/>
        </w:rPr>
      </w:pPr>
      <w:r w:rsidRPr="00386E47">
        <w:rPr>
          <w:rFonts w:asciiTheme="majorHAnsi" w:eastAsia="Calibri" w:hAnsiTheme="majorHAnsi"/>
          <w:sz w:val="20"/>
          <w:szCs w:val="20"/>
          <w:lang w:val="es-AR"/>
        </w:rPr>
        <w:t xml:space="preserve"> Con base en las declaraciones testimoniales de los propios ex agentes y directivos de la SIDE brindadas en sed</w:t>
      </w:r>
      <w:r w:rsidR="00C408A8" w:rsidRPr="00386E47">
        <w:rPr>
          <w:rFonts w:asciiTheme="majorHAnsi" w:eastAsia="Calibri" w:hAnsiTheme="majorHAnsi"/>
          <w:sz w:val="20"/>
          <w:szCs w:val="20"/>
          <w:lang w:val="es-AR"/>
        </w:rPr>
        <w:t>e judicial, la Comisión constató</w:t>
      </w:r>
      <w:r w:rsidRPr="00386E47">
        <w:rPr>
          <w:rFonts w:asciiTheme="majorHAnsi" w:eastAsia="Calibri" w:hAnsiTheme="majorHAnsi"/>
          <w:sz w:val="20"/>
          <w:szCs w:val="20"/>
          <w:lang w:val="es-AR"/>
        </w:rPr>
        <w:t xml:space="preserve"> que, al momento de los hechos, el Estado no ha acreditado que las funciones de administración y disposición de los fondos reservados en poder de la Secretaria de Inteligencia no se encontraban </w:t>
      </w:r>
      <w:r w:rsidRPr="00386E47">
        <w:rPr>
          <w:rFonts w:asciiTheme="majorHAnsi" w:eastAsia="Calibri" w:hAnsiTheme="majorHAnsi"/>
          <w:sz w:val="20"/>
          <w:szCs w:val="20"/>
          <w:lang w:val="es-AR"/>
        </w:rPr>
        <w:lastRenderedPageBreak/>
        <w:t>sometidas a ninguna clase de restricción normativa. De igual forma, tampoco existían mecanismos administrativos que garantizaran un adecuado registro de las erogaciones efectuadas y no se encontraban en funcionamiento organismos o dependencias que pudieran desarrollar auditorías externas o políticas publicas orientadas a supervisar la manera en la que la SIDE disponía de sus fondos reservados</w:t>
      </w:r>
      <w:r w:rsidRPr="00386E47">
        <w:rPr>
          <w:rFonts w:asciiTheme="majorHAnsi" w:eastAsia="Calibri" w:hAnsiTheme="majorHAnsi"/>
          <w:sz w:val="20"/>
          <w:szCs w:val="20"/>
          <w:vertAlign w:val="superscript"/>
          <w:lang w:val="es-AR"/>
        </w:rPr>
        <w:footnoteReference w:id="205"/>
      </w:r>
      <w:r w:rsidRPr="00386E47">
        <w:rPr>
          <w:rFonts w:asciiTheme="majorHAnsi" w:eastAsia="Calibri" w:hAnsiTheme="majorHAnsi"/>
          <w:sz w:val="20"/>
          <w:szCs w:val="20"/>
          <w:lang w:val="es-AR"/>
        </w:rPr>
        <w:t xml:space="preserve">. </w:t>
      </w:r>
    </w:p>
    <w:p w14:paraId="4DD5A5AA" w14:textId="77777777" w:rsidR="003D23F8" w:rsidRPr="00386E47" w:rsidRDefault="003D23F8" w:rsidP="003D23F8">
      <w:pPr>
        <w:tabs>
          <w:tab w:val="left" w:pos="567"/>
        </w:tabs>
        <w:contextualSpacing/>
        <w:jc w:val="both"/>
        <w:rPr>
          <w:rFonts w:asciiTheme="majorHAnsi" w:eastAsia="Calibri" w:hAnsiTheme="majorHAnsi"/>
          <w:sz w:val="20"/>
          <w:szCs w:val="20"/>
          <w:lang w:val="es-ES_tradnl"/>
        </w:rPr>
      </w:pPr>
    </w:p>
    <w:p w14:paraId="18413CBB" w14:textId="77777777" w:rsidR="003D23F8" w:rsidRPr="00386E47" w:rsidRDefault="003D23F8" w:rsidP="003A5860">
      <w:pPr>
        <w:numPr>
          <w:ilvl w:val="0"/>
          <w:numId w:val="55"/>
        </w:numPr>
        <w:tabs>
          <w:tab w:val="left" w:pos="567"/>
        </w:tabs>
        <w:ind w:left="0" w:firstLine="0"/>
        <w:contextualSpacing/>
        <w:jc w:val="both"/>
        <w:rPr>
          <w:rFonts w:asciiTheme="majorHAnsi" w:eastAsia="Calibri" w:hAnsiTheme="majorHAnsi"/>
          <w:sz w:val="20"/>
          <w:szCs w:val="20"/>
          <w:lang w:val="es-ES_tradnl"/>
        </w:rPr>
      </w:pPr>
      <w:r w:rsidRPr="00386E47">
        <w:rPr>
          <w:rFonts w:asciiTheme="majorHAnsi" w:eastAsia="Calibri" w:hAnsiTheme="majorHAnsi"/>
          <w:sz w:val="20"/>
          <w:szCs w:val="20"/>
          <w:lang w:val="es-ES_tradnl"/>
        </w:rPr>
        <w:t>En función de la información existente, la Comisión entiende que la declaración indagatoria ampliatoria tomada al imputado Telleldín el día 5 de julio de 1996 difícilmente podría haberse celebrado de no ser por la entrega por parte de agentes de la Secretaria de Inteligencia del Estado de una suma de dinero a sus allegados. Asimismo, la Comisión subraya que el pago en cuestión solo fue posible gracias a las facultades discrecionales en materia de administración y disposición de fondos reservados que se hallaban en cabeza del Secretario de Inteligencia del Estado</w:t>
      </w:r>
      <w:r w:rsidRPr="00386E47">
        <w:rPr>
          <w:rStyle w:val="FootnoteReference"/>
          <w:rFonts w:asciiTheme="majorHAnsi" w:eastAsia="Calibri" w:hAnsiTheme="majorHAnsi"/>
          <w:sz w:val="20"/>
          <w:szCs w:val="20"/>
          <w:lang w:val="es-ES_tradnl"/>
        </w:rPr>
        <w:footnoteReference w:id="206"/>
      </w:r>
      <w:r w:rsidRPr="00386E47">
        <w:rPr>
          <w:rFonts w:asciiTheme="majorHAnsi" w:eastAsia="Calibri" w:hAnsiTheme="majorHAnsi"/>
          <w:sz w:val="20"/>
          <w:szCs w:val="20"/>
          <w:lang w:val="es-ES_tradnl"/>
        </w:rPr>
        <w:t xml:space="preserve">. </w:t>
      </w:r>
    </w:p>
    <w:p w14:paraId="19C3A0D6" w14:textId="77777777" w:rsidR="003D23F8" w:rsidRPr="00386E47" w:rsidRDefault="003D23F8" w:rsidP="003D23F8">
      <w:pPr>
        <w:tabs>
          <w:tab w:val="left" w:pos="567"/>
        </w:tabs>
        <w:contextualSpacing/>
        <w:jc w:val="both"/>
        <w:rPr>
          <w:rFonts w:asciiTheme="majorHAnsi" w:eastAsia="Calibri" w:hAnsiTheme="majorHAnsi"/>
          <w:sz w:val="20"/>
          <w:szCs w:val="20"/>
          <w:lang w:val="es-ES_tradnl"/>
        </w:rPr>
      </w:pPr>
    </w:p>
    <w:p w14:paraId="00FDEF7D" w14:textId="77777777" w:rsidR="003D23F8" w:rsidRPr="00386E47" w:rsidRDefault="003D23F8" w:rsidP="003A5860">
      <w:pPr>
        <w:numPr>
          <w:ilvl w:val="0"/>
          <w:numId w:val="55"/>
        </w:numPr>
        <w:tabs>
          <w:tab w:val="left" w:pos="567"/>
        </w:tabs>
        <w:ind w:left="0" w:firstLine="0"/>
        <w:contextualSpacing/>
        <w:jc w:val="both"/>
        <w:rPr>
          <w:rFonts w:asciiTheme="majorHAnsi" w:eastAsia="Calibri" w:hAnsiTheme="majorHAnsi"/>
          <w:sz w:val="20"/>
          <w:szCs w:val="20"/>
          <w:lang w:val="es-ES_tradnl"/>
        </w:rPr>
      </w:pPr>
      <w:r w:rsidRPr="00386E47">
        <w:rPr>
          <w:rFonts w:asciiTheme="majorHAnsi" w:eastAsia="Calibri" w:hAnsiTheme="majorHAnsi"/>
          <w:sz w:val="20"/>
          <w:szCs w:val="20"/>
          <w:lang w:val="es-ES_tradnl"/>
        </w:rPr>
        <w:t xml:space="preserve">La Comisión resalta que - por años y a pesar de los </w:t>
      </w:r>
      <w:r w:rsidR="00713782" w:rsidRPr="00386E47">
        <w:rPr>
          <w:rFonts w:asciiTheme="majorHAnsi" w:eastAsia="Calibri" w:hAnsiTheme="majorHAnsi"/>
          <w:sz w:val="20"/>
          <w:szCs w:val="20"/>
          <w:lang w:val="es-ES_tradnl"/>
        </w:rPr>
        <w:t>reiterados requerimientos</w:t>
      </w:r>
      <w:r w:rsidRPr="00386E47">
        <w:rPr>
          <w:rFonts w:asciiTheme="majorHAnsi" w:eastAsia="Calibri" w:hAnsiTheme="majorHAnsi"/>
          <w:sz w:val="20"/>
          <w:szCs w:val="20"/>
          <w:lang w:val="es-ES_tradnl"/>
        </w:rPr>
        <w:t xml:space="preserve"> efectuados por el TOF 3 - la Secretaría de Inteligencia negó expresamente la existencia del desembolso de dinero a los allegados a Telleldín. En efecto, no fue sino hasta el dictado en junio de 2003 del decreto 291/2003 que relevó a los agentes que participaron del operativo de pago de su obligación de guardar secreto, que dichos agentes pudieron testificar en los estrados judiciales y relatar de manera detallada la manera en que tuvieron lugar los dos episodios en donde se </w:t>
      </w:r>
      <w:r w:rsidR="00B528BF" w:rsidRPr="00386E47">
        <w:rPr>
          <w:rFonts w:asciiTheme="majorHAnsi" w:eastAsia="Calibri" w:hAnsiTheme="majorHAnsi"/>
          <w:sz w:val="20"/>
          <w:szCs w:val="20"/>
          <w:lang w:val="es-ES_tradnl"/>
        </w:rPr>
        <w:t>pagó</w:t>
      </w:r>
      <w:r w:rsidRPr="00386E47">
        <w:rPr>
          <w:rFonts w:asciiTheme="majorHAnsi" w:eastAsia="Calibri" w:hAnsiTheme="majorHAnsi"/>
          <w:sz w:val="20"/>
          <w:szCs w:val="20"/>
          <w:lang w:val="es-ES_tradnl"/>
        </w:rPr>
        <w:t xml:space="preserve"> a los allegados a Telleldín una considerable suma de dinero en efectivo</w:t>
      </w:r>
      <w:r w:rsidRPr="00386E47">
        <w:rPr>
          <w:rStyle w:val="FootnoteReference"/>
          <w:rFonts w:asciiTheme="majorHAnsi" w:eastAsia="Calibri" w:hAnsiTheme="majorHAnsi"/>
          <w:sz w:val="20"/>
          <w:szCs w:val="20"/>
          <w:lang w:val="es-ES_tradnl"/>
        </w:rPr>
        <w:footnoteReference w:id="207"/>
      </w:r>
      <w:r w:rsidRPr="00386E47">
        <w:rPr>
          <w:rFonts w:asciiTheme="majorHAnsi" w:eastAsia="Calibri" w:hAnsiTheme="majorHAnsi"/>
          <w:sz w:val="20"/>
          <w:szCs w:val="20"/>
          <w:lang w:val="es-ES_tradnl"/>
        </w:rPr>
        <w:t>. También el juez Galeano, como lo puntualiza el TOF 3 “ocultó sistemáticamente la existencia de un pago efectuado a Carlos Alberto Telleldín para que este amplíe, en términos previamente consensuados, su declaración indagatoria”</w:t>
      </w:r>
      <w:r w:rsidRPr="00386E47">
        <w:rPr>
          <w:rStyle w:val="FootnoteReference"/>
          <w:rFonts w:asciiTheme="majorHAnsi" w:eastAsia="Calibri" w:hAnsiTheme="majorHAnsi"/>
          <w:sz w:val="20"/>
          <w:szCs w:val="20"/>
          <w:lang w:val="es-ES_tradnl"/>
        </w:rPr>
        <w:footnoteReference w:id="208"/>
      </w:r>
      <w:r w:rsidR="00BF041B" w:rsidRPr="00386E47">
        <w:rPr>
          <w:rFonts w:asciiTheme="majorHAnsi" w:eastAsia="Calibri" w:hAnsiTheme="majorHAnsi"/>
          <w:sz w:val="20"/>
          <w:szCs w:val="20"/>
          <w:lang w:val="es-ES_tradnl"/>
        </w:rPr>
        <w:t>.</w:t>
      </w:r>
    </w:p>
    <w:p w14:paraId="28D9354D" w14:textId="77777777" w:rsidR="003D23F8" w:rsidRPr="00386E47" w:rsidRDefault="003D23F8" w:rsidP="003D23F8">
      <w:pPr>
        <w:pStyle w:val="ListParagraph"/>
        <w:rPr>
          <w:rFonts w:asciiTheme="majorHAnsi" w:eastAsia="Calibri" w:hAnsiTheme="majorHAnsi"/>
          <w:sz w:val="20"/>
          <w:szCs w:val="20"/>
          <w:lang w:val="es-ES_tradnl"/>
        </w:rPr>
      </w:pPr>
    </w:p>
    <w:p w14:paraId="2FDE88DE" w14:textId="77777777" w:rsidR="003D23F8" w:rsidRPr="00386E47" w:rsidRDefault="003D23F8" w:rsidP="003A5860">
      <w:pPr>
        <w:numPr>
          <w:ilvl w:val="0"/>
          <w:numId w:val="55"/>
        </w:numPr>
        <w:tabs>
          <w:tab w:val="left" w:pos="567"/>
        </w:tabs>
        <w:ind w:left="0" w:firstLine="0"/>
        <w:contextualSpacing/>
        <w:jc w:val="both"/>
        <w:rPr>
          <w:rFonts w:asciiTheme="majorHAnsi" w:eastAsia="Calibri" w:hAnsiTheme="majorHAnsi"/>
          <w:sz w:val="20"/>
          <w:szCs w:val="20"/>
          <w:lang w:val="es-ES_tradnl"/>
        </w:rPr>
      </w:pPr>
      <w:r w:rsidRPr="00386E47">
        <w:rPr>
          <w:rFonts w:asciiTheme="majorHAnsi" w:eastAsia="Calibri" w:hAnsiTheme="majorHAnsi"/>
          <w:sz w:val="20"/>
          <w:szCs w:val="20"/>
          <w:lang w:val="es-ES_tradnl"/>
        </w:rPr>
        <w:t>Al respecto, la Comisión destaca - en línea con lo expuesto por el Relator Especial de las Naciones Unidas sobre la promoción y protección de los derechos humanos y las libertades fundamentales en la lucha contra el terrorismo, Martin Scheinin - que la principal función de las agencias de inteligencia es la identificación de potenciales amenazas a la seguridad nacional a partir de la reunión y el análisis de información</w:t>
      </w:r>
      <w:r w:rsidRPr="00386E47">
        <w:rPr>
          <w:rFonts w:asciiTheme="majorHAnsi" w:eastAsia="Calibri" w:hAnsiTheme="majorHAnsi"/>
          <w:sz w:val="20"/>
          <w:szCs w:val="20"/>
          <w:vertAlign w:val="superscript"/>
          <w:lang w:val="es-ES_tradnl"/>
        </w:rPr>
        <w:footnoteReference w:id="209"/>
      </w:r>
      <w:r w:rsidRPr="00386E47">
        <w:rPr>
          <w:rFonts w:asciiTheme="majorHAnsi" w:eastAsia="Calibri" w:hAnsiTheme="majorHAnsi"/>
          <w:sz w:val="20"/>
          <w:szCs w:val="20"/>
          <w:lang w:val="es-ES_tradnl"/>
        </w:rPr>
        <w:t xml:space="preserve">.  Si bien los principales instrumentos internacionales de derechos humanos no prohíben de manera expresa que las agencias de inteligencia actúen como auxiliares de la justicia, existen argumentos convincentes que desaconsejan la conjunción de las funciones estatales de inteligencia y de investigación criminal. En lo que tiene que ver de manera particular con la asignación a las agencias de inteligencia de facultades de arresto y detención – asimilable </w:t>
      </w:r>
      <w:r w:rsidRPr="00386E47">
        <w:rPr>
          <w:rFonts w:asciiTheme="majorHAnsi" w:eastAsia="Calibri" w:hAnsiTheme="majorHAnsi"/>
          <w:i/>
          <w:sz w:val="20"/>
          <w:szCs w:val="20"/>
          <w:lang w:val="es-ES_tradnl"/>
        </w:rPr>
        <w:t>inter alia</w:t>
      </w:r>
      <w:r w:rsidRPr="00386E47">
        <w:rPr>
          <w:rFonts w:asciiTheme="majorHAnsi" w:eastAsia="Calibri" w:hAnsiTheme="majorHAnsi"/>
          <w:sz w:val="20"/>
          <w:szCs w:val="20"/>
          <w:lang w:val="es-ES_tradnl"/>
        </w:rPr>
        <w:t xml:space="preserve"> al resto de las actividades típicas de la policía en función judicial – el Relator Especial Scheinin aseguró que “existe el peligro de que se cree un sistema de seguridad paralelo, con el cual los servicios de inteligencia ejercerían funciones de arresto y detención para eludir las salvaguardas legales y los sistemas de supervisión a que están sujetas las fuerzas de seguridad del Estado”</w:t>
      </w:r>
      <w:r w:rsidRPr="00386E47">
        <w:rPr>
          <w:rFonts w:asciiTheme="majorHAnsi" w:eastAsia="Calibri" w:hAnsiTheme="majorHAnsi"/>
          <w:sz w:val="20"/>
          <w:szCs w:val="20"/>
          <w:vertAlign w:val="superscript"/>
          <w:lang w:val="es-ES_tradnl"/>
        </w:rPr>
        <w:footnoteReference w:id="210"/>
      </w:r>
      <w:r w:rsidRPr="00386E47">
        <w:rPr>
          <w:rFonts w:asciiTheme="majorHAnsi" w:eastAsia="Calibri" w:hAnsiTheme="majorHAnsi"/>
          <w:sz w:val="20"/>
          <w:szCs w:val="20"/>
          <w:lang w:val="es-ES_tradnl"/>
        </w:rPr>
        <w:t xml:space="preserve">. </w:t>
      </w:r>
    </w:p>
    <w:p w14:paraId="07356CFA" w14:textId="77777777" w:rsidR="003D23F8" w:rsidRPr="00386E47" w:rsidRDefault="003D23F8" w:rsidP="003D23F8">
      <w:pPr>
        <w:tabs>
          <w:tab w:val="left" w:pos="567"/>
        </w:tabs>
        <w:contextualSpacing/>
        <w:jc w:val="both"/>
        <w:rPr>
          <w:rFonts w:asciiTheme="majorHAnsi" w:eastAsia="Calibri" w:hAnsiTheme="majorHAnsi"/>
          <w:sz w:val="20"/>
          <w:szCs w:val="20"/>
          <w:lang w:val="es-ES_tradnl"/>
        </w:rPr>
      </w:pPr>
    </w:p>
    <w:p w14:paraId="27A2771F" w14:textId="77777777" w:rsidR="003D23F8" w:rsidRPr="00386E47" w:rsidRDefault="003D23F8" w:rsidP="003A5860">
      <w:pPr>
        <w:numPr>
          <w:ilvl w:val="0"/>
          <w:numId w:val="55"/>
        </w:numPr>
        <w:tabs>
          <w:tab w:val="left" w:pos="567"/>
        </w:tabs>
        <w:ind w:left="0" w:firstLine="0"/>
        <w:contextualSpacing/>
        <w:jc w:val="both"/>
        <w:rPr>
          <w:rFonts w:asciiTheme="majorHAnsi" w:eastAsia="Calibri" w:hAnsiTheme="majorHAnsi"/>
          <w:sz w:val="20"/>
          <w:szCs w:val="20"/>
          <w:lang w:val="es-ES_tradnl"/>
        </w:rPr>
      </w:pPr>
      <w:r w:rsidRPr="00386E47">
        <w:rPr>
          <w:rFonts w:asciiTheme="majorHAnsi" w:eastAsia="Calibri" w:hAnsiTheme="majorHAnsi"/>
          <w:sz w:val="20"/>
          <w:szCs w:val="20"/>
          <w:lang w:val="es-ES_tradnl"/>
        </w:rPr>
        <w:t xml:space="preserve">La Comisión observa que la investigación que desde 1994 hasta 2004 encabezó el ex Juez Galeano, adoptó como única hipótesis acusatoria, en lo que respecta a la llamada “conexión local” del atentado, aquella que indicaba la participación de los policías bonaerenses señalados por Telleldín en su declaración del 5 de julio de 1996. Como ha sido establecido, esta hipótesis fue construida y promovida mediante el empleo de una porción de los fondos </w:t>
      </w:r>
      <w:r w:rsidRPr="00386E47">
        <w:rPr>
          <w:rFonts w:asciiTheme="majorHAnsi" w:eastAsia="Calibri" w:hAnsiTheme="majorHAnsi"/>
          <w:sz w:val="20"/>
          <w:szCs w:val="20"/>
          <w:lang w:val="es-ES_tradnl"/>
        </w:rPr>
        <w:lastRenderedPageBreak/>
        <w:t xml:space="preserve">secretos asignados a la SIDE, los cuales eran utilizados con absoluta discrecionalidad y ausencia de controles por parte del órgano de inteligencia de donde provinieron. En efecto, de esos fondos provino la suma de dinero que se le abonó a un imputado para que incorpore al expediente información que no cuenta con otros medios de respaldo o de convicción en el expediente. Esta hipótesis acusatoria fabricada a raíz de dicha información fue mantenida por las autoridades estatales por varios años, hasta el punto de elevar la instrucción a juicio oral. </w:t>
      </w:r>
    </w:p>
    <w:p w14:paraId="1EC09640" w14:textId="77777777" w:rsidR="003D23F8" w:rsidRPr="00386E47" w:rsidRDefault="003D23F8" w:rsidP="003D23F8">
      <w:pPr>
        <w:tabs>
          <w:tab w:val="left" w:pos="567"/>
        </w:tabs>
        <w:contextualSpacing/>
        <w:jc w:val="both"/>
        <w:rPr>
          <w:rFonts w:asciiTheme="majorHAnsi" w:eastAsia="Calibri" w:hAnsiTheme="majorHAnsi"/>
          <w:sz w:val="20"/>
          <w:szCs w:val="20"/>
          <w:lang w:val="es-ES_tradnl"/>
        </w:rPr>
      </w:pPr>
    </w:p>
    <w:p w14:paraId="5D50D700" w14:textId="77777777" w:rsidR="003D23F8" w:rsidRPr="00386E47" w:rsidRDefault="003D23F8" w:rsidP="003A5860">
      <w:pPr>
        <w:numPr>
          <w:ilvl w:val="0"/>
          <w:numId w:val="55"/>
        </w:numPr>
        <w:tabs>
          <w:tab w:val="left" w:pos="567"/>
        </w:tabs>
        <w:ind w:left="0" w:firstLine="0"/>
        <w:contextualSpacing/>
        <w:jc w:val="both"/>
        <w:rPr>
          <w:rFonts w:asciiTheme="majorHAnsi" w:eastAsia="Calibri" w:hAnsiTheme="majorHAnsi"/>
          <w:sz w:val="20"/>
          <w:szCs w:val="20"/>
          <w:lang w:val="es-ES_tradnl"/>
        </w:rPr>
      </w:pPr>
      <w:r w:rsidRPr="00386E47">
        <w:rPr>
          <w:rFonts w:asciiTheme="majorHAnsi" w:eastAsia="Calibri" w:hAnsiTheme="majorHAnsi"/>
          <w:sz w:val="20"/>
          <w:szCs w:val="20"/>
          <w:lang w:val="es-ES_tradnl"/>
        </w:rPr>
        <w:t xml:space="preserve">Todo lo anterior, a juicio de la Comisión, apunta a la ausencia de un contenido o sustento racional en la principal línea de investigación impulsada en este momento por el Estado, lo cual no solo es altamente cuestionable e implica una falta del deber de investigar con debida diligencia, sino que también </w:t>
      </w:r>
      <w:r w:rsidR="00666C4E" w:rsidRPr="00386E47">
        <w:rPr>
          <w:rFonts w:asciiTheme="majorHAnsi" w:eastAsia="Calibri" w:hAnsiTheme="majorHAnsi"/>
          <w:sz w:val="20"/>
          <w:szCs w:val="20"/>
          <w:lang w:val="es-ES_tradnl"/>
        </w:rPr>
        <w:t xml:space="preserve">revela </w:t>
      </w:r>
      <w:r w:rsidRPr="00386E47">
        <w:rPr>
          <w:rFonts w:asciiTheme="majorHAnsi" w:eastAsia="Calibri" w:hAnsiTheme="majorHAnsi"/>
          <w:sz w:val="20"/>
          <w:szCs w:val="20"/>
          <w:lang w:val="es-ES_tradnl"/>
        </w:rPr>
        <w:t>una manifiesta parcialidad del juez por interés en generar un determinado resultado que no obedece al material probatorio incorporado de manera legal a la investigación. Estas actuaciones que</w:t>
      </w:r>
      <w:r w:rsidR="00666C4E" w:rsidRPr="00386E47">
        <w:rPr>
          <w:rFonts w:asciiTheme="majorHAnsi" w:eastAsia="Calibri" w:hAnsiTheme="majorHAnsi"/>
          <w:sz w:val="20"/>
          <w:szCs w:val="20"/>
          <w:lang w:val="es-ES_tradnl"/>
        </w:rPr>
        <w:t>, hicieron</w:t>
      </w:r>
      <w:r w:rsidRPr="00386E47">
        <w:rPr>
          <w:rFonts w:asciiTheme="majorHAnsi" w:eastAsia="Calibri" w:hAnsiTheme="majorHAnsi"/>
          <w:sz w:val="20"/>
          <w:szCs w:val="20"/>
          <w:lang w:val="es-ES_tradnl"/>
        </w:rPr>
        <w:t xml:space="preserve"> además uso de medios que tampoco encuentran sustento en las garantías del debido proceso regular, no satisfacen en modo alguno el derecho que tienen l</w:t>
      </w:r>
      <w:r w:rsidR="00666C4E" w:rsidRPr="00386E47">
        <w:rPr>
          <w:rFonts w:asciiTheme="majorHAnsi" w:eastAsia="Calibri" w:hAnsiTheme="majorHAnsi"/>
          <w:sz w:val="20"/>
          <w:szCs w:val="20"/>
          <w:lang w:val="es-ES_tradnl"/>
        </w:rPr>
        <w:t>os familiares de las</w:t>
      </w:r>
      <w:r w:rsidRPr="00386E47">
        <w:rPr>
          <w:rFonts w:asciiTheme="majorHAnsi" w:eastAsia="Calibri" w:hAnsiTheme="majorHAnsi"/>
          <w:sz w:val="20"/>
          <w:szCs w:val="20"/>
          <w:lang w:val="es-ES_tradnl"/>
        </w:rPr>
        <w:t xml:space="preserve"> víctimas </w:t>
      </w:r>
      <w:r w:rsidR="00666C4E" w:rsidRPr="00386E47">
        <w:rPr>
          <w:rFonts w:asciiTheme="majorHAnsi" w:eastAsia="Calibri" w:hAnsiTheme="majorHAnsi"/>
          <w:sz w:val="20"/>
          <w:szCs w:val="20"/>
          <w:lang w:val="es-ES_tradnl"/>
        </w:rPr>
        <w:t>a acceder a la justicia</w:t>
      </w:r>
      <w:r w:rsidRPr="00386E47">
        <w:rPr>
          <w:rFonts w:asciiTheme="majorHAnsi" w:eastAsia="Calibri" w:hAnsiTheme="majorHAnsi"/>
          <w:sz w:val="20"/>
          <w:szCs w:val="20"/>
          <w:lang w:val="es-ES_tradnl"/>
        </w:rPr>
        <w:t xml:space="preserve">. Además de ello, proyectó severas consecuencias para el esclarecimiento de las graves afectaciones a los derechos humanos padecidas por las víctimas de este caso. </w:t>
      </w:r>
    </w:p>
    <w:p w14:paraId="0154F09C" w14:textId="77777777" w:rsidR="003D23F8" w:rsidRPr="00386E47" w:rsidRDefault="003D23F8" w:rsidP="003D23F8">
      <w:pPr>
        <w:tabs>
          <w:tab w:val="left" w:pos="567"/>
        </w:tabs>
        <w:contextualSpacing/>
        <w:jc w:val="both"/>
        <w:rPr>
          <w:rFonts w:asciiTheme="majorHAnsi" w:eastAsia="Calibri" w:hAnsiTheme="majorHAnsi"/>
          <w:sz w:val="20"/>
          <w:szCs w:val="20"/>
          <w:lang w:val="es-ES_tradnl"/>
        </w:rPr>
      </w:pPr>
      <w:r w:rsidRPr="00386E47">
        <w:rPr>
          <w:rFonts w:asciiTheme="majorHAnsi" w:eastAsia="Calibri" w:hAnsiTheme="majorHAnsi"/>
          <w:sz w:val="20"/>
          <w:szCs w:val="20"/>
          <w:lang w:val="es-ES_tradnl"/>
        </w:rPr>
        <w:t xml:space="preserve"> </w:t>
      </w:r>
    </w:p>
    <w:p w14:paraId="329F451F" w14:textId="77777777" w:rsidR="003D23F8" w:rsidRPr="00386E47" w:rsidRDefault="003D23F8" w:rsidP="00B528BF">
      <w:pPr>
        <w:pStyle w:val="Heading5"/>
      </w:pPr>
      <w:r w:rsidRPr="00386E47">
        <w:t xml:space="preserve">Conclusión </w:t>
      </w:r>
    </w:p>
    <w:p w14:paraId="232B95CC" w14:textId="77777777" w:rsidR="003D23F8" w:rsidRPr="00386E47" w:rsidRDefault="003D23F8" w:rsidP="00A311A0">
      <w:pPr>
        <w:contextualSpacing/>
        <w:rPr>
          <w:rFonts w:asciiTheme="majorHAnsi" w:eastAsia="Calibri" w:hAnsiTheme="majorHAnsi"/>
          <w:sz w:val="20"/>
          <w:szCs w:val="20"/>
          <w:lang w:val="es-ES_tradnl"/>
        </w:rPr>
      </w:pPr>
    </w:p>
    <w:p w14:paraId="5A1E88CA" w14:textId="77777777" w:rsidR="00C423FB" w:rsidRPr="00386E47" w:rsidRDefault="00BF041B" w:rsidP="003A5860">
      <w:pPr>
        <w:numPr>
          <w:ilvl w:val="0"/>
          <w:numId w:val="55"/>
        </w:numPr>
        <w:tabs>
          <w:tab w:val="left" w:pos="567"/>
        </w:tabs>
        <w:ind w:left="0" w:firstLine="0"/>
        <w:contextualSpacing/>
        <w:jc w:val="both"/>
        <w:rPr>
          <w:rFonts w:asciiTheme="majorHAnsi" w:eastAsia="Calibri" w:hAnsiTheme="majorHAnsi"/>
          <w:sz w:val="20"/>
          <w:szCs w:val="20"/>
          <w:lang w:val="es-ES_tradnl"/>
        </w:rPr>
      </w:pPr>
      <w:r w:rsidRPr="00386E47">
        <w:rPr>
          <w:rFonts w:asciiTheme="majorHAnsi" w:eastAsia="Calibri" w:hAnsiTheme="majorHAnsi"/>
          <w:sz w:val="20"/>
          <w:szCs w:val="20"/>
          <w:lang w:val="es-ES_tradnl"/>
        </w:rPr>
        <w:t>Con</w:t>
      </w:r>
      <w:r w:rsidR="00C423FB" w:rsidRPr="00386E47">
        <w:rPr>
          <w:rFonts w:asciiTheme="majorHAnsi" w:eastAsia="Calibri" w:hAnsiTheme="majorHAnsi"/>
          <w:sz w:val="20"/>
          <w:szCs w:val="20"/>
          <w:lang w:val="es-ES_tradnl"/>
        </w:rPr>
        <w:t xml:space="preserve"> base a lo consignado</w:t>
      </w:r>
      <w:r w:rsidR="003D23F8" w:rsidRPr="00386E47">
        <w:rPr>
          <w:rFonts w:asciiTheme="majorHAnsi" w:eastAsia="Calibri" w:hAnsiTheme="majorHAnsi"/>
          <w:sz w:val="20"/>
          <w:szCs w:val="20"/>
          <w:lang w:val="es-ES_tradnl"/>
        </w:rPr>
        <w:t xml:space="preserve"> en este capítulo, la Comisión concluye que</w:t>
      </w:r>
      <w:r w:rsidR="00C423FB" w:rsidRPr="00386E47">
        <w:rPr>
          <w:rFonts w:asciiTheme="majorHAnsi" w:eastAsia="Calibri" w:hAnsiTheme="majorHAnsi"/>
          <w:sz w:val="20"/>
          <w:szCs w:val="20"/>
          <w:lang w:val="es-ES_tradnl"/>
        </w:rPr>
        <w:t>, tanto en los inicios de la investigación como</w:t>
      </w:r>
      <w:r w:rsidR="003D23F8" w:rsidRPr="00386E47">
        <w:rPr>
          <w:rFonts w:asciiTheme="majorHAnsi" w:eastAsia="Calibri" w:hAnsiTheme="majorHAnsi"/>
          <w:sz w:val="20"/>
          <w:szCs w:val="20"/>
          <w:lang w:val="es-ES_tradnl"/>
        </w:rPr>
        <w:t xml:space="preserve"> </w:t>
      </w:r>
      <w:r w:rsidR="00C423FB" w:rsidRPr="00386E47">
        <w:rPr>
          <w:rFonts w:asciiTheme="majorHAnsi" w:eastAsia="Calibri" w:hAnsiTheme="majorHAnsi"/>
          <w:sz w:val="20"/>
          <w:szCs w:val="20"/>
          <w:lang w:val="es-ES_tradnl"/>
        </w:rPr>
        <w:t>durante la instrucción conducida por el</w:t>
      </w:r>
      <w:r w:rsidR="003D23F8" w:rsidRPr="00386E47">
        <w:rPr>
          <w:rFonts w:asciiTheme="majorHAnsi" w:eastAsia="Calibri" w:hAnsiTheme="majorHAnsi"/>
          <w:sz w:val="20"/>
          <w:szCs w:val="20"/>
          <w:lang w:val="es-ES_tradnl"/>
        </w:rPr>
        <w:t xml:space="preserve"> Juzgado en lo Criminal Federal Nro. 9, </w:t>
      </w:r>
      <w:r w:rsidR="00C423FB" w:rsidRPr="00386E47">
        <w:rPr>
          <w:rFonts w:asciiTheme="majorHAnsi" w:eastAsia="Calibri" w:hAnsiTheme="majorHAnsi"/>
          <w:sz w:val="20"/>
          <w:szCs w:val="20"/>
          <w:lang w:val="es-ES_tradnl"/>
        </w:rPr>
        <w:t>sucedieron</w:t>
      </w:r>
      <w:r w:rsidR="003D23F8" w:rsidRPr="00386E47">
        <w:rPr>
          <w:rFonts w:asciiTheme="majorHAnsi" w:eastAsia="Calibri" w:hAnsiTheme="majorHAnsi"/>
          <w:sz w:val="20"/>
          <w:szCs w:val="20"/>
          <w:lang w:val="es-ES_tradnl"/>
        </w:rPr>
        <w:t xml:space="preserve"> una serie de irregularidade</w:t>
      </w:r>
      <w:r w:rsidR="00C423FB" w:rsidRPr="00386E47">
        <w:rPr>
          <w:rFonts w:asciiTheme="majorHAnsi" w:eastAsia="Calibri" w:hAnsiTheme="majorHAnsi"/>
          <w:sz w:val="20"/>
          <w:szCs w:val="20"/>
          <w:lang w:val="es-ES_tradnl"/>
        </w:rPr>
        <w:t>s tales como las</w:t>
      </w:r>
      <w:r w:rsidR="003D23F8" w:rsidRPr="00386E47">
        <w:rPr>
          <w:rFonts w:asciiTheme="majorHAnsi" w:eastAsia="Calibri" w:hAnsiTheme="majorHAnsi"/>
          <w:sz w:val="20"/>
          <w:szCs w:val="20"/>
          <w:lang w:val="es-ES_tradnl"/>
        </w:rPr>
        <w:t xml:space="preserve"> </w:t>
      </w:r>
      <w:r w:rsidR="00C423FB" w:rsidRPr="00386E47">
        <w:rPr>
          <w:rFonts w:asciiTheme="majorHAnsi" w:eastAsia="Calibri" w:hAnsiTheme="majorHAnsi"/>
          <w:sz w:val="20"/>
          <w:szCs w:val="20"/>
          <w:lang w:val="es-ES_tradnl"/>
        </w:rPr>
        <w:t xml:space="preserve">fallas en la </w:t>
      </w:r>
      <w:r w:rsidR="00B528BF" w:rsidRPr="00386E47">
        <w:rPr>
          <w:rFonts w:asciiTheme="majorHAnsi" w:eastAsia="Calibri" w:hAnsiTheme="majorHAnsi"/>
          <w:sz w:val="20"/>
          <w:szCs w:val="20"/>
          <w:lang w:val="es-ES_tradnl"/>
        </w:rPr>
        <w:t>práctica</w:t>
      </w:r>
      <w:r w:rsidR="00C423FB" w:rsidRPr="00386E47">
        <w:rPr>
          <w:rFonts w:asciiTheme="majorHAnsi" w:eastAsia="Calibri" w:hAnsiTheme="majorHAnsi"/>
          <w:sz w:val="20"/>
          <w:szCs w:val="20"/>
          <w:lang w:val="es-ES_tradnl"/>
        </w:rPr>
        <w:t xml:space="preserve"> </w:t>
      </w:r>
      <w:r w:rsidR="003D23F8" w:rsidRPr="00386E47">
        <w:rPr>
          <w:rFonts w:asciiTheme="majorHAnsi" w:eastAsia="Calibri" w:hAnsiTheme="majorHAnsi"/>
          <w:sz w:val="20"/>
          <w:szCs w:val="20"/>
          <w:lang w:val="es-ES_tradnl"/>
        </w:rPr>
        <w:t>de diligencias esenciales, así como el abandono</w:t>
      </w:r>
      <w:r w:rsidR="00C423FB" w:rsidRPr="00386E47">
        <w:rPr>
          <w:rFonts w:asciiTheme="majorHAnsi" w:eastAsia="Calibri" w:hAnsiTheme="majorHAnsi"/>
          <w:sz w:val="20"/>
          <w:szCs w:val="20"/>
          <w:lang w:val="es-ES_tradnl"/>
        </w:rPr>
        <w:t xml:space="preserve"> </w:t>
      </w:r>
      <w:r w:rsidR="00C408A8" w:rsidRPr="00386E47">
        <w:rPr>
          <w:rFonts w:asciiTheme="majorHAnsi" w:eastAsia="Calibri" w:hAnsiTheme="majorHAnsi"/>
          <w:sz w:val="20"/>
          <w:szCs w:val="20"/>
          <w:lang w:val="es-ES_tradnl"/>
        </w:rPr>
        <w:t xml:space="preserve">deliberado </w:t>
      </w:r>
      <w:r w:rsidR="00C423FB" w:rsidRPr="00386E47">
        <w:rPr>
          <w:rFonts w:asciiTheme="majorHAnsi" w:eastAsia="Calibri" w:hAnsiTheme="majorHAnsi"/>
          <w:sz w:val="20"/>
          <w:szCs w:val="20"/>
          <w:lang w:val="es-ES_tradnl"/>
        </w:rPr>
        <w:t>de algunas</w:t>
      </w:r>
      <w:r w:rsidR="003D23F8" w:rsidRPr="00386E47">
        <w:rPr>
          <w:rFonts w:asciiTheme="majorHAnsi" w:eastAsia="Calibri" w:hAnsiTheme="majorHAnsi"/>
          <w:sz w:val="20"/>
          <w:szCs w:val="20"/>
          <w:lang w:val="es-ES_tradnl"/>
        </w:rPr>
        <w:t xml:space="preserve"> líneas </w:t>
      </w:r>
      <w:r w:rsidR="00C408A8" w:rsidRPr="00386E47">
        <w:rPr>
          <w:rFonts w:asciiTheme="majorHAnsi" w:eastAsia="Calibri" w:hAnsiTheme="majorHAnsi"/>
          <w:sz w:val="20"/>
          <w:szCs w:val="20"/>
          <w:lang w:val="es-ES_tradnl"/>
        </w:rPr>
        <w:t>de investigación</w:t>
      </w:r>
      <w:r w:rsidR="00EB6CB8" w:rsidRPr="00386E47">
        <w:rPr>
          <w:rFonts w:asciiTheme="majorHAnsi" w:eastAsia="Calibri" w:hAnsiTheme="majorHAnsi"/>
          <w:sz w:val="20"/>
          <w:szCs w:val="20"/>
          <w:lang w:val="es-ES_tradnl"/>
        </w:rPr>
        <w:t xml:space="preserve"> cuya profundización resultaba un curso de acción lógico a seguir. </w:t>
      </w:r>
      <w:r w:rsidR="00C408A8" w:rsidRPr="00386E47">
        <w:rPr>
          <w:rFonts w:asciiTheme="majorHAnsi" w:eastAsia="Calibri" w:hAnsiTheme="majorHAnsi"/>
          <w:sz w:val="20"/>
          <w:szCs w:val="20"/>
          <w:lang w:val="es-ES_tradnl"/>
        </w:rPr>
        <w:t xml:space="preserve"> </w:t>
      </w:r>
    </w:p>
    <w:p w14:paraId="60728F20" w14:textId="77777777" w:rsidR="00C423FB" w:rsidRPr="00386E47" w:rsidRDefault="00C423FB" w:rsidP="00C423FB">
      <w:pPr>
        <w:tabs>
          <w:tab w:val="left" w:pos="567"/>
        </w:tabs>
        <w:contextualSpacing/>
        <w:jc w:val="both"/>
        <w:rPr>
          <w:rFonts w:asciiTheme="majorHAnsi" w:eastAsia="Calibri" w:hAnsiTheme="majorHAnsi"/>
          <w:sz w:val="20"/>
          <w:szCs w:val="20"/>
          <w:lang w:val="es-ES_tradnl"/>
        </w:rPr>
      </w:pPr>
    </w:p>
    <w:p w14:paraId="25E9A9C6" w14:textId="77777777" w:rsidR="00EB6CB8" w:rsidRPr="00386E47" w:rsidRDefault="003D23F8" w:rsidP="003A5860">
      <w:pPr>
        <w:numPr>
          <w:ilvl w:val="0"/>
          <w:numId w:val="55"/>
        </w:numPr>
        <w:tabs>
          <w:tab w:val="left" w:pos="567"/>
        </w:tabs>
        <w:ind w:left="0" w:firstLine="0"/>
        <w:contextualSpacing/>
        <w:jc w:val="both"/>
        <w:rPr>
          <w:rFonts w:asciiTheme="majorHAnsi" w:eastAsia="Calibri" w:hAnsiTheme="majorHAnsi"/>
          <w:sz w:val="20"/>
          <w:szCs w:val="20"/>
          <w:lang w:val="es-ES_tradnl"/>
        </w:rPr>
      </w:pPr>
      <w:r w:rsidRPr="00386E47">
        <w:rPr>
          <w:rFonts w:asciiTheme="majorHAnsi" w:eastAsia="Calibri" w:hAnsiTheme="majorHAnsi"/>
          <w:sz w:val="20"/>
          <w:szCs w:val="20"/>
          <w:lang w:val="es-ES_tradnl"/>
        </w:rPr>
        <w:t xml:space="preserve">Sumado a ello, </w:t>
      </w:r>
      <w:r w:rsidR="00C423FB" w:rsidRPr="00386E47">
        <w:rPr>
          <w:rFonts w:asciiTheme="majorHAnsi" w:eastAsia="Calibri" w:hAnsiTheme="majorHAnsi"/>
          <w:sz w:val="20"/>
          <w:szCs w:val="20"/>
          <w:lang w:val="es-ES_tradnl"/>
        </w:rPr>
        <w:t xml:space="preserve">y </w:t>
      </w:r>
      <w:r w:rsidRPr="00386E47">
        <w:rPr>
          <w:rFonts w:asciiTheme="majorHAnsi" w:eastAsia="Calibri" w:hAnsiTheme="majorHAnsi"/>
          <w:sz w:val="20"/>
          <w:szCs w:val="20"/>
          <w:lang w:val="es-ES_tradnl"/>
        </w:rPr>
        <w:t xml:space="preserve">de forma particularmente grave, </w:t>
      </w:r>
      <w:r w:rsidR="00C423FB" w:rsidRPr="00386E47">
        <w:rPr>
          <w:rFonts w:asciiTheme="majorHAnsi" w:eastAsia="Calibri" w:hAnsiTheme="majorHAnsi"/>
          <w:sz w:val="20"/>
          <w:szCs w:val="20"/>
          <w:lang w:val="es-ES_tradnl"/>
        </w:rPr>
        <w:t>la Comisión ha verificado que durante la</w:t>
      </w:r>
      <w:r w:rsidR="00F51009" w:rsidRPr="00386E47">
        <w:rPr>
          <w:rFonts w:asciiTheme="majorHAnsi" w:eastAsia="Calibri" w:hAnsiTheme="majorHAnsi"/>
          <w:sz w:val="20"/>
          <w:szCs w:val="20"/>
          <w:lang w:val="es-ES_tradnl"/>
        </w:rPr>
        <w:t xml:space="preserve"> etapa </w:t>
      </w:r>
      <w:r w:rsidR="00713782" w:rsidRPr="00386E47">
        <w:rPr>
          <w:rFonts w:asciiTheme="majorHAnsi" w:eastAsia="Calibri" w:hAnsiTheme="majorHAnsi"/>
          <w:sz w:val="20"/>
          <w:szCs w:val="20"/>
          <w:lang w:val="es-ES_tradnl"/>
        </w:rPr>
        <w:t>de instrucción</w:t>
      </w:r>
      <w:r w:rsidR="00C423FB" w:rsidRPr="00386E47">
        <w:rPr>
          <w:rFonts w:asciiTheme="majorHAnsi" w:eastAsia="Calibri" w:hAnsiTheme="majorHAnsi"/>
          <w:sz w:val="20"/>
          <w:szCs w:val="20"/>
          <w:lang w:val="es-ES_tradnl"/>
        </w:rPr>
        <w:t xml:space="preserve"> </w:t>
      </w:r>
      <w:r w:rsidR="00F51009" w:rsidRPr="00386E47">
        <w:rPr>
          <w:rFonts w:asciiTheme="majorHAnsi" w:eastAsia="Calibri" w:hAnsiTheme="majorHAnsi"/>
          <w:sz w:val="20"/>
          <w:szCs w:val="20"/>
          <w:lang w:val="es-ES_tradnl"/>
        </w:rPr>
        <w:t>del atentado</w:t>
      </w:r>
      <w:r w:rsidR="00C423FB" w:rsidRPr="00386E47">
        <w:rPr>
          <w:rFonts w:asciiTheme="majorHAnsi" w:eastAsia="Calibri" w:hAnsiTheme="majorHAnsi"/>
          <w:sz w:val="20"/>
          <w:szCs w:val="20"/>
          <w:lang w:val="es-ES_tradnl"/>
        </w:rPr>
        <w:t xml:space="preserve"> se produjo</w:t>
      </w:r>
      <w:r w:rsidRPr="00386E47">
        <w:rPr>
          <w:rFonts w:asciiTheme="majorHAnsi" w:eastAsia="Calibri" w:hAnsiTheme="majorHAnsi"/>
          <w:sz w:val="20"/>
          <w:szCs w:val="20"/>
          <w:lang w:val="es-ES_tradnl"/>
        </w:rPr>
        <w:t xml:space="preserve"> un desvío de las reglas racionales </w:t>
      </w:r>
      <w:r w:rsidR="00C408A8" w:rsidRPr="00386E47">
        <w:rPr>
          <w:rFonts w:asciiTheme="majorHAnsi" w:eastAsia="Calibri" w:hAnsiTheme="majorHAnsi"/>
          <w:sz w:val="20"/>
          <w:szCs w:val="20"/>
          <w:lang w:val="es-ES_tradnl"/>
        </w:rPr>
        <w:t>que deben regir cualquier</w:t>
      </w:r>
      <w:r w:rsidRPr="00386E47">
        <w:rPr>
          <w:rFonts w:asciiTheme="majorHAnsi" w:eastAsia="Calibri" w:hAnsiTheme="majorHAnsi"/>
          <w:sz w:val="20"/>
          <w:szCs w:val="20"/>
          <w:lang w:val="es-ES_tradnl"/>
        </w:rPr>
        <w:t xml:space="preserve"> investigación criminal</w:t>
      </w:r>
      <w:r w:rsidR="00C423FB" w:rsidRPr="00386E47">
        <w:rPr>
          <w:rFonts w:asciiTheme="majorHAnsi" w:eastAsia="Calibri" w:hAnsiTheme="majorHAnsi"/>
          <w:sz w:val="20"/>
          <w:szCs w:val="20"/>
          <w:lang w:val="es-ES_tradnl"/>
        </w:rPr>
        <w:t xml:space="preserve">. </w:t>
      </w:r>
      <w:r w:rsidRPr="00386E47">
        <w:rPr>
          <w:rFonts w:asciiTheme="majorHAnsi" w:eastAsia="Calibri" w:hAnsiTheme="majorHAnsi"/>
          <w:sz w:val="20"/>
          <w:szCs w:val="20"/>
          <w:lang w:val="es-ES_tradnl"/>
        </w:rPr>
        <w:t xml:space="preserve"> </w:t>
      </w:r>
      <w:r w:rsidR="00F51009" w:rsidRPr="00386E47">
        <w:rPr>
          <w:rFonts w:asciiTheme="majorHAnsi" w:eastAsia="Calibri" w:hAnsiTheme="majorHAnsi"/>
          <w:sz w:val="20"/>
          <w:szCs w:val="20"/>
          <w:lang w:val="es-ES_tradnl"/>
        </w:rPr>
        <w:t>En efecto, los magistrad</w:t>
      </w:r>
      <w:r w:rsidR="00C408A8" w:rsidRPr="00386E47">
        <w:rPr>
          <w:rFonts w:asciiTheme="majorHAnsi" w:eastAsia="Calibri" w:hAnsiTheme="majorHAnsi"/>
          <w:sz w:val="20"/>
          <w:szCs w:val="20"/>
          <w:lang w:val="es-ES_tradnl"/>
        </w:rPr>
        <w:t xml:space="preserve">os que actuaron durante dicha etapa - </w:t>
      </w:r>
      <w:r w:rsidR="00F51009" w:rsidRPr="00386E47">
        <w:rPr>
          <w:rFonts w:asciiTheme="majorHAnsi" w:eastAsia="Calibri" w:hAnsiTheme="majorHAnsi"/>
          <w:sz w:val="20"/>
          <w:szCs w:val="20"/>
          <w:lang w:val="es-ES_tradnl"/>
        </w:rPr>
        <w:t xml:space="preserve">de forma articulada con </w:t>
      </w:r>
      <w:r w:rsidR="00C408A8" w:rsidRPr="00386E47">
        <w:rPr>
          <w:rFonts w:asciiTheme="majorHAnsi" w:eastAsia="Calibri" w:hAnsiTheme="majorHAnsi"/>
          <w:sz w:val="20"/>
          <w:szCs w:val="20"/>
          <w:lang w:val="es-ES_tradnl"/>
        </w:rPr>
        <w:t xml:space="preserve">otros actores estatales - </w:t>
      </w:r>
      <w:r w:rsidR="00F51009" w:rsidRPr="00386E47">
        <w:rPr>
          <w:rFonts w:asciiTheme="majorHAnsi" w:eastAsia="Calibri" w:hAnsiTheme="majorHAnsi"/>
          <w:sz w:val="20"/>
          <w:szCs w:val="20"/>
          <w:lang w:val="es-ES_tradnl"/>
        </w:rPr>
        <w:t xml:space="preserve">realizaron </w:t>
      </w:r>
      <w:r w:rsidR="00C408A8" w:rsidRPr="00386E47">
        <w:rPr>
          <w:rFonts w:asciiTheme="majorHAnsi" w:eastAsia="Calibri" w:hAnsiTheme="majorHAnsi"/>
          <w:sz w:val="20"/>
          <w:szCs w:val="20"/>
          <w:lang w:val="es-ES_tradnl"/>
        </w:rPr>
        <w:t>actividades al margen de la ley</w:t>
      </w:r>
      <w:r w:rsidR="00F51009" w:rsidRPr="00386E47">
        <w:rPr>
          <w:rFonts w:asciiTheme="majorHAnsi" w:eastAsia="Calibri" w:hAnsiTheme="majorHAnsi"/>
          <w:sz w:val="20"/>
          <w:szCs w:val="20"/>
          <w:lang w:val="es-ES_tradnl"/>
        </w:rPr>
        <w:t xml:space="preserve"> con el propósito de</w:t>
      </w:r>
      <w:r w:rsidR="00C408A8" w:rsidRPr="00386E47">
        <w:rPr>
          <w:rFonts w:asciiTheme="majorHAnsi" w:eastAsia="Calibri" w:hAnsiTheme="majorHAnsi"/>
          <w:sz w:val="20"/>
          <w:szCs w:val="20"/>
          <w:lang w:val="es-ES_tradnl"/>
        </w:rPr>
        <w:t xml:space="preserve"> construir y profundizar</w:t>
      </w:r>
      <w:r w:rsidR="00F51009" w:rsidRPr="00386E47">
        <w:rPr>
          <w:rFonts w:asciiTheme="majorHAnsi" w:eastAsia="Calibri" w:hAnsiTheme="majorHAnsi"/>
          <w:sz w:val="20"/>
          <w:szCs w:val="20"/>
          <w:lang w:val="es-ES_tradnl"/>
        </w:rPr>
        <w:t xml:space="preserve"> una hipótesis acusatoria sin sustento</w:t>
      </w:r>
      <w:r w:rsidR="00C408A8" w:rsidRPr="00386E47">
        <w:rPr>
          <w:rFonts w:asciiTheme="majorHAnsi" w:eastAsia="Calibri" w:hAnsiTheme="majorHAnsi"/>
          <w:sz w:val="20"/>
          <w:szCs w:val="20"/>
          <w:lang w:val="es-ES_tradnl"/>
        </w:rPr>
        <w:t xml:space="preserve"> fáctico</w:t>
      </w:r>
      <w:r w:rsidR="00F51009" w:rsidRPr="00386E47">
        <w:rPr>
          <w:rFonts w:asciiTheme="majorHAnsi" w:eastAsia="Calibri" w:hAnsiTheme="majorHAnsi"/>
          <w:sz w:val="20"/>
          <w:szCs w:val="20"/>
          <w:lang w:val="es-ES_tradnl"/>
        </w:rPr>
        <w:t xml:space="preserve">. </w:t>
      </w:r>
      <w:r w:rsidR="00C408A8" w:rsidRPr="00386E47">
        <w:rPr>
          <w:rFonts w:asciiTheme="majorHAnsi" w:eastAsia="Calibri" w:hAnsiTheme="majorHAnsi"/>
          <w:sz w:val="20"/>
          <w:szCs w:val="20"/>
          <w:lang w:val="es-ES_tradnl"/>
        </w:rPr>
        <w:t xml:space="preserve">Estas </w:t>
      </w:r>
      <w:r w:rsidR="00F51009" w:rsidRPr="00386E47">
        <w:rPr>
          <w:rFonts w:asciiTheme="majorHAnsi" w:eastAsia="Calibri" w:hAnsiTheme="majorHAnsi"/>
          <w:sz w:val="20"/>
          <w:szCs w:val="20"/>
          <w:lang w:val="es-ES_tradnl"/>
        </w:rPr>
        <w:t xml:space="preserve">acciones favorecieron </w:t>
      </w:r>
      <w:r w:rsidR="00C408A8" w:rsidRPr="00386E47">
        <w:rPr>
          <w:rFonts w:asciiTheme="majorHAnsi" w:eastAsia="Calibri" w:hAnsiTheme="majorHAnsi"/>
          <w:sz w:val="20"/>
          <w:szCs w:val="20"/>
          <w:lang w:val="es-ES_tradnl"/>
        </w:rPr>
        <w:t xml:space="preserve">en </w:t>
      </w:r>
      <w:r w:rsidR="00F51009" w:rsidRPr="00386E47">
        <w:rPr>
          <w:rFonts w:asciiTheme="majorHAnsi" w:eastAsia="Calibri" w:hAnsiTheme="majorHAnsi"/>
          <w:sz w:val="20"/>
          <w:szCs w:val="20"/>
          <w:lang w:val="es-ES_tradnl"/>
        </w:rPr>
        <w:t>forma deliberada el encubrimiento de los verdaderos responsables del atentado</w:t>
      </w:r>
      <w:r w:rsidR="00C408A8" w:rsidRPr="00386E47">
        <w:rPr>
          <w:rFonts w:asciiTheme="majorHAnsi" w:eastAsia="Calibri" w:hAnsiTheme="majorHAnsi"/>
          <w:sz w:val="20"/>
          <w:szCs w:val="20"/>
          <w:lang w:val="es-ES_tradnl"/>
        </w:rPr>
        <w:t xml:space="preserve">, perjudicaron de manera determinante el derecho de las víctimas y de la sociedad argentina de conocer la verdad de lo sucedido </w:t>
      </w:r>
      <w:r w:rsidR="00F51009" w:rsidRPr="00386E47">
        <w:rPr>
          <w:rFonts w:asciiTheme="majorHAnsi" w:eastAsia="Calibri" w:hAnsiTheme="majorHAnsi"/>
          <w:sz w:val="20"/>
          <w:szCs w:val="20"/>
          <w:lang w:val="es-ES_tradnl"/>
        </w:rPr>
        <w:t>y explican</w:t>
      </w:r>
      <w:r w:rsidR="00EB6CB8" w:rsidRPr="00386E47">
        <w:rPr>
          <w:rFonts w:asciiTheme="majorHAnsi" w:eastAsia="Calibri" w:hAnsiTheme="majorHAnsi"/>
          <w:sz w:val="20"/>
          <w:szCs w:val="20"/>
          <w:lang w:val="es-ES_tradnl"/>
        </w:rPr>
        <w:t>, en gran medida,</w:t>
      </w:r>
      <w:r w:rsidR="00F51009" w:rsidRPr="00386E47">
        <w:rPr>
          <w:rFonts w:asciiTheme="majorHAnsi" w:eastAsia="Calibri" w:hAnsiTheme="majorHAnsi"/>
          <w:sz w:val="20"/>
          <w:szCs w:val="20"/>
          <w:lang w:val="es-ES_tradnl"/>
        </w:rPr>
        <w:t xml:space="preserve"> el estado de impunidad en el que actualmente se encuentra el caso. </w:t>
      </w:r>
    </w:p>
    <w:p w14:paraId="1022E108" w14:textId="77777777" w:rsidR="00EB6CB8" w:rsidRPr="00386E47" w:rsidRDefault="00EB6CB8" w:rsidP="00EB6CB8">
      <w:pPr>
        <w:tabs>
          <w:tab w:val="left" w:pos="567"/>
        </w:tabs>
        <w:contextualSpacing/>
        <w:jc w:val="both"/>
        <w:rPr>
          <w:rFonts w:asciiTheme="majorHAnsi" w:eastAsia="Calibri" w:hAnsiTheme="majorHAnsi"/>
          <w:sz w:val="20"/>
          <w:szCs w:val="20"/>
          <w:lang w:val="es-ES_tradnl"/>
        </w:rPr>
      </w:pPr>
    </w:p>
    <w:p w14:paraId="251FAA0D" w14:textId="77777777" w:rsidR="00C408A8" w:rsidRPr="00386E47" w:rsidRDefault="00EB6CB8" w:rsidP="003A5860">
      <w:pPr>
        <w:numPr>
          <w:ilvl w:val="0"/>
          <w:numId w:val="55"/>
        </w:numPr>
        <w:tabs>
          <w:tab w:val="left" w:pos="567"/>
        </w:tabs>
        <w:ind w:left="0" w:firstLine="0"/>
        <w:contextualSpacing/>
        <w:jc w:val="both"/>
        <w:rPr>
          <w:rFonts w:asciiTheme="majorHAnsi" w:eastAsia="Calibri" w:hAnsiTheme="majorHAnsi"/>
          <w:sz w:val="20"/>
          <w:szCs w:val="20"/>
          <w:lang w:val="es-ES_tradnl"/>
        </w:rPr>
      </w:pPr>
      <w:r w:rsidRPr="00386E47">
        <w:rPr>
          <w:rFonts w:asciiTheme="majorHAnsi" w:eastAsia="Calibri" w:hAnsiTheme="majorHAnsi"/>
          <w:sz w:val="20"/>
          <w:szCs w:val="20"/>
          <w:lang w:val="es-ES_tradnl"/>
        </w:rPr>
        <w:t>En este sentido, l</w:t>
      </w:r>
      <w:r w:rsidR="003D23F8" w:rsidRPr="00386E47">
        <w:rPr>
          <w:rFonts w:asciiTheme="majorHAnsi" w:eastAsia="Calibri" w:hAnsiTheme="majorHAnsi"/>
          <w:sz w:val="20"/>
          <w:szCs w:val="20"/>
          <w:lang w:val="es-ES_tradnl"/>
        </w:rPr>
        <w:t>a Comisión encuentra que</w:t>
      </w:r>
      <w:r w:rsidR="00F51009" w:rsidRPr="00386E47">
        <w:rPr>
          <w:rFonts w:asciiTheme="majorHAnsi" w:eastAsia="Calibri" w:hAnsiTheme="majorHAnsi"/>
          <w:sz w:val="20"/>
          <w:szCs w:val="20"/>
          <w:lang w:val="es-ES_tradnl"/>
        </w:rPr>
        <w:t xml:space="preserve"> la reseñada</w:t>
      </w:r>
      <w:r w:rsidR="003D23F8" w:rsidRPr="00386E47">
        <w:rPr>
          <w:rFonts w:asciiTheme="majorHAnsi" w:eastAsia="Calibri" w:hAnsiTheme="majorHAnsi"/>
          <w:sz w:val="20"/>
          <w:szCs w:val="20"/>
          <w:lang w:val="es-ES_tradnl"/>
        </w:rPr>
        <w:t xml:space="preserve"> actuación estatal</w:t>
      </w:r>
      <w:r w:rsidR="00F51009" w:rsidRPr="00386E47">
        <w:rPr>
          <w:rFonts w:asciiTheme="majorHAnsi" w:eastAsia="Calibri" w:hAnsiTheme="majorHAnsi"/>
          <w:sz w:val="20"/>
          <w:szCs w:val="20"/>
          <w:lang w:val="es-ES_tradnl"/>
        </w:rPr>
        <w:t xml:space="preserve"> </w:t>
      </w:r>
      <w:r w:rsidR="003D23F8" w:rsidRPr="00386E47">
        <w:rPr>
          <w:rFonts w:asciiTheme="majorHAnsi" w:eastAsia="Calibri" w:hAnsiTheme="majorHAnsi"/>
          <w:sz w:val="20"/>
          <w:szCs w:val="20"/>
          <w:lang w:val="es-ES_tradnl"/>
        </w:rPr>
        <w:t xml:space="preserve">no solamente </w:t>
      </w:r>
      <w:r w:rsidR="00F51009" w:rsidRPr="00386E47">
        <w:rPr>
          <w:rFonts w:asciiTheme="majorHAnsi" w:eastAsia="Calibri" w:hAnsiTheme="majorHAnsi"/>
          <w:sz w:val="20"/>
          <w:szCs w:val="20"/>
          <w:lang w:val="es-ES_tradnl"/>
        </w:rPr>
        <w:t>vulneró el</w:t>
      </w:r>
      <w:r w:rsidR="003D23F8" w:rsidRPr="00386E47">
        <w:rPr>
          <w:rFonts w:asciiTheme="majorHAnsi" w:eastAsia="Calibri" w:hAnsiTheme="majorHAnsi"/>
          <w:sz w:val="20"/>
          <w:szCs w:val="20"/>
          <w:lang w:val="es-ES_tradnl"/>
        </w:rPr>
        <w:t xml:space="preserve"> principio de debida diligencia</w:t>
      </w:r>
      <w:r w:rsidRPr="00386E47">
        <w:rPr>
          <w:rFonts w:asciiTheme="majorHAnsi" w:eastAsia="Calibri" w:hAnsiTheme="majorHAnsi"/>
          <w:sz w:val="20"/>
          <w:szCs w:val="20"/>
          <w:lang w:val="es-ES_tradnl"/>
        </w:rPr>
        <w:t xml:space="preserve"> que debe regir en las investigaciones judiciales por graves violaciones a los derechos humanos</w:t>
      </w:r>
      <w:r w:rsidR="003D23F8" w:rsidRPr="00386E47">
        <w:rPr>
          <w:rFonts w:asciiTheme="majorHAnsi" w:eastAsia="Calibri" w:hAnsiTheme="majorHAnsi"/>
          <w:sz w:val="20"/>
          <w:szCs w:val="20"/>
          <w:lang w:val="es-ES_tradnl"/>
        </w:rPr>
        <w:t xml:space="preserve">, </w:t>
      </w:r>
      <w:r w:rsidRPr="00386E47">
        <w:rPr>
          <w:rFonts w:asciiTheme="majorHAnsi" w:eastAsia="Calibri" w:hAnsiTheme="majorHAnsi"/>
          <w:sz w:val="20"/>
          <w:szCs w:val="20"/>
          <w:lang w:val="es-ES_tradnl"/>
        </w:rPr>
        <w:t xml:space="preserve">sino que </w:t>
      </w:r>
      <w:r w:rsidR="003D23F8" w:rsidRPr="00386E47">
        <w:rPr>
          <w:rFonts w:asciiTheme="majorHAnsi" w:eastAsia="Calibri" w:hAnsiTheme="majorHAnsi"/>
          <w:sz w:val="20"/>
          <w:szCs w:val="20"/>
          <w:lang w:val="es-ES_tradnl"/>
        </w:rPr>
        <w:t>también</w:t>
      </w:r>
      <w:r w:rsidRPr="00386E47">
        <w:rPr>
          <w:rFonts w:asciiTheme="majorHAnsi" w:eastAsia="Calibri" w:hAnsiTheme="majorHAnsi"/>
          <w:sz w:val="20"/>
          <w:szCs w:val="20"/>
          <w:lang w:val="es-ES_tradnl"/>
        </w:rPr>
        <w:t xml:space="preserve"> </w:t>
      </w:r>
      <w:r w:rsidR="00C408A8" w:rsidRPr="00386E47">
        <w:rPr>
          <w:rFonts w:asciiTheme="majorHAnsi" w:eastAsia="Calibri" w:hAnsiTheme="majorHAnsi"/>
          <w:sz w:val="20"/>
          <w:szCs w:val="20"/>
          <w:lang w:val="es-ES_tradnl"/>
        </w:rPr>
        <w:t xml:space="preserve">constituye un supuesto de encubrimiento deliberado </w:t>
      </w:r>
      <w:r w:rsidRPr="00386E47">
        <w:rPr>
          <w:rFonts w:asciiTheme="majorHAnsi" w:eastAsia="Calibri" w:hAnsiTheme="majorHAnsi"/>
          <w:sz w:val="20"/>
          <w:szCs w:val="20"/>
          <w:lang w:val="es-ES_tradnl"/>
        </w:rPr>
        <w:t>de la verdad histórica y la negación de la obligación estatal de esclarecer y sancionar tales hechos</w:t>
      </w:r>
      <w:r w:rsidRPr="00386E47">
        <w:rPr>
          <w:rStyle w:val="FootnoteReference"/>
          <w:rFonts w:asciiTheme="majorHAnsi" w:eastAsia="Calibri" w:hAnsiTheme="majorHAnsi"/>
          <w:sz w:val="20"/>
          <w:szCs w:val="20"/>
          <w:lang w:val="es-ES_tradnl"/>
        </w:rPr>
        <w:footnoteReference w:id="211"/>
      </w:r>
      <w:r w:rsidRPr="00386E47">
        <w:rPr>
          <w:rFonts w:asciiTheme="majorHAnsi" w:eastAsia="Calibri" w:hAnsiTheme="majorHAnsi"/>
          <w:sz w:val="20"/>
          <w:szCs w:val="20"/>
          <w:lang w:val="es-ES_tradnl"/>
        </w:rPr>
        <w:t xml:space="preserve">.  </w:t>
      </w:r>
    </w:p>
    <w:p w14:paraId="4ACB8CC3" w14:textId="77777777" w:rsidR="003D23F8" w:rsidRPr="00386E47" w:rsidRDefault="003D23F8" w:rsidP="00EB6CB8">
      <w:pPr>
        <w:tabs>
          <w:tab w:val="left" w:pos="567"/>
        </w:tabs>
        <w:contextualSpacing/>
        <w:jc w:val="both"/>
        <w:rPr>
          <w:rFonts w:asciiTheme="majorHAnsi" w:eastAsia="Calibri" w:hAnsiTheme="majorHAnsi"/>
          <w:sz w:val="20"/>
          <w:szCs w:val="20"/>
          <w:lang w:val="es-ES_tradnl"/>
        </w:rPr>
      </w:pPr>
    </w:p>
    <w:p w14:paraId="7DE3FF16" w14:textId="77777777" w:rsidR="003D23F8" w:rsidRPr="00386E47" w:rsidRDefault="003D23F8" w:rsidP="003A5860">
      <w:pPr>
        <w:numPr>
          <w:ilvl w:val="0"/>
          <w:numId w:val="55"/>
        </w:numPr>
        <w:tabs>
          <w:tab w:val="left" w:pos="567"/>
        </w:tabs>
        <w:ind w:left="0" w:firstLine="0"/>
        <w:contextualSpacing/>
        <w:jc w:val="both"/>
        <w:rPr>
          <w:rFonts w:asciiTheme="majorHAnsi" w:eastAsia="Calibri" w:hAnsiTheme="majorHAnsi"/>
          <w:sz w:val="20"/>
          <w:szCs w:val="20"/>
          <w:lang w:val="es-ES_tradnl"/>
        </w:rPr>
      </w:pPr>
      <w:r w:rsidRPr="00386E47">
        <w:rPr>
          <w:rFonts w:asciiTheme="majorHAnsi" w:eastAsia="Calibri" w:hAnsiTheme="majorHAnsi"/>
          <w:sz w:val="20"/>
          <w:szCs w:val="20"/>
          <w:lang w:val="es-ES_tradnl"/>
        </w:rPr>
        <w:t xml:space="preserve">En consecuencia, la Comisión concluye que el Estado argentino resulta responsable de la violación de los derechos a las garantías judiciales y a la protección judicial consagrados en los artículos 8.1 y 25 de la Convención Americana, respectivamente, en relación con el artículo 1.1. del mismo instrumento en perjuicio de las víctimas del caso. </w:t>
      </w:r>
    </w:p>
    <w:p w14:paraId="2EBDDE90" w14:textId="77777777" w:rsidR="009F70EA" w:rsidRPr="00386E47" w:rsidRDefault="009F70EA" w:rsidP="009F70EA">
      <w:pPr>
        <w:tabs>
          <w:tab w:val="left" w:pos="426"/>
        </w:tabs>
        <w:contextualSpacing/>
        <w:jc w:val="both"/>
        <w:rPr>
          <w:rFonts w:asciiTheme="majorHAnsi" w:eastAsia="Calibri" w:hAnsiTheme="majorHAnsi"/>
          <w:sz w:val="20"/>
          <w:szCs w:val="20"/>
          <w:lang w:val="es-ES_tradnl"/>
        </w:rPr>
      </w:pPr>
    </w:p>
    <w:p w14:paraId="450FFF9F" w14:textId="77777777" w:rsidR="009F70EA" w:rsidRPr="00386E47" w:rsidRDefault="002C25B5" w:rsidP="00B528BF">
      <w:pPr>
        <w:pStyle w:val="Heading4"/>
      </w:pPr>
      <w:r w:rsidRPr="00386E47">
        <w:t>Investigación</w:t>
      </w:r>
      <w:r w:rsidR="009F70EA" w:rsidRPr="00386E47">
        <w:t xml:space="preserve"> delegada por el Juzgado en lo Criminal y Correccional Federal Nro.6 en la Unidad Fiscal de Investigación al Atentado a la Sede de la AMIA</w:t>
      </w:r>
    </w:p>
    <w:p w14:paraId="11CE5147" w14:textId="77777777" w:rsidR="0010765F" w:rsidRPr="00386E47" w:rsidRDefault="0010765F" w:rsidP="003B5D03">
      <w:pPr>
        <w:pStyle w:val="NoSpacing"/>
        <w:rPr>
          <w:rFonts w:asciiTheme="majorHAnsi" w:hAnsiTheme="majorHAnsi"/>
          <w:lang w:val="es-US"/>
        </w:rPr>
      </w:pPr>
    </w:p>
    <w:p w14:paraId="3310D474" w14:textId="77777777" w:rsidR="00977D46" w:rsidRPr="00386E47" w:rsidRDefault="00977D46" w:rsidP="003A5860">
      <w:pPr>
        <w:numPr>
          <w:ilvl w:val="0"/>
          <w:numId w:val="55"/>
        </w:numPr>
        <w:tabs>
          <w:tab w:val="left" w:pos="567"/>
        </w:tabs>
        <w:ind w:left="0" w:firstLine="0"/>
        <w:contextualSpacing/>
        <w:jc w:val="both"/>
        <w:rPr>
          <w:rFonts w:asciiTheme="majorHAnsi" w:eastAsia="Calibri" w:hAnsiTheme="majorHAnsi"/>
          <w:sz w:val="20"/>
          <w:szCs w:val="20"/>
          <w:lang w:val="es-AR"/>
        </w:rPr>
      </w:pPr>
      <w:r w:rsidRPr="00386E47">
        <w:rPr>
          <w:rFonts w:asciiTheme="majorHAnsi" w:eastAsia="Calibri" w:hAnsiTheme="majorHAnsi"/>
          <w:sz w:val="20"/>
          <w:szCs w:val="20"/>
          <w:lang w:val="es-AR"/>
        </w:rPr>
        <w:t>Teniendo en cuenta que</w:t>
      </w:r>
      <w:r w:rsidR="00CA38A4" w:rsidRPr="00386E47">
        <w:rPr>
          <w:rFonts w:asciiTheme="majorHAnsi" w:eastAsia="Calibri" w:hAnsiTheme="majorHAnsi"/>
          <w:sz w:val="20"/>
          <w:szCs w:val="20"/>
          <w:lang w:val="es-AR"/>
        </w:rPr>
        <w:t>,</w:t>
      </w:r>
      <w:r w:rsidRPr="00386E47">
        <w:rPr>
          <w:rFonts w:asciiTheme="majorHAnsi" w:eastAsia="Calibri" w:hAnsiTheme="majorHAnsi"/>
          <w:sz w:val="20"/>
          <w:szCs w:val="20"/>
          <w:lang w:val="es-AR"/>
        </w:rPr>
        <w:t xml:space="preserve"> conforme a lo establecido en la sección anterior, la investigación fue obstaculizada como resultado de la propia actuación estatal, la Comisión considera </w:t>
      </w:r>
      <w:r w:rsidR="006A1FC1" w:rsidRPr="00386E47">
        <w:rPr>
          <w:rFonts w:asciiTheme="majorHAnsi" w:eastAsia="Calibri" w:hAnsiTheme="majorHAnsi"/>
          <w:sz w:val="20"/>
          <w:szCs w:val="20"/>
          <w:lang w:val="es-AR"/>
        </w:rPr>
        <w:t>que existe</w:t>
      </w:r>
      <w:r w:rsidRPr="00386E47">
        <w:rPr>
          <w:rFonts w:asciiTheme="majorHAnsi" w:eastAsia="Calibri" w:hAnsiTheme="majorHAnsi"/>
          <w:sz w:val="20"/>
          <w:szCs w:val="20"/>
          <w:lang w:val="es-AR"/>
        </w:rPr>
        <w:t xml:space="preserve"> una obligación acentuada para el Estado argentino de investigar estos hechos y de</w:t>
      </w:r>
      <w:r w:rsidR="00CA38A4" w:rsidRPr="00386E47">
        <w:rPr>
          <w:rFonts w:asciiTheme="majorHAnsi" w:eastAsia="Calibri" w:hAnsiTheme="majorHAnsi"/>
          <w:sz w:val="20"/>
          <w:szCs w:val="20"/>
          <w:lang w:val="es-AR"/>
        </w:rPr>
        <w:t xml:space="preserve"> la</w:t>
      </w:r>
      <w:r w:rsidRPr="00386E47">
        <w:rPr>
          <w:rFonts w:asciiTheme="majorHAnsi" w:eastAsia="Calibri" w:hAnsiTheme="majorHAnsi"/>
          <w:sz w:val="20"/>
          <w:szCs w:val="20"/>
          <w:lang w:val="es-AR"/>
        </w:rPr>
        <w:t xml:space="preserve"> cual se deriva una doble responsabilidad. </w:t>
      </w:r>
      <w:r w:rsidR="00CA38A4" w:rsidRPr="00386E47">
        <w:rPr>
          <w:rFonts w:asciiTheme="majorHAnsi" w:eastAsia="Calibri" w:hAnsiTheme="majorHAnsi"/>
          <w:sz w:val="20"/>
          <w:szCs w:val="20"/>
          <w:lang w:val="es-AR"/>
        </w:rPr>
        <w:t xml:space="preserve">En primer </w:t>
      </w:r>
      <w:r w:rsidR="00B528BF" w:rsidRPr="00386E47">
        <w:rPr>
          <w:rFonts w:asciiTheme="majorHAnsi" w:eastAsia="Calibri" w:hAnsiTheme="majorHAnsi"/>
          <w:sz w:val="20"/>
          <w:szCs w:val="20"/>
          <w:lang w:val="es-AR"/>
        </w:rPr>
        <w:t>término, la</w:t>
      </w:r>
      <w:r w:rsidR="00CA38A4" w:rsidRPr="00386E47">
        <w:rPr>
          <w:rFonts w:asciiTheme="majorHAnsi" w:eastAsia="Calibri" w:hAnsiTheme="majorHAnsi"/>
          <w:sz w:val="20"/>
          <w:szCs w:val="20"/>
          <w:lang w:val="es-AR"/>
        </w:rPr>
        <w:t xml:space="preserve"> de </w:t>
      </w:r>
      <w:r w:rsidRPr="00386E47">
        <w:rPr>
          <w:rFonts w:asciiTheme="majorHAnsi" w:eastAsia="Calibri" w:hAnsiTheme="majorHAnsi"/>
          <w:sz w:val="20"/>
          <w:szCs w:val="20"/>
          <w:lang w:val="es-AR"/>
        </w:rPr>
        <w:t xml:space="preserve">emprender </w:t>
      </w:r>
      <w:r w:rsidR="00B528BF" w:rsidRPr="00386E47">
        <w:rPr>
          <w:rFonts w:asciiTheme="majorHAnsi" w:eastAsia="Calibri" w:hAnsiTheme="majorHAnsi"/>
          <w:sz w:val="20"/>
          <w:szCs w:val="20"/>
          <w:lang w:val="es-AR"/>
        </w:rPr>
        <w:t>seriamente</w:t>
      </w:r>
      <w:r w:rsidRPr="00386E47">
        <w:rPr>
          <w:rFonts w:asciiTheme="majorHAnsi" w:eastAsia="Calibri" w:hAnsiTheme="majorHAnsi"/>
          <w:sz w:val="20"/>
          <w:szCs w:val="20"/>
          <w:lang w:val="es-AR"/>
        </w:rPr>
        <w:t xml:space="preserve"> una investigación diligente</w:t>
      </w:r>
      <w:r w:rsidR="00CA38A4" w:rsidRPr="00386E47">
        <w:rPr>
          <w:rFonts w:asciiTheme="majorHAnsi" w:eastAsia="Calibri" w:hAnsiTheme="majorHAnsi"/>
          <w:sz w:val="20"/>
          <w:szCs w:val="20"/>
          <w:lang w:val="es-AR"/>
        </w:rPr>
        <w:t xml:space="preserve"> </w:t>
      </w:r>
      <w:r w:rsidR="00B528BF" w:rsidRPr="00386E47">
        <w:rPr>
          <w:rFonts w:asciiTheme="majorHAnsi" w:eastAsia="Calibri" w:hAnsiTheme="majorHAnsi"/>
          <w:sz w:val="20"/>
          <w:szCs w:val="20"/>
          <w:lang w:val="es-AR"/>
        </w:rPr>
        <w:t>del atentado</w:t>
      </w:r>
      <w:r w:rsidRPr="00386E47">
        <w:rPr>
          <w:rFonts w:asciiTheme="majorHAnsi" w:eastAsia="Calibri" w:hAnsiTheme="majorHAnsi"/>
          <w:sz w:val="20"/>
          <w:szCs w:val="20"/>
          <w:lang w:val="es-AR"/>
        </w:rPr>
        <w:t xml:space="preserve"> de la AMIA a efectos de esclarecer lo sucedido y sancionar a los responsables. </w:t>
      </w:r>
      <w:r w:rsidR="00CA38A4" w:rsidRPr="00386E47">
        <w:rPr>
          <w:rFonts w:asciiTheme="majorHAnsi" w:eastAsia="Calibri" w:hAnsiTheme="majorHAnsi"/>
          <w:sz w:val="20"/>
          <w:szCs w:val="20"/>
          <w:lang w:val="es-AR"/>
        </w:rPr>
        <w:t>En segundo lugar</w:t>
      </w:r>
      <w:r w:rsidRPr="00386E47">
        <w:rPr>
          <w:rFonts w:asciiTheme="majorHAnsi" w:eastAsia="Calibri" w:hAnsiTheme="majorHAnsi"/>
          <w:sz w:val="20"/>
          <w:szCs w:val="20"/>
          <w:lang w:val="es-AR"/>
        </w:rPr>
        <w:t xml:space="preserve">, la </w:t>
      </w:r>
      <w:r w:rsidR="006A1FC1" w:rsidRPr="00386E47">
        <w:rPr>
          <w:rFonts w:asciiTheme="majorHAnsi" w:eastAsia="Calibri" w:hAnsiTheme="majorHAnsi"/>
          <w:sz w:val="20"/>
          <w:szCs w:val="20"/>
          <w:lang w:val="es-AR"/>
        </w:rPr>
        <w:t>de investigar</w:t>
      </w:r>
      <w:r w:rsidRPr="00386E47">
        <w:rPr>
          <w:rFonts w:asciiTheme="majorHAnsi" w:eastAsia="Calibri" w:hAnsiTheme="majorHAnsi"/>
          <w:sz w:val="20"/>
          <w:szCs w:val="20"/>
          <w:lang w:val="es-AR"/>
        </w:rPr>
        <w:t xml:space="preserve"> con la debida diligencia, subsanar las afectaciones generadas y, en su caso, sancionar a los responsables de todas las falencias e irregularidades </w:t>
      </w:r>
      <w:r w:rsidRPr="00386E47">
        <w:rPr>
          <w:rFonts w:asciiTheme="majorHAnsi" w:eastAsia="Calibri" w:hAnsiTheme="majorHAnsi"/>
          <w:sz w:val="20"/>
          <w:szCs w:val="20"/>
          <w:lang w:val="es-AR"/>
        </w:rPr>
        <w:lastRenderedPageBreak/>
        <w:t>producidas en la investigación por el atentado que, por sus efectos, se han convertido en factores de impunidad atribuible</w:t>
      </w:r>
      <w:r w:rsidR="00EB6CB8" w:rsidRPr="00386E47">
        <w:rPr>
          <w:rFonts w:asciiTheme="majorHAnsi" w:eastAsia="Calibri" w:hAnsiTheme="majorHAnsi"/>
          <w:sz w:val="20"/>
          <w:szCs w:val="20"/>
          <w:lang w:val="es-AR"/>
        </w:rPr>
        <w:t>s</w:t>
      </w:r>
      <w:r w:rsidRPr="00386E47">
        <w:rPr>
          <w:rFonts w:asciiTheme="majorHAnsi" w:eastAsia="Calibri" w:hAnsiTheme="majorHAnsi"/>
          <w:sz w:val="20"/>
          <w:szCs w:val="20"/>
          <w:lang w:val="es-AR"/>
        </w:rPr>
        <w:t xml:space="preserve"> a la actuación de sus propios agentes.  </w:t>
      </w:r>
    </w:p>
    <w:p w14:paraId="27B340CE" w14:textId="77777777" w:rsidR="00977D46" w:rsidRPr="00386E47" w:rsidRDefault="00977D46" w:rsidP="00977D46">
      <w:pPr>
        <w:tabs>
          <w:tab w:val="left" w:pos="567"/>
        </w:tabs>
        <w:contextualSpacing/>
        <w:jc w:val="both"/>
        <w:rPr>
          <w:rFonts w:asciiTheme="majorHAnsi" w:eastAsia="Calibri" w:hAnsiTheme="majorHAnsi"/>
          <w:sz w:val="20"/>
          <w:szCs w:val="20"/>
          <w:lang w:val="es-AR"/>
        </w:rPr>
      </w:pPr>
    </w:p>
    <w:p w14:paraId="22C9F06F" w14:textId="77777777" w:rsidR="00977D46" w:rsidRPr="00386E47" w:rsidRDefault="00977D46" w:rsidP="003A5860">
      <w:pPr>
        <w:numPr>
          <w:ilvl w:val="0"/>
          <w:numId w:val="55"/>
        </w:numPr>
        <w:tabs>
          <w:tab w:val="left" w:pos="567"/>
        </w:tabs>
        <w:ind w:left="0" w:firstLine="0"/>
        <w:contextualSpacing/>
        <w:jc w:val="both"/>
        <w:rPr>
          <w:rFonts w:asciiTheme="majorHAnsi" w:eastAsia="Calibri" w:hAnsiTheme="majorHAnsi"/>
          <w:sz w:val="20"/>
          <w:szCs w:val="20"/>
          <w:lang w:val="es-AR"/>
        </w:rPr>
      </w:pPr>
      <w:r w:rsidRPr="00386E47">
        <w:rPr>
          <w:rFonts w:asciiTheme="majorHAnsi" w:eastAsia="Calibri" w:hAnsiTheme="majorHAnsi"/>
          <w:sz w:val="20"/>
          <w:szCs w:val="20"/>
          <w:lang w:val="es-AR"/>
        </w:rPr>
        <w:t xml:space="preserve">En este apartado la Comisión analizará el cumplimiento de los estándares en materia de debida diligencia por parte del Estado con respecto a la investigación dirigida desde febrero de 2005 hasta la actualidad por la Unidad Fiscal de Investigaciones dedicada a las causas vinculadas con el atentado a la AMIA (UFI-AMIA). En un apartado posterior, la Comisión se pronunciará respecto de las investigaciones y procesos seguidos en relación con las posibles irregularidades y falencias de la propia investigación. </w:t>
      </w:r>
    </w:p>
    <w:p w14:paraId="3819A4BF" w14:textId="77777777" w:rsidR="00AC686F" w:rsidRPr="00386E47" w:rsidRDefault="00AC686F" w:rsidP="004B0F57">
      <w:pPr>
        <w:tabs>
          <w:tab w:val="left" w:pos="567"/>
        </w:tabs>
        <w:contextualSpacing/>
        <w:jc w:val="both"/>
        <w:rPr>
          <w:rFonts w:asciiTheme="majorHAnsi" w:eastAsia="Calibri" w:hAnsiTheme="majorHAnsi"/>
          <w:sz w:val="20"/>
          <w:szCs w:val="20"/>
          <w:lang w:val="es-AR"/>
        </w:rPr>
      </w:pPr>
    </w:p>
    <w:p w14:paraId="4AD205BC" w14:textId="77777777" w:rsidR="00AC686F" w:rsidRPr="00386E47" w:rsidRDefault="008F3277" w:rsidP="003A5860">
      <w:pPr>
        <w:numPr>
          <w:ilvl w:val="0"/>
          <w:numId w:val="55"/>
        </w:numPr>
        <w:tabs>
          <w:tab w:val="left" w:pos="567"/>
        </w:tabs>
        <w:ind w:left="0" w:firstLine="0"/>
        <w:contextualSpacing/>
        <w:jc w:val="both"/>
        <w:rPr>
          <w:rFonts w:asciiTheme="majorHAnsi" w:eastAsia="Calibri" w:hAnsiTheme="majorHAnsi"/>
          <w:sz w:val="20"/>
          <w:szCs w:val="20"/>
          <w:lang w:val="es-AR"/>
        </w:rPr>
      </w:pPr>
      <w:r w:rsidRPr="00386E47">
        <w:rPr>
          <w:rFonts w:asciiTheme="majorHAnsi" w:eastAsia="Calibri" w:hAnsiTheme="majorHAnsi"/>
          <w:sz w:val="20"/>
          <w:szCs w:val="20"/>
          <w:lang w:val="es-AR"/>
        </w:rPr>
        <w:t>E</w:t>
      </w:r>
      <w:r w:rsidR="002A0011" w:rsidRPr="00386E47">
        <w:rPr>
          <w:rFonts w:asciiTheme="majorHAnsi" w:eastAsia="Calibri" w:hAnsiTheme="majorHAnsi"/>
          <w:sz w:val="20"/>
          <w:szCs w:val="20"/>
          <w:lang w:val="es-AR"/>
        </w:rPr>
        <w:t xml:space="preserve">l </w:t>
      </w:r>
      <w:r w:rsidR="009F70EA" w:rsidRPr="00386E47">
        <w:rPr>
          <w:rFonts w:asciiTheme="majorHAnsi" w:eastAsia="Calibri" w:hAnsiTheme="majorHAnsi"/>
          <w:sz w:val="20"/>
          <w:szCs w:val="20"/>
          <w:lang w:val="es-AR"/>
        </w:rPr>
        <w:t>3 de diciembre de 2003 la Cámara de Apelaciones decidió apartar al entonces Juez Juan José Galeano del conocimiento del tramo de la investigación por el atentado que aún estaba bajo su responsabilidad y de todas aquellas que resultaren conexas</w:t>
      </w:r>
      <w:r w:rsidR="009F70EA" w:rsidRPr="00386E47">
        <w:rPr>
          <w:rFonts w:asciiTheme="majorHAnsi" w:eastAsia="Calibri" w:hAnsiTheme="majorHAnsi"/>
          <w:sz w:val="22"/>
          <w:szCs w:val="22"/>
          <w:vertAlign w:val="superscript"/>
          <w:lang w:val="es-AR"/>
        </w:rPr>
        <w:footnoteReference w:id="212"/>
      </w:r>
      <w:r w:rsidR="009F70EA" w:rsidRPr="00386E47">
        <w:rPr>
          <w:rFonts w:asciiTheme="majorHAnsi" w:eastAsia="Calibri" w:hAnsiTheme="majorHAnsi"/>
          <w:sz w:val="20"/>
          <w:szCs w:val="20"/>
          <w:lang w:val="es-AR"/>
        </w:rPr>
        <w:t xml:space="preserve">. </w:t>
      </w:r>
    </w:p>
    <w:p w14:paraId="7632C8AC" w14:textId="77777777" w:rsidR="00AC686F" w:rsidRPr="00386E47" w:rsidRDefault="00AC686F" w:rsidP="004B0F57">
      <w:pPr>
        <w:tabs>
          <w:tab w:val="left" w:pos="567"/>
        </w:tabs>
        <w:contextualSpacing/>
        <w:jc w:val="both"/>
        <w:rPr>
          <w:rFonts w:asciiTheme="majorHAnsi" w:eastAsia="Calibri" w:hAnsiTheme="majorHAnsi"/>
          <w:sz w:val="20"/>
          <w:szCs w:val="20"/>
          <w:lang w:val="es-AR"/>
        </w:rPr>
      </w:pPr>
    </w:p>
    <w:p w14:paraId="15496459" w14:textId="77777777" w:rsidR="00030F8D" w:rsidRPr="00386E47" w:rsidRDefault="00AC686F" w:rsidP="003A5860">
      <w:pPr>
        <w:numPr>
          <w:ilvl w:val="0"/>
          <w:numId w:val="55"/>
        </w:numPr>
        <w:tabs>
          <w:tab w:val="left" w:pos="567"/>
        </w:tabs>
        <w:ind w:left="0" w:firstLine="0"/>
        <w:contextualSpacing/>
        <w:jc w:val="both"/>
        <w:rPr>
          <w:rFonts w:asciiTheme="majorHAnsi" w:eastAsia="Calibri" w:hAnsiTheme="majorHAnsi"/>
          <w:sz w:val="20"/>
          <w:szCs w:val="20"/>
          <w:lang w:val="es-AR"/>
        </w:rPr>
      </w:pPr>
      <w:r w:rsidRPr="00386E47">
        <w:rPr>
          <w:rFonts w:asciiTheme="majorHAnsi" w:eastAsia="Calibri" w:hAnsiTheme="majorHAnsi"/>
          <w:sz w:val="20"/>
          <w:szCs w:val="20"/>
          <w:lang w:val="es-AR"/>
        </w:rPr>
        <w:t xml:space="preserve">Por consiguiente, la investigación judicial quedó </w:t>
      </w:r>
      <w:r w:rsidR="009F70EA" w:rsidRPr="00386E47">
        <w:rPr>
          <w:rFonts w:asciiTheme="majorHAnsi" w:eastAsia="Calibri" w:hAnsiTheme="majorHAnsi"/>
          <w:sz w:val="20"/>
          <w:szCs w:val="20"/>
          <w:lang w:val="es-AR"/>
        </w:rPr>
        <w:t>radicad</w:t>
      </w:r>
      <w:r w:rsidRPr="00386E47">
        <w:rPr>
          <w:rFonts w:asciiTheme="majorHAnsi" w:eastAsia="Calibri" w:hAnsiTheme="majorHAnsi"/>
          <w:sz w:val="20"/>
          <w:szCs w:val="20"/>
          <w:lang w:val="es-AR"/>
        </w:rPr>
        <w:t>a</w:t>
      </w:r>
      <w:r w:rsidR="009F70EA" w:rsidRPr="00386E47">
        <w:rPr>
          <w:rFonts w:asciiTheme="majorHAnsi" w:eastAsia="Calibri" w:hAnsiTheme="majorHAnsi"/>
          <w:sz w:val="20"/>
          <w:szCs w:val="20"/>
          <w:lang w:val="es-AR"/>
        </w:rPr>
        <w:t xml:space="preserve"> en el Juzgado Federal Nro. 6 a cargo del Juez Rodolfo Canicoba Corral. En febrero de 2005 y luego de la sen</w:t>
      </w:r>
      <w:r w:rsidR="0068449F" w:rsidRPr="00386E47">
        <w:rPr>
          <w:rFonts w:asciiTheme="majorHAnsi" w:eastAsia="Calibri" w:hAnsiTheme="majorHAnsi"/>
          <w:sz w:val="20"/>
          <w:szCs w:val="20"/>
          <w:lang w:val="es-AR"/>
        </w:rPr>
        <w:t xml:space="preserve">tencia del TOF 3 que declaró </w:t>
      </w:r>
      <w:r w:rsidR="009F70EA" w:rsidRPr="00386E47">
        <w:rPr>
          <w:rFonts w:asciiTheme="majorHAnsi" w:eastAsia="Calibri" w:hAnsiTheme="majorHAnsi"/>
          <w:sz w:val="20"/>
          <w:szCs w:val="20"/>
          <w:lang w:val="es-AR"/>
        </w:rPr>
        <w:t>nula la acusación que implicaba a los policías bonaerenses como parte de la conexión local del atentado, el Juez Canicoba Corral delegó la instrucción de toda la investigaci</w:t>
      </w:r>
      <w:r w:rsidRPr="00386E47">
        <w:rPr>
          <w:rFonts w:asciiTheme="majorHAnsi" w:eastAsia="Calibri" w:hAnsiTheme="majorHAnsi"/>
          <w:sz w:val="20"/>
          <w:szCs w:val="20"/>
          <w:lang w:val="es-AR"/>
        </w:rPr>
        <w:t xml:space="preserve">ón del caso AMIA en la UFI AMIA, dependencia que había sido </w:t>
      </w:r>
      <w:r w:rsidR="009F70EA" w:rsidRPr="00386E47">
        <w:rPr>
          <w:rFonts w:asciiTheme="majorHAnsi" w:eastAsia="Calibri" w:hAnsiTheme="majorHAnsi"/>
          <w:sz w:val="20"/>
          <w:szCs w:val="20"/>
          <w:lang w:val="es-AR"/>
        </w:rPr>
        <w:t>creada poco tiempo antes por el Procurador General de la Nación. La UFI AMIA estuvo en un primer momento dirigida por los fiscales Alberto Nisman y Marcelo Martinez Burgos y luego quedó de forma exclusiva a cargo del primero de los nombrados hasta el día de su deceso, ocurrido el 18 de enero de 2015. A partir de esa fecha y hasta el pres</w:t>
      </w:r>
      <w:r w:rsidRPr="00386E47">
        <w:rPr>
          <w:rFonts w:asciiTheme="majorHAnsi" w:eastAsia="Calibri" w:hAnsiTheme="majorHAnsi"/>
          <w:sz w:val="20"/>
          <w:szCs w:val="20"/>
          <w:lang w:val="es-AR"/>
        </w:rPr>
        <w:t>ente, la UFI AMIA se encuentra comandada</w:t>
      </w:r>
      <w:r w:rsidR="009F70EA" w:rsidRPr="00386E47">
        <w:rPr>
          <w:rFonts w:asciiTheme="majorHAnsi" w:eastAsia="Calibri" w:hAnsiTheme="majorHAnsi"/>
          <w:sz w:val="20"/>
          <w:szCs w:val="20"/>
          <w:lang w:val="es-AR"/>
        </w:rPr>
        <w:t xml:space="preserve"> por un equipo</w:t>
      </w:r>
      <w:r w:rsidRPr="00386E47">
        <w:rPr>
          <w:rFonts w:asciiTheme="majorHAnsi" w:eastAsia="Calibri" w:hAnsiTheme="majorHAnsi"/>
          <w:sz w:val="20"/>
          <w:szCs w:val="20"/>
          <w:lang w:val="es-AR"/>
        </w:rPr>
        <w:t xml:space="preserve"> colegiado</w:t>
      </w:r>
      <w:r w:rsidR="009F70EA" w:rsidRPr="00386E47">
        <w:rPr>
          <w:rFonts w:asciiTheme="majorHAnsi" w:eastAsia="Calibri" w:hAnsiTheme="majorHAnsi"/>
          <w:sz w:val="20"/>
          <w:szCs w:val="20"/>
          <w:lang w:val="es-AR"/>
        </w:rPr>
        <w:t xml:space="preserve"> de fiscales</w:t>
      </w:r>
      <w:r w:rsidR="0010765F" w:rsidRPr="00386E47">
        <w:rPr>
          <w:rFonts w:asciiTheme="majorHAnsi" w:eastAsia="Calibri" w:hAnsiTheme="majorHAnsi"/>
          <w:sz w:val="22"/>
          <w:szCs w:val="22"/>
          <w:vertAlign w:val="superscript"/>
          <w:lang w:val="es-AR"/>
        </w:rPr>
        <w:footnoteReference w:id="213"/>
      </w:r>
      <w:r w:rsidR="009F70EA" w:rsidRPr="00386E47">
        <w:rPr>
          <w:rFonts w:asciiTheme="majorHAnsi" w:eastAsia="Calibri" w:hAnsiTheme="majorHAnsi"/>
          <w:sz w:val="20"/>
          <w:szCs w:val="20"/>
          <w:lang w:val="es-AR"/>
        </w:rPr>
        <w:t xml:space="preserve">.  </w:t>
      </w:r>
    </w:p>
    <w:p w14:paraId="3B9B7988" w14:textId="77777777" w:rsidR="00030F8D" w:rsidRPr="00386E47" w:rsidRDefault="00030F8D" w:rsidP="004B0F57">
      <w:pPr>
        <w:tabs>
          <w:tab w:val="left" w:pos="567"/>
        </w:tabs>
        <w:contextualSpacing/>
        <w:jc w:val="both"/>
        <w:rPr>
          <w:rFonts w:asciiTheme="majorHAnsi" w:eastAsia="Calibri" w:hAnsiTheme="majorHAnsi"/>
          <w:sz w:val="20"/>
          <w:szCs w:val="20"/>
          <w:lang w:val="es-AR"/>
        </w:rPr>
      </w:pPr>
    </w:p>
    <w:p w14:paraId="56923005" w14:textId="77777777" w:rsidR="00A969ED" w:rsidRPr="00386E47" w:rsidRDefault="009F70EA" w:rsidP="003A5860">
      <w:pPr>
        <w:numPr>
          <w:ilvl w:val="0"/>
          <w:numId w:val="55"/>
        </w:numPr>
        <w:tabs>
          <w:tab w:val="left" w:pos="567"/>
        </w:tabs>
        <w:ind w:left="0" w:firstLine="0"/>
        <w:contextualSpacing/>
        <w:jc w:val="both"/>
        <w:rPr>
          <w:rFonts w:asciiTheme="majorHAnsi" w:eastAsia="Calibri" w:hAnsiTheme="majorHAnsi"/>
          <w:sz w:val="20"/>
          <w:szCs w:val="20"/>
          <w:lang w:val="es-AR"/>
        </w:rPr>
      </w:pPr>
      <w:r w:rsidRPr="00386E47">
        <w:rPr>
          <w:rFonts w:asciiTheme="majorHAnsi" w:eastAsia="Calibri" w:hAnsiTheme="majorHAnsi"/>
          <w:sz w:val="20"/>
          <w:szCs w:val="20"/>
          <w:lang w:val="es-AR"/>
        </w:rPr>
        <w:t xml:space="preserve">La actividad investigativa de la UFI AMIA durante el periodo 2005 a 2015 relacionada con el esclarecimiento del atentado quedo plasmada, esencialmente, en dos dictámenes suscriptos en los años 2006 y 2009. En lo que respecta al primero de ellos, de fecha 25 de octubre de 2006, los fiscales Nisman y Martinez Burgos expusieron diversos argumentos </w:t>
      </w:r>
      <w:r w:rsidR="00A969ED" w:rsidRPr="00386E47">
        <w:rPr>
          <w:rFonts w:asciiTheme="majorHAnsi" w:eastAsia="Calibri" w:hAnsiTheme="majorHAnsi"/>
          <w:sz w:val="20"/>
          <w:szCs w:val="20"/>
          <w:lang w:val="es-AR"/>
        </w:rPr>
        <w:t xml:space="preserve">que les permitieron arribar a la conclusión que </w:t>
      </w:r>
      <w:r w:rsidR="00EB6CB8" w:rsidRPr="00386E47">
        <w:rPr>
          <w:rFonts w:asciiTheme="majorHAnsi" w:eastAsia="Calibri" w:hAnsiTheme="majorHAnsi"/>
          <w:sz w:val="20"/>
          <w:szCs w:val="20"/>
          <w:lang w:val="es-AR"/>
        </w:rPr>
        <w:t xml:space="preserve">“el </w:t>
      </w:r>
      <w:r w:rsidRPr="00386E47">
        <w:rPr>
          <w:rFonts w:asciiTheme="majorHAnsi" w:eastAsia="Calibri" w:hAnsiTheme="majorHAnsi"/>
          <w:sz w:val="20"/>
          <w:szCs w:val="20"/>
          <w:lang w:val="es-AR"/>
        </w:rPr>
        <w:t>atentado perpetrado contra la sede de la AMIA fue ejecutado por la organización terrorista libanesa Hezbollah, a instancias de las máximas autoridades del entonces gobierno de la República Islámica de Irán y con la participación, a nivel local, de funcionarios diplomáticos iraníes acreditados en nuestro país”</w:t>
      </w:r>
      <w:r w:rsidRPr="00386E47">
        <w:rPr>
          <w:rFonts w:asciiTheme="majorHAnsi" w:eastAsia="Calibri" w:hAnsiTheme="majorHAnsi"/>
          <w:sz w:val="22"/>
          <w:szCs w:val="22"/>
          <w:vertAlign w:val="superscript"/>
          <w:lang w:val="es-AR"/>
        </w:rPr>
        <w:footnoteReference w:id="214"/>
      </w:r>
      <w:r w:rsidRPr="00386E47">
        <w:rPr>
          <w:rFonts w:asciiTheme="majorHAnsi" w:eastAsia="Calibri" w:hAnsiTheme="majorHAnsi"/>
          <w:sz w:val="20"/>
          <w:szCs w:val="20"/>
          <w:lang w:val="es-AR"/>
        </w:rPr>
        <w:t xml:space="preserve">. </w:t>
      </w:r>
    </w:p>
    <w:p w14:paraId="414912F2" w14:textId="77777777" w:rsidR="00A969ED" w:rsidRPr="00386E47" w:rsidRDefault="00A969ED" w:rsidP="004B0F57">
      <w:pPr>
        <w:tabs>
          <w:tab w:val="left" w:pos="567"/>
        </w:tabs>
        <w:contextualSpacing/>
        <w:jc w:val="both"/>
        <w:rPr>
          <w:rFonts w:asciiTheme="majorHAnsi" w:eastAsia="Calibri" w:hAnsiTheme="majorHAnsi"/>
          <w:sz w:val="20"/>
          <w:szCs w:val="20"/>
          <w:lang w:val="es-AR"/>
        </w:rPr>
      </w:pPr>
    </w:p>
    <w:p w14:paraId="2B68B3AB" w14:textId="77777777" w:rsidR="00D61961" w:rsidRPr="00386E47" w:rsidRDefault="00A969ED" w:rsidP="003A5860">
      <w:pPr>
        <w:numPr>
          <w:ilvl w:val="0"/>
          <w:numId w:val="55"/>
        </w:numPr>
        <w:tabs>
          <w:tab w:val="left" w:pos="567"/>
        </w:tabs>
        <w:ind w:left="0" w:firstLine="0"/>
        <w:contextualSpacing/>
        <w:jc w:val="both"/>
        <w:rPr>
          <w:rFonts w:asciiTheme="majorHAnsi" w:eastAsia="Calibri" w:hAnsiTheme="majorHAnsi"/>
          <w:sz w:val="20"/>
          <w:szCs w:val="20"/>
          <w:lang w:val="es-AR"/>
        </w:rPr>
      </w:pPr>
      <w:r w:rsidRPr="00386E47">
        <w:rPr>
          <w:rFonts w:asciiTheme="majorHAnsi" w:eastAsia="Calibri" w:hAnsiTheme="majorHAnsi"/>
          <w:sz w:val="20"/>
          <w:szCs w:val="20"/>
          <w:lang w:val="es-AR"/>
        </w:rPr>
        <w:t>En</w:t>
      </w:r>
      <w:r w:rsidR="009F70EA" w:rsidRPr="00386E47">
        <w:rPr>
          <w:rFonts w:asciiTheme="majorHAnsi" w:eastAsia="Calibri" w:hAnsiTheme="majorHAnsi"/>
          <w:sz w:val="20"/>
          <w:szCs w:val="20"/>
          <w:lang w:val="es-AR"/>
        </w:rPr>
        <w:t xml:space="preserve"> el mismo dictamen de octubre de 2006 los fiscales aseguraron que la camioneta </w:t>
      </w:r>
      <w:r w:rsidRPr="00386E47">
        <w:rPr>
          <w:rFonts w:asciiTheme="majorHAnsi" w:eastAsia="Calibri" w:hAnsiTheme="majorHAnsi"/>
          <w:sz w:val="20"/>
          <w:szCs w:val="20"/>
          <w:lang w:val="es-AR"/>
        </w:rPr>
        <w:t xml:space="preserve">Renault </w:t>
      </w:r>
      <w:r w:rsidR="009F70EA" w:rsidRPr="00386E47">
        <w:rPr>
          <w:rFonts w:asciiTheme="majorHAnsi" w:eastAsia="Calibri" w:hAnsiTheme="majorHAnsi"/>
          <w:sz w:val="20"/>
          <w:szCs w:val="20"/>
          <w:lang w:val="es-AR"/>
        </w:rPr>
        <w:t>Trafic cargada de explosivos que estalló en el edificio de la AMIA fue conducida por un terrorista suicida militante del Hezbollah de nacionalidad libanesa llamado Ibrahim Hussein Berro</w:t>
      </w:r>
      <w:r w:rsidR="009F70EA" w:rsidRPr="00386E47">
        <w:rPr>
          <w:rFonts w:asciiTheme="majorHAnsi" w:eastAsia="Calibri" w:hAnsiTheme="majorHAnsi"/>
          <w:sz w:val="20"/>
          <w:szCs w:val="20"/>
          <w:vertAlign w:val="superscript"/>
          <w:lang w:val="es-AR"/>
        </w:rPr>
        <w:footnoteReference w:id="215"/>
      </w:r>
      <w:r w:rsidR="00397D76" w:rsidRPr="00386E47">
        <w:rPr>
          <w:rFonts w:asciiTheme="majorHAnsi" w:eastAsia="Calibri" w:hAnsiTheme="majorHAnsi"/>
          <w:sz w:val="20"/>
          <w:szCs w:val="20"/>
          <w:lang w:val="es-AR"/>
        </w:rPr>
        <w:t xml:space="preserve">, quien </w:t>
      </w:r>
      <w:r w:rsidR="009F70EA" w:rsidRPr="00386E47">
        <w:rPr>
          <w:rFonts w:asciiTheme="majorHAnsi" w:eastAsia="Calibri" w:hAnsiTheme="majorHAnsi"/>
          <w:sz w:val="20"/>
          <w:szCs w:val="20"/>
          <w:lang w:val="es-AR"/>
        </w:rPr>
        <w:t xml:space="preserve">habría sido reclutado por Hezbollah y posteriormente trasladado a la </w:t>
      </w:r>
      <w:r w:rsidR="00D61961" w:rsidRPr="00386E47">
        <w:rPr>
          <w:rFonts w:asciiTheme="majorHAnsi" w:eastAsia="Calibri" w:hAnsiTheme="majorHAnsi"/>
          <w:sz w:val="20"/>
          <w:szCs w:val="20"/>
          <w:lang w:val="es-AR"/>
        </w:rPr>
        <w:t>región de la</w:t>
      </w:r>
      <w:r w:rsidR="009F70EA" w:rsidRPr="00386E47">
        <w:rPr>
          <w:rFonts w:asciiTheme="majorHAnsi" w:eastAsia="Calibri" w:hAnsiTheme="majorHAnsi"/>
          <w:sz w:val="20"/>
          <w:szCs w:val="20"/>
          <w:lang w:val="es-AR"/>
        </w:rPr>
        <w:t xml:space="preserve"> Triple Frontera entre Argentina, Paraguay y Brasil, desde donde habría ingresado clandestinamente al territorio argentino con la ayuda de simpatizantes de esa organización </w:t>
      </w:r>
      <w:r w:rsidR="00D61961" w:rsidRPr="00386E47">
        <w:rPr>
          <w:rFonts w:asciiTheme="majorHAnsi" w:eastAsia="Calibri" w:hAnsiTheme="majorHAnsi"/>
          <w:sz w:val="20"/>
          <w:szCs w:val="20"/>
          <w:lang w:val="es-AR"/>
        </w:rPr>
        <w:t>que residían en esa zona</w:t>
      </w:r>
      <w:r w:rsidR="009F70EA" w:rsidRPr="00386E47">
        <w:rPr>
          <w:rFonts w:asciiTheme="majorHAnsi" w:eastAsia="Calibri" w:hAnsiTheme="majorHAnsi"/>
          <w:sz w:val="20"/>
          <w:szCs w:val="20"/>
          <w:vertAlign w:val="superscript"/>
          <w:lang w:val="es-AR"/>
        </w:rPr>
        <w:footnoteReference w:id="216"/>
      </w:r>
      <w:r w:rsidR="009F70EA" w:rsidRPr="00386E47">
        <w:rPr>
          <w:rFonts w:asciiTheme="majorHAnsi" w:eastAsia="Calibri" w:hAnsiTheme="majorHAnsi"/>
          <w:sz w:val="20"/>
          <w:szCs w:val="20"/>
          <w:lang w:val="es-AR"/>
        </w:rPr>
        <w:t xml:space="preserve">. </w:t>
      </w:r>
    </w:p>
    <w:p w14:paraId="6AC17438" w14:textId="77777777" w:rsidR="00D61961" w:rsidRPr="00386E47" w:rsidRDefault="00D61961" w:rsidP="004B0F57">
      <w:pPr>
        <w:tabs>
          <w:tab w:val="left" w:pos="567"/>
        </w:tabs>
        <w:contextualSpacing/>
        <w:jc w:val="both"/>
        <w:rPr>
          <w:rFonts w:asciiTheme="majorHAnsi" w:eastAsia="Calibri" w:hAnsiTheme="majorHAnsi"/>
          <w:sz w:val="20"/>
          <w:szCs w:val="20"/>
          <w:lang w:val="es-AR"/>
        </w:rPr>
      </w:pPr>
    </w:p>
    <w:p w14:paraId="1A948507" w14:textId="77777777" w:rsidR="00370440" w:rsidRPr="00386E47" w:rsidRDefault="00D61961" w:rsidP="003A5860">
      <w:pPr>
        <w:numPr>
          <w:ilvl w:val="0"/>
          <w:numId w:val="55"/>
        </w:numPr>
        <w:tabs>
          <w:tab w:val="left" w:pos="567"/>
        </w:tabs>
        <w:ind w:left="0" w:firstLine="0"/>
        <w:contextualSpacing/>
        <w:jc w:val="both"/>
        <w:rPr>
          <w:rFonts w:asciiTheme="majorHAnsi" w:eastAsia="Calibri" w:hAnsiTheme="majorHAnsi"/>
          <w:sz w:val="20"/>
          <w:szCs w:val="20"/>
          <w:lang w:val="es-AR"/>
        </w:rPr>
      </w:pPr>
      <w:r w:rsidRPr="00386E47">
        <w:rPr>
          <w:rFonts w:asciiTheme="majorHAnsi" w:eastAsia="Calibri" w:hAnsiTheme="majorHAnsi"/>
          <w:sz w:val="20"/>
          <w:szCs w:val="20"/>
          <w:lang w:val="es-AR"/>
        </w:rPr>
        <w:t>Por consiguiente</w:t>
      </w:r>
      <w:r w:rsidR="009F70EA" w:rsidRPr="00386E47">
        <w:rPr>
          <w:rFonts w:asciiTheme="majorHAnsi" w:eastAsia="Calibri" w:hAnsiTheme="majorHAnsi"/>
          <w:sz w:val="20"/>
          <w:szCs w:val="20"/>
          <w:lang w:val="es-AR"/>
        </w:rPr>
        <w:t>, los fiscales solicitaron al juez Canicoba Corral que</w:t>
      </w:r>
      <w:r w:rsidRPr="00386E47">
        <w:rPr>
          <w:rFonts w:asciiTheme="majorHAnsi" w:eastAsia="Calibri" w:hAnsiTheme="majorHAnsi"/>
          <w:sz w:val="20"/>
          <w:szCs w:val="20"/>
          <w:lang w:val="es-AR"/>
        </w:rPr>
        <w:t xml:space="preserve"> ordene la</w:t>
      </w:r>
      <w:r w:rsidR="009F70EA" w:rsidRPr="00386E47">
        <w:rPr>
          <w:rFonts w:asciiTheme="majorHAnsi" w:eastAsia="Calibri" w:hAnsiTheme="majorHAnsi"/>
          <w:sz w:val="20"/>
          <w:szCs w:val="20"/>
          <w:lang w:val="es-AR"/>
        </w:rPr>
        <w:t xml:space="preserve"> captura </w:t>
      </w:r>
      <w:r w:rsidRPr="00386E47">
        <w:rPr>
          <w:rFonts w:asciiTheme="majorHAnsi" w:eastAsia="Calibri" w:hAnsiTheme="majorHAnsi"/>
          <w:sz w:val="20"/>
          <w:szCs w:val="20"/>
          <w:lang w:val="es-AR"/>
        </w:rPr>
        <w:t>de un</w:t>
      </w:r>
      <w:r w:rsidR="009F70EA" w:rsidRPr="00386E47">
        <w:rPr>
          <w:rFonts w:asciiTheme="majorHAnsi" w:eastAsia="Calibri" w:hAnsiTheme="majorHAnsi"/>
          <w:sz w:val="20"/>
          <w:szCs w:val="20"/>
          <w:lang w:val="es-AR"/>
        </w:rPr>
        <w:t xml:space="preserve"> grupo de funcionarios y ex funcionarios públicos de la República Islámica de Irán y</w:t>
      </w:r>
      <w:r w:rsidRPr="00386E47">
        <w:rPr>
          <w:rFonts w:asciiTheme="majorHAnsi" w:eastAsia="Calibri" w:hAnsiTheme="majorHAnsi"/>
          <w:sz w:val="20"/>
          <w:szCs w:val="20"/>
          <w:lang w:val="es-AR"/>
        </w:rPr>
        <w:t xml:space="preserve"> de</w:t>
      </w:r>
      <w:r w:rsidR="009F70EA" w:rsidRPr="00386E47">
        <w:rPr>
          <w:rFonts w:asciiTheme="majorHAnsi" w:eastAsia="Calibri" w:hAnsiTheme="majorHAnsi"/>
          <w:sz w:val="20"/>
          <w:szCs w:val="20"/>
          <w:lang w:val="es-AR"/>
        </w:rPr>
        <w:t xml:space="preserve"> miembros del Hezbollah </w:t>
      </w:r>
      <w:r w:rsidRPr="00386E47">
        <w:rPr>
          <w:rFonts w:asciiTheme="majorHAnsi" w:eastAsia="Calibri" w:hAnsiTheme="majorHAnsi"/>
          <w:sz w:val="20"/>
          <w:szCs w:val="20"/>
          <w:lang w:val="es-AR"/>
        </w:rPr>
        <w:t xml:space="preserve">a </w:t>
      </w:r>
      <w:r w:rsidR="00190921" w:rsidRPr="00386E47">
        <w:rPr>
          <w:rFonts w:asciiTheme="majorHAnsi" w:eastAsia="Calibri" w:hAnsiTheme="majorHAnsi"/>
          <w:sz w:val="20"/>
          <w:szCs w:val="20"/>
          <w:lang w:val="es-AR"/>
        </w:rPr>
        <w:t>efectos de</w:t>
      </w:r>
      <w:r w:rsidR="009F70EA" w:rsidRPr="00386E47">
        <w:rPr>
          <w:rFonts w:asciiTheme="majorHAnsi" w:eastAsia="Calibri" w:hAnsiTheme="majorHAnsi"/>
          <w:sz w:val="20"/>
          <w:szCs w:val="20"/>
          <w:lang w:val="es-AR"/>
        </w:rPr>
        <w:t xml:space="preserve"> que sean escuchados en declaración indagatoria, conforme las normas </w:t>
      </w:r>
      <w:r w:rsidR="00C80AA5" w:rsidRPr="00386E47">
        <w:rPr>
          <w:rFonts w:asciiTheme="majorHAnsi" w:eastAsia="Calibri" w:hAnsiTheme="majorHAnsi"/>
          <w:sz w:val="20"/>
          <w:szCs w:val="20"/>
          <w:lang w:val="es-AR"/>
        </w:rPr>
        <w:t>procesales penales argentinas</w:t>
      </w:r>
      <w:r w:rsidR="009F70EA" w:rsidRPr="00386E47">
        <w:rPr>
          <w:rFonts w:asciiTheme="majorHAnsi" w:eastAsia="Calibri" w:hAnsiTheme="majorHAnsi"/>
          <w:sz w:val="20"/>
          <w:szCs w:val="20"/>
          <w:lang w:val="es-AR"/>
        </w:rPr>
        <w:t xml:space="preserve">. En noviembre de 2007, </w:t>
      </w:r>
      <w:r w:rsidRPr="00386E47">
        <w:rPr>
          <w:rFonts w:asciiTheme="majorHAnsi" w:eastAsia="Calibri" w:hAnsiTheme="majorHAnsi"/>
          <w:sz w:val="20"/>
          <w:szCs w:val="20"/>
          <w:lang w:val="es-AR"/>
        </w:rPr>
        <w:t xml:space="preserve">y </w:t>
      </w:r>
      <w:r w:rsidR="009F70EA" w:rsidRPr="00386E47">
        <w:rPr>
          <w:rFonts w:asciiTheme="majorHAnsi" w:eastAsia="Calibri" w:hAnsiTheme="majorHAnsi"/>
          <w:sz w:val="20"/>
          <w:szCs w:val="20"/>
          <w:lang w:val="es-AR"/>
        </w:rPr>
        <w:t>ante la ausencia de cooperación judicial por parte de los estados en cuyo territorio se presumen que esta</w:t>
      </w:r>
      <w:r w:rsidR="00190921" w:rsidRPr="00386E47">
        <w:rPr>
          <w:rFonts w:asciiTheme="majorHAnsi" w:eastAsia="Calibri" w:hAnsiTheme="majorHAnsi"/>
          <w:sz w:val="20"/>
          <w:szCs w:val="20"/>
          <w:lang w:val="es-AR"/>
        </w:rPr>
        <w:t xml:space="preserve">rían residiendo los acusados, </w:t>
      </w:r>
      <w:r w:rsidR="009F70EA" w:rsidRPr="00386E47">
        <w:rPr>
          <w:rFonts w:asciiTheme="majorHAnsi" w:eastAsia="Calibri" w:hAnsiTheme="majorHAnsi"/>
          <w:sz w:val="20"/>
          <w:szCs w:val="20"/>
          <w:lang w:val="es-AR"/>
        </w:rPr>
        <w:t>INTERPOL emitió una notificación roja</w:t>
      </w:r>
      <w:r w:rsidR="00190921" w:rsidRPr="00386E47">
        <w:rPr>
          <w:rFonts w:asciiTheme="majorHAnsi" w:eastAsia="Calibri" w:hAnsiTheme="majorHAnsi"/>
          <w:sz w:val="20"/>
          <w:szCs w:val="20"/>
          <w:lang w:val="es-AR"/>
        </w:rPr>
        <w:t xml:space="preserve"> con</w:t>
      </w:r>
      <w:r w:rsidR="009F70EA" w:rsidRPr="00386E47">
        <w:rPr>
          <w:rFonts w:asciiTheme="majorHAnsi" w:eastAsia="Calibri" w:hAnsiTheme="majorHAnsi"/>
          <w:sz w:val="20"/>
          <w:szCs w:val="20"/>
          <w:lang w:val="es-AR"/>
        </w:rPr>
        <w:t xml:space="preserve"> respecto </w:t>
      </w:r>
      <w:r w:rsidR="00190921" w:rsidRPr="00386E47">
        <w:rPr>
          <w:rFonts w:asciiTheme="majorHAnsi" w:eastAsia="Calibri" w:hAnsiTheme="majorHAnsi"/>
          <w:sz w:val="20"/>
          <w:szCs w:val="20"/>
          <w:lang w:val="es-AR"/>
        </w:rPr>
        <w:t xml:space="preserve">a </w:t>
      </w:r>
      <w:r w:rsidR="009F70EA" w:rsidRPr="00386E47">
        <w:rPr>
          <w:rFonts w:asciiTheme="majorHAnsi" w:eastAsia="Calibri" w:hAnsiTheme="majorHAnsi"/>
          <w:sz w:val="20"/>
          <w:szCs w:val="20"/>
          <w:lang w:val="es-AR"/>
        </w:rPr>
        <w:t>6 de 8 de ellos</w:t>
      </w:r>
      <w:r w:rsidR="00190921" w:rsidRPr="00386E47">
        <w:rPr>
          <w:rStyle w:val="FootnoteReference"/>
          <w:rFonts w:asciiTheme="majorHAnsi" w:eastAsia="Calibri" w:hAnsiTheme="majorHAnsi"/>
          <w:sz w:val="20"/>
          <w:szCs w:val="20"/>
          <w:lang w:val="es-AR"/>
        </w:rPr>
        <w:footnoteReference w:id="217"/>
      </w:r>
      <w:r w:rsidR="00370440" w:rsidRPr="00386E47">
        <w:rPr>
          <w:rFonts w:asciiTheme="majorHAnsi" w:eastAsia="Calibri" w:hAnsiTheme="majorHAnsi"/>
          <w:sz w:val="20"/>
          <w:szCs w:val="20"/>
          <w:lang w:val="es-AR"/>
        </w:rPr>
        <w:t xml:space="preserve">. </w:t>
      </w:r>
      <w:r w:rsidR="009F70EA" w:rsidRPr="00386E47">
        <w:rPr>
          <w:rFonts w:asciiTheme="majorHAnsi" w:eastAsia="Calibri" w:hAnsiTheme="majorHAnsi"/>
          <w:sz w:val="20"/>
          <w:szCs w:val="20"/>
          <w:lang w:val="es-AR"/>
        </w:rPr>
        <w:t>A la fecha de aprobación de este informe, las notificaciones rojas permanecían vigentes, salvo la correspondiente a un acusado</w:t>
      </w:r>
      <w:r w:rsidR="00190921" w:rsidRPr="00386E47">
        <w:rPr>
          <w:rFonts w:asciiTheme="majorHAnsi" w:eastAsia="Calibri" w:hAnsiTheme="majorHAnsi"/>
          <w:sz w:val="20"/>
          <w:szCs w:val="20"/>
          <w:lang w:val="es-AR"/>
        </w:rPr>
        <w:t xml:space="preserve"> de nacionalidad libanesa</w:t>
      </w:r>
      <w:r w:rsidR="009F70EA" w:rsidRPr="00386E47">
        <w:rPr>
          <w:rFonts w:asciiTheme="majorHAnsi" w:eastAsia="Calibri" w:hAnsiTheme="majorHAnsi"/>
          <w:sz w:val="20"/>
          <w:szCs w:val="20"/>
          <w:lang w:val="es-AR"/>
        </w:rPr>
        <w:t xml:space="preserve"> cuyo fallecimiento fue verificado en el año 2008</w:t>
      </w:r>
      <w:r w:rsidR="00190921" w:rsidRPr="00386E47">
        <w:rPr>
          <w:rStyle w:val="FootnoteReference"/>
          <w:rFonts w:asciiTheme="majorHAnsi" w:eastAsia="Calibri" w:hAnsiTheme="majorHAnsi"/>
          <w:sz w:val="20"/>
          <w:szCs w:val="20"/>
          <w:lang w:val="es-AR"/>
        </w:rPr>
        <w:footnoteReference w:id="218"/>
      </w:r>
    </w:p>
    <w:p w14:paraId="4EC01A9C" w14:textId="77777777" w:rsidR="00370440" w:rsidRPr="00386E47" w:rsidRDefault="00370440" w:rsidP="004B0F57">
      <w:pPr>
        <w:tabs>
          <w:tab w:val="left" w:pos="567"/>
        </w:tabs>
        <w:contextualSpacing/>
        <w:jc w:val="both"/>
        <w:rPr>
          <w:rFonts w:asciiTheme="majorHAnsi" w:eastAsia="Calibri" w:hAnsiTheme="majorHAnsi"/>
          <w:sz w:val="20"/>
          <w:szCs w:val="20"/>
          <w:lang w:val="es-AR"/>
        </w:rPr>
      </w:pPr>
    </w:p>
    <w:p w14:paraId="3AC9ADEF" w14:textId="77777777" w:rsidR="00DA6390" w:rsidRPr="00386E47" w:rsidRDefault="00497058" w:rsidP="003A5860">
      <w:pPr>
        <w:numPr>
          <w:ilvl w:val="0"/>
          <w:numId w:val="55"/>
        </w:numPr>
        <w:tabs>
          <w:tab w:val="left" w:pos="567"/>
        </w:tabs>
        <w:ind w:left="0" w:firstLine="0"/>
        <w:contextualSpacing/>
        <w:jc w:val="both"/>
        <w:rPr>
          <w:rFonts w:asciiTheme="majorHAnsi" w:eastAsia="Calibri" w:hAnsiTheme="majorHAnsi"/>
          <w:sz w:val="20"/>
          <w:szCs w:val="20"/>
          <w:lang w:val="es-AR"/>
        </w:rPr>
      </w:pPr>
      <w:r w:rsidRPr="00386E47">
        <w:rPr>
          <w:rFonts w:asciiTheme="majorHAnsi" w:eastAsia="Calibri" w:hAnsiTheme="majorHAnsi"/>
          <w:sz w:val="20"/>
          <w:szCs w:val="20"/>
          <w:lang w:val="es-AR"/>
        </w:rPr>
        <w:t xml:space="preserve">El segundo dictamen de la UFI </w:t>
      </w:r>
      <w:r w:rsidR="009F70EA" w:rsidRPr="00386E47">
        <w:rPr>
          <w:rFonts w:asciiTheme="majorHAnsi" w:eastAsia="Calibri" w:hAnsiTheme="majorHAnsi"/>
          <w:sz w:val="20"/>
          <w:szCs w:val="20"/>
          <w:lang w:val="es-AR"/>
        </w:rPr>
        <w:t xml:space="preserve">AMIA, de fecha 20 de mayo de 2009, se concentró en formular una acusación contra un individuo llamado Samuel Salman El Reda. Esta persona, a criterio de </w:t>
      </w:r>
      <w:r w:rsidR="003173A4" w:rsidRPr="00386E47">
        <w:rPr>
          <w:rFonts w:asciiTheme="majorHAnsi" w:eastAsia="Calibri" w:hAnsiTheme="majorHAnsi"/>
          <w:sz w:val="20"/>
          <w:szCs w:val="20"/>
          <w:lang w:val="es-AR"/>
        </w:rPr>
        <w:t xml:space="preserve">la fiscalía, habría sido quien </w:t>
      </w:r>
      <w:r w:rsidR="009F70EA" w:rsidRPr="00386E47">
        <w:rPr>
          <w:rFonts w:asciiTheme="majorHAnsi" w:eastAsia="Calibri" w:hAnsiTheme="majorHAnsi"/>
          <w:sz w:val="20"/>
          <w:szCs w:val="20"/>
          <w:lang w:val="es-AR"/>
        </w:rPr>
        <w:t>desde su lugar de residencia e</w:t>
      </w:r>
      <w:r w:rsidR="003173A4" w:rsidRPr="00386E47">
        <w:rPr>
          <w:rFonts w:asciiTheme="majorHAnsi" w:eastAsia="Calibri" w:hAnsiTheme="majorHAnsi"/>
          <w:sz w:val="20"/>
          <w:szCs w:val="20"/>
          <w:lang w:val="es-AR"/>
        </w:rPr>
        <w:t>n la zona de la triple frontera</w:t>
      </w:r>
      <w:r w:rsidR="009F70EA" w:rsidRPr="00386E47">
        <w:rPr>
          <w:rFonts w:asciiTheme="majorHAnsi" w:eastAsia="Calibri" w:hAnsiTheme="majorHAnsi"/>
          <w:sz w:val="20"/>
          <w:szCs w:val="20"/>
          <w:lang w:val="es-AR"/>
        </w:rPr>
        <w:t xml:space="preserve"> “coordinó la llegada y la partida, las operaciones de logística y las demás actividades desplegadas por el grupo operativo encargado de ejecutar la fase final del atentado”</w:t>
      </w:r>
      <w:r w:rsidR="009F70EA" w:rsidRPr="00386E47">
        <w:rPr>
          <w:rStyle w:val="FootnoteReference"/>
          <w:rFonts w:asciiTheme="majorHAnsi" w:hAnsiTheme="majorHAnsi"/>
          <w:sz w:val="20"/>
          <w:szCs w:val="20"/>
          <w:lang w:val="es-AR"/>
        </w:rPr>
        <w:footnoteReference w:id="219"/>
      </w:r>
      <w:r w:rsidR="00370440" w:rsidRPr="00386E47">
        <w:rPr>
          <w:rFonts w:asciiTheme="majorHAnsi" w:eastAsia="Calibri" w:hAnsiTheme="majorHAnsi"/>
          <w:sz w:val="20"/>
          <w:szCs w:val="20"/>
          <w:lang w:val="es-AR"/>
        </w:rPr>
        <w:t>. El juez interviniente dictó</w:t>
      </w:r>
      <w:r w:rsidR="009F70EA" w:rsidRPr="00386E47">
        <w:rPr>
          <w:rFonts w:asciiTheme="majorHAnsi" w:eastAsia="Calibri" w:hAnsiTheme="majorHAnsi"/>
          <w:sz w:val="20"/>
          <w:szCs w:val="20"/>
          <w:lang w:val="es-AR"/>
        </w:rPr>
        <w:t xml:space="preserve"> orden de captura internacional e INTERPOL emitió una alerta roja que </w:t>
      </w:r>
      <w:r w:rsidR="00370440" w:rsidRPr="00386E47">
        <w:rPr>
          <w:rFonts w:asciiTheme="majorHAnsi" w:eastAsia="Calibri" w:hAnsiTheme="majorHAnsi"/>
          <w:sz w:val="20"/>
          <w:szCs w:val="20"/>
          <w:lang w:val="es-AR"/>
        </w:rPr>
        <w:t xml:space="preserve">también </w:t>
      </w:r>
      <w:r w:rsidR="009F70EA" w:rsidRPr="00386E47">
        <w:rPr>
          <w:rFonts w:asciiTheme="majorHAnsi" w:eastAsia="Calibri" w:hAnsiTheme="majorHAnsi"/>
          <w:sz w:val="20"/>
          <w:szCs w:val="20"/>
          <w:lang w:val="es-AR"/>
        </w:rPr>
        <w:t>continúa vigente en la actualidad</w:t>
      </w:r>
      <w:r w:rsidR="00370440" w:rsidRPr="00386E47">
        <w:rPr>
          <w:rStyle w:val="FootnoteReference"/>
          <w:rFonts w:asciiTheme="majorHAnsi" w:eastAsia="Calibri" w:hAnsiTheme="majorHAnsi"/>
          <w:sz w:val="20"/>
          <w:szCs w:val="20"/>
          <w:lang w:val="es-AR"/>
        </w:rPr>
        <w:footnoteReference w:id="220"/>
      </w:r>
      <w:r w:rsidR="00370440" w:rsidRPr="00386E47">
        <w:rPr>
          <w:rFonts w:asciiTheme="majorHAnsi" w:eastAsia="Calibri" w:hAnsiTheme="majorHAnsi"/>
          <w:sz w:val="20"/>
          <w:szCs w:val="20"/>
          <w:lang w:val="es-AR"/>
        </w:rPr>
        <w:t xml:space="preserve">. </w:t>
      </w:r>
    </w:p>
    <w:p w14:paraId="66228CCD" w14:textId="77777777" w:rsidR="00DA6390" w:rsidRPr="00386E47" w:rsidRDefault="00DA6390" w:rsidP="004B0F57">
      <w:pPr>
        <w:tabs>
          <w:tab w:val="left" w:pos="567"/>
        </w:tabs>
        <w:contextualSpacing/>
        <w:jc w:val="both"/>
        <w:rPr>
          <w:rFonts w:asciiTheme="majorHAnsi" w:eastAsia="Calibri" w:hAnsiTheme="majorHAnsi"/>
          <w:sz w:val="20"/>
          <w:szCs w:val="20"/>
          <w:lang w:val="es-AR"/>
        </w:rPr>
      </w:pPr>
    </w:p>
    <w:p w14:paraId="568092A7" w14:textId="77777777" w:rsidR="00DA6390" w:rsidRPr="00386E47" w:rsidRDefault="009F70EA" w:rsidP="003A5860">
      <w:pPr>
        <w:numPr>
          <w:ilvl w:val="0"/>
          <w:numId w:val="55"/>
        </w:numPr>
        <w:tabs>
          <w:tab w:val="left" w:pos="567"/>
        </w:tabs>
        <w:ind w:left="0" w:firstLine="0"/>
        <w:contextualSpacing/>
        <w:jc w:val="both"/>
        <w:rPr>
          <w:rFonts w:asciiTheme="majorHAnsi" w:eastAsia="Calibri" w:hAnsiTheme="majorHAnsi"/>
          <w:sz w:val="20"/>
          <w:szCs w:val="20"/>
          <w:lang w:val="es-AR"/>
        </w:rPr>
      </w:pPr>
      <w:r w:rsidRPr="00386E47">
        <w:rPr>
          <w:rFonts w:asciiTheme="majorHAnsi" w:eastAsia="Calibri" w:hAnsiTheme="majorHAnsi"/>
          <w:sz w:val="20"/>
          <w:szCs w:val="20"/>
          <w:lang w:val="es-AR"/>
        </w:rPr>
        <w:t>A partir de enero de 2015, el equipo de fiscales que asumió la titularidad de la UFI AMIA emprendió diversas medidas, difundidas a los fami</w:t>
      </w:r>
      <w:r w:rsidR="00DA6390" w:rsidRPr="00386E47">
        <w:rPr>
          <w:rFonts w:asciiTheme="majorHAnsi" w:eastAsia="Calibri" w:hAnsiTheme="majorHAnsi"/>
          <w:sz w:val="20"/>
          <w:szCs w:val="20"/>
          <w:lang w:val="es-AR"/>
        </w:rPr>
        <w:t>liares y a la opinión pública a través de</w:t>
      </w:r>
      <w:r w:rsidRPr="00386E47">
        <w:rPr>
          <w:rFonts w:asciiTheme="majorHAnsi" w:eastAsia="Calibri" w:hAnsiTheme="majorHAnsi"/>
          <w:sz w:val="20"/>
          <w:szCs w:val="20"/>
          <w:lang w:val="es-AR"/>
        </w:rPr>
        <w:t xml:space="preserve"> una serie de informes de gestión semestrales. De acuerdo con </w:t>
      </w:r>
      <w:r w:rsidR="00DA6390" w:rsidRPr="00386E47">
        <w:rPr>
          <w:rFonts w:asciiTheme="majorHAnsi" w:eastAsia="Calibri" w:hAnsiTheme="majorHAnsi"/>
          <w:sz w:val="20"/>
          <w:szCs w:val="20"/>
          <w:lang w:val="es-AR"/>
        </w:rPr>
        <w:t>estos informes</w:t>
      </w:r>
      <w:r w:rsidRPr="00386E47">
        <w:rPr>
          <w:rFonts w:asciiTheme="majorHAnsi" w:eastAsia="Calibri" w:hAnsiTheme="majorHAnsi"/>
          <w:sz w:val="20"/>
          <w:szCs w:val="20"/>
          <w:lang w:val="es-AR"/>
        </w:rPr>
        <w:t>, la UFI AMIA se concentró en la tarea de sostener y consolidar la hipótesis acusatoria plasmada en los dictámenes de 2006 y 200</w:t>
      </w:r>
      <w:r w:rsidR="00AC0549" w:rsidRPr="00386E47">
        <w:rPr>
          <w:rFonts w:asciiTheme="majorHAnsi" w:eastAsia="Calibri" w:hAnsiTheme="majorHAnsi"/>
          <w:sz w:val="20"/>
          <w:szCs w:val="20"/>
          <w:lang w:val="es-AR"/>
        </w:rPr>
        <w:t>9</w:t>
      </w:r>
      <w:r w:rsidRPr="00386E47">
        <w:rPr>
          <w:rFonts w:asciiTheme="majorHAnsi" w:eastAsia="Calibri" w:hAnsiTheme="majorHAnsi"/>
          <w:sz w:val="20"/>
          <w:szCs w:val="20"/>
          <w:lang w:val="es-AR"/>
        </w:rPr>
        <w:t>, sin desechar “la tramitación de otras líneas no necesariamente consistentes con esa tesis”</w:t>
      </w:r>
      <w:r w:rsidRPr="00386E47">
        <w:rPr>
          <w:rStyle w:val="FootnoteReference"/>
          <w:rFonts w:asciiTheme="majorHAnsi" w:hAnsiTheme="majorHAnsi"/>
          <w:sz w:val="20"/>
          <w:szCs w:val="20"/>
          <w:lang w:val="es-AR"/>
        </w:rPr>
        <w:footnoteReference w:id="221"/>
      </w:r>
      <w:r w:rsidR="00CE50A8" w:rsidRPr="00386E47">
        <w:rPr>
          <w:rFonts w:asciiTheme="majorHAnsi" w:hAnsiTheme="majorHAnsi"/>
          <w:sz w:val="20"/>
          <w:szCs w:val="20"/>
          <w:lang w:val="es-AR"/>
        </w:rPr>
        <w:t>.</w:t>
      </w:r>
    </w:p>
    <w:p w14:paraId="1D86E604" w14:textId="77777777" w:rsidR="00DA6390" w:rsidRPr="00386E47" w:rsidRDefault="00DA6390" w:rsidP="004B0F57">
      <w:pPr>
        <w:tabs>
          <w:tab w:val="left" w:pos="567"/>
        </w:tabs>
        <w:contextualSpacing/>
        <w:jc w:val="both"/>
        <w:rPr>
          <w:rFonts w:asciiTheme="majorHAnsi" w:eastAsia="Calibri" w:hAnsiTheme="majorHAnsi"/>
          <w:sz w:val="20"/>
          <w:szCs w:val="20"/>
          <w:lang w:val="es-AR"/>
        </w:rPr>
      </w:pPr>
    </w:p>
    <w:p w14:paraId="5B32D6A8" w14:textId="77777777" w:rsidR="001278E1" w:rsidRPr="00386E47" w:rsidRDefault="009F70EA" w:rsidP="003A5860">
      <w:pPr>
        <w:numPr>
          <w:ilvl w:val="0"/>
          <w:numId w:val="55"/>
        </w:numPr>
        <w:tabs>
          <w:tab w:val="left" w:pos="567"/>
        </w:tabs>
        <w:ind w:left="0" w:firstLine="0"/>
        <w:contextualSpacing/>
        <w:jc w:val="both"/>
        <w:rPr>
          <w:rFonts w:asciiTheme="majorHAnsi" w:eastAsia="Calibri" w:hAnsiTheme="majorHAnsi"/>
          <w:sz w:val="20"/>
          <w:szCs w:val="20"/>
          <w:lang w:val="es-AR"/>
        </w:rPr>
      </w:pPr>
      <w:r w:rsidRPr="00386E47">
        <w:rPr>
          <w:rFonts w:asciiTheme="majorHAnsi" w:eastAsia="Calibri" w:hAnsiTheme="majorHAnsi"/>
          <w:sz w:val="20"/>
          <w:szCs w:val="20"/>
          <w:lang w:val="es-AR"/>
        </w:rPr>
        <w:t xml:space="preserve"> </w:t>
      </w:r>
      <w:r w:rsidR="00736DDE" w:rsidRPr="00386E47">
        <w:rPr>
          <w:rFonts w:asciiTheme="majorHAnsi" w:eastAsia="Calibri" w:hAnsiTheme="majorHAnsi"/>
          <w:sz w:val="20"/>
          <w:szCs w:val="20"/>
          <w:lang w:val="es-AR"/>
        </w:rPr>
        <w:t>L</w:t>
      </w:r>
      <w:r w:rsidRPr="00386E47">
        <w:rPr>
          <w:rFonts w:asciiTheme="majorHAnsi" w:eastAsia="Calibri" w:hAnsiTheme="majorHAnsi"/>
          <w:sz w:val="20"/>
          <w:szCs w:val="20"/>
          <w:lang w:val="es-AR"/>
        </w:rPr>
        <w:t xml:space="preserve">a UFI AMIA informó en julio de 2016 que parte de sus esfuerzos fueron centrados en la verificación genética de la identidad de Ibrahim Hussein Berro. Los fiscales señalaron que para tales fines </w:t>
      </w:r>
      <w:r w:rsidR="00DA6390" w:rsidRPr="00386E47">
        <w:rPr>
          <w:rFonts w:asciiTheme="majorHAnsi" w:eastAsia="Calibri" w:hAnsiTheme="majorHAnsi"/>
          <w:sz w:val="20"/>
          <w:szCs w:val="20"/>
          <w:lang w:val="es-AR"/>
        </w:rPr>
        <w:t xml:space="preserve">fue </w:t>
      </w:r>
      <w:r w:rsidRPr="00386E47">
        <w:rPr>
          <w:rFonts w:asciiTheme="majorHAnsi" w:eastAsia="Calibri" w:hAnsiTheme="majorHAnsi"/>
          <w:sz w:val="20"/>
          <w:szCs w:val="20"/>
          <w:lang w:val="es-AR"/>
        </w:rPr>
        <w:t>necesario in</w:t>
      </w:r>
      <w:r w:rsidR="00DA6390" w:rsidRPr="00386E47">
        <w:rPr>
          <w:rFonts w:asciiTheme="majorHAnsi" w:eastAsia="Calibri" w:hAnsiTheme="majorHAnsi"/>
          <w:sz w:val="20"/>
          <w:szCs w:val="20"/>
          <w:lang w:val="es-AR"/>
        </w:rPr>
        <w:t xml:space="preserve">speccionar la Morgue Judicial, </w:t>
      </w:r>
      <w:r w:rsidRPr="00386E47">
        <w:rPr>
          <w:rFonts w:asciiTheme="majorHAnsi" w:eastAsia="Calibri" w:hAnsiTheme="majorHAnsi"/>
          <w:sz w:val="20"/>
          <w:szCs w:val="20"/>
          <w:lang w:val="es-AR"/>
        </w:rPr>
        <w:t xml:space="preserve">realizar un inventario del material orgánico que se encontraba allí almacenado y </w:t>
      </w:r>
      <w:r w:rsidR="00DA6390" w:rsidRPr="00386E47">
        <w:rPr>
          <w:rFonts w:asciiTheme="majorHAnsi" w:eastAsia="Calibri" w:hAnsiTheme="majorHAnsi"/>
          <w:sz w:val="20"/>
          <w:szCs w:val="20"/>
          <w:lang w:val="es-AR"/>
        </w:rPr>
        <w:t>verificar sus</w:t>
      </w:r>
      <w:r w:rsidRPr="00386E47">
        <w:rPr>
          <w:rFonts w:asciiTheme="majorHAnsi" w:eastAsia="Calibri" w:hAnsiTheme="majorHAnsi"/>
          <w:sz w:val="20"/>
          <w:szCs w:val="20"/>
          <w:lang w:val="es-AR"/>
        </w:rPr>
        <w:t xml:space="preserve"> condiciones de mantenimiento y conservación. Asimismo, </w:t>
      </w:r>
      <w:r w:rsidR="00DA6390" w:rsidRPr="00386E47">
        <w:rPr>
          <w:rFonts w:asciiTheme="majorHAnsi" w:eastAsia="Calibri" w:hAnsiTheme="majorHAnsi"/>
          <w:sz w:val="20"/>
          <w:szCs w:val="20"/>
          <w:lang w:val="es-AR"/>
        </w:rPr>
        <w:t>los fiscales convocaron</w:t>
      </w:r>
      <w:r w:rsidRPr="00386E47">
        <w:rPr>
          <w:rFonts w:asciiTheme="majorHAnsi" w:eastAsia="Calibri" w:hAnsiTheme="majorHAnsi"/>
          <w:sz w:val="20"/>
          <w:szCs w:val="20"/>
          <w:lang w:val="es-AR"/>
        </w:rPr>
        <w:t xml:space="preserve"> al Equipo Argentino de Antropología Forense para que, junto con los funcionarios de la Morgue Judicial, reali</w:t>
      </w:r>
      <w:r w:rsidR="00736DDE" w:rsidRPr="00386E47">
        <w:rPr>
          <w:rFonts w:asciiTheme="majorHAnsi" w:eastAsia="Calibri" w:hAnsiTheme="majorHAnsi"/>
          <w:sz w:val="20"/>
          <w:szCs w:val="20"/>
          <w:lang w:val="es-AR"/>
        </w:rPr>
        <w:t>zaran</w:t>
      </w:r>
      <w:r w:rsidRPr="00386E47">
        <w:rPr>
          <w:rFonts w:asciiTheme="majorHAnsi" w:eastAsia="Calibri" w:hAnsiTheme="majorHAnsi"/>
          <w:sz w:val="20"/>
          <w:szCs w:val="20"/>
          <w:lang w:val="es-AR"/>
        </w:rPr>
        <w:t xml:space="preserve"> “un peritaje biológico a fin de obtener el perfil de ADN de las muestras de los restos humanos de las víctimas del atentado”</w:t>
      </w:r>
      <w:r w:rsidR="00DA6390" w:rsidRPr="00386E47">
        <w:rPr>
          <w:rStyle w:val="FootnoteReference"/>
          <w:rFonts w:asciiTheme="majorHAnsi" w:eastAsia="Calibri" w:hAnsiTheme="majorHAnsi"/>
          <w:sz w:val="20"/>
          <w:szCs w:val="20"/>
          <w:lang w:val="es-AR"/>
        </w:rPr>
        <w:footnoteReference w:id="222"/>
      </w:r>
      <w:r w:rsidRPr="00386E47">
        <w:rPr>
          <w:rFonts w:asciiTheme="majorHAnsi" w:eastAsia="Calibri" w:hAnsiTheme="majorHAnsi"/>
          <w:sz w:val="20"/>
          <w:szCs w:val="20"/>
          <w:lang w:val="es-AR"/>
        </w:rPr>
        <w:t xml:space="preserve"> y determinar si existe alguna muestra en depósito </w:t>
      </w:r>
      <w:r w:rsidR="006535CE" w:rsidRPr="00386E47">
        <w:rPr>
          <w:rFonts w:asciiTheme="majorHAnsi" w:eastAsia="Calibri" w:hAnsiTheme="majorHAnsi"/>
          <w:sz w:val="20"/>
          <w:szCs w:val="20"/>
          <w:lang w:val="es-AR"/>
        </w:rPr>
        <w:t xml:space="preserve">que </w:t>
      </w:r>
      <w:r w:rsidRPr="00386E47">
        <w:rPr>
          <w:rFonts w:asciiTheme="majorHAnsi" w:eastAsia="Calibri" w:hAnsiTheme="majorHAnsi"/>
          <w:sz w:val="20"/>
          <w:szCs w:val="20"/>
          <w:lang w:val="es-AR"/>
        </w:rPr>
        <w:t>correspond</w:t>
      </w:r>
      <w:r w:rsidR="00D967EC" w:rsidRPr="00386E47">
        <w:rPr>
          <w:rFonts w:asciiTheme="majorHAnsi" w:eastAsia="Calibri" w:hAnsiTheme="majorHAnsi"/>
          <w:sz w:val="20"/>
          <w:szCs w:val="20"/>
          <w:lang w:val="es-AR"/>
        </w:rPr>
        <w:t>iera</w:t>
      </w:r>
      <w:r w:rsidRPr="00386E47">
        <w:rPr>
          <w:rFonts w:asciiTheme="majorHAnsi" w:eastAsia="Calibri" w:hAnsiTheme="majorHAnsi"/>
          <w:sz w:val="20"/>
          <w:szCs w:val="20"/>
          <w:lang w:val="es-AR"/>
        </w:rPr>
        <w:t xml:space="preserve"> a personas no identificadas, incluyendo a Berro. </w:t>
      </w:r>
    </w:p>
    <w:p w14:paraId="4861D581" w14:textId="77777777" w:rsidR="001278E1" w:rsidRPr="00386E47" w:rsidRDefault="001278E1" w:rsidP="004B0F57">
      <w:pPr>
        <w:tabs>
          <w:tab w:val="left" w:pos="567"/>
        </w:tabs>
        <w:contextualSpacing/>
        <w:jc w:val="both"/>
        <w:rPr>
          <w:rFonts w:asciiTheme="majorHAnsi" w:eastAsia="Calibri" w:hAnsiTheme="majorHAnsi"/>
          <w:sz w:val="20"/>
          <w:szCs w:val="20"/>
          <w:lang w:val="es-AR"/>
        </w:rPr>
      </w:pPr>
    </w:p>
    <w:p w14:paraId="6C4893F9" w14:textId="77777777" w:rsidR="001278E1" w:rsidRPr="00386E47" w:rsidRDefault="009F70EA" w:rsidP="003A5860">
      <w:pPr>
        <w:numPr>
          <w:ilvl w:val="0"/>
          <w:numId w:val="55"/>
        </w:numPr>
        <w:tabs>
          <w:tab w:val="left" w:pos="567"/>
        </w:tabs>
        <w:ind w:left="0" w:firstLine="0"/>
        <w:contextualSpacing/>
        <w:jc w:val="both"/>
        <w:rPr>
          <w:rFonts w:asciiTheme="majorHAnsi" w:eastAsia="Calibri" w:hAnsiTheme="majorHAnsi"/>
          <w:sz w:val="20"/>
          <w:szCs w:val="20"/>
          <w:lang w:val="es-AR"/>
        </w:rPr>
      </w:pPr>
      <w:r w:rsidRPr="00386E47">
        <w:rPr>
          <w:rFonts w:asciiTheme="majorHAnsi" w:eastAsia="Calibri" w:hAnsiTheme="majorHAnsi"/>
          <w:sz w:val="20"/>
          <w:szCs w:val="20"/>
          <w:lang w:val="es-AR"/>
        </w:rPr>
        <w:t>Por otra parte, la UFI AMIA informó la creación del Grupo Especial de Relevamiento y Análisis Documental (GERAD) con el objetivo de identificar la docume</w:t>
      </w:r>
      <w:r w:rsidR="001278E1" w:rsidRPr="00386E47">
        <w:rPr>
          <w:rFonts w:asciiTheme="majorHAnsi" w:eastAsia="Calibri" w:hAnsiTheme="majorHAnsi"/>
          <w:sz w:val="20"/>
          <w:szCs w:val="20"/>
          <w:lang w:val="es-AR"/>
        </w:rPr>
        <w:t>ntación que revista relevancia para la</w:t>
      </w:r>
      <w:r w:rsidRPr="00386E47">
        <w:rPr>
          <w:rFonts w:asciiTheme="majorHAnsi" w:eastAsia="Calibri" w:hAnsiTheme="majorHAnsi"/>
          <w:sz w:val="20"/>
          <w:szCs w:val="20"/>
          <w:lang w:val="es-AR"/>
        </w:rPr>
        <w:t xml:space="preserve"> investigación del atentado y</w:t>
      </w:r>
      <w:r w:rsidR="001278E1" w:rsidRPr="00386E47">
        <w:rPr>
          <w:rFonts w:asciiTheme="majorHAnsi" w:eastAsia="Calibri" w:hAnsiTheme="majorHAnsi"/>
          <w:sz w:val="20"/>
          <w:szCs w:val="20"/>
          <w:lang w:val="es-AR"/>
        </w:rPr>
        <w:t xml:space="preserve">, adicionalmente, garantizar su análisis y su </w:t>
      </w:r>
      <w:r w:rsidRPr="00386E47">
        <w:rPr>
          <w:rFonts w:asciiTheme="majorHAnsi" w:eastAsia="Calibri" w:hAnsiTheme="majorHAnsi"/>
          <w:sz w:val="20"/>
          <w:szCs w:val="20"/>
          <w:lang w:val="es-AR"/>
        </w:rPr>
        <w:t>accesibilidad material para las partes del proceso</w:t>
      </w:r>
      <w:r w:rsidR="001278E1" w:rsidRPr="00386E47">
        <w:rPr>
          <w:rStyle w:val="FootnoteReference"/>
          <w:rFonts w:asciiTheme="majorHAnsi" w:eastAsia="Calibri" w:hAnsiTheme="majorHAnsi"/>
          <w:sz w:val="20"/>
          <w:szCs w:val="20"/>
          <w:lang w:val="es-AR"/>
        </w:rPr>
        <w:footnoteReference w:id="223"/>
      </w:r>
      <w:r w:rsidRPr="00386E47">
        <w:rPr>
          <w:rFonts w:asciiTheme="majorHAnsi" w:eastAsia="Calibri" w:hAnsiTheme="majorHAnsi"/>
          <w:sz w:val="20"/>
          <w:szCs w:val="20"/>
          <w:lang w:val="es-AR"/>
        </w:rPr>
        <w:t>. Asimismo, la UFI AMIA comunicó que se iniciaron diversas tareas de síntesis y sistematización de la prueba,</w:t>
      </w:r>
      <w:r w:rsidR="001278E1" w:rsidRPr="00386E47">
        <w:rPr>
          <w:rFonts w:asciiTheme="majorHAnsi" w:eastAsia="Calibri" w:hAnsiTheme="majorHAnsi"/>
          <w:sz w:val="20"/>
          <w:szCs w:val="20"/>
          <w:lang w:val="es-AR"/>
        </w:rPr>
        <w:t xml:space="preserve"> de gestión de los volúmenes de </w:t>
      </w:r>
      <w:r w:rsidR="00550CA0" w:rsidRPr="00386E47">
        <w:rPr>
          <w:rFonts w:asciiTheme="majorHAnsi" w:eastAsia="Calibri" w:hAnsiTheme="majorHAnsi"/>
          <w:sz w:val="20"/>
          <w:szCs w:val="20"/>
          <w:lang w:val="es-AR"/>
        </w:rPr>
        <w:t>información</w:t>
      </w:r>
      <w:r w:rsidR="001278E1" w:rsidRPr="00386E47">
        <w:rPr>
          <w:rFonts w:asciiTheme="majorHAnsi" w:eastAsia="Calibri" w:hAnsiTheme="majorHAnsi"/>
          <w:sz w:val="20"/>
          <w:szCs w:val="20"/>
          <w:lang w:val="es-AR"/>
        </w:rPr>
        <w:t xml:space="preserve"> que existen en la causa</w:t>
      </w:r>
      <w:r w:rsidR="00B6064B" w:rsidRPr="00386E47">
        <w:rPr>
          <w:rFonts w:asciiTheme="majorHAnsi" w:eastAsia="Calibri" w:hAnsiTheme="majorHAnsi"/>
          <w:sz w:val="20"/>
          <w:szCs w:val="20"/>
          <w:lang w:val="es-AR"/>
        </w:rPr>
        <w:t>,</w:t>
      </w:r>
      <w:r w:rsidRPr="00386E47">
        <w:rPr>
          <w:rFonts w:asciiTheme="majorHAnsi" w:eastAsia="Calibri" w:hAnsiTheme="majorHAnsi"/>
          <w:sz w:val="20"/>
          <w:szCs w:val="20"/>
          <w:lang w:val="es-AR"/>
        </w:rPr>
        <w:t xml:space="preserve"> de tramitación y regularización de los legajos reservados anexos a la causa principal y la exploración de canales de cooperación internacional y de mantenimiento de las capturas internacionales, entre otras cuestiones</w:t>
      </w:r>
      <w:r w:rsidR="001278E1" w:rsidRPr="00386E47">
        <w:rPr>
          <w:rStyle w:val="FootnoteReference"/>
          <w:rFonts w:asciiTheme="majorHAnsi" w:eastAsia="Calibri" w:hAnsiTheme="majorHAnsi"/>
          <w:sz w:val="20"/>
          <w:szCs w:val="20"/>
          <w:lang w:val="es-AR"/>
        </w:rPr>
        <w:footnoteReference w:id="224"/>
      </w:r>
      <w:r w:rsidRPr="00386E47">
        <w:rPr>
          <w:rFonts w:asciiTheme="majorHAnsi" w:eastAsia="Calibri" w:hAnsiTheme="majorHAnsi"/>
          <w:sz w:val="20"/>
          <w:szCs w:val="20"/>
          <w:lang w:val="es-AR"/>
        </w:rPr>
        <w:t xml:space="preserve">. </w:t>
      </w:r>
    </w:p>
    <w:p w14:paraId="376196B1" w14:textId="77777777" w:rsidR="001278E1" w:rsidRPr="00386E47" w:rsidRDefault="001278E1" w:rsidP="004B0F57">
      <w:pPr>
        <w:tabs>
          <w:tab w:val="left" w:pos="567"/>
        </w:tabs>
        <w:contextualSpacing/>
        <w:jc w:val="both"/>
        <w:rPr>
          <w:rFonts w:asciiTheme="majorHAnsi" w:eastAsia="Calibri" w:hAnsiTheme="majorHAnsi"/>
          <w:sz w:val="20"/>
          <w:szCs w:val="20"/>
          <w:lang w:val="es-AR"/>
        </w:rPr>
      </w:pPr>
    </w:p>
    <w:p w14:paraId="35DED90C" w14:textId="77777777" w:rsidR="009F70EA" w:rsidRPr="00386E47" w:rsidRDefault="009F70EA" w:rsidP="002C22A1">
      <w:pPr>
        <w:numPr>
          <w:ilvl w:val="0"/>
          <w:numId w:val="55"/>
        </w:numPr>
        <w:tabs>
          <w:tab w:val="left" w:pos="567"/>
        </w:tabs>
        <w:ind w:left="0" w:firstLine="0"/>
        <w:contextualSpacing/>
        <w:jc w:val="both"/>
        <w:rPr>
          <w:rFonts w:asciiTheme="majorHAnsi" w:eastAsia="Calibri" w:hAnsiTheme="majorHAnsi"/>
          <w:sz w:val="20"/>
          <w:szCs w:val="20"/>
          <w:lang w:val="es-AR"/>
        </w:rPr>
      </w:pPr>
      <w:r w:rsidRPr="00386E47">
        <w:rPr>
          <w:rFonts w:asciiTheme="majorHAnsi" w:eastAsia="Calibri" w:hAnsiTheme="majorHAnsi"/>
          <w:sz w:val="20"/>
          <w:szCs w:val="20"/>
          <w:lang w:val="es-AR"/>
        </w:rPr>
        <w:t>La publicación de los informes de gestión por parte de la UFI AMIA se d</w:t>
      </w:r>
      <w:r w:rsidR="00287555" w:rsidRPr="00386E47">
        <w:rPr>
          <w:rFonts w:asciiTheme="majorHAnsi" w:eastAsia="Calibri" w:hAnsiTheme="majorHAnsi"/>
          <w:sz w:val="20"/>
          <w:szCs w:val="20"/>
          <w:lang w:val="es-AR"/>
        </w:rPr>
        <w:t>i</w:t>
      </w:r>
      <w:r w:rsidRPr="00386E47">
        <w:rPr>
          <w:rFonts w:asciiTheme="majorHAnsi" w:eastAsia="Calibri" w:hAnsiTheme="majorHAnsi"/>
          <w:sz w:val="20"/>
          <w:szCs w:val="20"/>
          <w:lang w:val="es-AR"/>
        </w:rPr>
        <w:t>scontinuó en diciembre de 2017. El Estado argentino no presentó en el marco del trámite del presente caso ante la Comisión información que permitiera conocer cuáles son las actividades desarrolladas a partir de esa fecha. Los peticionarios comunicaron a la Comisión que, en los últimos tiempos, la UFI AMIA experimentó diversas modificaciones en la composición de su equipo de gestión</w:t>
      </w:r>
      <w:r w:rsidR="001278E1" w:rsidRPr="00386E47">
        <w:rPr>
          <w:rStyle w:val="FootnoteReference"/>
          <w:rFonts w:asciiTheme="majorHAnsi" w:eastAsia="Calibri" w:hAnsiTheme="majorHAnsi"/>
          <w:sz w:val="20"/>
          <w:szCs w:val="20"/>
          <w:lang w:val="es-AR"/>
        </w:rPr>
        <w:footnoteReference w:id="225"/>
      </w:r>
      <w:r w:rsidRPr="00386E47">
        <w:rPr>
          <w:rFonts w:asciiTheme="majorHAnsi" w:eastAsia="Calibri" w:hAnsiTheme="majorHAnsi"/>
          <w:sz w:val="20"/>
          <w:szCs w:val="20"/>
          <w:lang w:val="es-AR"/>
        </w:rPr>
        <w:t xml:space="preserve">. </w:t>
      </w:r>
    </w:p>
    <w:p w14:paraId="4139658B" w14:textId="77777777" w:rsidR="00B528BF" w:rsidRPr="00386E47" w:rsidRDefault="00B528BF" w:rsidP="00B528BF">
      <w:pPr>
        <w:tabs>
          <w:tab w:val="left" w:pos="567"/>
        </w:tabs>
        <w:contextualSpacing/>
        <w:jc w:val="both"/>
        <w:rPr>
          <w:rFonts w:asciiTheme="majorHAnsi" w:eastAsia="Calibri" w:hAnsiTheme="majorHAnsi"/>
          <w:sz w:val="20"/>
          <w:szCs w:val="20"/>
          <w:lang w:val="es-AR"/>
        </w:rPr>
      </w:pPr>
    </w:p>
    <w:p w14:paraId="51F96A93" w14:textId="77777777" w:rsidR="009F70EA" w:rsidRPr="00386E47" w:rsidRDefault="009F70EA" w:rsidP="009146F2">
      <w:pPr>
        <w:pStyle w:val="Heading5"/>
        <w:numPr>
          <w:ilvl w:val="0"/>
          <w:numId w:val="69"/>
        </w:numPr>
      </w:pPr>
      <w:r w:rsidRPr="00386E47">
        <w:t xml:space="preserve">Respecto a la conservación y gestión del material orgánico afectado a la investigación y su utilización como medio de prueba  </w:t>
      </w:r>
    </w:p>
    <w:p w14:paraId="687A6483" w14:textId="77777777" w:rsidR="00A8406C" w:rsidRPr="00386E47" w:rsidRDefault="00A8406C" w:rsidP="00347DFB">
      <w:pPr>
        <w:tabs>
          <w:tab w:val="left" w:pos="0"/>
          <w:tab w:val="left" w:pos="567"/>
        </w:tabs>
        <w:contextualSpacing/>
        <w:jc w:val="both"/>
        <w:rPr>
          <w:rFonts w:asciiTheme="majorHAnsi" w:eastAsia="Calibri" w:hAnsiTheme="majorHAnsi"/>
          <w:sz w:val="20"/>
          <w:szCs w:val="20"/>
          <w:lang w:val="es-AR"/>
        </w:rPr>
      </w:pPr>
    </w:p>
    <w:p w14:paraId="3A6EF0FF" w14:textId="77777777" w:rsidR="00D96DFC" w:rsidRPr="00386E47" w:rsidRDefault="00D96DFC" w:rsidP="003A5860">
      <w:pPr>
        <w:numPr>
          <w:ilvl w:val="0"/>
          <w:numId w:val="55"/>
        </w:numPr>
        <w:tabs>
          <w:tab w:val="left" w:pos="0"/>
          <w:tab w:val="left" w:pos="567"/>
        </w:tabs>
        <w:ind w:left="0" w:firstLine="0"/>
        <w:contextualSpacing/>
        <w:jc w:val="both"/>
        <w:rPr>
          <w:rFonts w:asciiTheme="majorHAnsi" w:eastAsia="Calibri" w:hAnsiTheme="majorHAnsi"/>
          <w:sz w:val="20"/>
          <w:szCs w:val="20"/>
          <w:lang w:val="es-AR"/>
        </w:rPr>
      </w:pPr>
      <w:r w:rsidRPr="00386E47">
        <w:rPr>
          <w:rFonts w:asciiTheme="majorHAnsi" w:eastAsia="Calibri" w:hAnsiTheme="majorHAnsi"/>
          <w:sz w:val="20"/>
          <w:szCs w:val="20"/>
          <w:lang w:val="es-AR"/>
        </w:rPr>
        <w:t xml:space="preserve">En el mes de marzo de 2016, el Juzgado Federal Nro. 6 ordenó a instancias de la UFI AMIA la realización de un peritaje científico con el fin de obtener el perfil genético de la totalidad de los restos biológicos preservados en la Morgue Judicial y de aquellos que fueron encontrados en la División Laboratorio Químico de la PFA. Asimismo, </w:t>
      </w:r>
      <w:r w:rsidRPr="00386E47">
        <w:rPr>
          <w:rFonts w:asciiTheme="majorHAnsi" w:eastAsia="Calibri" w:hAnsiTheme="majorHAnsi"/>
          <w:sz w:val="20"/>
          <w:szCs w:val="20"/>
          <w:lang w:val="es-AR"/>
        </w:rPr>
        <w:lastRenderedPageBreak/>
        <w:t>el juzgado dispuso el cotejo entre sí de los perfiles genéticos que se extrajeran a fin de “determinar que todas las muestras en depósito corresponden a alguna de las personas fallecidas”. Para hacer posible el trabajo, los fiscales convocaron a personal especializado del Cuerpo Médico Forense, del Equipo Argentino de Antropología Forense y del Laboratorio de Huellas Genéticas de la Facultad de Farmacia y Bioquímica de la Universidad de Buenos Aires</w:t>
      </w:r>
      <w:r w:rsidRPr="00386E47">
        <w:rPr>
          <w:rStyle w:val="FootnoteReference"/>
          <w:rFonts w:asciiTheme="majorHAnsi" w:eastAsia="Calibri" w:hAnsiTheme="majorHAnsi"/>
          <w:sz w:val="20"/>
          <w:szCs w:val="20"/>
          <w:lang w:val="es-AR"/>
        </w:rPr>
        <w:footnoteReference w:id="226"/>
      </w:r>
      <w:r w:rsidRPr="00386E47">
        <w:rPr>
          <w:rFonts w:asciiTheme="majorHAnsi" w:eastAsia="Calibri" w:hAnsiTheme="majorHAnsi"/>
          <w:sz w:val="20"/>
          <w:szCs w:val="20"/>
          <w:lang w:val="es-AR"/>
        </w:rPr>
        <w:t>.</w:t>
      </w:r>
    </w:p>
    <w:p w14:paraId="4D2046B2" w14:textId="77777777" w:rsidR="00D96DFC" w:rsidRPr="00386E47" w:rsidRDefault="00D96DFC" w:rsidP="00A311A0">
      <w:pPr>
        <w:tabs>
          <w:tab w:val="left" w:pos="0"/>
          <w:tab w:val="left" w:pos="567"/>
        </w:tabs>
        <w:contextualSpacing/>
        <w:jc w:val="both"/>
        <w:rPr>
          <w:rFonts w:asciiTheme="majorHAnsi" w:eastAsia="Calibri" w:hAnsiTheme="majorHAnsi"/>
          <w:sz w:val="20"/>
          <w:szCs w:val="20"/>
          <w:lang w:val="es-AR"/>
        </w:rPr>
      </w:pPr>
    </w:p>
    <w:p w14:paraId="6A44EF41" w14:textId="77777777" w:rsidR="00A8406C" w:rsidRPr="00386E47" w:rsidRDefault="00D96DFC" w:rsidP="003A5860">
      <w:pPr>
        <w:numPr>
          <w:ilvl w:val="0"/>
          <w:numId w:val="55"/>
        </w:numPr>
        <w:tabs>
          <w:tab w:val="left" w:pos="0"/>
          <w:tab w:val="left" w:pos="567"/>
        </w:tabs>
        <w:ind w:left="0" w:firstLine="0"/>
        <w:contextualSpacing/>
        <w:jc w:val="both"/>
        <w:rPr>
          <w:rFonts w:asciiTheme="majorHAnsi" w:eastAsia="Calibri" w:hAnsiTheme="majorHAnsi"/>
          <w:sz w:val="20"/>
          <w:szCs w:val="20"/>
          <w:lang w:val="es-AR"/>
        </w:rPr>
      </w:pPr>
      <w:r w:rsidRPr="00386E47">
        <w:rPr>
          <w:rFonts w:asciiTheme="majorHAnsi" w:eastAsia="Calibri" w:hAnsiTheme="majorHAnsi"/>
          <w:sz w:val="20"/>
          <w:szCs w:val="20"/>
          <w:lang w:val="es-AR"/>
        </w:rPr>
        <w:t>L</w:t>
      </w:r>
      <w:r w:rsidR="009F70EA" w:rsidRPr="00386E47">
        <w:rPr>
          <w:rFonts w:asciiTheme="majorHAnsi" w:eastAsia="Calibri" w:hAnsiTheme="majorHAnsi"/>
          <w:sz w:val="20"/>
          <w:szCs w:val="20"/>
          <w:lang w:val="es-AR"/>
        </w:rPr>
        <w:t>a UFI AMIA en su informe de gestión de julio de 2016 relató que el grupo de fiscales que asumió la dirección de la investigación en febrero de 2015 procedió, en primer término, a realizar una inspección a la Morgue Judicial “para verificar de manera personal la totalidad de material orgánico y de otra naturaleza a disposición de la investigación”. Como resultado de esa inspección, los fiscales ordenaron la confección de “un meticuloso inventario del material orgánico existente en la Morgue y la verificación de las condiciones de conservación y resguardo”</w:t>
      </w:r>
      <w:r w:rsidR="00F36DEE" w:rsidRPr="00386E47">
        <w:rPr>
          <w:rFonts w:asciiTheme="majorHAnsi" w:eastAsia="Calibri" w:hAnsiTheme="majorHAnsi"/>
          <w:sz w:val="20"/>
          <w:szCs w:val="20"/>
          <w:lang w:val="es-AR"/>
        </w:rPr>
        <w:t xml:space="preserve"> </w:t>
      </w:r>
      <w:r w:rsidR="009F70EA" w:rsidRPr="00386E47">
        <w:rPr>
          <w:rFonts w:asciiTheme="majorHAnsi" w:eastAsia="Calibri" w:hAnsiTheme="majorHAnsi"/>
          <w:sz w:val="20"/>
          <w:szCs w:val="20"/>
          <w:lang w:val="es-AR"/>
        </w:rPr>
        <w:t>con la finalidad de “determinar con exactitud la cantidad y calidad de las muestras obtenidas al momento de las autopsias, en aras de establecer su aptitud para un eventual análisis”</w:t>
      </w:r>
      <w:r w:rsidR="00A34570" w:rsidRPr="00386E47">
        <w:rPr>
          <w:rStyle w:val="FootnoteReference"/>
          <w:rFonts w:asciiTheme="majorHAnsi" w:eastAsia="Calibri" w:hAnsiTheme="majorHAnsi"/>
          <w:sz w:val="20"/>
          <w:szCs w:val="20"/>
          <w:lang w:val="es-AR"/>
        </w:rPr>
        <w:footnoteReference w:id="227"/>
      </w:r>
      <w:r w:rsidR="009F70EA" w:rsidRPr="00386E47">
        <w:rPr>
          <w:rFonts w:asciiTheme="majorHAnsi" w:eastAsia="Calibri" w:hAnsiTheme="majorHAnsi"/>
          <w:sz w:val="20"/>
          <w:szCs w:val="20"/>
          <w:lang w:val="es-AR"/>
        </w:rPr>
        <w:t xml:space="preserve">. </w:t>
      </w:r>
    </w:p>
    <w:p w14:paraId="719B9396" w14:textId="77777777" w:rsidR="00A8406C" w:rsidRPr="00386E47" w:rsidRDefault="00A8406C" w:rsidP="00347DFB">
      <w:pPr>
        <w:tabs>
          <w:tab w:val="left" w:pos="0"/>
          <w:tab w:val="left" w:pos="567"/>
        </w:tabs>
        <w:contextualSpacing/>
        <w:jc w:val="both"/>
        <w:rPr>
          <w:rFonts w:asciiTheme="majorHAnsi" w:eastAsia="Calibri" w:hAnsiTheme="majorHAnsi"/>
          <w:sz w:val="20"/>
          <w:szCs w:val="20"/>
          <w:lang w:val="es-AR"/>
        </w:rPr>
      </w:pPr>
    </w:p>
    <w:p w14:paraId="7879CECF" w14:textId="77777777" w:rsidR="00481C31" w:rsidRPr="00386E47" w:rsidRDefault="009F70EA" w:rsidP="003A5860">
      <w:pPr>
        <w:numPr>
          <w:ilvl w:val="0"/>
          <w:numId w:val="55"/>
        </w:numPr>
        <w:tabs>
          <w:tab w:val="left" w:pos="0"/>
          <w:tab w:val="left" w:pos="567"/>
        </w:tabs>
        <w:ind w:left="0" w:firstLine="0"/>
        <w:contextualSpacing/>
        <w:jc w:val="both"/>
        <w:rPr>
          <w:rFonts w:asciiTheme="majorHAnsi" w:eastAsia="Calibri" w:hAnsiTheme="majorHAnsi"/>
          <w:sz w:val="20"/>
          <w:szCs w:val="20"/>
          <w:lang w:val="es-AR"/>
        </w:rPr>
      </w:pPr>
      <w:r w:rsidRPr="00386E47">
        <w:rPr>
          <w:rFonts w:asciiTheme="majorHAnsi" w:eastAsia="Calibri" w:hAnsiTheme="majorHAnsi"/>
          <w:sz w:val="20"/>
          <w:szCs w:val="20"/>
          <w:lang w:val="es-AR"/>
        </w:rPr>
        <w:t xml:space="preserve">Asimismo, con fecha 8 de septiembre de 2016 la División Laboratorio Químico de la Policía Federal Argentina informó a la UFI AMIA </w:t>
      </w:r>
      <w:r w:rsidR="00481C31" w:rsidRPr="00386E47">
        <w:rPr>
          <w:rFonts w:asciiTheme="majorHAnsi" w:eastAsia="Calibri" w:hAnsiTheme="majorHAnsi"/>
          <w:sz w:val="20"/>
          <w:szCs w:val="20"/>
          <w:lang w:val="es-AR"/>
        </w:rPr>
        <w:t>de la existencia en sus oficinas</w:t>
      </w:r>
      <w:r w:rsidRPr="00386E47">
        <w:rPr>
          <w:rFonts w:asciiTheme="majorHAnsi" w:eastAsia="Calibri" w:hAnsiTheme="majorHAnsi"/>
          <w:sz w:val="20"/>
          <w:szCs w:val="20"/>
          <w:lang w:val="es-AR"/>
        </w:rPr>
        <w:t xml:space="preserve"> de </w:t>
      </w:r>
      <w:r w:rsidR="00481C31" w:rsidRPr="00386E47">
        <w:rPr>
          <w:rFonts w:asciiTheme="majorHAnsi" w:eastAsia="Calibri" w:hAnsiTheme="majorHAnsi"/>
          <w:sz w:val="20"/>
          <w:szCs w:val="20"/>
          <w:lang w:val="es-AR"/>
        </w:rPr>
        <w:t xml:space="preserve">elementos </w:t>
      </w:r>
      <w:r w:rsidRPr="00386E47">
        <w:rPr>
          <w:rFonts w:asciiTheme="majorHAnsi" w:eastAsia="Calibri" w:hAnsiTheme="majorHAnsi"/>
          <w:sz w:val="20"/>
          <w:szCs w:val="20"/>
          <w:lang w:val="es-AR"/>
        </w:rPr>
        <w:t xml:space="preserve">vinculados a la investigación, entre los que </w:t>
      </w:r>
      <w:r w:rsidR="00481C31" w:rsidRPr="00386E47">
        <w:rPr>
          <w:rFonts w:asciiTheme="majorHAnsi" w:eastAsia="Calibri" w:hAnsiTheme="majorHAnsi"/>
          <w:sz w:val="20"/>
          <w:szCs w:val="20"/>
          <w:lang w:val="es-AR"/>
        </w:rPr>
        <w:t xml:space="preserve">se </w:t>
      </w:r>
      <w:r w:rsidR="00C80AA5" w:rsidRPr="00386E47">
        <w:rPr>
          <w:rFonts w:asciiTheme="majorHAnsi" w:eastAsia="Calibri" w:hAnsiTheme="majorHAnsi"/>
          <w:sz w:val="20"/>
          <w:szCs w:val="20"/>
          <w:lang w:val="es-AR"/>
        </w:rPr>
        <w:t>en</w:t>
      </w:r>
      <w:r w:rsidR="00481C31" w:rsidRPr="00386E47">
        <w:rPr>
          <w:rFonts w:asciiTheme="majorHAnsi" w:eastAsia="Calibri" w:hAnsiTheme="majorHAnsi"/>
          <w:sz w:val="20"/>
          <w:szCs w:val="20"/>
          <w:lang w:val="es-AR"/>
        </w:rPr>
        <w:t>cont</w:t>
      </w:r>
      <w:r w:rsidR="00C80AA5" w:rsidRPr="00386E47">
        <w:rPr>
          <w:rFonts w:asciiTheme="majorHAnsi" w:eastAsia="Calibri" w:hAnsiTheme="majorHAnsi"/>
          <w:sz w:val="20"/>
          <w:szCs w:val="20"/>
          <w:lang w:val="es-AR"/>
        </w:rPr>
        <w:t>r</w:t>
      </w:r>
      <w:r w:rsidR="00481C31" w:rsidRPr="00386E47">
        <w:rPr>
          <w:rFonts w:asciiTheme="majorHAnsi" w:eastAsia="Calibri" w:hAnsiTheme="majorHAnsi"/>
          <w:sz w:val="20"/>
          <w:szCs w:val="20"/>
          <w:lang w:val="es-AR"/>
        </w:rPr>
        <w:t xml:space="preserve">aba </w:t>
      </w:r>
      <w:r w:rsidRPr="00386E47">
        <w:rPr>
          <w:rFonts w:asciiTheme="majorHAnsi" w:eastAsia="Calibri" w:hAnsiTheme="majorHAnsi"/>
          <w:sz w:val="20"/>
          <w:szCs w:val="20"/>
          <w:lang w:val="es-AR"/>
        </w:rPr>
        <w:t>un balde rojo con restos orgánicos de víctimas</w:t>
      </w:r>
      <w:r w:rsidR="00481C31" w:rsidRPr="00386E47">
        <w:rPr>
          <w:rFonts w:asciiTheme="majorHAnsi" w:eastAsia="Calibri" w:hAnsiTheme="majorHAnsi"/>
          <w:sz w:val="20"/>
          <w:szCs w:val="20"/>
          <w:lang w:val="es-AR"/>
        </w:rPr>
        <w:t xml:space="preserve">, el cual </w:t>
      </w:r>
      <w:r w:rsidR="003D4AE0" w:rsidRPr="00386E47">
        <w:rPr>
          <w:rFonts w:asciiTheme="majorHAnsi" w:eastAsia="Calibri" w:hAnsiTheme="majorHAnsi"/>
          <w:sz w:val="20"/>
          <w:szCs w:val="20"/>
          <w:lang w:val="es-AR"/>
        </w:rPr>
        <w:t>estaba preservado</w:t>
      </w:r>
      <w:r w:rsidR="00481C31" w:rsidRPr="00386E47">
        <w:rPr>
          <w:rFonts w:asciiTheme="majorHAnsi" w:eastAsia="Calibri" w:hAnsiTheme="majorHAnsi"/>
          <w:sz w:val="20"/>
          <w:szCs w:val="20"/>
          <w:lang w:val="es-AR"/>
        </w:rPr>
        <w:t xml:space="preserve"> dentro de</w:t>
      </w:r>
      <w:r w:rsidR="00EC27BF" w:rsidRPr="00386E47">
        <w:rPr>
          <w:rFonts w:asciiTheme="majorHAnsi" w:eastAsia="Calibri" w:hAnsiTheme="majorHAnsi"/>
          <w:sz w:val="20"/>
          <w:szCs w:val="20"/>
          <w:lang w:val="es-AR"/>
        </w:rPr>
        <w:t xml:space="preserve"> un freezer</w:t>
      </w:r>
      <w:r w:rsidRPr="00386E47">
        <w:rPr>
          <w:rFonts w:asciiTheme="majorHAnsi" w:eastAsia="Calibri" w:hAnsiTheme="majorHAnsi"/>
          <w:sz w:val="20"/>
          <w:szCs w:val="20"/>
          <w:lang w:val="es-AR"/>
        </w:rPr>
        <w:t xml:space="preserve">. La UFI AMIA consignó </w:t>
      </w:r>
      <w:r w:rsidR="00C80AA5" w:rsidRPr="00386E47">
        <w:rPr>
          <w:rFonts w:asciiTheme="majorHAnsi" w:eastAsia="Calibri" w:hAnsiTheme="majorHAnsi"/>
          <w:sz w:val="20"/>
          <w:szCs w:val="20"/>
          <w:lang w:val="es-AR"/>
        </w:rPr>
        <w:t>en su informe de gestión que dichos</w:t>
      </w:r>
      <w:r w:rsidRPr="00386E47">
        <w:rPr>
          <w:rFonts w:asciiTheme="majorHAnsi" w:eastAsia="Calibri" w:hAnsiTheme="majorHAnsi"/>
          <w:sz w:val="20"/>
          <w:szCs w:val="20"/>
          <w:lang w:val="es-AR"/>
        </w:rPr>
        <w:t xml:space="preserve"> restos eran fragmentos de tejido congelado colocados dentro de un frasco de vidrio, el cual estaba ubicado en el interior del balde rojo</w:t>
      </w:r>
      <w:r w:rsidRPr="00386E47">
        <w:rPr>
          <w:rStyle w:val="FootnoteReference"/>
          <w:rFonts w:asciiTheme="majorHAnsi" w:hAnsiTheme="majorHAnsi"/>
          <w:sz w:val="20"/>
          <w:szCs w:val="20"/>
        </w:rPr>
        <w:footnoteReference w:id="228"/>
      </w:r>
      <w:r w:rsidRPr="00386E47">
        <w:rPr>
          <w:rFonts w:asciiTheme="majorHAnsi" w:eastAsia="Calibri" w:hAnsiTheme="majorHAnsi"/>
          <w:sz w:val="20"/>
          <w:szCs w:val="20"/>
          <w:lang w:val="es-AR"/>
        </w:rPr>
        <w:t xml:space="preserve">. </w:t>
      </w:r>
      <w:r w:rsidR="00481C31" w:rsidRPr="00386E47">
        <w:rPr>
          <w:rFonts w:asciiTheme="majorHAnsi" w:eastAsia="Calibri" w:hAnsiTheme="majorHAnsi"/>
          <w:sz w:val="20"/>
          <w:szCs w:val="20"/>
          <w:lang w:val="es-AR"/>
        </w:rPr>
        <w:t>Estos elementos de prueba</w:t>
      </w:r>
      <w:r w:rsidRPr="00386E47">
        <w:rPr>
          <w:rFonts w:asciiTheme="majorHAnsi" w:eastAsia="Calibri" w:hAnsiTheme="majorHAnsi"/>
          <w:sz w:val="20"/>
          <w:szCs w:val="20"/>
          <w:lang w:val="es-AR"/>
        </w:rPr>
        <w:t xml:space="preserve"> no habían sido previamente inventariados y se encontraban en el laboratorio de la PFA desde agosto de 1994.</w:t>
      </w:r>
    </w:p>
    <w:p w14:paraId="73FFDC00" w14:textId="77777777" w:rsidR="00D96DFC" w:rsidRPr="00386E47" w:rsidRDefault="00D96DFC" w:rsidP="00A311A0">
      <w:pPr>
        <w:pStyle w:val="ListParagraph"/>
        <w:rPr>
          <w:rFonts w:asciiTheme="majorHAnsi" w:eastAsia="Calibri" w:hAnsiTheme="majorHAnsi"/>
          <w:sz w:val="20"/>
          <w:szCs w:val="20"/>
          <w:lang w:val="es-AR"/>
        </w:rPr>
      </w:pPr>
    </w:p>
    <w:p w14:paraId="39A7CF21" w14:textId="77777777" w:rsidR="00D96DFC" w:rsidRPr="00386E47" w:rsidRDefault="00D96DFC" w:rsidP="003A5860">
      <w:pPr>
        <w:pStyle w:val="ListParagraph"/>
        <w:numPr>
          <w:ilvl w:val="0"/>
          <w:numId w:val="58"/>
        </w:numPr>
        <w:tabs>
          <w:tab w:val="left" w:pos="0"/>
          <w:tab w:val="left" w:pos="567"/>
        </w:tabs>
        <w:contextualSpacing/>
        <w:jc w:val="both"/>
        <w:rPr>
          <w:rFonts w:asciiTheme="majorHAnsi" w:eastAsia="Calibri" w:hAnsiTheme="majorHAnsi"/>
          <w:b/>
          <w:sz w:val="20"/>
          <w:szCs w:val="20"/>
          <w:lang w:val="es-AR"/>
        </w:rPr>
      </w:pPr>
      <w:r w:rsidRPr="00386E47">
        <w:rPr>
          <w:rFonts w:asciiTheme="majorHAnsi" w:eastAsia="Calibri" w:hAnsiTheme="majorHAnsi"/>
          <w:b/>
          <w:sz w:val="20"/>
          <w:szCs w:val="20"/>
          <w:lang w:val="es-AR"/>
        </w:rPr>
        <w:t>Consideraciones de la Comisión</w:t>
      </w:r>
    </w:p>
    <w:p w14:paraId="75C20AD0" w14:textId="77777777" w:rsidR="00481C31" w:rsidRPr="00386E47" w:rsidRDefault="00481C31" w:rsidP="00347DFB">
      <w:pPr>
        <w:tabs>
          <w:tab w:val="left" w:pos="0"/>
          <w:tab w:val="left" w:pos="567"/>
        </w:tabs>
        <w:contextualSpacing/>
        <w:jc w:val="both"/>
        <w:rPr>
          <w:rFonts w:asciiTheme="majorHAnsi" w:eastAsia="Calibri" w:hAnsiTheme="majorHAnsi"/>
          <w:sz w:val="20"/>
          <w:szCs w:val="20"/>
          <w:lang w:val="es-AR"/>
        </w:rPr>
      </w:pPr>
    </w:p>
    <w:p w14:paraId="3025C7FF" w14:textId="77777777" w:rsidR="00F71061" w:rsidRPr="00386E47" w:rsidRDefault="00481C31" w:rsidP="003A5860">
      <w:pPr>
        <w:numPr>
          <w:ilvl w:val="0"/>
          <w:numId w:val="55"/>
        </w:numPr>
        <w:tabs>
          <w:tab w:val="left" w:pos="0"/>
          <w:tab w:val="left" w:pos="567"/>
        </w:tabs>
        <w:ind w:left="0" w:firstLine="0"/>
        <w:contextualSpacing/>
        <w:jc w:val="both"/>
        <w:rPr>
          <w:rFonts w:asciiTheme="majorHAnsi" w:eastAsia="Calibri" w:hAnsiTheme="majorHAnsi"/>
          <w:sz w:val="20"/>
          <w:szCs w:val="20"/>
          <w:lang w:val="es-AR"/>
        </w:rPr>
      </w:pPr>
      <w:r w:rsidRPr="00386E47">
        <w:rPr>
          <w:rFonts w:asciiTheme="majorHAnsi" w:eastAsia="Calibri" w:hAnsiTheme="majorHAnsi"/>
          <w:sz w:val="20"/>
          <w:szCs w:val="20"/>
          <w:lang w:val="es-AR"/>
        </w:rPr>
        <w:t xml:space="preserve">La CIDH considera que </w:t>
      </w:r>
      <w:r w:rsidR="009F70EA" w:rsidRPr="00386E47">
        <w:rPr>
          <w:rFonts w:asciiTheme="majorHAnsi" w:eastAsia="Calibri" w:hAnsiTheme="majorHAnsi"/>
          <w:sz w:val="20"/>
          <w:szCs w:val="20"/>
          <w:lang w:val="es-AR"/>
        </w:rPr>
        <w:t xml:space="preserve">tanto la ausencia de un registro preciso del material orgánico </w:t>
      </w:r>
      <w:r w:rsidRPr="00386E47">
        <w:rPr>
          <w:rFonts w:asciiTheme="majorHAnsi" w:eastAsia="Calibri" w:hAnsiTheme="majorHAnsi"/>
          <w:sz w:val="20"/>
          <w:szCs w:val="20"/>
          <w:lang w:val="es-AR"/>
        </w:rPr>
        <w:t>vinculado con</w:t>
      </w:r>
      <w:r w:rsidR="009F70EA" w:rsidRPr="00386E47">
        <w:rPr>
          <w:rFonts w:asciiTheme="majorHAnsi" w:eastAsia="Calibri" w:hAnsiTheme="majorHAnsi"/>
          <w:sz w:val="20"/>
          <w:szCs w:val="20"/>
          <w:lang w:val="es-AR"/>
        </w:rPr>
        <w:t xml:space="preserve"> la investigación</w:t>
      </w:r>
      <w:r w:rsidR="001E233D" w:rsidRPr="00386E47">
        <w:rPr>
          <w:rFonts w:asciiTheme="majorHAnsi" w:eastAsia="Calibri" w:hAnsiTheme="majorHAnsi"/>
          <w:sz w:val="20"/>
          <w:szCs w:val="20"/>
          <w:lang w:val="es-AR"/>
        </w:rPr>
        <w:t xml:space="preserve"> </w:t>
      </w:r>
      <w:r w:rsidR="009F70EA" w:rsidRPr="00386E47">
        <w:rPr>
          <w:rFonts w:asciiTheme="majorHAnsi" w:eastAsia="Calibri" w:hAnsiTheme="majorHAnsi"/>
          <w:sz w:val="20"/>
          <w:szCs w:val="20"/>
          <w:lang w:val="es-AR"/>
        </w:rPr>
        <w:t>-</w:t>
      </w:r>
      <w:r w:rsidR="00A13497" w:rsidRPr="00386E47">
        <w:rPr>
          <w:rFonts w:asciiTheme="majorHAnsi" w:eastAsia="Calibri" w:hAnsiTheme="majorHAnsi"/>
          <w:sz w:val="20"/>
          <w:szCs w:val="20"/>
          <w:lang w:val="es-AR"/>
        </w:rPr>
        <w:t xml:space="preserve"> </w:t>
      </w:r>
      <w:r w:rsidRPr="00386E47">
        <w:rPr>
          <w:rFonts w:asciiTheme="majorHAnsi" w:eastAsia="Calibri" w:hAnsiTheme="majorHAnsi"/>
          <w:sz w:val="20"/>
          <w:szCs w:val="20"/>
          <w:lang w:val="es-AR"/>
        </w:rPr>
        <w:t xml:space="preserve">situación evidenciada </w:t>
      </w:r>
      <w:r w:rsidR="009F70EA" w:rsidRPr="00386E47">
        <w:rPr>
          <w:rFonts w:asciiTheme="majorHAnsi" w:eastAsia="Calibri" w:hAnsiTheme="majorHAnsi"/>
          <w:sz w:val="20"/>
          <w:szCs w:val="20"/>
          <w:lang w:val="es-AR"/>
        </w:rPr>
        <w:t xml:space="preserve">con el hallazgo producido en la División Laboratorio Químico en septiembre de 2016 - como </w:t>
      </w:r>
      <w:r w:rsidR="002740B6" w:rsidRPr="00386E47">
        <w:rPr>
          <w:rFonts w:asciiTheme="majorHAnsi" w:eastAsia="Calibri" w:hAnsiTheme="majorHAnsi"/>
          <w:sz w:val="20"/>
          <w:szCs w:val="20"/>
          <w:lang w:val="es-AR"/>
        </w:rPr>
        <w:t xml:space="preserve">la falta de </w:t>
      </w:r>
      <w:r w:rsidRPr="00386E47">
        <w:rPr>
          <w:rFonts w:asciiTheme="majorHAnsi" w:eastAsia="Calibri" w:hAnsiTheme="majorHAnsi"/>
          <w:sz w:val="20"/>
          <w:szCs w:val="20"/>
          <w:lang w:val="es-AR"/>
        </w:rPr>
        <w:t>exploración</w:t>
      </w:r>
      <w:r w:rsidR="002740B6" w:rsidRPr="00386E47">
        <w:rPr>
          <w:rFonts w:asciiTheme="majorHAnsi" w:eastAsia="Calibri" w:hAnsiTheme="majorHAnsi"/>
          <w:sz w:val="20"/>
          <w:szCs w:val="20"/>
          <w:lang w:val="es-AR"/>
        </w:rPr>
        <w:t xml:space="preserve">, hasta el año 2016, </w:t>
      </w:r>
      <w:r w:rsidRPr="00386E47">
        <w:rPr>
          <w:rFonts w:asciiTheme="majorHAnsi" w:eastAsia="Calibri" w:hAnsiTheme="majorHAnsi"/>
          <w:sz w:val="20"/>
          <w:szCs w:val="20"/>
          <w:lang w:val="es-AR"/>
        </w:rPr>
        <w:t xml:space="preserve">de las </w:t>
      </w:r>
      <w:r w:rsidR="009F70EA" w:rsidRPr="00386E47">
        <w:rPr>
          <w:rFonts w:asciiTheme="majorHAnsi" w:eastAsia="Calibri" w:hAnsiTheme="majorHAnsi"/>
          <w:sz w:val="20"/>
          <w:szCs w:val="20"/>
          <w:lang w:val="es-AR"/>
        </w:rPr>
        <w:t>posibilidades que el análisis de dicho material pudiera arrojar</w:t>
      </w:r>
      <w:r w:rsidRPr="00386E47">
        <w:rPr>
          <w:rFonts w:asciiTheme="majorHAnsi" w:eastAsia="Calibri" w:hAnsiTheme="majorHAnsi"/>
          <w:sz w:val="20"/>
          <w:szCs w:val="20"/>
          <w:lang w:val="es-AR"/>
        </w:rPr>
        <w:t xml:space="preserve"> para el esclarecimiento de los hechos</w:t>
      </w:r>
      <w:r w:rsidR="009F70EA" w:rsidRPr="00386E47">
        <w:rPr>
          <w:rFonts w:asciiTheme="majorHAnsi" w:eastAsia="Calibri" w:hAnsiTheme="majorHAnsi"/>
          <w:sz w:val="20"/>
          <w:szCs w:val="20"/>
          <w:lang w:val="es-AR"/>
        </w:rPr>
        <w:t xml:space="preserve">, </w:t>
      </w:r>
      <w:r w:rsidR="00826A3B" w:rsidRPr="00386E47">
        <w:rPr>
          <w:rFonts w:asciiTheme="majorHAnsi" w:eastAsia="Calibri" w:hAnsiTheme="majorHAnsi"/>
          <w:sz w:val="20"/>
          <w:szCs w:val="20"/>
          <w:lang w:val="es-AR"/>
        </w:rPr>
        <w:t>no satisface el</w:t>
      </w:r>
      <w:r w:rsidR="009F70EA" w:rsidRPr="00386E47">
        <w:rPr>
          <w:rFonts w:asciiTheme="majorHAnsi" w:eastAsia="Calibri" w:hAnsiTheme="majorHAnsi"/>
          <w:sz w:val="20"/>
          <w:szCs w:val="20"/>
          <w:lang w:val="es-AR"/>
        </w:rPr>
        <w:t xml:space="preserve"> deber de debida diligencia</w:t>
      </w:r>
      <w:r w:rsidR="00826A3B" w:rsidRPr="00386E47">
        <w:rPr>
          <w:rFonts w:asciiTheme="majorHAnsi" w:eastAsia="Calibri" w:hAnsiTheme="majorHAnsi"/>
          <w:sz w:val="20"/>
          <w:szCs w:val="20"/>
          <w:lang w:val="es-AR"/>
        </w:rPr>
        <w:t>, conforme a los parámetros internacionalmente reconocidos</w:t>
      </w:r>
      <w:r w:rsidR="00F76BEA" w:rsidRPr="00386E47">
        <w:rPr>
          <w:rStyle w:val="FootnoteReference"/>
          <w:rFonts w:asciiTheme="majorHAnsi" w:eastAsia="Calibri" w:hAnsiTheme="majorHAnsi"/>
          <w:sz w:val="20"/>
          <w:szCs w:val="20"/>
          <w:lang w:val="es-AR"/>
        </w:rPr>
        <w:footnoteReference w:id="229"/>
      </w:r>
      <w:r w:rsidR="009F70EA" w:rsidRPr="00386E47">
        <w:rPr>
          <w:rFonts w:asciiTheme="majorHAnsi" w:eastAsia="Calibri" w:hAnsiTheme="majorHAnsi"/>
          <w:sz w:val="20"/>
          <w:szCs w:val="20"/>
          <w:lang w:val="es-AR"/>
        </w:rPr>
        <w:t xml:space="preserve">. </w:t>
      </w:r>
      <w:r w:rsidR="00041323" w:rsidRPr="00386E47">
        <w:rPr>
          <w:rFonts w:asciiTheme="majorHAnsi" w:eastAsia="Calibri" w:hAnsiTheme="majorHAnsi"/>
          <w:sz w:val="20"/>
          <w:szCs w:val="20"/>
          <w:lang w:val="es-AR"/>
        </w:rPr>
        <w:t>La</w:t>
      </w:r>
      <w:r w:rsidR="009F70EA" w:rsidRPr="00386E47">
        <w:rPr>
          <w:rFonts w:asciiTheme="majorHAnsi" w:eastAsia="Calibri" w:hAnsiTheme="majorHAnsi"/>
          <w:sz w:val="20"/>
          <w:szCs w:val="20"/>
          <w:lang w:val="es-AR"/>
        </w:rPr>
        <w:t xml:space="preserve"> Comisión resalta que en casos complejos como el del atentado a la AMIA resulta necesario que los funcionarios encargados de la investigación incorporen a sus rutinas de trabajo un enfoque interdisciplinario que incluya el aporte que puedan realizar especialistas de diferentes campos científicos</w:t>
      </w:r>
      <w:r w:rsidR="009F70EA" w:rsidRPr="00386E47">
        <w:rPr>
          <w:rStyle w:val="FootnoteReference"/>
          <w:rFonts w:asciiTheme="majorHAnsi" w:hAnsiTheme="majorHAnsi"/>
          <w:sz w:val="20"/>
          <w:szCs w:val="20"/>
        </w:rPr>
        <w:footnoteReference w:id="230"/>
      </w:r>
      <w:r w:rsidR="009F70EA" w:rsidRPr="00386E47">
        <w:rPr>
          <w:rFonts w:asciiTheme="majorHAnsi" w:eastAsia="Calibri" w:hAnsiTheme="majorHAnsi"/>
          <w:sz w:val="20"/>
          <w:szCs w:val="20"/>
          <w:lang w:val="es-AR"/>
        </w:rPr>
        <w:t xml:space="preserve">. </w:t>
      </w:r>
    </w:p>
    <w:p w14:paraId="347653FC" w14:textId="77777777" w:rsidR="00F71061" w:rsidRPr="00386E47" w:rsidRDefault="00F71061" w:rsidP="00347DFB">
      <w:pPr>
        <w:tabs>
          <w:tab w:val="left" w:pos="0"/>
          <w:tab w:val="left" w:pos="567"/>
        </w:tabs>
        <w:contextualSpacing/>
        <w:jc w:val="both"/>
        <w:rPr>
          <w:rFonts w:asciiTheme="majorHAnsi" w:eastAsia="Calibri" w:hAnsiTheme="majorHAnsi"/>
          <w:sz w:val="20"/>
          <w:szCs w:val="20"/>
          <w:lang w:val="es-AR"/>
        </w:rPr>
      </w:pPr>
    </w:p>
    <w:p w14:paraId="3A80B5ED" w14:textId="77777777" w:rsidR="009F70EA" w:rsidRPr="00386E47" w:rsidRDefault="00D96DFC" w:rsidP="003A5860">
      <w:pPr>
        <w:numPr>
          <w:ilvl w:val="0"/>
          <w:numId w:val="55"/>
        </w:numPr>
        <w:tabs>
          <w:tab w:val="left" w:pos="0"/>
          <w:tab w:val="left" w:pos="567"/>
        </w:tabs>
        <w:ind w:left="0" w:firstLine="0"/>
        <w:contextualSpacing/>
        <w:jc w:val="both"/>
        <w:rPr>
          <w:rFonts w:asciiTheme="majorHAnsi" w:eastAsia="Calibri" w:hAnsiTheme="majorHAnsi"/>
          <w:sz w:val="20"/>
          <w:szCs w:val="20"/>
          <w:lang w:val="es-AR"/>
        </w:rPr>
      </w:pPr>
      <w:r w:rsidRPr="00386E47">
        <w:rPr>
          <w:rFonts w:asciiTheme="majorHAnsi" w:eastAsia="Calibri" w:hAnsiTheme="majorHAnsi"/>
          <w:sz w:val="20"/>
          <w:szCs w:val="20"/>
          <w:lang w:val="es-AR"/>
        </w:rPr>
        <w:t>La Comisión</w:t>
      </w:r>
      <w:r w:rsidR="009F70EA" w:rsidRPr="00386E47">
        <w:rPr>
          <w:rFonts w:asciiTheme="majorHAnsi" w:eastAsia="Calibri" w:hAnsiTheme="majorHAnsi"/>
          <w:sz w:val="20"/>
          <w:szCs w:val="20"/>
          <w:lang w:val="es-AR"/>
        </w:rPr>
        <w:t xml:space="preserve"> </w:t>
      </w:r>
      <w:r w:rsidR="0023330E" w:rsidRPr="00386E47">
        <w:rPr>
          <w:rFonts w:asciiTheme="majorHAnsi" w:eastAsia="Calibri" w:hAnsiTheme="majorHAnsi"/>
          <w:sz w:val="20"/>
          <w:szCs w:val="20"/>
          <w:lang w:val="es-AR"/>
        </w:rPr>
        <w:t xml:space="preserve">considera </w:t>
      </w:r>
      <w:r w:rsidR="003D4AE0" w:rsidRPr="00386E47">
        <w:rPr>
          <w:rFonts w:asciiTheme="majorHAnsi" w:eastAsia="Calibri" w:hAnsiTheme="majorHAnsi"/>
          <w:sz w:val="20"/>
          <w:szCs w:val="20"/>
          <w:lang w:val="es-AR"/>
        </w:rPr>
        <w:t xml:space="preserve">que el </w:t>
      </w:r>
      <w:r w:rsidR="009F70EA" w:rsidRPr="00386E47">
        <w:rPr>
          <w:rFonts w:asciiTheme="majorHAnsi" w:eastAsia="Calibri" w:hAnsiTheme="majorHAnsi"/>
          <w:sz w:val="20"/>
          <w:szCs w:val="20"/>
          <w:lang w:val="es-AR"/>
        </w:rPr>
        <w:t>curso de acción seguido por la UFI AM</w:t>
      </w:r>
      <w:r w:rsidR="00F71061" w:rsidRPr="00386E47">
        <w:rPr>
          <w:rFonts w:asciiTheme="majorHAnsi" w:eastAsia="Calibri" w:hAnsiTheme="majorHAnsi"/>
          <w:sz w:val="20"/>
          <w:szCs w:val="20"/>
          <w:lang w:val="es-AR"/>
        </w:rPr>
        <w:t xml:space="preserve">IA a partir de 2015 </w:t>
      </w:r>
      <w:r w:rsidR="003D4AE0" w:rsidRPr="00386E47">
        <w:rPr>
          <w:rFonts w:asciiTheme="majorHAnsi" w:eastAsia="Calibri" w:hAnsiTheme="majorHAnsi"/>
          <w:sz w:val="20"/>
          <w:szCs w:val="20"/>
          <w:lang w:val="es-AR"/>
        </w:rPr>
        <w:t>result</w:t>
      </w:r>
      <w:r w:rsidR="00826A3B" w:rsidRPr="00386E47">
        <w:rPr>
          <w:rFonts w:asciiTheme="majorHAnsi" w:eastAsia="Calibri" w:hAnsiTheme="majorHAnsi"/>
          <w:sz w:val="20"/>
          <w:szCs w:val="20"/>
          <w:lang w:val="es-AR"/>
        </w:rPr>
        <w:t>ó</w:t>
      </w:r>
      <w:r w:rsidR="003D4AE0" w:rsidRPr="00386E47">
        <w:rPr>
          <w:rFonts w:asciiTheme="majorHAnsi" w:eastAsia="Calibri" w:hAnsiTheme="majorHAnsi"/>
          <w:sz w:val="20"/>
          <w:szCs w:val="20"/>
          <w:lang w:val="es-AR"/>
        </w:rPr>
        <w:t xml:space="preserve"> positivo </w:t>
      </w:r>
      <w:r w:rsidR="00F71061" w:rsidRPr="00386E47">
        <w:rPr>
          <w:rFonts w:asciiTheme="majorHAnsi" w:eastAsia="Calibri" w:hAnsiTheme="majorHAnsi"/>
          <w:sz w:val="20"/>
          <w:szCs w:val="20"/>
          <w:lang w:val="es-AR"/>
        </w:rPr>
        <w:t>en lo que respecta a</w:t>
      </w:r>
      <w:r w:rsidR="009F70EA" w:rsidRPr="00386E47">
        <w:rPr>
          <w:rFonts w:asciiTheme="majorHAnsi" w:eastAsia="Calibri" w:hAnsiTheme="majorHAnsi"/>
          <w:sz w:val="20"/>
          <w:szCs w:val="20"/>
          <w:lang w:val="es-AR"/>
        </w:rPr>
        <w:t xml:space="preserve"> la </w:t>
      </w:r>
      <w:r w:rsidR="00F71061" w:rsidRPr="00386E47">
        <w:rPr>
          <w:rFonts w:asciiTheme="majorHAnsi" w:eastAsia="Calibri" w:hAnsiTheme="majorHAnsi"/>
          <w:sz w:val="20"/>
          <w:szCs w:val="20"/>
          <w:lang w:val="es-AR"/>
        </w:rPr>
        <w:t>exploración de</w:t>
      </w:r>
      <w:r w:rsidR="009F70EA" w:rsidRPr="00386E47">
        <w:rPr>
          <w:rFonts w:asciiTheme="majorHAnsi" w:eastAsia="Calibri" w:hAnsiTheme="majorHAnsi"/>
          <w:sz w:val="20"/>
          <w:szCs w:val="20"/>
          <w:lang w:val="es-AR"/>
        </w:rPr>
        <w:t xml:space="preserve"> herramientas propias de la medicina</w:t>
      </w:r>
      <w:r w:rsidR="004432A5" w:rsidRPr="00386E47">
        <w:rPr>
          <w:rFonts w:asciiTheme="majorHAnsi" w:eastAsia="Calibri" w:hAnsiTheme="majorHAnsi"/>
          <w:sz w:val="20"/>
          <w:szCs w:val="20"/>
          <w:lang w:val="es-AR"/>
        </w:rPr>
        <w:t xml:space="preserve"> </w:t>
      </w:r>
      <w:r w:rsidR="009F70EA" w:rsidRPr="00386E47">
        <w:rPr>
          <w:rFonts w:asciiTheme="majorHAnsi" w:eastAsia="Calibri" w:hAnsiTheme="majorHAnsi"/>
          <w:sz w:val="20"/>
          <w:szCs w:val="20"/>
          <w:lang w:val="es-AR"/>
        </w:rPr>
        <w:t>forense</w:t>
      </w:r>
      <w:r w:rsidR="00C21134" w:rsidRPr="00386E47">
        <w:rPr>
          <w:rFonts w:asciiTheme="majorHAnsi" w:eastAsia="Calibri" w:hAnsiTheme="majorHAnsi"/>
          <w:sz w:val="20"/>
          <w:szCs w:val="20"/>
          <w:lang w:val="es-AR"/>
        </w:rPr>
        <w:t xml:space="preserve"> como manera de contribuir a determinar la verdad histórica del hecho. Asimismo, la Comisión es</w:t>
      </w:r>
      <w:r w:rsidR="009F70EA" w:rsidRPr="00386E47">
        <w:rPr>
          <w:rFonts w:asciiTheme="majorHAnsi" w:eastAsia="Calibri" w:hAnsiTheme="majorHAnsi"/>
          <w:sz w:val="20"/>
          <w:szCs w:val="20"/>
          <w:lang w:val="es-AR"/>
        </w:rPr>
        <w:t xml:space="preserve"> consciente que las técnicas de ampliación, purificación y extracción del ADN experimentaron un considerable avance desde </w:t>
      </w:r>
      <w:r w:rsidR="00F71061" w:rsidRPr="00386E47">
        <w:rPr>
          <w:rFonts w:asciiTheme="majorHAnsi" w:eastAsia="Calibri" w:hAnsiTheme="majorHAnsi"/>
          <w:sz w:val="20"/>
          <w:szCs w:val="20"/>
          <w:lang w:val="es-AR"/>
        </w:rPr>
        <w:t xml:space="preserve">el momento del atentado </w:t>
      </w:r>
      <w:r w:rsidR="002D603D" w:rsidRPr="00386E47">
        <w:rPr>
          <w:rFonts w:asciiTheme="majorHAnsi" w:eastAsia="Calibri" w:hAnsiTheme="majorHAnsi"/>
          <w:sz w:val="20"/>
          <w:szCs w:val="20"/>
          <w:lang w:val="es-AR"/>
        </w:rPr>
        <w:t>a la actualidad</w:t>
      </w:r>
      <w:r w:rsidRPr="00386E47">
        <w:rPr>
          <w:rFonts w:asciiTheme="majorHAnsi" w:eastAsia="Calibri" w:hAnsiTheme="majorHAnsi"/>
          <w:sz w:val="20"/>
          <w:szCs w:val="20"/>
          <w:lang w:val="es-AR"/>
        </w:rPr>
        <w:t>. Sin perjuicio de ello</w:t>
      </w:r>
      <w:r w:rsidR="00F71061" w:rsidRPr="00386E47">
        <w:rPr>
          <w:rFonts w:asciiTheme="majorHAnsi" w:eastAsia="Calibri" w:hAnsiTheme="majorHAnsi"/>
          <w:sz w:val="20"/>
          <w:szCs w:val="20"/>
          <w:lang w:val="es-AR"/>
        </w:rPr>
        <w:t xml:space="preserve">, </w:t>
      </w:r>
      <w:r w:rsidRPr="00386E47">
        <w:rPr>
          <w:rFonts w:asciiTheme="majorHAnsi" w:eastAsia="Calibri" w:hAnsiTheme="majorHAnsi"/>
          <w:sz w:val="20"/>
          <w:szCs w:val="20"/>
          <w:lang w:val="es-AR"/>
        </w:rPr>
        <w:t xml:space="preserve">la Comisión observa que </w:t>
      </w:r>
      <w:r w:rsidR="00F71061" w:rsidRPr="00386E47">
        <w:rPr>
          <w:rFonts w:asciiTheme="majorHAnsi" w:eastAsia="Calibri" w:hAnsiTheme="majorHAnsi"/>
          <w:sz w:val="20"/>
          <w:szCs w:val="20"/>
          <w:lang w:val="es-AR"/>
        </w:rPr>
        <w:t xml:space="preserve">el Estado argentino </w:t>
      </w:r>
      <w:r w:rsidR="002D603D" w:rsidRPr="00386E47">
        <w:rPr>
          <w:rFonts w:asciiTheme="majorHAnsi" w:eastAsia="Calibri" w:hAnsiTheme="majorHAnsi"/>
          <w:sz w:val="20"/>
          <w:szCs w:val="20"/>
          <w:lang w:val="es-AR"/>
        </w:rPr>
        <w:t xml:space="preserve">no brindó a lo largo de este proceso </w:t>
      </w:r>
      <w:r w:rsidR="009E48F1" w:rsidRPr="00386E47">
        <w:rPr>
          <w:rFonts w:asciiTheme="majorHAnsi" w:eastAsia="Calibri" w:hAnsiTheme="majorHAnsi"/>
          <w:sz w:val="20"/>
          <w:szCs w:val="20"/>
          <w:lang w:val="es-AR"/>
        </w:rPr>
        <w:t>razón</w:t>
      </w:r>
      <w:r w:rsidR="002D603D" w:rsidRPr="00386E47">
        <w:rPr>
          <w:rFonts w:asciiTheme="majorHAnsi" w:eastAsia="Calibri" w:hAnsiTheme="majorHAnsi"/>
          <w:sz w:val="20"/>
          <w:szCs w:val="20"/>
          <w:lang w:val="es-AR"/>
        </w:rPr>
        <w:t xml:space="preserve"> alguna</w:t>
      </w:r>
      <w:r w:rsidR="009F70EA" w:rsidRPr="00386E47">
        <w:rPr>
          <w:rFonts w:asciiTheme="majorHAnsi" w:eastAsia="Calibri" w:hAnsiTheme="majorHAnsi"/>
          <w:sz w:val="20"/>
          <w:szCs w:val="20"/>
          <w:lang w:val="es-AR"/>
        </w:rPr>
        <w:t xml:space="preserve"> por las cua</w:t>
      </w:r>
      <w:r w:rsidR="002D603D" w:rsidRPr="00386E47">
        <w:rPr>
          <w:rFonts w:asciiTheme="majorHAnsi" w:eastAsia="Calibri" w:hAnsiTheme="majorHAnsi"/>
          <w:sz w:val="20"/>
          <w:szCs w:val="20"/>
          <w:lang w:val="es-AR"/>
        </w:rPr>
        <w:t>l</w:t>
      </w:r>
      <w:r w:rsidR="00C21134" w:rsidRPr="00386E47">
        <w:rPr>
          <w:rFonts w:asciiTheme="majorHAnsi" w:eastAsia="Calibri" w:hAnsiTheme="majorHAnsi"/>
          <w:sz w:val="20"/>
          <w:szCs w:val="20"/>
          <w:lang w:val="es-AR"/>
        </w:rPr>
        <w:t xml:space="preserve"> el mencionado</w:t>
      </w:r>
      <w:r w:rsidR="009F70EA" w:rsidRPr="00386E47">
        <w:rPr>
          <w:rFonts w:asciiTheme="majorHAnsi" w:eastAsia="Calibri" w:hAnsiTheme="majorHAnsi"/>
          <w:sz w:val="20"/>
          <w:szCs w:val="20"/>
          <w:lang w:val="es-AR"/>
        </w:rPr>
        <w:t xml:space="preserve"> peritaje científico </w:t>
      </w:r>
      <w:r w:rsidR="00F71061" w:rsidRPr="00386E47">
        <w:rPr>
          <w:rFonts w:asciiTheme="majorHAnsi" w:eastAsia="Calibri" w:hAnsiTheme="majorHAnsi"/>
          <w:sz w:val="20"/>
          <w:szCs w:val="20"/>
          <w:lang w:val="es-AR"/>
        </w:rPr>
        <w:t xml:space="preserve">fue </w:t>
      </w:r>
      <w:r w:rsidR="00C21134" w:rsidRPr="00386E47">
        <w:rPr>
          <w:rFonts w:asciiTheme="majorHAnsi" w:eastAsia="Calibri" w:hAnsiTheme="majorHAnsi"/>
          <w:sz w:val="20"/>
          <w:szCs w:val="20"/>
          <w:lang w:val="es-AR"/>
        </w:rPr>
        <w:t>ordenado e iniciado</w:t>
      </w:r>
      <w:r w:rsidR="00F71061" w:rsidRPr="00386E47">
        <w:rPr>
          <w:rFonts w:asciiTheme="majorHAnsi" w:eastAsia="Calibri" w:hAnsiTheme="majorHAnsi"/>
          <w:sz w:val="20"/>
          <w:szCs w:val="20"/>
          <w:lang w:val="es-AR"/>
        </w:rPr>
        <w:t xml:space="preserve"> recién en marzo de 2016, es decir, a casi 22 años de acontecidos los hechos</w:t>
      </w:r>
      <w:r w:rsidR="00C21134" w:rsidRPr="00386E47">
        <w:rPr>
          <w:rFonts w:asciiTheme="majorHAnsi" w:eastAsia="Calibri" w:hAnsiTheme="majorHAnsi"/>
          <w:sz w:val="20"/>
          <w:szCs w:val="20"/>
          <w:lang w:val="es-AR"/>
        </w:rPr>
        <w:t xml:space="preserve">. Esta situación </w:t>
      </w:r>
      <w:r w:rsidRPr="00386E47">
        <w:rPr>
          <w:rFonts w:asciiTheme="majorHAnsi" w:eastAsia="Calibri" w:hAnsiTheme="majorHAnsi"/>
          <w:sz w:val="20"/>
          <w:szCs w:val="20"/>
          <w:lang w:val="es-AR"/>
        </w:rPr>
        <w:t>constituye</w:t>
      </w:r>
      <w:r w:rsidR="002A3811" w:rsidRPr="00386E47">
        <w:rPr>
          <w:rFonts w:asciiTheme="majorHAnsi" w:eastAsia="Calibri" w:hAnsiTheme="majorHAnsi"/>
          <w:sz w:val="20"/>
          <w:szCs w:val="20"/>
          <w:lang w:val="es-AR"/>
        </w:rPr>
        <w:t xml:space="preserve">, </w:t>
      </w:r>
      <w:r w:rsidR="00C21134" w:rsidRPr="00386E47">
        <w:rPr>
          <w:rFonts w:asciiTheme="majorHAnsi" w:eastAsia="Calibri" w:hAnsiTheme="majorHAnsi"/>
          <w:sz w:val="20"/>
          <w:szCs w:val="20"/>
          <w:lang w:val="es-AR"/>
        </w:rPr>
        <w:t xml:space="preserve">a criterio de la </w:t>
      </w:r>
      <w:r w:rsidR="002A3811" w:rsidRPr="00386E47">
        <w:rPr>
          <w:rFonts w:asciiTheme="majorHAnsi" w:eastAsia="Calibri" w:hAnsiTheme="majorHAnsi"/>
          <w:sz w:val="20"/>
          <w:szCs w:val="20"/>
          <w:lang w:val="es-AR"/>
        </w:rPr>
        <w:t xml:space="preserve">Comisión, un incumplimiento del </w:t>
      </w:r>
      <w:r w:rsidRPr="00386E47">
        <w:rPr>
          <w:rFonts w:asciiTheme="majorHAnsi" w:eastAsia="Calibri" w:hAnsiTheme="majorHAnsi"/>
          <w:sz w:val="20"/>
          <w:szCs w:val="20"/>
          <w:lang w:val="es-AR"/>
        </w:rPr>
        <w:t>deber</w:t>
      </w:r>
      <w:r w:rsidR="002A3811" w:rsidRPr="00386E47">
        <w:rPr>
          <w:rFonts w:asciiTheme="majorHAnsi" w:eastAsia="Calibri" w:hAnsiTheme="majorHAnsi"/>
          <w:sz w:val="20"/>
          <w:szCs w:val="20"/>
          <w:lang w:val="es-AR"/>
        </w:rPr>
        <w:t xml:space="preserve"> estatal de actuar con</w:t>
      </w:r>
      <w:r w:rsidRPr="00386E47">
        <w:rPr>
          <w:rFonts w:asciiTheme="majorHAnsi" w:eastAsia="Calibri" w:hAnsiTheme="majorHAnsi"/>
          <w:sz w:val="20"/>
          <w:szCs w:val="20"/>
          <w:lang w:val="es-AR"/>
        </w:rPr>
        <w:t xml:space="preserve"> la debida diligencia</w:t>
      </w:r>
      <w:r w:rsidR="002A3811" w:rsidRPr="00386E47">
        <w:rPr>
          <w:rFonts w:asciiTheme="majorHAnsi" w:eastAsia="Calibri" w:hAnsiTheme="majorHAnsi"/>
          <w:sz w:val="20"/>
          <w:szCs w:val="20"/>
          <w:lang w:val="es-AR"/>
        </w:rPr>
        <w:t xml:space="preserve"> en la investigación de los hechos</w:t>
      </w:r>
      <w:r w:rsidR="00F71061" w:rsidRPr="00386E47">
        <w:rPr>
          <w:rFonts w:asciiTheme="majorHAnsi" w:eastAsia="Calibri" w:hAnsiTheme="majorHAnsi"/>
          <w:sz w:val="20"/>
          <w:szCs w:val="20"/>
          <w:lang w:val="es-AR"/>
        </w:rPr>
        <w:t>.</w:t>
      </w:r>
      <w:r w:rsidR="00340607" w:rsidRPr="00386E47">
        <w:rPr>
          <w:rFonts w:asciiTheme="majorHAnsi" w:eastAsia="Calibri" w:hAnsiTheme="majorHAnsi"/>
          <w:sz w:val="20"/>
          <w:szCs w:val="20"/>
          <w:lang w:val="es-AR"/>
        </w:rPr>
        <w:t xml:space="preserve"> </w:t>
      </w:r>
      <w:r w:rsidR="00826A3B" w:rsidRPr="00386E47">
        <w:rPr>
          <w:rFonts w:asciiTheme="majorHAnsi" w:eastAsia="Calibri" w:hAnsiTheme="majorHAnsi"/>
          <w:sz w:val="20"/>
          <w:szCs w:val="20"/>
          <w:lang w:val="es-AR"/>
        </w:rPr>
        <w:t>C</w:t>
      </w:r>
      <w:r w:rsidR="008F2D2C" w:rsidRPr="00386E47">
        <w:rPr>
          <w:rFonts w:asciiTheme="majorHAnsi" w:eastAsia="Calibri" w:hAnsiTheme="majorHAnsi"/>
          <w:sz w:val="20"/>
          <w:szCs w:val="20"/>
          <w:lang w:val="es-AR"/>
        </w:rPr>
        <w:t xml:space="preserve">omo se </w:t>
      </w:r>
      <w:r w:rsidR="004432A5" w:rsidRPr="00386E47">
        <w:rPr>
          <w:rFonts w:asciiTheme="majorHAnsi" w:eastAsia="Calibri" w:hAnsiTheme="majorHAnsi"/>
          <w:sz w:val="20"/>
          <w:szCs w:val="20"/>
          <w:lang w:val="es-AR"/>
        </w:rPr>
        <w:lastRenderedPageBreak/>
        <w:t>señalará</w:t>
      </w:r>
      <w:r w:rsidR="008F2D2C" w:rsidRPr="00386E47">
        <w:rPr>
          <w:rFonts w:asciiTheme="majorHAnsi" w:eastAsia="Calibri" w:hAnsiTheme="majorHAnsi"/>
          <w:sz w:val="20"/>
          <w:szCs w:val="20"/>
          <w:lang w:val="es-AR"/>
        </w:rPr>
        <w:t xml:space="preserve"> en los párrafos siguientes, tales demoras </w:t>
      </w:r>
      <w:r w:rsidR="009F70EA" w:rsidRPr="00386E47">
        <w:rPr>
          <w:rFonts w:asciiTheme="majorHAnsi" w:eastAsia="Calibri" w:hAnsiTheme="majorHAnsi"/>
          <w:sz w:val="20"/>
          <w:szCs w:val="20"/>
          <w:lang w:val="es-AR"/>
        </w:rPr>
        <w:t>cobra</w:t>
      </w:r>
      <w:r w:rsidR="008F2D2C" w:rsidRPr="00386E47">
        <w:rPr>
          <w:rFonts w:asciiTheme="majorHAnsi" w:eastAsia="Calibri" w:hAnsiTheme="majorHAnsi"/>
          <w:sz w:val="20"/>
          <w:szCs w:val="20"/>
          <w:lang w:val="es-AR"/>
        </w:rPr>
        <w:t>n</w:t>
      </w:r>
      <w:r w:rsidR="009F70EA" w:rsidRPr="00386E47">
        <w:rPr>
          <w:rFonts w:asciiTheme="majorHAnsi" w:eastAsia="Calibri" w:hAnsiTheme="majorHAnsi"/>
          <w:sz w:val="20"/>
          <w:szCs w:val="20"/>
          <w:lang w:val="es-AR"/>
        </w:rPr>
        <w:t xml:space="preserve"> aún más relevancia si se tienen en cuenta los resultados que arrojó </w:t>
      </w:r>
      <w:r w:rsidR="002B6A9B" w:rsidRPr="00386E47">
        <w:rPr>
          <w:rFonts w:asciiTheme="majorHAnsi" w:eastAsia="Calibri" w:hAnsiTheme="majorHAnsi"/>
          <w:sz w:val="20"/>
          <w:szCs w:val="20"/>
          <w:lang w:val="es-AR"/>
        </w:rPr>
        <w:t xml:space="preserve">la medida </w:t>
      </w:r>
      <w:r w:rsidR="0023330E" w:rsidRPr="00386E47">
        <w:rPr>
          <w:rFonts w:asciiTheme="majorHAnsi" w:eastAsia="Calibri" w:hAnsiTheme="majorHAnsi"/>
          <w:sz w:val="20"/>
          <w:szCs w:val="20"/>
          <w:lang w:val="es-AR"/>
        </w:rPr>
        <w:t xml:space="preserve">una vez que </w:t>
      </w:r>
      <w:r w:rsidR="002B6A9B" w:rsidRPr="00386E47">
        <w:rPr>
          <w:rFonts w:asciiTheme="majorHAnsi" w:eastAsia="Calibri" w:hAnsiTheme="majorHAnsi"/>
          <w:sz w:val="20"/>
          <w:szCs w:val="20"/>
          <w:lang w:val="es-AR"/>
        </w:rPr>
        <w:t xml:space="preserve">fue </w:t>
      </w:r>
      <w:r w:rsidR="009F70EA" w:rsidRPr="00386E47">
        <w:rPr>
          <w:rFonts w:asciiTheme="majorHAnsi" w:eastAsia="Calibri" w:hAnsiTheme="majorHAnsi"/>
          <w:sz w:val="20"/>
          <w:szCs w:val="20"/>
          <w:lang w:val="es-AR"/>
        </w:rPr>
        <w:t xml:space="preserve">culminada. </w:t>
      </w:r>
    </w:p>
    <w:p w14:paraId="76D01498" w14:textId="77777777" w:rsidR="00335B7F" w:rsidRPr="00386E47" w:rsidRDefault="00335B7F" w:rsidP="00A311A0">
      <w:pPr>
        <w:tabs>
          <w:tab w:val="left" w:pos="567"/>
        </w:tabs>
        <w:contextualSpacing/>
        <w:jc w:val="both"/>
        <w:rPr>
          <w:rFonts w:asciiTheme="majorHAnsi" w:eastAsia="Calibri" w:hAnsiTheme="majorHAnsi"/>
          <w:sz w:val="20"/>
          <w:szCs w:val="20"/>
          <w:lang w:val="es-AR"/>
        </w:rPr>
      </w:pPr>
    </w:p>
    <w:p w14:paraId="27B300B5" w14:textId="77777777" w:rsidR="009F70EA" w:rsidRPr="00386E47" w:rsidRDefault="009F70EA" w:rsidP="009146F2">
      <w:pPr>
        <w:pStyle w:val="Heading5"/>
        <w:numPr>
          <w:ilvl w:val="0"/>
          <w:numId w:val="69"/>
        </w:numPr>
      </w:pPr>
      <w:r w:rsidRPr="00386E47">
        <w:t>Respecto a la determinación de la identidad de la persona que se habría inmolado en el atentado</w:t>
      </w:r>
      <w:r w:rsidR="00E51C4F" w:rsidRPr="00386E47">
        <w:t xml:space="preserve"> </w:t>
      </w:r>
    </w:p>
    <w:p w14:paraId="192EF267" w14:textId="77777777" w:rsidR="00D96DFC" w:rsidRPr="00386E47" w:rsidRDefault="00D96DFC" w:rsidP="00A311A0">
      <w:pPr>
        <w:tabs>
          <w:tab w:val="left" w:pos="567"/>
        </w:tabs>
        <w:contextualSpacing/>
        <w:jc w:val="both"/>
        <w:rPr>
          <w:rFonts w:asciiTheme="majorHAnsi" w:eastAsia="Calibri" w:hAnsiTheme="majorHAnsi"/>
          <w:b/>
          <w:sz w:val="20"/>
          <w:szCs w:val="20"/>
          <w:lang w:val="es-AR"/>
        </w:rPr>
      </w:pPr>
    </w:p>
    <w:p w14:paraId="39161A4E" w14:textId="77777777" w:rsidR="00D54921" w:rsidRPr="00386E47" w:rsidRDefault="00A34097" w:rsidP="00DD1075">
      <w:pPr>
        <w:numPr>
          <w:ilvl w:val="0"/>
          <w:numId w:val="55"/>
        </w:numPr>
        <w:tabs>
          <w:tab w:val="left" w:pos="567"/>
        </w:tabs>
        <w:ind w:left="0" w:firstLine="0"/>
        <w:contextualSpacing/>
        <w:jc w:val="both"/>
        <w:rPr>
          <w:rFonts w:asciiTheme="majorHAnsi" w:eastAsia="Calibri" w:hAnsiTheme="majorHAnsi"/>
          <w:b/>
          <w:sz w:val="20"/>
          <w:szCs w:val="20"/>
          <w:lang w:val="es-AR"/>
        </w:rPr>
      </w:pPr>
      <w:r w:rsidRPr="00386E47">
        <w:rPr>
          <w:rFonts w:asciiTheme="majorHAnsi" w:eastAsia="Calibri" w:hAnsiTheme="majorHAnsi"/>
          <w:sz w:val="20"/>
          <w:szCs w:val="20"/>
          <w:lang w:val="es-AR"/>
        </w:rPr>
        <w:t xml:space="preserve">El </w:t>
      </w:r>
      <w:r w:rsidR="009F70EA" w:rsidRPr="00386E47">
        <w:rPr>
          <w:rFonts w:asciiTheme="majorHAnsi" w:eastAsia="Calibri" w:hAnsiTheme="majorHAnsi"/>
          <w:sz w:val="20"/>
          <w:szCs w:val="20"/>
          <w:lang w:val="es-AR"/>
        </w:rPr>
        <w:t xml:space="preserve"> TOF 3 en su sentencia de octubre de 2004 </w:t>
      </w:r>
      <w:r w:rsidR="00891749" w:rsidRPr="00386E47">
        <w:rPr>
          <w:rFonts w:asciiTheme="majorHAnsi" w:eastAsia="Calibri" w:hAnsiTheme="majorHAnsi"/>
          <w:sz w:val="20"/>
          <w:szCs w:val="20"/>
          <w:lang w:val="es-AR"/>
        </w:rPr>
        <w:t>concluyó que</w:t>
      </w:r>
      <w:r w:rsidR="009F70EA" w:rsidRPr="00386E47">
        <w:rPr>
          <w:rFonts w:asciiTheme="majorHAnsi" w:eastAsia="Calibri" w:hAnsiTheme="majorHAnsi"/>
          <w:sz w:val="20"/>
          <w:szCs w:val="20"/>
          <w:lang w:val="es-AR"/>
        </w:rPr>
        <w:t xml:space="preserve"> el atentado a la AMIA </w:t>
      </w:r>
      <w:r w:rsidR="00041323" w:rsidRPr="00386E47">
        <w:rPr>
          <w:rFonts w:asciiTheme="majorHAnsi" w:eastAsia="Calibri" w:hAnsiTheme="majorHAnsi"/>
          <w:sz w:val="20"/>
          <w:szCs w:val="20"/>
          <w:lang w:val="es-AR"/>
        </w:rPr>
        <w:t>fue</w:t>
      </w:r>
      <w:r w:rsidR="009F70EA" w:rsidRPr="00386E47">
        <w:rPr>
          <w:rFonts w:asciiTheme="majorHAnsi" w:eastAsia="Calibri" w:hAnsiTheme="majorHAnsi"/>
          <w:sz w:val="20"/>
          <w:szCs w:val="20"/>
          <w:lang w:val="es-AR"/>
        </w:rPr>
        <w:t xml:space="preserve"> provocado por la detonación de una carga explosiva colocada en la parte trasera de una camioneta Renault Trafic</w:t>
      </w:r>
      <w:r w:rsidR="009F70EA" w:rsidRPr="00386E47">
        <w:rPr>
          <w:rFonts w:asciiTheme="majorHAnsi" w:eastAsia="Calibri" w:hAnsiTheme="majorHAnsi"/>
          <w:sz w:val="20"/>
          <w:szCs w:val="20"/>
          <w:vertAlign w:val="superscript"/>
          <w:lang w:val="es-AR"/>
        </w:rPr>
        <w:footnoteReference w:id="231"/>
      </w:r>
      <w:r w:rsidR="009F70EA" w:rsidRPr="00386E47">
        <w:rPr>
          <w:rFonts w:asciiTheme="majorHAnsi" w:eastAsia="Calibri" w:hAnsiTheme="majorHAnsi"/>
          <w:sz w:val="20"/>
          <w:szCs w:val="20"/>
          <w:lang w:val="es-AR"/>
        </w:rPr>
        <w:t xml:space="preserve">. </w:t>
      </w:r>
      <w:r w:rsidR="00826A3B" w:rsidRPr="00386E47">
        <w:rPr>
          <w:rFonts w:asciiTheme="majorHAnsi" w:eastAsia="Calibri" w:hAnsiTheme="majorHAnsi"/>
          <w:sz w:val="20"/>
          <w:szCs w:val="20"/>
          <w:lang w:val="es-AR"/>
        </w:rPr>
        <w:t>E</w:t>
      </w:r>
      <w:r w:rsidR="006C0095" w:rsidRPr="00386E47">
        <w:rPr>
          <w:rFonts w:asciiTheme="majorHAnsi" w:eastAsia="Calibri" w:hAnsiTheme="majorHAnsi"/>
          <w:sz w:val="20"/>
          <w:szCs w:val="20"/>
          <w:lang w:val="es-AR"/>
        </w:rPr>
        <w:t>n</w:t>
      </w:r>
      <w:r w:rsidR="009F70EA" w:rsidRPr="00386E47">
        <w:rPr>
          <w:rFonts w:asciiTheme="majorHAnsi" w:eastAsia="Calibri" w:hAnsiTheme="majorHAnsi"/>
          <w:sz w:val="20"/>
          <w:szCs w:val="20"/>
          <w:lang w:val="es-AR"/>
        </w:rPr>
        <w:t xml:space="preserve"> el dictamen de fecha 25 de octubre de 2006, la UFI AMIA </w:t>
      </w:r>
      <w:r w:rsidR="00D54921" w:rsidRPr="00386E47">
        <w:rPr>
          <w:rFonts w:asciiTheme="majorHAnsi" w:eastAsia="Calibri" w:hAnsiTheme="majorHAnsi"/>
          <w:sz w:val="20"/>
          <w:szCs w:val="20"/>
          <w:lang w:val="es-AR"/>
        </w:rPr>
        <w:t>señal</w:t>
      </w:r>
      <w:r w:rsidR="007146CB" w:rsidRPr="00386E47">
        <w:rPr>
          <w:rFonts w:asciiTheme="majorHAnsi" w:eastAsia="Calibri" w:hAnsiTheme="majorHAnsi"/>
          <w:sz w:val="20"/>
          <w:szCs w:val="20"/>
          <w:lang w:val="es-AR"/>
        </w:rPr>
        <w:t>ó</w:t>
      </w:r>
      <w:r w:rsidR="00D54921" w:rsidRPr="00386E47">
        <w:rPr>
          <w:rFonts w:asciiTheme="majorHAnsi" w:eastAsia="Calibri" w:hAnsiTheme="majorHAnsi"/>
          <w:sz w:val="20"/>
          <w:szCs w:val="20"/>
          <w:lang w:val="es-AR"/>
        </w:rPr>
        <w:t xml:space="preserve"> a un ciudadano de origen libanés llamado Ibrahim Hussein Berro como el conductor de la Trafic que</w:t>
      </w:r>
      <w:r w:rsidR="009F70EA" w:rsidRPr="00386E47">
        <w:rPr>
          <w:rFonts w:asciiTheme="majorHAnsi" w:eastAsia="Calibri" w:hAnsiTheme="majorHAnsi"/>
          <w:sz w:val="20"/>
          <w:szCs w:val="20"/>
          <w:lang w:val="es-AR"/>
        </w:rPr>
        <w:t xml:space="preserve"> se</w:t>
      </w:r>
      <w:r w:rsidR="00891749" w:rsidRPr="00386E47">
        <w:rPr>
          <w:rFonts w:asciiTheme="majorHAnsi" w:eastAsia="Calibri" w:hAnsiTheme="majorHAnsi"/>
          <w:sz w:val="20"/>
          <w:szCs w:val="20"/>
          <w:lang w:val="es-AR"/>
        </w:rPr>
        <w:t xml:space="preserve"> habría</w:t>
      </w:r>
      <w:r w:rsidR="009F70EA" w:rsidRPr="00386E47">
        <w:rPr>
          <w:rFonts w:asciiTheme="majorHAnsi" w:eastAsia="Calibri" w:hAnsiTheme="majorHAnsi"/>
          <w:sz w:val="20"/>
          <w:szCs w:val="20"/>
          <w:lang w:val="es-AR"/>
        </w:rPr>
        <w:t xml:space="preserve"> </w:t>
      </w:r>
      <w:r w:rsidR="007146CB" w:rsidRPr="00386E47">
        <w:rPr>
          <w:rFonts w:asciiTheme="majorHAnsi" w:eastAsia="Calibri" w:hAnsiTheme="majorHAnsi"/>
          <w:sz w:val="20"/>
          <w:szCs w:val="20"/>
          <w:lang w:val="es-AR"/>
        </w:rPr>
        <w:t>estrella</w:t>
      </w:r>
      <w:r w:rsidR="00826A3B" w:rsidRPr="00386E47">
        <w:rPr>
          <w:rFonts w:asciiTheme="majorHAnsi" w:eastAsia="Calibri" w:hAnsiTheme="majorHAnsi"/>
          <w:sz w:val="20"/>
          <w:szCs w:val="20"/>
          <w:lang w:val="es-AR"/>
        </w:rPr>
        <w:t>d</w:t>
      </w:r>
      <w:r w:rsidR="007146CB" w:rsidRPr="00386E47">
        <w:rPr>
          <w:rFonts w:asciiTheme="majorHAnsi" w:eastAsia="Calibri" w:hAnsiTheme="majorHAnsi"/>
          <w:sz w:val="20"/>
          <w:szCs w:val="20"/>
          <w:lang w:val="es-AR"/>
        </w:rPr>
        <w:t xml:space="preserve">o </w:t>
      </w:r>
      <w:r w:rsidR="009F70EA" w:rsidRPr="00386E47">
        <w:rPr>
          <w:rFonts w:asciiTheme="majorHAnsi" w:eastAsia="Calibri" w:hAnsiTheme="majorHAnsi"/>
          <w:sz w:val="20"/>
          <w:szCs w:val="20"/>
          <w:lang w:val="es-AR"/>
        </w:rPr>
        <w:t>frente a la AMIA. De acuerdo con los fiscales, la primera información que relacionó el nombre de Berro con el atentado fue proporcionada por una fuente cuya identidad se mantuvo en reserva a lo largo del dictamen</w:t>
      </w:r>
      <w:r w:rsidR="00D54921" w:rsidRPr="00386E47">
        <w:rPr>
          <w:rFonts w:asciiTheme="majorHAnsi" w:eastAsia="Calibri" w:hAnsiTheme="majorHAnsi"/>
          <w:sz w:val="20"/>
          <w:szCs w:val="20"/>
          <w:lang w:val="es-AR"/>
        </w:rPr>
        <w:t xml:space="preserve"> durante</w:t>
      </w:r>
      <w:r w:rsidR="009F70EA" w:rsidRPr="00386E47">
        <w:rPr>
          <w:rFonts w:asciiTheme="majorHAnsi" w:eastAsia="Calibri" w:hAnsiTheme="majorHAnsi"/>
          <w:sz w:val="20"/>
          <w:szCs w:val="20"/>
          <w:lang w:val="es-AR"/>
        </w:rPr>
        <w:t xml:space="preserve"> un</w:t>
      </w:r>
      <w:r w:rsidR="007146CB" w:rsidRPr="00386E47">
        <w:rPr>
          <w:rFonts w:asciiTheme="majorHAnsi" w:eastAsia="Calibri" w:hAnsiTheme="majorHAnsi"/>
          <w:sz w:val="20"/>
          <w:szCs w:val="20"/>
          <w:lang w:val="es-AR"/>
        </w:rPr>
        <w:t xml:space="preserve">a entrevista </w:t>
      </w:r>
      <w:r w:rsidR="009F70EA" w:rsidRPr="00386E47">
        <w:rPr>
          <w:rFonts w:asciiTheme="majorHAnsi" w:eastAsia="Calibri" w:hAnsiTheme="majorHAnsi"/>
          <w:sz w:val="20"/>
          <w:szCs w:val="20"/>
          <w:lang w:val="es-AR"/>
        </w:rPr>
        <w:t>celebrada en la ciudad de Montevideo en el año 2001</w:t>
      </w:r>
      <w:r w:rsidR="007146CB" w:rsidRPr="00386E47">
        <w:rPr>
          <w:rFonts w:asciiTheme="majorHAnsi" w:eastAsia="Calibri" w:hAnsiTheme="majorHAnsi"/>
          <w:sz w:val="20"/>
          <w:szCs w:val="20"/>
          <w:lang w:val="es-AR"/>
        </w:rPr>
        <w:t xml:space="preserve"> con </w:t>
      </w:r>
      <w:r w:rsidR="009F70EA" w:rsidRPr="00386E47">
        <w:rPr>
          <w:rFonts w:asciiTheme="majorHAnsi" w:eastAsia="Calibri" w:hAnsiTheme="majorHAnsi"/>
          <w:sz w:val="20"/>
          <w:szCs w:val="20"/>
          <w:lang w:val="es-AR"/>
        </w:rPr>
        <w:t xml:space="preserve">agentes de la SIDE y el FBI. </w:t>
      </w:r>
      <w:r w:rsidR="00D54921" w:rsidRPr="00386E47">
        <w:rPr>
          <w:rFonts w:asciiTheme="majorHAnsi" w:eastAsia="Calibri" w:hAnsiTheme="majorHAnsi"/>
          <w:sz w:val="20"/>
          <w:szCs w:val="20"/>
          <w:lang w:val="es-AR"/>
        </w:rPr>
        <w:t>Dicha</w:t>
      </w:r>
      <w:r w:rsidR="009F70EA" w:rsidRPr="00386E47">
        <w:rPr>
          <w:rFonts w:asciiTheme="majorHAnsi" w:eastAsia="Calibri" w:hAnsiTheme="majorHAnsi"/>
          <w:sz w:val="20"/>
          <w:szCs w:val="20"/>
          <w:lang w:val="es-AR"/>
        </w:rPr>
        <w:t xml:space="preserve"> fuente, identificada como “un ciudada</w:t>
      </w:r>
      <w:r w:rsidR="000645DE" w:rsidRPr="00386E47">
        <w:rPr>
          <w:rFonts w:asciiTheme="majorHAnsi" w:eastAsia="Calibri" w:hAnsiTheme="majorHAnsi"/>
          <w:sz w:val="20"/>
          <w:szCs w:val="20"/>
          <w:lang w:val="es-AR"/>
        </w:rPr>
        <w:t xml:space="preserve">no libanés, </w:t>
      </w:r>
      <w:r w:rsidR="009F70EA" w:rsidRPr="00386E47">
        <w:rPr>
          <w:rFonts w:asciiTheme="majorHAnsi" w:eastAsia="Calibri" w:hAnsiTheme="majorHAnsi"/>
          <w:sz w:val="20"/>
          <w:szCs w:val="20"/>
          <w:lang w:val="es-AR"/>
        </w:rPr>
        <w:t>ex militante del grupo terrorista Hezbollah”, aseguró que una persona que viv</w:t>
      </w:r>
      <w:r w:rsidR="00D54921" w:rsidRPr="00386E47">
        <w:rPr>
          <w:rFonts w:asciiTheme="majorHAnsi" w:eastAsia="Calibri" w:hAnsiTheme="majorHAnsi"/>
          <w:sz w:val="20"/>
          <w:szCs w:val="20"/>
          <w:lang w:val="es-AR"/>
        </w:rPr>
        <w:t>ía cerca de su domicilio llamada</w:t>
      </w:r>
      <w:r w:rsidR="009F70EA" w:rsidRPr="00386E47">
        <w:rPr>
          <w:rFonts w:asciiTheme="majorHAnsi" w:eastAsia="Calibri" w:hAnsiTheme="majorHAnsi"/>
          <w:sz w:val="20"/>
          <w:szCs w:val="20"/>
          <w:lang w:val="es-AR"/>
        </w:rPr>
        <w:t xml:space="preserve"> Abu Mohamed Yassin le había afirmado que “el apellido de aquel que cumplió el rol de suicida en el atentado a la sede de la AMIA era Brru”</w:t>
      </w:r>
      <w:r w:rsidR="009F70EA" w:rsidRPr="00386E47">
        <w:rPr>
          <w:rFonts w:asciiTheme="majorHAnsi" w:eastAsia="Calibri" w:hAnsiTheme="majorHAnsi"/>
          <w:sz w:val="20"/>
          <w:szCs w:val="20"/>
          <w:vertAlign w:val="superscript"/>
          <w:lang w:val="es-AR"/>
        </w:rPr>
        <w:footnoteReference w:id="232"/>
      </w:r>
      <w:r w:rsidR="002C22A1" w:rsidRPr="00386E47">
        <w:rPr>
          <w:rFonts w:asciiTheme="majorHAnsi" w:eastAsia="Calibri" w:hAnsiTheme="majorHAnsi"/>
          <w:sz w:val="20"/>
          <w:szCs w:val="20"/>
          <w:lang w:val="es-AR"/>
        </w:rPr>
        <w:t>.</w:t>
      </w:r>
    </w:p>
    <w:p w14:paraId="1FFC07B7" w14:textId="77777777" w:rsidR="00245A1A" w:rsidRPr="00386E47" w:rsidRDefault="00245A1A" w:rsidP="00245A1A">
      <w:pPr>
        <w:tabs>
          <w:tab w:val="left" w:pos="567"/>
        </w:tabs>
        <w:contextualSpacing/>
        <w:jc w:val="both"/>
        <w:rPr>
          <w:rFonts w:asciiTheme="majorHAnsi" w:eastAsia="Calibri" w:hAnsiTheme="majorHAnsi"/>
          <w:b/>
          <w:sz w:val="20"/>
          <w:szCs w:val="20"/>
          <w:lang w:val="es-AR"/>
        </w:rPr>
      </w:pPr>
    </w:p>
    <w:p w14:paraId="22C0C81B" w14:textId="77777777" w:rsidR="00D54921" w:rsidRPr="00386E47" w:rsidRDefault="009F70EA" w:rsidP="003A5860">
      <w:pPr>
        <w:numPr>
          <w:ilvl w:val="0"/>
          <w:numId w:val="55"/>
        </w:numPr>
        <w:tabs>
          <w:tab w:val="left" w:pos="567"/>
        </w:tabs>
        <w:ind w:left="0" w:firstLine="0"/>
        <w:jc w:val="both"/>
        <w:rPr>
          <w:rFonts w:asciiTheme="majorHAnsi" w:eastAsia="Calibri" w:hAnsiTheme="majorHAnsi"/>
          <w:b/>
          <w:sz w:val="20"/>
          <w:szCs w:val="20"/>
          <w:lang w:val="es-AR"/>
        </w:rPr>
      </w:pPr>
      <w:r w:rsidRPr="00386E47">
        <w:rPr>
          <w:rFonts w:asciiTheme="majorHAnsi" w:eastAsia="Calibri" w:hAnsiTheme="majorHAnsi"/>
          <w:sz w:val="20"/>
          <w:szCs w:val="20"/>
          <w:lang w:val="es-AR"/>
        </w:rPr>
        <w:t xml:space="preserve">En las páginas subsiguientes del dictamen, los fiscales mencionaron una serie de elementos que comprobarían lo expuesto por el individuo que </w:t>
      </w:r>
      <w:r w:rsidR="00C77B23" w:rsidRPr="00386E47">
        <w:rPr>
          <w:rFonts w:asciiTheme="majorHAnsi" w:eastAsia="Calibri" w:hAnsiTheme="majorHAnsi"/>
          <w:sz w:val="20"/>
          <w:szCs w:val="20"/>
          <w:lang w:val="es-AR"/>
        </w:rPr>
        <w:t>fue entrevistado por los agentes de la SIDE en la República Oriental del</w:t>
      </w:r>
      <w:r w:rsidRPr="00386E47">
        <w:rPr>
          <w:rFonts w:asciiTheme="majorHAnsi" w:eastAsia="Calibri" w:hAnsiTheme="majorHAnsi"/>
          <w:sz w:val="20"/>
          <w:szCs w:val="20"/>
          <w:lang w:val="es-AR"/>
        </w:rPr>
        <w:t xml:space="preserve"> Uruguay. En primer término, </w:t>
      </w:r>
      <w:r w:rsidR="000B3023" w:rsidRPr="00386E47">
        <w:rPr>
          <w:rFonts w:asciiTheme="majorHAnsi" w:eastAsia="Calibri" w:hAnsiTheme="majorHAnsi"/>
          <w:sz w:val="20"/>
          <w:szCs w:val="20"/>
          <w:lang w:val="es-AR"/>
        </w:rPr>
        <w:t>consignaron</w:t>
      </w:r>
      <w:r w:rsidRPr="00386E47">
        <w:rPr>
          <w:rFonts w:asciiTheme="majorHAnsi" w:eastAsia="Calibri" w:hAnsiTheme="majorHAnsi"/>
          <w:sz w:val="20"/>
          <w:szCs w:val="20"/>
          <w:lang w:val="es-AR"/>
        </w:rPr>
        <w:t xml:space="preserve"> que el testigo Abolghasem Mesbahi afirm</w:t>
      </w:r>
      <w:r w:rsidR="00891749" w:rsidRPr="00386E47">
        <w:rPr>
          <w:rFonts w:asciiTheme="majorHAnsi" w:eastAsia="Calibri" w:hAnsiTheme="majorHAnsi"/>
          <w:sz w:val="20"/>
          <w:szCs w:val="20"/>
          <w:lang w:val="es-AR"/>
        </w:rPr>
        <w:t>ó</w:t>
      </w:r>
      <w:r w:rsidRPr="00386E47">
        <w:rPr>
          <w:rFonts w:asciiTheme="majorHAnsi" w:eastAsia="Calibri" w:hAnsiTheme="majorHAnsi"/>
          <w:sz w:val="20"/>
          <w:szCs w:val="20"/>
          <w:lang w:val="es-AR"/>
        </w:rPr>
        <w:t xml:space="preserve"> frente al TOF 3 que la persona que se había inmolado era de origen libanés</w:t>
      </w:r>
      <w:r w:rsidR="00DF7A10" w:rsidRPr="00386E47">
        <w:rPr>
          <w:rStyle w:val="FootnoteReference"/>
          <w:rFonts w:asciiTheme="majorHAnsi" w:eastAsia="Calibri" w:hAnsiTheme="majorHAnsi"/>
          <w:sz w:val="20"/>
          <w:szCs w:val="20"/>
          <w:lang w:val="es-AR"/>
        </w:rPr>
        <w:footnoteReference w:id="233"/>
      </w:r>
      <w:r w:rsidRPr="00386E47">
        <w:rPr>
          <w:rFonts w:asciiTheme="majorHAnsi" w:eastAsia="Calibri" w:hAnsiTheme="majorHAnsi"/>
          <w:sz w:val="20"/>
          <w:szCs w:val="20"/>
          <w:lang w:val="es-AR"/>
        </w:rPr>
        <w:t xml:space="preserve">. En segundo </w:t>
      </w:r>
      <w:r w:rsidR="001128D5" w:rsidRPr="00386E47">
        <w:rPr>
          <w:rFonts w:asciiTheme="majorHAnsi" w:eastAsia="Calibri" w:hAnsiTheme="majorHAnsi"/>
          <w:sz w:val="20"/>
          <w:szCs w:val="20"/>
          <w:lang w:val="es-AR"/>
        </w:rPr>
        <w:t xml:space="preserve">lugar, </w:t>
      </w:r>
      <w:r w:rsidRPr="00386E47">
        <w:rPr>
          <w:rFonts w:asciiTheme="majorHAnsi" w:eastAsia="Calibri" w:hAnsiTheme="majorHAnsi"/>
          <w:sz w:val="20"/>
          <w:szCs w:val="20"/>
          <w:lang w:val="es-AR"/>
        </w:rPr>
        <w:t>los fiscales cita</w:t>
      </w:r>
      <w:r w:rsidR="00826A3B" w:rsidRPr="00386E47">
        <w:rPr>
          <w:rFonts w:asciiTheme="majorHAnsi" w:eastAsia="Calibri" w:hAnsiTheme="majorHAnsi"/>
          <w:sz w:val="20"/>
          <w:szCs w:val="20"/>
          <w:lang w:val="es-AR"/>
        </w:rPr>
        <w:t>ron</w:t>
      </w:r>
      <w:r w:rsidRPr="00386E47">
        <w:rPr>
          <w:rFonts w:asciiTheme="majorHAnsi" w:eastAsia="Calibri" w:hAnsiTheme="majorHAnsi"/>
          <w:sz w:val="20"/>
          <w:szCs w:val="20"/>
          <w:lang w:val="es-AR"/>
        </w:rPr>
        <w:t xml:space="preserve"> en numerosos tramos “información proporcionada oportunamente por la Secretaria de Inteligencia”</w:t>
      </w:r>
      <w:r w:rsidRPr="00386E47">
        <w:rPr>
          <w:rFonts w:asciiTheme="majorHAnsi" w:eastAsia="Calibri" w:hAnsiTheme="majorHAnsi"/>
          <w:sz w:val="20"/>
          <w:szCs w:val="20"/>
          <w:vertAlign w:val="superscript"/>
          <w:lang w:val="es-AR"/>
        </w:rPr>
        <w:footnoteReference w:id="234"/>
      </w:r>
      <w:r w:rsidRPr="00386E47">
        <w:rPr>
          <w:rFonts w:asciiTheme="majorHAnsi" w:eastAsia="Calibri" w:hAnsiTheme="majorHAnsi"/>
          <w:sz w:val="20"/>
          <w:szCs w:val="20"/>
          <w:lang w:val="es-AR"/>
        </w:rPr>
        <w:t xml:space="preserve"> e información aportada por un “servicio colateral” de la Secretar</w:t>
      </w:r>
      <w:r w:rsidR="00891749" w:rsidRPr="00386E47">
        <w:rPr>
          <w:rFonts w:asciiTheme="majorHAnsi" w:eastAsia="Calibri" w:hAnsiTheme="majorHAnsi"/>
          <w:sz w:val="20"/>
          <w:szCs w:val="20"/>
          <w:lang w:val="es-AR"/>
        </w:rPr>
        <w:t>í</w:t>
      </w:r>
      <w:r w:rsidRPr="00386E47">
        <w:rPr>
          <w:rFonts w:asciiTheme="majorHAnsi" w:eastAsia="Calibri" w:hAnsiTheme="majorHAnsi"/>
          <w:sz w:val="20"/>
          <w:szCs w:val="20"/>
          <w:lang w:val="es-AR"/>
        </w:rPr>
        <w:t>a de Inteligencia</w:t>
      </w:r>
      <w:r w:rsidRPr="00386E47">
        <w:rPr>
          <w:rFonts w:asciiTheme="majorHAnsi" w:eastAsia="Calibri" w:hAnsiTheme="majorHAnsi"/>
          <w:sz w:val="20"/>
          <w:szCs w:val="20"/>
          <w:vertAlign w:val="superscript"/>
          <w:lang w:val="es-AR"/>
        </w:rPr>
        <w:footnoteReference w:id="235"/>
      </w:r>
      <w:r w:rsidRPr="00386E47">
        <w:rPr>
          <w:rFonts w:asciiTheme="majorHAnsi" w:eastAsia="Calibri" w:hAnsiTheme="majorHAnsi"/>
          <w:sz w:val="20"/>
          <w:szCs w:val="20"/>
          <w:lang w:val="es-AR"/>
        </w:rPr>
        <w:t>, las cuales estarían incorporadas en un dossier producido por la SIDE, titulado “Informe Internacional”</w:t>
      </w:r>
      <w:r w:rsidR="00826A3B" w:rsidRPr="00386E47">
        <w:rPr>
          <w:rFonts w:asciiTheme="majorHAnsi" w:eastAsia="Calibri" w:hAnsiTheme="majorHAnsi"/>
          <w:sz w:val="20"/>
          <w:szCs w:val="20"/>
          <w:lang w:val="es-AR"/>
        </w:rPr>
        <w:t xml:space="preserve"> y que respaldarían en gran medida la citada hipótesis</w:t>
      </w:r>
      <w:r w:rsidRPr="00386E47">
        <w:rPr>
          <w:rFonts w:asciiTheme="majorHAnsi" w:eastAsia="Calibri" w:hAnsiTheme="majorHAnsi"/>
          <w:sz w:val="20"/>
          <w:szCs w:val="20"/>
          <w:lang w:val="es-AR"/>
        </w:rPr>
        <w:t xml:space="preserve">. </w:t>
      </w:r>
    </w:p>
    <w:p w14:paraId="58C9785E" w14:textId="77777777" w:rsidR="007146CB" w:rsidRPr="00386E47" w:rsidRDefault="007146CB" w:rsidP="007146CB">
      <w:pPr>
        <w:pStyle w:val="ListParagraph"/>
        <w:rPr>
          <w:rFonts w:asciiTheme="majorHAnsi" w:eastAsia="Calibri" w:hAnsiTheme="majorHAnsi"/>
          <w:b/>
          <w:sz w:val="20"/>
          <w:szCs w:val="20"/>
          <w:lang w:val="es-AR"/>
        </w:rPr>
      </w:pPr>
    </w:p>
    <w:p w14:paraId="441B8FB5" w14:textId="77777777" w:rsidR="00D95C63" w:rsidRPr="00386E47" w:rsidRDefault="00D95C63" w:rsidP="003A5860">
      <w:pPr>
        <w:numPr>
          <w:ilvl w:val="0"/>
          <w:numId w:val="55"/>
        </w:numPr>
        <w:tabs>
          <w:tab w:val="left" w:pos="567"/>
        </w:tabs>
        <w:ind w:left="0" w:firstLine="0"/>
        <w:jc w:val="both"/>
        <w:rPr>
          <w:rFonts w:asciiTheme="majorHAnsi" w:eastAsia="Calibri" w:hAnsiTheme="majorHAnsi"/>
          <w:sz w:val="20"/>
          <w:szCs w:val="20"/>
          <w:lang w:val="es-ES"/>
        </w:rPr>
      </w:pPr>
      <w:r w:rsidRPr="00386E47">
        <w:rPr>
          <w:rFonts w:asciiTheme="majorHAnsi" w:eastAsia="Calibri" w:hAnsiTheme="majorHAnsi"/>
          <w:sz w:val="20"/>
          <w:szCs w:val="20"/>
          <w:lang w:val="es-AR"/>
        </w:rPr>
        <w:t>Por otra parte, los fiscales enumeraron una serie de comunicaciones telefónicas que se habrían realizado entre mezquitas ubicadas en la ciudad de Foz de Iguazú y un domicilio en la ciudad de Beirut que pertenecería a una persona identificada como Ahmad Ali Berro. La Comisión destaca en este punto que los fiscales aclararon que no habían podido asegurar con  “certeza acerca del posible grado de vinculación” de esta pe</w:t>
      </w:r>
      <w:r w:rsidR="00CE50A8" w:rsidRPr="00386E47">
        <w:rPr>
          <w:rFonts w:asciiTheme="majorHAnsi" w:eastAsia="Calibri" w:hAnsiTheme="majorHAnsi"/>
          <w:sz w:val="20"/>
          <w:szCs w:val="20"/>
          <w:lang w:val="es-AR"/>
        </w:rPr>
        <w:t>rsona con Ibrahim Hussein Berro</w:t>
      </w:r>
      <w:r w:rsidRPr="00386E47">
        <w:rPr>
          <w:rFonts w:asciiTheme="majorHAnsi" w:hAnsiTheme="majorHAnsi"/>
          <w:sz w:val="20"/>
          <w:szCs w:val="20"/>
          <w:vertAlign w:val="superscript"/>
        </w:rPr>
        <w:footnoteReference w:id="236"/>
      </w:r>
      <w:r w:rsidR="00CE50A8" w:rsidRPr="00386E47">
        <w:rPr>
          <w:rFonts w:asciiTheme="majorHAnsi" w:eastAsia="Calibri" w:hAnsiTheme="majorHAnsi"/>
          <w:sz w:val="20"/>
          <w:szCs w:val="20"/>
          <w:lang w:val="es-US"/>
        </w:rPr>
        <w:t>.</w:t>
      </w:r>
      <w:r w:rsidRPr="00386E47">
        <w:rPr>
          <w:rFonts w:asciiTheme="majorHAnsi" w:eastAsia="Calibri" w:hAnsiTheme="majorHAnsi"/>
          <w:sz w:val="20"/>
          <w:szCs w:val="20"/>
          <w:lang w:val="es-AR"/>
        </w:rPr>
        <w:t xml:space="preserve">  </w:t>
      </w:r>
    </w:p>
    <w:p w14:paraId="7064D942" w14:textId="77777777" w:rsidR="00FA4729" w:rsidRPr="00386E47" w:rsidRDefault="00FA4729" w:rsidP="00347DFB">
      <w:pPr>
        <w:tabs>
          <w:tab w:val="left" w:pos="567"/>
        </w:tabs>
        <w:jc w:val="both"/>
        <w:rPr>
          <w:rFonts w:asciiTheme="majorHAnsi" w:eastAsia="Calibri" w:hAnsiTheme="majorHAnsi"/>
          <w:b/>
          <w:sz w:val="20"/>
          <w:szCs w:val="20"/>
          <w:lang w:val="es-AR"/>
        </w:rPr>
      </w:pPr>
    </w:p>
    <w:p w14:paraId="67EFB641" w14:textId="77777777" w:rsidR="00FC22BD" w:rsidRPr="00386E47" w:rsidRDefault="009F70EA" w:rsidP="003A5860">
      <w:pPr>
        <w:numPr>
          <w:ilvl w:val="0"/>
          <w:numId w:val="55"/>
        </w:numPr>
        <w:tabs>
          <w:tab w:val="left" w:pos="567"/>
        </w:tabs>
        <w:ind w:left="0" w:firstLine="0"/>
        <w:jc w:val="both"/>
        <w:rPr>
          <w:rFonts w:asciiTheme="majorHAnsi" w:eastAsia="Calibri" w:hAnsiTheme="majorHAnsi"/>
          <w:b/>
          <w:sz w:val="20"/>
          <w:szCs w:val="20"/>
          <w:lang w:val="es-AR"/>
        </w:rPr>
      </w:pPr>
      <w:r w:rsidRPr="00386E47">
        <w:rPr>
          <w:rFonts w:asciiTheme="majorHAnsi" w:eastAsia="Calibri" w:hAnsiTheme="majorHAnsi"/>
          <w:sz w:val="20"/>
          <w:szCs w:val="20"/>
          <w:lang w:val="es-AR"/>
        </w:rPr>
        <w:t xml:space="preserve">Adicionalmente, en el dictamen se consigna la información obtenida a partir de una declaración testimonial tomada a dos hermanos de Ibrahim Berro que residían en los Estados Unidos. Los hermanos de Berro afirmaron, en primer lugar, que Ibrahim solía ausentarse del hogar familiar “por periodos largos, de entre dos y tres meses, y que al momento en que su familia recibió la noticia de su muerte, este hacía tiempo que no estaba en su domicilio” </w:t>
      </w:r>
      <w:r w:rsidRPr="00386E47">
        <w:rPr>
          <w:rFonts w:asciiTheme="majorHAnsi" w:eastAsia="Calibri" w:hAnsiTheme="majorHAnsi"/>
          <w:sz w:val="20"/>
          <w:szCs w:val="20"/>
          <w:vertAlign w:val="superscript"/>
          <w:lang w:val="es-AR"/>
        </w:rPr>
        <w:footnoteReference w:id="237"/>
      </w:r>
      <w:r w:rsidRPr="00386E47">
        <w:rPr>
          <w:rFonts w:asciiTheme="majorHAnsi" w:eastAsia="Calibri" w:hAnsiTheme="majorHAnsi"/>
          <w:sz w:val="20"/>
          <w:szCs w:val="20"/>
          <w:lang w:val="es-AR"/>
        </w:rPr>
        <w:t>. En segundo término, aseguraron que a la ceremonia fúnebre por el fallecimiento de Ibrahim asistió el líder del Hezbollah, organización que “había informado que Ibrahim murió en un combate contra tropas israelíes en el sur del Líbano, sin que pudiera ser recuperado su cuerpo”</w:t>
      </w:r>
      <w:r w:rsidRPr="00386E47">
        <w:rPr>
          <w:rFonts w:asciiTheme="majorHAnsi" w:eastAsia="Calibri" w:hAnsiTheme="majorHAnsi"/>
          <w:sz w:val="20"/>
          <w:szCs w:val="20"/>
          <w:vertAlign w:val="superscript"/>
          <w:lang w:val="es-AR"/>
        </w:rPr>
        <w:footnoteReference w:id="238"/>
      </w:r>
      <w:r w:rsidRPr="00386E47">
        <w:rPr>
          <w:rFonts w:asciiTheme="majorHAnsi" w:eastAsia="Calibri" w:hAnsiTheme="majorHAnsi"/>
          <w:sz w:val="20"/>
          <w:szCs w:val="20"/>
          <w:lang w:val="es-AR"/>
        </w:rPr>
        <w:t xml:space="preserve"> </w:t>
      </w:r>
      <w:r w:rsidR="00FC22BD" w:rsidRPr="00386E47">
        <w:rPr>
          <w:rFonts w:asciiTheme="majorHAnsi" w:eastAsia="Calibri" w:hAnsiTheme="majorHAnsi"/>
          <w:sz w:val="20"/>
          <w:szCs w:val="20"/>
          <w:lang w:val="es-AR"/>
        </w:rPr>
        <w:t>.</w:t>
      </w:r>
    </w:p>
    <w:p w14:paraId="722FD06C" w14:textId="77777777" w:rsidR="00FC22BD" w:rsidRPr="00386E47" w:rsidRDefault="00FC22BD" w:rsidP="00A311A0">
      <w:pPr>
        <w:tabs>
          <w:tab w:val="left" w:pos="567"/>
        </w:tabs>
        <w:jc w:val="both"/>
        <w:rPr>
          <w:rFonts w:asciiTheme="majorHAnsi" w:eastAsia="Calibri" w:hAnsiTheme="majorHAnsi"/>
          <w:b/>
          <w:sz w:val="20"/>
          <w:szCs w:val="20"/>
          <w:lang w:val="es-AR"/>
        </w:rPr>
      </w:pPr>
    </w:p>
    <w:p w14:paraId="2F5BC642" w14:textId="77777777" w:rsidR="00974A7E" w:rsidRPr="00386E47" w:rsidRDefault="009F70EA" w:rsidP="003A5860">
      <w:pPr>
        <w:numPr>
          <w:ilvl w:val="0"/>
          <w:numId w:val="55"/>
        </w:numPr>
        <w:tabs>
          <w:tab w:val="left" w:pos="567"/>
        </w:tabs>
        <w:ind w:left="0" w:firstLine="0"/>
        <w:jc w:val="both"/>
        <w:rPr>
          <w:rFonts w:asciiTheme="majorHAnsi" w:eastAsia="Calibri" w:hAnsiTheme="majorHAnsi"/>
          <w:b/>
          <w:sz w:val="20"/>
          <w:szCs w:val="20"/>
          <w:lang w:val="es-AR"/>
        </w:rPr>
      </w:pPr>
      <w:r w:rsidRPr="00386E47">
        <w:rPr>
          <w:rFonts w:asciiTheme="majorHAnsi" w:eastAsia="Calibri" w:hAnsiTheme="majorHAnsi"/>
          <w:sz w:val="20"/>
          <w:szCs w:val="20"/>
          <w:lang w:val="es-AR"/>
        </w:rPr>
        <w:t xml:space="preserve"> </w:t>
      </w:r>
      <w:r w:rsidR="00A34097" w:rsidRPr="00386E47">
        <w:rPr>
          <w:rFonts w:asciiTheme="majorHAnsi" w:eastAsia="Calibri" w:hAnsiTheme="majorHAnsi"/>
          <w:sz w:val="20"/>
          <w:szCs w:val="20"/>
          <w:lang w:val="es-AR"/>
        </w:rPr>
        <w:t>Los</w:t>
      </w:r>
      <w:r w:rsidRPr="00386E47">
        <w:rPr>
          <w:rFonts w:asciiTheme="majorHAnsi" w:eastAsia="Calibri" w:hAnsiTheme="majorHAnsi"/>
          <w:sz w:val="20"/>
          <w:szCs w:val="20"/>
          <w:lang w:val="es-AR"/>
        </w:rPr>
        <w:t xml:space="preserve"> fiscales valoraron los resultados de un peritaje comparativo efectuado entre dos fotografías de Berro entregadas por sus hermanos y el identikit construido 72 horas después del atentado a partir de la declaración de</w:t>
      </w:r>
      <w:r w:rsidR="00FA4729" w:rsidRPr="00386E47">
        <w:rPr>
          <w:rFonts w:asciiTheme="majorHAnsi" w:eastAsia="Calibri" w:hAnsiTheme="majorHAnsi"/>
          <w:sz w:val="20"/>
          <w:szCs w:val="20"/>
          <w:lang w:val="es-AR"/>
        </w:rPr>
        <w:t>la testigo Nicolasa Romero, quien afirmó</w:t>
      </w:r>
      <w:r w:rsidRPr="00386E47">
        <w:rPr>
          <w:rFonts w:asciiTheme="majorHAnsi" w:eastAsia="Calibri" w:hAnsiTheme="majorHAnsi"/>
          <w:sz w:val="20"/>
          <w:szCs w:val="20"/>
          <w:lang w:val="es-AR"/>
        </w:rPr>
        <w:t xml:space="preserve"> haber visto el rostro del conductor de una camioneta Renault Trafic transitando por la calle Pasteur momentos antes de la explosión. Este peritaje arrojó “coincidencias puntuales señaladas en ojos, nariz, contorno del rostro línea de inserción del cabello y cejas”</w:t>
      </w:r>
      <w:r w:rsidRPr="00386E47">
        <w:rPr>
          <w:rFonts w:asciiTheme="majorHAnsi" w:eastAsia="Calibri" w:hAnsiTheme="majorHAnsi"/>
          <w:sz w:val="20"/>
          <w:szCs w:val="20"/>
          <w:vertAlign w:val="superscript"/>
          <w:lang w:val="es-AR"/>
        </w:rPr>
        <w:footnoteReference w:id="239"/>
      </w:r>
      <w:r w:rsidRPr="00386E47">
        <w:rPr>
          <w:rFonts w:asciiTheme="majorHAnsi" w:eastAsia="Calibri" w:hAnsiTheme="majorHAnsi"/>
          <w:sz w:val="20"/>
          <w:szCs w:val="20"/>
          <w:lang w:val="es-AR"/>
        </w:rPr>
        <w:t>.  Asimismo, los fiscales mencionan el reconocimiento fotográfico efectuado por la testigo Romero, quien “luego de sus dudas iniciales y después de que se le exhibiera el identikit” señal</w:t>
      </w:r>
      <w:r w:rsidR="00953702" w:rsidRPr="00386E47">
        <w:rPr>
          <w:rFonts w:asciiTheme="majorHAnsi" w:eastAsia="Calibri" w:hAnsiTheme="majorHAnsi"/>
          <w:sz w:val="20"/>
          <w:szCs w:val="20"/>
          <w:lang w:val="es-AR"/>
        </w:rPr>
        <w:t>ó</w:t>
      </w:r>
      <w:r w:rsidRPr="00386E47">
        <w:rPr>
          <w:rFonts w:asciiTheme="majorHAnsi" w:eastAsia="Calibri" w:hAnsiTheme="majorHAnsi"/>
          <w:sz w:val="20"/>
          <w:szCs w:val="20"/>
          <w:lang w:val="es-AR"/>
        </w:rPr>
        <w:t xml:space="preserve"> de entre una serie de 4 fotografías la que correspondía a Berro y afirmó “que la persona ‘era un muchachote como este, de esta contextura, así cejudo, veo un parecido en el rostro, tiene abundante(s) cejas, es parecida la contextura de la cara…</w:t>
      </w:r>
      <w:r w:rsidR="009558F8" w:rsidRPr="00386E47">
        <w:rPr>
          <w:rFonts w:asciiTheme="majorHAnsi" w:eastAsia="Calibri" w:hAnsiTheme="majorHAnsi"/>
          <w:sz w:val="20"/>
          <w:szCs w:val="20"/>
          <w:lang w:val="es-AR"/>
        </w:rPr>
        <w:t>’</w:t>
      </w:r>
      <w:r w:rsidRPr="00386E47">
        <w:rPr>
          <w:rFonts w:asciiTheme="majorHAnsi" w:eastAsia="Calibri" w:hAnsiTheme="majorHAnsi"/>
          <w:sz w:val="20"/>
          <w:szCs w:val="20"/>
          <w:lang w:val="es-AR"/>
        </w:rPr>
        <w:t>”</w:t>
      </w:r>
      <w:r w:rsidRPr="00386E47">
        <w:rPr>
          <w:rFonts w:asciiTheme="majorHAnsi" w:eastAsia="Calibri" w:hAnsiTheme="majorHAnsi"/>
          <w:sz w:val="20"/>
          <w:szCs w:val="20"/>
          <w:vertAlign w:val="superscript"/>
          <w:lang w:val="es-AR"/>
        </w:rPr>
        <w:footnoteReference w:id="240"/>
      </w:r>
      <w:r w:rsidR="00245A1A" w:rsidRPr="00386E47">
        <w:rPr>
          <w:rFonts w:asciiTheme="majorHAnsi" w:eastAsia="Calibri" w:hAnsiTheme="majorHAnsi"/>
          <w:sz w:val="20"/>
          <w:szCs w:val="20"/>
          <w:lang w:val="es-AR"/>
        </w:rPr>
        <w:t xml:space="preserve">. </w:t>
      </w:r>
    </w:p>
    <w:p w14:paraId="6ED191BD" w14:textId="77777777" w:rsidR="00881EBF" w:rsidRPr="00386E47" w:rsidRDefault="00881EBF" w:rsidP="00347DFB">
      <w:pPr>
        <w:tabs>
          <w:tab w:val="left" w:pos="567"/>
        </w:tabs>
        <w:jc w:val="both"/>
        <w:rPr>
          <w:rFonts w:asciiTheme="majorHAnsi" w:eastAsia="Calibri" w:hAnsiTheme="majorHAnsi"/>
          <w:b/>
          <w:sz w:val="20"/>
          <w:szCs w:val="20"/>
          <w:lang w:val="es-AR"/>
        </w:rPr>
      </w:pPr>
    </w:p>
    <w:p w14:paraId="78D0EF9A" w14:textId="77777777" w:rsidR="00340607" w:rsidRPr="00386E47" w:rsidRDefault="00A34097" w:rsidP="003A5860">
      <w:pPr>
        <w:numPr>
          <w:ilvl w:val="0"/>
          <w:numId w:val="55"/>
        </w:numPr>
        <w:tabs>
          <w:tab w:val="left" w:pos="567"/>
        </w:tabs>
        <w:ind w:left="0" w:firstLine="0"/>
        <w:jc w:val="both"/>
        <w:rPr>
          <w:rFonts w:asciiTheme="majorHAnsi" w:eastAsia="Calibri" w:hAnsiTheme="majorHAnsi"/>
          <w:b/>
          <w:sz w:val="20"/>
          <w:szCs w:val="20"/>
          <w:lang w:val="es-ES"/>
        </w:rPr>
      </w:pPr>
      <w:r w:rsidRPr="00386E47">
        <w:rPr>
          <w:rFonts w:asciiTheme="majorHAnsi" w:eastAsia="Calibri" w:hAnsiTheme="majorHAnsi"/>
          <w:sz w:val="20"/>
          <w:szCs w:val="20"/>
          <w:lang w:val="es-AR"/>
        </w:rPr>
        <w:t>Fue solo hasta un informe de gestión correspondiente al mes de julio de 2017, que la UFI AMIA informó sobre la práctica de un examen de  comparación genética de la totalidad de las muestras en depósito que arrojó la “verificación de un perfil genético a partir del material reservado en el laboratorio de la PFA que no corresponde a ninguna de las victimas conocidas”</w:t>
      </w:r>
      <w:r w:rsidRPr="00386E47">
        <w:rPr>
          <w:rFonts w:asciiTheme="majorHAnsi" w:eastAsia="Calibri" w:hAnsiTheme="majorHAnsi"/>
          <w:sz w:val="20"/>
          <w:szCs w:val="20"/>
          <w:vertAlign w:val="superscript"/>
          <w:lang w:val="es-AR"/>
        </w:rPr>
        <w:footnoteReference w:id="241"/>
      </w:r>
      <w:r w:rsidRPr="00386E47">
        <w:rPr>
          <w:rFonts w:asciiTheme="majorHAnsi" w:eastAsia="Calibri" w:hAnsiTheme="majorHAnsi"/>
          <w:sz w:val="20"/>
          <w:szCs w:val="20"/>
          <w:lang w:val="es-AR"/>
        </w:rPr>
        <w:t xml:space="preserve">, dato que abonaría, en principio, la hipótesis de que la Trafic que estalló frente a la AMIA fue </w:t>
      </w:r>
      <w:r w:rsidR="00340607" w:rsidRPr="00386E47">
        <w:rPr>
          <w:rFonts w:asciiTheme="majorHAnsi" w:eastAsia="Calibri" w:hAnsiTheme="majorHAnsi"/>
          <w:sz w:val="20"/>
          <w:szCs w:val="20"/>
          <w:lang w:val="es-AR"/>
        </w:rPr>
        <w:t>conducida</w:t>
      </w:r>
      <w:r w:rsidRPr="00386E47">
        <w:rPr>
          <w:rFonts w:asciiTheme="majorHAnsi" w:eastAsia="Calibri" w:hAnsiTheme="majorHAnsi"/>
          <w:sz w:val="20"/>
          <w:szCs w:val="20"/>
          <w:lang w:val="es-AR"/>
        </w:rPr>
        <w:t xml:space="preserve"> por un conductor suicida.</w:t>
      </w:r>
      <w:r w:rsidRPr="00386E47">
        <w:rPr>
          <w:rFonts w:asciiTheme="majorHAnsi" w:eastAsia="Calibri" w:hAnsiTheme="majorHAnsi"/>
          <w:b/>
          <w:sz w:val="20"/>
          <w:szCs w:val="20"/>
          <w:lang w:val="es-AR"/>
        </w:rPr>
        <w:t xml:space="preserve"> </w:t>
      </w:r>
    </w:p>
    <w:p w14:paraId="0284CF2D" w14:textId="77777777" w:rsidR="00340607" w:rsidRPr="00386E47" w:rsidRDefault="00340607" w:rsidP="00340607">
      <w:pPr>
        <w:pStyle w:val="ListParagraph"/>
        <w:rPr>
          <w:rFonts w:asciiTheme="majorHAnsi" w:eastAsia="Calibri" w:hAnsiTheme="majorHAnsi"/>
          <w:sz w:val="20"/>
          <w:szCs w:val="20"/>
          <w:lang w:val="es-AR"/>
        </w:rPr>
      </w:pPr>
    </w:p>
    <w:p w14:paraId="3C0C97F0" w14:textId="77777777" w:rsidR="00A34097" w:rsidRPr="00386E47" w:rsidRDefault="00A34097" w:rsidP="003A5860">
      <w:pPr>
        <w:numPr>
          <w:ilvl w:val="0"/>
          <w:numId w:val="55"/>
        </w:numPr>
        <w:tabs>
          <w:tab w:val="left" w:pos="567"/>
        </w:tabs>
        <w:ind w:left="0" w:firstLine="0"/>
        <w:jc w:val="both"/>
        <w:rPr>
          <w:rFonts w:asciiTheme="majorHAnsi" w:eastAsia="Calibri" w:hAnsiTheme="majorHAnsi"/>
          <w:b/>
          <w:sz w:val="20"/>
          <w:szCs w:val="20"/>
          <w:lang w:val="es-ES"/>
        </w:rPr>
      </w:pPr>
      <w:r w:rsidRPr="00386E47">
        <w:rPr>
          <w:rFonts w:asciiTheme="majorHAnsi" w:eastAsia="Calibri" w:hAnsiTheme="majorHAnsi"/>
          <w:sz w:val="20"/>
          <w:szCs w:val="20"/>
          <w:lang w:val="es-AR"/>
        </w:rPr>
        <w:t>En ese mismo informe de gestión, la UFI AMIA relató el proceso por medio del cual - con la colaboración de las autoridades de los Estados Unidos de América - se comparó el perfil genético de la muestra hallada en la División Laboratorio Químico de la PFA con el perfil genético de uno de los hermanos de Berro. En noviembre de 2017 conforme el referido informe el FBI habría informado que “luego de realizar la tipificación de ADN de STR autosómico, Y-STR y mitocondrial del supuesto hermano del atacante y llevar adelante la comparación con el perfil genético obtenido a partir de la muestra recuperada del Laboratorio Químico de la PFA se determinó que esta última ‘no pudo haberse originado de un pariente paterno o materno […] para incluir a un hermano o medio hermano’”</w:t>
      </w:r>
      <w:r w:rsidRPr="00386E47">
        <w:rPr>
          <w:rFonts w:asciiTheme="majorHAnsi" w:eastAsia="Calibri" w:hAnsiTheme="majorHAnsi"/>
          <w:sz w:val="20"/>
          <w:szCs w:val="20"/>
          <w:vertAlign w:val="superscript"/>
          <w:lang w:val="es-AR"/>
        </w:rPr>
        <w:footnoteReference w:id="242"/>
      </w:r>
      <w:r w:rsidRPr="00386E47">
        <w:rPr>
          <w:rFonts w:asciiTheme="majorHAnsi" w:eastAsia="Calibri" w:hAnsiTheme="majorHAnsi"/>
          <w:sz w:val="20"/>
          <w:szCs w:val="20"/>
          <w:lang w:val="es-AR"/>
        </w:rPr>
        <w:t>.</w:t>
      </w:r>
    </w:p>
    <w:p w14:paraId="4A2D9A92" w14:textId="77777777" w:rsidR="00A34097" w:rsidRPr="00386E47" w:rsidRDefault="00A34097" w:rsidP="00A311A0">
      <w:pPr>
        <w:tabs>
          <w:tab w:val="left" w:pos="567"/>
        </w:tabs>
        <w:jc w:val="both"/>
        <w:rPr>
          <w:rFonts w:asciiTheme="majorHAnsi" w:eastAsia="Calibri" w:hAnsiTheme="majorHAnsi"/>
          <w:b/>
          <w:sz w:val="20"/>
          <w:szCs w:val="20"/>
          <w:lang w:val="es-AR"/>
        </w:rPr>
      </w:pPr>
    </w:p>
    <w:p w14:paraId="528FAF5A" w14:textId="77777777" w:rsidR="00A34097" w:rsidRPr="00386E47" w:rsidRDefault="00A34097" w:rsidP="003A5860">
      <w:pPr>
        <w:pStyle w:val="ListParagraph"/>
        <w:numPr>
          <w:ilvl w:val="0"/>
          <w:numId w:val="58"/>
        </w:numPr>
        <w:tabs>
          <w:tab w:val="left" w:pos="567"/>
        </w:tabs>
        <w:jc w:val="both"/>
        <w:rPr>
          <w:rFonts w:asciiTheme="majorHAnsi" w:eastAsia="Calibri" w:hAnsiTheme="majorHAnsi"/>
          <w:b/>
          <w:sz w:val="20"/>
          <w:szCs w:val="20"/>
          <w:lang w:val="es-ES"/>
        </w:rPr>
      </w:pPr>
      <w:r w:rsidRPr="00386E47">
        <w:rPr>
          <w:rFonts w:asciiTheme="majorHAnsi" w:eastAsia="Calibri" w:hAnsiTheme="majorHAnsi"/>
          <w:b/>
          <w:sz w:val="20"/>
          <w:szCs w:val="20"/>
          <w:lang w:val="es-ES"/>
        </w:rPr>
        <w:t>Consideraciones de la Comisión</w:t>
      </w:r>
    </w:p>
    <w:p w14:paraId="6D46E124" w14:textId="77777777" w:rsidR="00A34097" w:rsidRPr="00386E47" w:rsidRDefault="00A34097" w:rsidP="00A311A0">
      <w:pPr>
        <w:tabs>
          <w:tab w:val="left" w:pos="567"/>
        </w:tabs>
        <w:jc w:val="both"/>
        <w:rPr>
          <w:rFonts w:asciiTheme="majorHAnsi" w:eastAsia="Calibri" w:hAnsiTheme="majorHAnsi"/>
          <w:b/>
          <w:sz w:val="20"/>
          <w:szCs w:val="20"/>
          <w:lang w:val="es-ES"/>
        </w:rPr>
      </w:pPr>
    </w:p>
    <w:p w14:paraId="53380CED" w14:textId="77777777" w:rsidR="00F40018" w:rsidRPr="00386E47" w:rsidRDefault="00DE04D1" w:rsidP="003A5860">
      <w:pPr>
        <w:numPr>
          <w:ilvl w:val="0"/>
          <w:numId w:val="55"/>
        </w:numPr>
        <w:tabs>
          <w:tab w:val="left" w:pos="567"/>
        </w:tabs>
        <w:ind w:left="0" w:firstLine="0"/>
        <w:jc w:val="both"/>
        <w:rPr>
          <w:rFonts w:asciiTheme="majorHAnsi" w:eastAsia="Calibri" w:hAnsiTheme="majorHAnsi"/>
          <w:b/>
          <w:sz w:val="20"/>
          <w:szCs w:val="20"/>
          <w:lang w:val="es-ES"/>
        </w:rPr>
      </w:pPr>
      <w:r w:rsidRPr="00386E47">
        <w:rPr>
          <w:rFonts w:asciiTheme="majorHAnsi" w:eastAsia="Calibri" w:hAnsiTheme="majorHAnsi"/>
          <w:sz w:val="20"/>
          <w:szCs w:val="20"/>
          <w:lang w:val="es-ES"/>
        </w:rPr>
        <w:t>La Comisión</w:t>
      </w:r>
      <w:r w:rsidR="00F40018" w:rsidRPr="00386E47">
        <w:rPr>
          <w:rFonts w:asciiTheme="majorHAnsi" w:eastAsia="Calibri" w:hAnsiTheme="majorHAnsi"/>
          <w:sz w:val="20"/>
          <w:szCs w:val="20"/>
          <w:lang w:val="es-ES"/>
        </w:rPr>
        <w:t xml:space="preserve"> observa</w:t>
      </w:r>
      <w:r w:rsidR="00340607" w:rsidRPr="00386E47">
        <w:rPr>
          <w:rFonts w:asciiTheme="majorHAnsi" w:eastAsia="Calibri" w:hAnsiTheme="majorHAnsi"/>
          <w:sz w:val="20"/>
          <w:szCs w:val="20"/>
          <w:lang w:val="es-ES"/>
        </w:rPr>
        <w:t xml:space="preserve"> en primer término</w:t>
      </w:r>
      <w:r w:rsidR="00F40018" w:rsidRPr="00386E47">
        <w:rPr>
          <w:rFonts w:asciiTheme="majorHAnsi" w:eastAsia="Calibri" w:hAnsiTheme="majorHAnsi"/>
          <w:sz w:val="20"/>
          <w:szCs w:val="20"/>
          <w:lang w:val="es-ES"/>
        </w:rPr>
        <w:t xml:space="preserve"> que gran parte de la investigación de la causa AMIA y, en </w:t>
      </w:r>
      <w:r w:rsidR="00B528BF" w:rsidRPr="00386E47">
        <w:rPr>
          <w:rFonts w:asciiTheme="majorHAnsi" w:eastAsia="Calibri" w:hAnsiTheme="majorHAnsi"/>
          <w:sz w:val="20"/>
          <w:szCs w:val="20"/>
          <w:lang w:val="es-ES"/>
        </w:rPr>
        <w:t>particular, lo</w:t>
      </w:r>
      <w:r w:rsidR="00F40018" w:rsidRPr="00386E47">
        <w:rPr>
          <w:rFonts w:asciiTheme="majorHAnsi" w:eastAsia="Calibri" w:hAnsiTheme="majorHAnsi"/>
          <w:sz w:val="20"/>
          <w:szCs w:val="20"/>
          <w:lang w:val="es-ES"/>
        </w:rPr>
        <w:t xml:space="preserve"> referente a la </w:t>
      </w:r>
      <w:r w:rsidR="00340607" w:rsidRPr="00386E47">
        <w:rPr>
          <w:rFonts w:asciiTheme="majorHAnsi" w:eastAsia="Calibri" w:hAnsiTheme="majorHAnsi"/>
          <w:sz w:val="20"/>
          <w:szCs w:val="20"/>
          <w:lang w:val="es-ES"/>
        </w:rPr>
        <w:t>determinación de la identidad de la persona que se habría inmolado</w:t>
      </w:r>
      <w:r w:rsidR="00F40018" w:rsidRPr="00386E47">
        <w:rPr>
          <w:rFonts w:asciiTheme="majorHAnsi" w:eastAsia="Calibri" w:hAnsiTheme="majorHAnsi"/>
          <w:sz w:val="20"/>
          <w:szCs w:val="20"/>
          <w:lang w:val="es-ES"/>
        </w:rPr>
        <w:t xml:space="preserve"> está sustentado en informes de inteligencia </w:t>
      </w:r>
      <w:r w:rsidR="00340607" w:rsidRPr="00386E47">
        <w:rPr>
          <w:rFonts w:asciiTheme="majorHAnsi" w:eastAsia="Calibri" w:hAnsiTheme="majorHAnsi"/>
          <w:sz w:val="20"/>
          <w:szCs w:val="20"/>
          <w:lang w:val="es-ES"/>
        </w:rPr>
        <w:t>realizados por la Secretaria de Inteligencia del Estado u otros organismos de inteligencia argentinos</w:t>
      </w:r>
      <w:r w:rsidR="00F40018" w:rsidRPr="00386E47">
        <w:rPr>
          <w:rFonts w:asciiTheme="majorHAnsi" w:eastAsia="Calibri" w:hAnsiTheme="majorHAnsi"/>
          <w:sz w:val="20"/>
          <w:szCs w:val="20"/>
          <w:lang w:val="es-ES"/>
        </w:rPr>
        <w:t>.</w:t>
      </w:r>
      <w:r w:rsidR="00340607" w:rsidRPr="00386E47">
        <w:rPr>
          <w:rFonts w:asciiTheme="majorHAnsi" w:eastAsia="Calibri" w:hAnsiTheme="majorHAnsi"/>
          <w:sz w:val="20"/>
          <w:szCs w:val="20"/>
          <w:lang w:val="es-ES"/>
        </w:rPr>
        <w:t xml:space="preserve"> </w:t>
      </w:r>
      <w:r w:rsidR="00FC22BD" w:rsidRPr="00386E47">
        <w:rPr>
          <w:rFonts w:asciiTheme="majorHAnsi" w:eastAsia="Calibri" w:hAnsiTheme="majorHAnsi"/>
          <w:sz w:val="20"/>
          <w:szCs w:val="20"/>
          <w:lang w:val="es-ES"/>
        </w:rPr>
        <w:t>En este sentido, la Comisión estima pertinente realizar las siguientes consideraciones.</w:t>
      </w:r>
    </w:p>
    <w:p w14:paraId="2854BAD6" w14:textId="77777777" w:rsidR="00DE04D1" w:rsidRPr="00386E47" w:rsidRDefault="00DE04D1" w:rsidP="00A311A0">
      <w:pPr>
        <w:tabs>
          <w:tab w:val="left" w:pos="567"/>
        </w:tabs>
        <w:jc w:val="both"/>
        <w:rPr>
          <w:rFonts w:asciiTheme="majorHAnsi" w:eastAsia="Calibri" w:hAnsiTheme="majorHAnsi"/>
          <w:b/>
          <w:sz w:val="20"/>
          <w:szCs w:val="20"/>
          <w:lang w:val="es-ES"/>
        </w:rPr>
      </w:pPr>
    </w:p>
    <w:p w14:paraId="55907C4E" w14:textId="77777777" w:rsidR="00A34097" w:rsidRPr="00386E47" w:rsidRDefault="00FC22BD" w:rsidP="003A5860">
      <w:pPr>
        <w:numPr>
          <w:ilvl w:val="0"/>
          <w:numId w:val="55"/>
        </w:numPr>
        <w:tabs>
          <w:tab w:val="left" w:pos="567"/>
        </w:tabs>
        <w:ind w:left="0" w:firstLine="0"/>
        <w:jc w:val="both"/>
        <w:rPr>
          <w:rFonts w:asciiTheme="majorHAnsi" w:eastAsia="Calibri" w:hAnsiTheme="majorHAnsi"/>
          <w:b/>
          <w:sz w:val="20"/>
          <w:szCs w:val="20"/>
          <w:lang w:val="es-ES"/>
        </w:rPr>
      </w:pPr>
      <w:r w:rsidRPr="00386E47">
        <w:rPr>
          <w:rFonts w:asciiTheme="majorHAnsi" w:eastAsia="Calibri" w:hAnsiTheme="majorHAnsi"/>
          <w:sz w:val="20"/>
          <w:szCs w:val="20"/>
          <w:lang w:val="es-ES"/>
        </w:rPr>
        <w:t>L</w:t>
      </w:r>
      <w:r w:rsidR="00F40018" w:rsidRPr="00386E47">
        <w:rPr>
          <w:rFonts w:asciiTheme="majorHAnsi" w:eastAsia="Calibri" w:hAnsiTheme="majorHAnsi"/>
          <w:sz w:val="20"/>
          <w:szCs w:val="20"/>
          <w:lang w:val="es-ES"/>
        </w:rPr>
        <w:t>a Comisión resalta que no es el objeto</w:t>
      </w:r>
      <w:r w:rsidR="00A34097" w:rsidRPr="00386E47">
        <w:rPr>
          <w:rFonts w:asciiTheme="majorHAnsi" w:eastAsia="Calibri" w:hAnsiTheme="majorHAnsi"/>
          <w:sz w:val="20"/>
          <w:szCs w:val="20"/>
          <w:lang w:val="es-ES"/>
        </w:rPr>
        <w:t xml:space="preserve"> del presente caso profundizar sobre las posibles afectaciones que pueden generar a los derechos de </w:t>
      </w:r>
      <w:r w:rsidR="00DE04D1" w:rsidRPr="00386E47">
        <w:rPr>
          <w:rFonts w:asciiTheme="majorHAnsi" w:eastAsia="Calibri" w:hAnsiTheme="majorHAnsi"/>
          <w:sz w:val="20"/>
          <w:szCs w:val="20"/>
          <w:lang w:val="es-ES"/>
        </w:rPr>
        <w:t>las personas imputadas</w:t>
      </w:r>
      <w:r w:rsidR="00A34097" w:rsidRPr="00386E47">
        <w:rPr>
          <w:rFonts w:asciiTheme="majorHAnsi" w:eastAsia="Calibri" w:hAnsiTheme="majorHAnsi"/>
          <w:sz w:val="20"/>
          <w:szCs w:val="20"/>
          <w:lang w:val="es-ES"/>
        </w:rPr>
        <w:t xml:space="preserve"> las acusaciones que están fundamentalmente sustentadas en informes de inteligencia </w:t>
      </w:r>
      <w:r w:rsidR="00340607" w:rsidRPr="00386E47">
        <w:rPr>
          <w:rFonts w:asciiTheme="majorHAnsi" w:eastAsia="Calibri" w:hAnsiTheme="majorHAnsi"/>
          <w:sz w:val="20"/>
          <w:szCs w:val="20"/>
          <w:lang w:val="es-ES"/>
        </w:rPr>
        <w:t>producidos a partir de</w:t>
      </w:r>
      <w:r w:rsidR="00A34097" w:rsidRPr="00386E47">
        <w:rPr>
          <w:rFonts w:asciiTheme="majorHAnsi" w:eastAsia="Calibri" w:hAnsiTheme="majorHAnsi"/>
          <w:sz w:val="20"/>
          <w:szCs w:val="20"/>
          <w:lang w:val="es-ES"/>
        </w:rPr>
        <w:t xml:space="preserve"> fuentes reservadas, </w:t>
      </w:r>
      <w:r w:rsidR="00340607" w:rsidRPr="00386E47">
        <w:rPr>
          <w:rFonts w:asciiTheme="majorHAnsi" w:eastAsia="Calibri" w:hAnsiTheme="majorHAnsi"/>
          <w:sz w:val="20"/>
          <w:szCs w:val="20"/>
          <w:lang w:val="es-ES"/>
        </w:rPr>
        <w:t xml:space="preserve">cuya </w:t>
      </w:r>
      <w:r w:rsidR="00A34097" w:rsidRPr="00386E47">
        <w:rPr>
          <w:rFonts w:asciiTheme="majorHAnsi" w:eastAsia="Calibri" w:hAnsiTheme="majorHAnsi"/>
          <w:sz w:val="20"/>
          <w:szCs w:val="20"/>
          <w:lang w:val="es-ES"/>
        </w:rPr>
        <w:t>idoneidad o calidad de los testigos n</w:t>
      </w:r>
      <w:r w:rsidR="00340607" w:rsidRPr="00386E47">
        <w:rPr>
          <w:rFonts w:asciiTheme="majorHAnsi" w:eastAsia="Calibri" w:hAnsiTheme="majorHAnsi"/>
          <w:sz w:val="20"/>
          <w:szCs w:val="20"/>
          <w:lang w:val="es-ES"/>
        </w:rPr>
        <w:t>o puede ser susceptible de ser controlada por las partes de un proceso penal</w:t>
      </w:r>
      <w:r w:rsidR="00A34097" w:rsidRPr="00386E47">
        <w:rPr>
          <w:rFonts w:asciiTheme="majorHAnsi" w:eastAsia="Calibri" w:hAnsiTheme="majorHAnsi"/>
          <w:sz w:val="20"/>
          <w:szCs w:val="20"/>
          <w:lang w:val="es-ES"/>
        </w:rPr>
        <w:t>. La Comisión entiende que</w:t>
      </w:r>
      <w:r w:rsidR="00340607" w:rsidRPr="00386E47">
        <w:rPr>
          <w:rFonts w:asciiTheme="majorHAnsi" w:eastAsia="Calibri" w:hAnsiTheme="majorHAnsi"/>
          <w:sz w:val="20"/>
          <w:szCs w:val="20"/>
          <w:lang w:val="es-ES"/>
        </w:rPr>
        <w:t>,</w:t>
      </w:r>
      <w:r w:rsidR="00A34097" w:rsidRPr="00386E47">
        <w:rPr>
          <w:rFonts w:asciiTheme="majorHAnsi" w:eastAsia="Calibri" w:hAnsiTheme="majorHAnsi"/>
          <w:sz w:val="20"/>
          <w:szCs w:val="20"/>
          <w:lang w:val="es-ES"/>
        </w:rPr>
        <w:t xml:space="preserve"> en ciertas ocasiones, puede resultar indispensable para el éxito de las políticas de reunión de información llevadas a cabo por las agencias de inteligencia que se proteja la identidad de la fuente que suministra la información o de los métodos utilizados para obtenerla. De igual manera, es necesario reconocer que las reglas relativas al secreto de las actividades de inteligencia suelen perseguir el fin legítimo de preservar la integridad personal de los funcionarios públicos que se dedican a ellas</w:t>
      </w:r>
      <w:r w:rsidR="00F40018" w:rsidRPr="00386E47">
        <w:rPr>
          <w:rFonts w:asciiTheme="majorHAnsi" w:eastAsia="Calibri" w:hAnsiTheme="majorHAnsi"/>
          <w:sz w:val="20"/>
          <w:szCs w:val="20"/>
          <w:lang w:val="es-ES"/>
        </w:rPr>
        <w:t>. S</w:t>
      </w:r>
      <w:r w:rsidR="00A34097" w:rsidRPr="00386E47">
        <w:rPr>
          <w:rFonts w:asciiTheme="majorHAnsi" w:eastAsia="Calibri" w:hAnsiTheme="majorHAnsi"/>
          <w:sz w:val="20"/>
          <w:szCs w:val="20"/>
          <w:lang w:val="es-ES"/>
        </w:rPr>
        <w:t xml:space="preserve">in embargo, en todo caso </w:t>
      </w:r>
      <w:r w:rsidR="00F40018" w:rsidRPr="00386E47">
        <w:rPr>
          <w:rFonts w:asciiTheme="majorHAnsi" w:eastAsia="Calibri" w:hAnsiTheme="majorHAnsi"/>
          <w:sz w:val="20"/>
          <w:szCs w:val="20"/>
          <w:lang w:val="es-ES"/>
        </w:rPr>
        <w:t>result</w:t>
      </w:r>
      <w:r w:rsidR="00A34097" w:rsidRPr="00386E47">
        <w:rPr>
          <w:rFonts w:asciiTheme="majorHAnsi" w:eastAsia="Calibri" w:hAnsiTheme="majorHAnsi"/>
          <w:sz w:val="20"/>
          <w:szCs w:val="20"/>
          <w:lang w:val="es-ES"/>
        </w:rPr>
        <w:t>a necesario adoptar ciertas salvaguardias para respetar las garantías del debido proceso</w:t>
      </w:r>
      <w:r w:rsidR="00A34097" w:rsidRPr="00386E47">
        <w:rPr>
          <w:rStyle w:val="FootnoteReference"/>
          <w:rFonts w:asciiTheme="majorHAnsi" w:eastAsia="Calibri" w:hAnsiTheme="majorHAnsi"/>
          <w:sz w:val="20"/>
          <w:szCs w:val="20"/>
          <w:lang w:val="es-ES"/>
        </w:rPr>
        <w:footnoteReference w:id="243"/>
      </w:r>
      <w:r w:rsidR="00A34097" w:rsidRPr="00386E47">
        <w:rPr>
          <w:rFonts w:asciiTheme="majorHAnsi" w:eastAsia="Calibri" w:hAnsiTheme="majorHAnsi"/>
          <w:sz w:val="20"/>
          <w:szCs w:val="20"/>
          <w:lang w:val="es-ES"/>
        </w:rPr>
        <w:t xml:space="preserve">. </w:t>
      </w:r>
    </w:p>
    <w:p w14:paraId="22FDB100" w14:textId="77777777" w:rsidR="00A34097" w:rsidRPr="00386E47" w:rsidRDefault="00A34097" w:rsidP="00A34097">
      <w:pPr>
        <w:tabs>
          <w:tab w:val="left" w:pos="567"/>
        </w:tabs>
        <w:jc w:val="both"/>
        <w:rPr>
          <w:rFonts w:asciiTheme="majorHAnsi" w:eastAsia="Calibri" w:hAnsiTheme="majorHAnsi"/>
          <w:b/>
          <w:sz w:val="20"/>
          <w:szCs w:val="20"/>
          <w:lang w:val="es-ES"/>
        </w:rPr>
      </w:pPr>
    </w:p>
    <w:p w14:paraId="797C1FB8" w14:textId="77777777" w:rsidR="00A34097" w:rsidRPr="00386E47" w:rsidRDefault="00F40018" w:rsidP="003A5860">
      <w:pPr>
        <w:numPr>
          <w:ilvl w:val="0"/>
          <w:numId w:val="55"/>
        </w:numPr>
        <w:tabs>
          <w:tab w:val="left" w:pos="567"/>
        </w:tabs>
        <w:ind w:left="0" w:firstLine="0"/>
        <w:jc w:val="both"/>
        <w:rPr>
          <w:rFonts w:asciiTheme="majorHAnsi" w:eastAsia="Calibri" w:hAnsiTheme="majorHAnsi"/>
          <w:b/>
          <w:sz w:val="20"/>
          <w:szCs w:val="20"/>
          <w:lang w:val="es-ES"/>
        </w:rPr>
      </w:pPr>
      <w:r w:rsidRPr="00386E47">
        <w:rPr>
          <w:rFonts w:asciiTheme="majorHAnsi" w:eastAsia="Calibri" w:hAnsiTheme="majorHAnsi"/>
          <w:sz w:val="20"/>
          <w:szCs w:val="20"/>
          <w:lang w:val="es-ES"/>
        </w:rPr>
        <w:t>En lo relevante para el presente caso, l</w:t>
      </w:r>
      <w:r w:rsidR="00A34097" w:rsidRPr="00386E47">
        <w:rPr>
          <w:rFonts w:asciiTheme="majorHAnsi" w:eastAsia="Calibri" w:hAnsiTheme="majorHAnsi"/>
          <w:sz w:val="20"/>
          <w:szCs w:val="20"/>
          <w:lang w:val="es-ES"/>
        </w:rPr>
        <w:t xml:space="preserve">a Comisión estima que los informes </w:t>
      </w:r>
      <w:r w:rsidR="00BD587F" w:rsidRPr="00386E47">
        <w:rPr>
          <w:rFonts w:asciiTheme="majorHAnsi" w:eastAsia="Calibri" w:hAnsiTheme="majorHAnsi"/>
          <w:sz w:val="20"/>
          <w:szCs w:val="20"/>
          <w:lang w:val="es-ES"/>
        </w:rPr>
        <w:t>de inteligencia construidos a partir de</w:t>
      </w:r>
      <w:r w:rsidR="00324884" w:rsidRPr="00386E47">
        <w:rPr>
          <w:rFonts w:asciiTheme="majorHAnsi" w:eastAsia="Calibri" w:hAnsiTheme="majorHAnsi"/>
          <w:sz w:val="20"/>
          <w:szCs w:val="20"/>
          <w:lang w:val="es-ES"/>
        </w:rPr>
        <w:t xml:space="preserve"> </w:t>
      </w:r>
      <w:r w:rsidR="00BD587F" w:rsidRPr="00386E47">
        <w:rPr>
          <w:rFonts w:asciiTheme="majorHAnsi" w:eastAsia="Calibri" w:hAnsiTheme="majorHAnsi"/>
          <w:sz w:val="20"/>
          <w:szCs w:val="20"/>
          <w:lang w:val="es-ES"/>
        </w:rPr>
        <w:t>información obtenida por fuentes</w:t>
      </w:r>
      <w:r w:rsidR="00A34097" w:rsidRPr="00386E47">
        <w:rPr>
          <w:rFonts w:asciiTheme="majorHAnsi" w:eastAsia="Calibri" w:hAnsiTheme="majorHAnsi"/>
          <w:sz w:val="20"/>
          <w:szCs w:val="20"/>
          <w:lang w:val="es-ES"/>
        </w:rPr>
        <w:t xml:space="preserve"> </w:t>
      </w:r>
      <w:r w:rsidR="00BD587F" w:rsidRPr="00386E47">
        <w:rPr>
          <w:rFonts w:asciiTheme="majorHAnsi" w:eastAsia="Calibri" w:hAnsiTheme="majorHAnsi"/>
          <w:sz w:val="20"/>
          <w:szCs w:val="20"/>
          <w:lang w:val="es-ES"/>
        </w:rPr>
        <w:t>cuya identidad es desconocida incluso</w:t>
      </w:r>
      <w:r w:rsidRPr="00386E47">
        <w:rPr>
          <w:rFonts w:asciiTheme="majorHAnsi" w:eastAsia="Calibri" w:hAnsiTheme="majorHAnsi"/>
          <w:sz w:val="20"/>
          <w:szCs w:val="20"/>
          <w:lang w:val="es-ES"/>
        </w:rPr>
        <w:t xml:space="preserve"> </w:t>
      </w:r>
      <w:r w:rsidR="00BD587F" w:rsidRPr="00386E47">
        <w:rPr>
          <w:rFonts w:asciiTheme="majorHAnsi" w:eastAsia="Calibri" w:hAnsiTheme="majorHAnsi"/>
          <w:sz w:val="20"/>
          <w:szCs w:val="20"/>
          <w:lang w:val="es-ES"/>
        </w:rPr>
        <w:t xml:space="preserve">por los funcionarios judiciales </w:t>
      </w:r>
      <w:r w:rsidR="00BD587F" w:rsidRPr="00386E47">
        <w:rPr>
          <w:rFonts w:asciiTheme="majorHAnsi" w:eastAsia="Calibri" w:hAnsiTheme="majorHAnsi"/>
          <w:sz w:val="20"/>
          <w:szCs w:val="20"/>
          <w:lang w:val="es-ES"/>
        </w:rPr>
        <w:lastRenderedPageBreak/>
        <w:t xml:space="preserve">encargados de la investigación </w:t>
      </w:r>
      <w:r w:rsidR="00A34097" w:rsidRPr="00386E47">
        <w:rPr>
          <w:rFonts w:asciiTheme="majorHAnsi" w:eastAsia="Calibri" w:hAnsiTheme="majorHAnsi"/>
          <w:sz w:val="20"/>
          <w:szCs w:val="20"/>
          <w:lang w:val="es-ES"/>
        </w:rPr>
        <w:t xml:space="preserve">y de los que se pueden desprender ciertas conclusiones con sustento en presunciones o conjeturas a partir de tales informes, </w:t>
      </w:r>
      <w:r w:rsidR="00BD587F" w:rsidRPr="00386E47">
        <w:rPr>
          <w:rFonts w:asciiTheme="majorHAnsi" w:eastAsia="Calibri" w:hAnsiTheme="majorHAnsi"/>
          <w:sz w:val="20"/>
          <w:szCs w:val="20"/>
          <w:lang w:val="es-ES"/>
        </w:rPr>
        <w:t>podrían</w:t>
      </w:r>
      <w:r w:rsidR="00A34097" w:rsidRPr="00386E47">
        <w:rPr>
          <w:rFonts w:asciiTheme="majorHAnsi" w:eastAsia="Calibri" w:hAnsiTheme="majorHAnsi"/>
          <w:sz w:val="20"/>
          <w:szCs w:val="20"/>
          <w:lang w:val="es-ES"/>
        </w:rPr>
        <w:t xml:space="preserve"> servir como un criterio orientador para la autoridad investigadora</w:t>
      </w:r>
      <w:r w:rsidR="00A34097" w:rsidRPr="00386E47">
        <w:rPr>
          <w:rStyle w:val="FootnoteReference"/>
          <w:rFonts w:asciiTheme="majorHAnsi" w:eastAsia="Calibri" w:hAnsiTheme="majorHAnsi"/>
          <w:sz w:val="18"/>
          <w:szCs w:val="18"/>
          <w:lang w:val="es-ES"/>
        </w:rPr>
        <w:footnoteReference w:id="244"/>
      </w:r>
      <w:r w:rsidR="00BD587F" w:rsidRPr="00386E47">
        <w:rPr>
          <w:rFonts w:asciiTheme="majorHAnsi" w:eastAsia="Calibri" w:hAnsiTheme="majorHAnsi"/>
          <w:sz w:val="20"/>
          <w:szCs w:val="20"/>
          <w:lang w:val="es-ES"/>
        </w:rPr>
        <w:t xml:space="preserve">. Sin embargo, </w:t>
      </w:r>
      <w:r w:rsidR="00A34097" w:rsidRPr="00386E47">
        <w:rPr>
          <w:rFonts w:asciiTheme="majorHAnsi" w:eastAsia="Calibri" w:hAnsiTheme="majorHAnsi"/>
          <w:sz w:val="20"/>
          <w:szCs w:val="20"/>
          <w:lang w:val="es-ES"/>
        </w:rPr>
        <w:t>en circunstancias en las cuales se pretenda generar una hipótesis investigativa basada en tales informes para fundamentar una eventual acusación penal</w:t>
      </w:r>
      <w:r w:rsidRPr="00386E47">
        <w:rPr>
          <w:rFonts w:asciiTheme="majorHAnsi" w:eastAsia="Calibri" w:hAnsiTheme="majorHAnsi"/>
          <w:sz w:val="20"/>
          <w:szCs w:val="20"/>
          <w:lang w:val="es-ES"/>
        </w:rPr>
        <w:t>, juzgamiento y condena</w:t>
      </w:r>
      <w:r w:rsidR="00A34097" w:rsidRPr="00386E47">
        <w:rPr>
          <w:rFonts w:asciiTheme="majorHAnsi" w:eastAsia="Calibri" w:hAnsiTheme="majorHAnsi"/>
          <w:sz w:val="20"/>
          <w:szCs w:val="20"/>
          <w:lang w:val="es-ES"/>
        </w:rPr>
        <w:t xml:space="preserve">, resulta necesario equilibrar la protección de las fuentes y de los métodos de reunión de información de inteligencia con el derecho de las partes del proceso de controlar la </w:t>
      </w:r>
      <w:r w:rsidR="00BD587F" w:rsidRPr="00386E47">
        <w:rPr>
          <w:rFonts w:asciiTheme="majorHAnsi" w:eastAsia="Calibri" w:hAnsiTheme="majorHAnsi"/>
          <w:sz w:val="20"/>
          <w:szCs w:val="20"/>
          <w:lang w:val="es-ES"/>
        </w:rPr>
        <w:t>actividad probatoria estatal</w:t>
      </w:r>
      <w:r w:rsidR="00A34097" w:rsidRPr="00386E47">
        <w:rPr>
          <w:rFonts w:asciiTheme="majorHAnsi" w:eastAsia="Calibri" w:hAnsiTheme="majorHAnsi"/>
          <w:sz w:val="20"/>
          <w:szCs w:val="20"/>
          <w:lang w:val="es-ES"/>
        </w:rPr>
        <w:t xml:space="preserve"> y contrainterrogar a los testigos</w:t>
      </w:r>
      <w:r w:rsidR="00A34097" w:rsidRPr="00386E47">
        <w:rPr>
          <w:rStyle w:val="FootnoteReference"/>
          <w:rFonts w:asciiTheme="majorHAnsi" w:eastAsia="Calibri" w:hAnsiTheme="majorHAnsi"/>
          <w:sz w:val="20"/>
          <w:szCs w:val="20"/>
          <w:lang w:val="es-ES"/>
        </w:rPr>
        <w:footnoteReference w:id="245"/>
      </w:r>
      <w:r w:rsidR="00BD587F" w:rsidRPr="00386E47">
        <w:rPr>
          <w:rFonts w:asciiTheme="majorHAnsi" w:eastAsia="Calibri" w:hAnsiTheme="majorHAnsi"/>
          <w:sz w:val="20"/>
          <w:szCs w:val="20"/>
          <w:lang w:val="es-ES"/>
        </w:rPr>
        <w:t>.</w:t>
      </w:r>
      <w:r w:rsidR="00C516A9" w:rsidRPr="00386E47">
        <w:rPr>
          <w:rFonts w:asciiTheme="majorHAnsi" w:eastAsia="Calibri" w:hAnsiTheme="majorHAnsi"/>
          <w:sz w:val="20"/>
          <w:szCs w:val="20"/>
          <w:lang w:val="es-ES"/>
        </w:rPr>
        <w:t xml:space="preserve"> </w:t>
      </w:r>
      <w:r w:rsidR="00BD587F" w:rsidRPr="00386E47">
        <w:rPr>
          <w:rFonts w:asciiTheme="majorHAnsi" w:eastAsia="Calibri" w:hAnsiTheme="majorHAnsi"/>
          <w:sz w:val="20"/>
          <w:szCs w:val="20"/>
          <w:lang w:val="es-ES"/>
        </w:rPr>
        <w:t>Ello</w:t>
      </w:r>
      <w:r w:rsidR="00C516A9" w:rsidRPr="00386E47">
        <w:rPr>
          <w:rFonts w:asciiTheme="majorHAnsi" w:eastAsia="Calibri" w:hAnsiTheme="majorHAnsi"/>
          <w:sz w:val="20"/>
          <w:szCs w:val="20"/>
          <w:lang w:val="es-ES"/>
        </w:rPr>
        <w:t xml:space="preserve"> </w:t>
      </w:r>
      <w:r w:rsidR="00BD587F" w:rsidRPr="00386E47">
        <w:rPr>
          <w:rFonts w:asciiTheme="majorHAnsi" w:eastAsia="Calibri" w:hAnsiTheme="majorHAnsi"/>
          <w:sz w:val="20"/>
          <w:szCs w:val="20"/>
          <w:lang w:val="es-ES"/>
        </w:rPr>
        <w:t>implica que</w:t>
      </w:r>
      <w:r w:rsidR="00A34097" w:rsidRPr="00386E47">
        <w:rPr>
          <w:rFonts w:asciiTheme="majorHAnsi" w:eastAsia="Calibri" w:hAnsiTheme="majorHAnsi"/>
          <w:sz w:val="20"/>
          <w:szCs w:val="20"/>
          <w:lang w:val="es-ES"/>
        </w:rPr>
        <w:t xml:space="preserve"> </w:t>
      </w:r>
      <w:r w:rsidR="00BD587F" w:rsidRPr="00386E47">
        <w:rPr>
          <w:rFonts w:asciiTheme="majorHAnsi" w:eastAsia="Calibri" w:hAnsiTheme="majorHAnsi"/>
          <w:sz w:val="20"/>
          <w:szCs w:val="20"/>
          <w:lang w:val="es-ES"/>
        </w:rPr>
        <w:t xml:space="preserve">resulta necesario que el Estado </w:t>
      </w:r>
      <w:r w:rsidR="00A34097" w:rsidRPr="00386E47">
        <w:rPr>
          <w:rFonts w:asciiTheme="majorHAnsi" w:eastAsia="Calibri" w:hAnsiTheme="majorHAnsi"/>
          <w:sz w:val="20"/>
          <w:szCs w:val="20"/>
          <w:lang w:val="es-ES"/>
        </w:rPr>
        <w:t>practi</w:t>
      </w:r>
      <w:r w:rsidR="00BD587F" w:rsidRPr="00386E47">
        <w:rPr>
          <w:rFonts w:asciiTheme="majorHAnsi" w:eastAsia="Calibri" w:hAnsiTheme="majorHAnsi"/>
          <w:sz w:val="20"/>
          <w:szCs w:val="20"/>
          <w:lang w:val="es-ES"/>
        </w:rPr>
        <w:t>que</w:t>
      </w:r>
      <w:r w:rsidR="00A34097" w:rsidRPr="00386E47">
        <w:rPr>
          <w:rFonts w:asciiTheme="majorHAnsi" w:eastAsia="Calibri" w:hAnsiTheme="majorHAnsi"/>
          <w:sz w:val="20"/>
          <w:szCs w:val="20"/>
          <w:lang w:val="es-ES"/>
        </w:rPr>
        <w:t xml:space="preserve"> en forma exhaustiva todas aquellas diligencias probatorias que resulten pertinentes para dar suficiente solidez a </w:t>
      </w:r>
      <w:r w:rsidR="00BD587F" w:rsidRPr="00386E47">
        <w:rPr>
          <w:rFonts w:asciiTheme="majorHAnsi" w:eastAsia="Calibri" w:hAnsiTheme="majorHAnsi"/>
          <w:sz w:val="20"/>
          <w:szCs w:val="20"/>
          <w:lang w:val="es-ES"/>
        </w:rPr>
        <w:t>la</w:t>
      </w:r>
      <w:r w:rsidR="00A34097" w:rsidRPr="00386E47">
        <w:rPr>
          <w:rFonts w:asciiTheme="majorHAnsi" w:eastAsia="Calibri" w:hAnsiTheme="majorHAnsi"/>
          <w:sz w:val="20"/>
          <w:szCs w:val="20"/>
          <w:lang w:val="es-ES"/>
        </w:rPr>
        <w:t xml:space="preserve"> </w:t>
      </w:r>
      <w:r w:rsidR="00BD587F" w:rsidRPr="00386E47">
        <w:rPr>
          <w:rFonts w:asciiTheme="majorHAnsi" w:eastAsia="Calibri" w:hAnsiTheme="majorHAnsi"/>
          <w:sz w:val="20"/>
          <w:szCs w:val="20"/>
          <w:lang w:val="es-ES"/>
        </w:rPr>
        <w:t>versión de los hechos</w:t>
      </w:r>
      <w:r w:rsidR="00A34097" w:rsidRPr="00386E47">
        <w:rPr>
          <w:rFonts w:asciiTheme="majorHAnsi" w:eastAsia="Calibri" w:hAnsiTheme="majorHAnsi"/>
          <w:sz w:val="20"/>
          <w:szCs w:val="20"/>
          <w:lang w:val="es-ES"/>
        </w:rPr>
        <w:t xml:space="preserve"> </w:t>
      </w:r>
      <w:r w:rsidR="00B46F73" w:rsidRPr="00386E47">
        <w:rPr>
          <w:rFonts w:asciiTheme="majorHAnsi" w:eastAsia="Calibri" w:hAnsiTheme="majorHAnsi"/>
          <w:sz w:val="20"/>
          <w:szCs w:val="20"/>
          <w:lang w:val="es-ES"/>
        </w:rPr>
        <w:t>que se pretenden sostener</w:t>
      </w:r>
      <w:r w:rsidR="00BD587F" w:rsidRPr="00386E47">
        <w:rPr>
          <w:rFonts w:asciiTheme="majorHAnsi" w:eastAsia="Calibri" w:hAnsiTheme="majorHAnsi"/>
          <w:sz w:val="20"/>
          <w:szCs w:val="20"/>
          <w:lang w:val="es-ES"/>
        </w:rPr>
        <w:t xml:space="preserve">. </w:t>
      </w:r>
    </w:p>
    <w:p w14:paraId="29D9C411" w14:textId="77777777" w:rsidR="00A34097" w:rsidRPr="00386E47" w:rsidRDefault="00A34097" w:rsidP="00A34097">
      <w:pPr>
        <w:tabs>
          <w:tab w:val="left" w:pos="567"/>
        </w:tabs>
        <w:jc w:val="both"/>
        <w:rPr>
          <w:rFonts w:asciiTheme="majorHAnsi" w:eastAsia="Calibri" w:hAnsiTheme="majorHAnsi"/>
          <w:b/>
          <w:sz w:val="20"/>
          <w:szCs w:val="20"/>
          <w:lang w:val="es-ES"/>
        </w:rPr>
      </w:pPr>
    </w:p>
    <w:p w14:paraId="22437B26" w14:textId="77777777" w:rsidR="00324884" w:rsidRPr="00386E47" w:rsidRDefault="00324884" w:rsidP="003A5860">
      <w:pPr>
        <w:numPr>
          <w:ilvl w:val="0"/>
          <w:numId w:val="55"/>
        </w:numPr>
        <w:tabs>
          <w:tab w:val="left" w:pos="567"/>
        </w:tabs>
        <w:ind w:left="0" w:firstLine="0"/>
        <w:jc w:val="both"/>
        <w:rPr>
          <w:rFonts w:asciiTheme="majorHAnsi" w:eastAsia="Calibri" w:hAnsiTheme="majorHAnsi"/>
          <w:sz w:val="20"/>
          <w:szCs w:val="20"/>
          <w:lang w:val="es-ES"/>
        </w:rPr>
      </w:pPr>
      <w:r w:rsidRPr="00386E47">
        <w:rPr>
          <w:rFonts w:asciiTheme="majorHAnsi" w:eastAsia="Calibri" w:hAnsiTheme="majorHAnsi"/>
          <w:sz w:val="20"/>
          <w:szCs w:val="20"/>
          <w:lang w:val="es-ES"/>
        </w:rPr>
        <w:t>La</w:t>
      </w:r>
      <w:r w:rsidR="00A34097" w:rsidRPr="00386E47">
        <w:rPr>
          <w:rFonts w:asciiTheme="majorHAnsi" w:eastAsia="Calibri" w:hAnsiTheme="majorHAnsi"/>
          <w:sz w:val="20"/>
          <w:szCs w:val="20"/>
          <w:lang w:val="es-ES"/>
        </w:rPr>
        <w:t xml:space="preserve"> Comisión observa que el Estado no aportó información que indique que la legislación procesal penal y de inteligencia argentina contara</w:t>
      </w:r>
      <w:r w:rsidRPr="00386E47">
        <w:rPr>
          <w:rFonts w:asciiTheme="majorHAnsi" w:eastAsia="Calibri" w:hAnsiTheme="majorHAnsi"/>
          <w:sz w:val="20"/>
          <w:szCs w:val="20"/>
          <w:lang w:val="es-ES"/>
        </w:rPr>
        <w:t xml:space="preserve"> a la fecha de los hechos</w:t>
      </w:r>
      <w:r w:rsidR="00A34097" w:rsidRPr="00386E47">
        <w:rPr>
          <w:rFonts w:asciiTheme="majorHAnsi" w:eastAsia="Calibri" w:hAnsiTheme="majorHAnsi"/>
          <w:sz w:val="20"/>
          <w:szCs w:val="20"/>
          <w:lang w:val="es-ES"/>
        </w:rPr>
        <w:t xml:space="preserve"> con mecanismos normativos que permitieran garantizar las anteriores exigencias respecto del uso de informes de inteligencia en las investigaciones</w:t>
      </w:r>
      <w:r w:rsidR="00BD587F" w:rsidRPr="00386E47">
        <w:rPr>
          <w:rFonts w:asciiTheme="majorHAnsi" w:eastAsia="Calibri" w:hAnsiTheme="majorHAnsi"/>
          <w:sz w:val="20"/>
          <w:szCs w:val="20"/>
          <w:lang w:val="es-ES"/>
        </w:rPr>
        <w:t xml:space="preserve"> criminales. </w:t>
      </w:r>
      <w:r w:rsidR="00A34097" w:rsidRPr="00386E47">
        <w:rPr>
          <w:rFonts w:asciiTheme="majorHAnsi" w:eastAsia="Calibri" w:hAnsiTheme="majorHAnsi"/>
          <w:sz w:val="20"/>
          <w:szCs w:val="20"/>
          <w:lang w:val="es-ES"/>
        </w:rPr>
        <w:t xml:space="preserve">Como se ha indicado, la incorporación de este tipo de informes </w:t>
      </w:r>
      <w:r w:rsidR="00BD587F" w:rsidRPr="00386E47">
        <w:rPr>
          <w:rFonts w:asciiTheme="majorHAnsi" w:eastAsia="Calibri" w:hAnsiTheme="majorHAnsi"/>
          <w:sz w:val="20"/>
          <w:szCs w:val="20"/>
          <w:lang w:val="es-ES"/>
        </w:rPr>
        <w:t xml:space="preserve">genera, </w:t>
      </w:r>
      <w:r w:rsidR="00A34097" w:rsidRPr="00386E47">
        <w:rPr>
          <w:rFonts w:asciiTheme="majorHAnsi" w:eastAsia="Calibri" w:hAnsiTheme="majorHAnsi"/>
          <w:sz w:val="20"/>
          <w:szCs w:val="20"/>
          <w:lang w:val="es-ES"/>
        </w:rPr>
        <w:t>a su vez</w:t>
      </w:r>
      <w:r w:rsidR="00BD587F" w:rsidRPr="00386E47">
        <w:rPr>
          <w:rFonts w:asciiTheme="majorHAnsi" w:eastAsia="Calibri" w:hAnsiTheme="majorHAnsi"/>
          <w:sz w:val="20"/>
          <w:szCs w:val="20"/>
          <w:lang w:val="es-ES"/>
        </w:rPr>
        <w:t>,</w:t>
      </w:r>
      <w:r w:rsidR="00A34097" w:rsidRPr="00386E47">
        <w:rPr>
          <w:rFonts w:asciiTheme="majorHAnsi" w:eastAsia="Calibri" w:hAnsiTheme="majorHAnsi"/>
          <w:sz w:val="20"/>
          <w:szCs w:val="20"/>
          <w:lang w:val="es-ES"/>
        </w:rPr>
        <w:t xml:space="preserve"> un deber de practicar diligencias adicionales que permitieran confirmar </w:t>
      </w:r>
      <w:r w:rsidR="00BD587F" w:rsidRPr="00386E47">
        <w:rPr>
          <w:rFonts w:asciiTheme="majorHAnsi" w:eastAsia="Calibri" w:hAnsiTheme="majorHAnsi"/>
          <w:sz w:val="20"/>
          <w:szCs w:val="20"/>
          <w:lang w:val="es-ES"/>
        </w:rPr>
        <w:t>las</w:t>
      </w:r>
      <w:r w:rsidR="00A34097" w:rsidRPr="00386E47">
        <w:rPr>
          <w:rFonts w:asciiTheme="majorHAnsi" w:eastAsia="Calibri" w:hAnsiTheme="majorHAnsi"/>
          <w:sz w:val="20"/>
          <w:szCs w:val="20"/>
          <w:lang w:val="es-ES"/>
        </w:rPr>
        <w:t xml:space="preserve"> hipótesis</w:t>
      </w:r>
      <w:r w:rsidR="00BD587F" w:rsidRPr="00386E47">
        <w:rPr>
          <w:rFonts w:asciiTheme="majorHAnsi" w:eastAsia="Calibri" w:hAnsiTheme="majorHAnsi"/>
          <w:sz w:val="20"/>
          <w:szCs w:val="20"/>
          <w:lang w:val="es-ES"/>
        </w:rPr>
        <w:t xml:space="preserve"> allí planteadas</w:t>
      </w:r>
      <w:r w:rsidR="00A34097" w:rsidRPr="00386E47">
        <w:rPr>
          <w:rFonts w:asciiTheme="majorHAnsi" w:eastAsia="Calibri" w:hAnsiTheme="majorHAnsi"/>
          <w:sz w:val="20"/>
          <w:szCs w:val="20"/>
          <w:lang w:val="es-ES"/>
        </w:rPr>
        <w:t>. La Comisión en ese sentido observa que</w:t>
      </w:r>
      <w:r w:rsidRPr="00386E47">
        <w:rPr>
          <w:rFonts w:asciiTheme="majorHAnsi" w:eastAsia="Calibri" w:hAnsiTheme="majorHAnsi"/>
          <w:sz w:val="20"/>
          <w:szCs w:val="20"/>
          <w:lang w:val="es-ES"/>
        </w:rPr>
        <w:t>,</w:t>
      </w:r>
      <w:r w:rsidR="00A34097" w:rsidRPr="00386E47">
        <w:rPr>
          <w:rFonts w:asciiTheme="majorHAnsi" w:eastAsia="Calibri" w:hAnsiTheme="majorHAnsi"/>
          <w:sz w:val="20"/>
          <w:szCs w:val="20"/>
          <w:lang w:val="es-ES"/>
        </w:rPr>
        <w:t xml:space="preserve"> en vista de que gran parte de la información que consta en la causa se encuentra en informes de inteligencia, de no llevarse adelante diligencias dirigidas a obtener pruebas conforme a las normas procesales que puedan ser incorporadas en el expediente, </w:t>
      </w:r>
      <w:r w:rsidRPr="00386E47">
        <w:rPr>
          <w:rFonts w:asciiTheme="majorHAnsi" w:eastAsia="Calibri" w:hAnsiTheme="majorHAnsi"/>
          <w:sz w:val="20"/>
          <w:szCs w:val="20"/>
          <w:lang w:val="es-ES"/>
        </w:rPr>
        <w:t xml:space="preserve">se </w:t>
      </w:r>
      <w:r w:rsidR="00C516A9" w:rsidRPr="00386E47">
        <w:rPr>
          <w:rFonts w:asciiTheme="majorHAnsi" w:eastAsia="Calibri" w:hAnsiTheme="majorHAnsi"/>
          <w:sz w:val="20"/>
          <w:szCs w:val="20"/>
          <w:lang w:val="es-ES"/>
        </w:rPr>
        <w:t>vería</w:t>
      </w:r>
      <w:r w:rsidRPr="00386E47">
        <w:rPr>
          <w:rFonts w:asciiTheme="majorHAnsi" w:eastAsia="Calibri" w:hAnsiTheme="majorHAnsi"/>
          <w:sz w:val="20"/>
          <w:szCs w:val="20"/>
          <w:lang w:val="es-ES"/>
        </w:rPr>
        <w:t xml:space="preserve"> seriamente comprometida la posibilidad de obtener un pronunciamiento judicial que determine la correspondencia con la verdad de las hipótesis acusatorias planteadas por la UFI AMIA y se sancione a los individuos </w:t>
      </w:r>
      <w:r w:rsidR="00C516A9" w:rsidRPr="00386E47">
        <w:rPr>
          <w:rFonts w:asciiTheme="majorHAnsi" w:eastAsia="Calibri" w:hAnsiTheme="majorHAnsi"/>
          <w:sz w:val="20"/>
          <w:szCs w:val="20"/>
          <w:lang w:val="es-ES"/>
        </w:rPr>
        <w:t xml:space="preserve">acusados por dicha dependencia. </w:t>
      </w:r>
    </w:p>
    <w:p w14:paraId="11D81269" w14:textId="77777777" w:rsidR="00F40018" w:rsidRPr="00386E47" w:rsidRDefault="00F40018" w:rsidP="002847DD">
      <w:pPr>
        <w:tabs>
          <w:tab w:val="left" w:pos="567"/>
        </w:tabs>
        <w:jc w:val="both"/>
        <w:rPr>
          <w:rFonts w:asciiTheme="majorHAnsi" w:eastAsia="Calibri" w:hAnsiTheme="majorHAnsi"/>
          <w:sz w:val="20"/>
          <w:szCs w:val="20"/>
          <w:lang w:val="es-ES"/>
        </w:rPr>
      </w:pPr>
    </w:p>
    <w:p w14:paraId="29470310" w14:textId="77777777" w:rsidR="00F40018" w:rsidRPr="00386E47" w:rsidRDefault="00C516A9" w:rsidP="003A5860">
      <w:pPr>
        <w:numPr>
          <w:ilvl w:val="0"/>
          <w:numId w:val="55"/>
        </w:numPr>
        <w:tabs>
          <w:tab w:val="left" w:pos="567"/>
        </w:tabs>
        <w:ind w:left="0" w:firstLine="0"/>
        <w:jc w:val="both"/>
        <w:rPr>
          <w:rFonts w:asciiTheme="majorHAnsi" w:eastAsia="Calibri" w:hAnsiTheme="majorHAnsi"/>
          <w:sz w:val="20"/>
          <w:szCs w:val="20"/>
          <w:lang w:val="es-ES"/>
        </w:rPr>
      </w:pPr>
      <w:r w:rsidRPr="00386E47">
        <w:rPr>
          <w:rFonts w:asciiTheme="majorHAnsi" w:eastAsia="Calibri" w:hAnsiTheme="majorHAnsi"/>
          <w:sz w:val="20"/>
          <w:szCs w:val="20"/>
          <w:lang w:val="es-ES"/>
        </w:rPr>
        <w:t>Con respecto a la identidad del supuesto conductor suicida, l</w:t>
      </w:r>
      <w:r w:rsidR="00A34097" w:rsidRPr="00386E47">
        <w:rPr>
          <w:rFonts w:asciiTheme="majorHAnsi" w:eastAsia="Calibri" w:hAnsiTheme="majorHAnsi"/>
          <w:sz w:val="20"/>
          <w:szCs w:val="20"/>
          <w:lang w:val="es-ES"/>
        </w:rPr>
        <w:t xml:space="preserve">a Comisión nota </w:t>
      </w:r>
      <w:r w:rsidR="00B46F73" w:rsidRPr="00386E47">
        <w:rPr>
          <w:rFonts w:asciiTheme="majorHAnsi" w:eastAsia="Calibri" w:hAnsiTheme="majorHAnsi"/>
          <w:sz w:val="20"/>
          <w:szCs w:val="20"/>
          <w:lang w:val="es-ES"/>
        </w:rPr>
        <w:t>que,</w:t>
      </w:r>
      <w:r w:rsidR="00FC22BD" w:rsidRPr="00386E47">
        <w:rPr>
          <w:rFonts w:asciiTheme="majorHAnsi" w:eastAsia="Calibri" w:hAnsiTheme="majorHAnsi"/>
          <w:sz w:val="20"/>
          <w:szCs w:val="20"/>
          <w:lang w:val="es-ES"/>
        </w:rPr>
        <w:t xml:space="preserve"> si bien los fiscales tomaron en cuenta un peritaje comparativo, con base en un </w:t>
      </w:r>
      <w:r w:rsidR="00FC22BD" w:rsidRPr="00386E47">
        <w:rPr>
          <w:rFonts w:asciiTheme="majorHAnsi" w:eastAsia="Calibri" w:hAnsiTheme="majorHAnsi"/>
          <w:i/>
          <w:sz w:val="20"/>
          <w:szCs w:val="20"/>
          <w:lang w:val="es-ES"/>
        </w:rPr>
        <w:t>identiki</w:t>
      </w:r>
      <w:r w:rsidR="00340607" w:rsidRPr="00386E47">
        <w:rPr>
          <w:rFonts w:asciiTheme="majorHAnsi" w:eastAsia="Calibri" w:hAnsiTheme="majorHAnsi"/>
          <w:i/>
          <w:sz w:val="20"/>
          <w:szCs w:val="20"/>
          <w:lang w:val="es-ES"/>
        </w:rPr>
        <w:t>t</w:t>
      </w:r>
      <w:r w:rsidR="00FC22BD" w:rsidRPr="00386E47">
        <w:rPr>
          <w:rFonts w:asciiTheme="majorHAnsi" w:eastAsia="Calibri" w:hAnsiTheme="majorHAnsi"/>
          <w:i/>
          <w:sz w:val="20"/>
          <w:szCs w:val="20"/>
          <w:lang w:val="es-ES"/>
        </w:rPr>
        <w:t xml:space="preserve"> </w:t>
      </w:r>
      <w:r w:rsidR="00FC22BD" w:rsidRPr="00386E47">
        <w:rPr>
          <w:rFonts w:asciiTheme="majorHAnsi" w:eastAsia="Calibri" w:hAnsiTheme="majorHAnsi"/>
          <w:sz w:val="20"/>
          <w:szCs w:val="20"/>
          <w:lang w:val="es-ES"/>
        </w:rPr>
        <w:t xml:space="preserve">construido en tiempo cercano al atentado, </w:t>
      </w:r>
      <w:r w:rsidR="00A34097" w:rsidRPr="00386E47">
        <w:rPr>
          <w:rFonts w:asciiTheme="majorHAnsi" w:eastAsia="Calibri" w:hAnsiTheme="majorHAnsi"/>
          <w:sz w:val="20"/>
          <w:szCs w:val="20"/>
          <w:lang w:val="es-ES"/>
        </w:rPr>
        <w:t>la UFI AMIA</w:t>
      </w:r>
      <w:r w:rsidRPr="00386E47">
        <w:rPr>
          <w:rFonts w:asciiTheme="majorHAnsi" w:eastAsia="Calibri" w:hAnsiTheme="majorHAnsi"/>
          <w:sz w:val="20"/>
          <w:szCs w:val="20"/>
          <w:lang w:val="es-ES"/>
        </w:rPr>
        <w:t xml:space="preserve"> en su dictamen de octubre de 2006</w:t>
      </w:r>
      <w:r w:rsidR="00FC22BD" w:rsidRPr="00386E47">
        <w:rPr>
          <w:rFonts w:asciiTheme="majorHAnsi" w:eastAsia="Calibri" w:hAnsiTheme="majorHAnsi"/>
          <w:sz w:val="20"/>
          <w:szCs w:val="20"/>
          <w:lang w:val="es-ES"/>
        </w:rPr>
        <w:t xml:space="preserve"> </w:t>
      </w:r>
      <w:r w:rsidR="00324884" w:rsidRPr="00386E47">
        <w:rPr>
          <w:rFonts w:asciiTheme="majorHAnsi" w:eastAsia="Calibri" w:hAnsiTheme="majorHAnsi"/>
          <w:sz w:val="20"/>
          <w:szCs w:val="20"/>
          <w:lang w:val="es-ES"/>
        </w:rPr>
        <w:t xml:space="preserve">atribuyó a Ibrahim Hussein Berro la autoría material del atentado en base a </w:t>
      </w:r>
      <w:r w:rsidR="00A34097" w:rsidRPr="00386E47">
        <w:rPr>
          <w:rFonts w:asciiTheme="majorHAnsi" w:eastAsia="Calibri" w:hAnsiTheme="majorHAnsi"/>
          <w:sz w:val="20"/>
          <w:szCs w:val="20"/>
          <w:lang w:val="es-ES"/>
        </w:rPr>
        <w:t xml:space="preserve">informes de inteligencia que eran </w:t>
      </w:r>
      <w:r w:rsidR="00324884" w:rsidRPr="00386E47">
        <w:rPr>
          <w:rFonts w:asciiTheme="majorHAnsi" w:eastAsia="Calibri" w:hAnsiTheme="majorHAnsi"/>
          <w:sz w:val="20"/>
          <w:szCs w:val="20"/>
          <w:lang w:val="es-ES"/>
        </w:rPr>
        <w:t xml:space="preserve">incorporados a la causa </w:t>
      </w:r>
      <w:r w:rsidR="00A34097" w:rsidRPr="00386E47">
        <w:rPr>
          <w:rFonts w:asciiTheme="majorHAnsi" w:eastAsia="Calibri" w:hAnsiTheme="majorHAnsi"/>
          <w:sz w:val="20"/>
          <w:szCs w:val="20"/>
          <w:lang w:val="es-ES"/>
        </w:rPr>
        <w:t xml:space="preserve">por la SIDE.  </w:t>
      </w:r>
      <w:r w:rsidR="00FC22BD" w:rsidRPr="00386E47">
        <w:rPr>
          <w:rFonts w:asciiTheme="majorHAnsi" w:eastAsia="Calibri" w:hAnsiTheme="majorHAnsi"/>
          <w:sz w:val="20"/>
          <w:szCs w:val="20"/>
          <w:lang w:val="es-ES"/>
        </w:rPr>
        <w:t>La Comisión observa que tuvieron que transcurrir más de 10 años</w:t>
      </w:r>
      <w:r w:rsidR="00BD587F" w:rsidRPr="00386E47">
        <w:rPr>
          <w:rFonts w:asciiTheme="majorHAnsi" w:eastAsia="Calibri" w:hAnsiTheme="majorHAnsi"/>
          <w:sz w:val="20"/>
          <w:szCs w:val="20"/>
          <w:lang w:val="es-ES"/>
        </w:rPr>
        <w:t xml:space="preserve"> para que </w:t>
      </w:r>
      <w:r w:rsidR="009F70EA" w:rsidRPr="00386E47">
        <w:rPr>
          <w:rFonts w:asciiTheme="majorHAnsi" w:eastAsia="Calibri" w:hAnsiTheme="majorHAnsi"/>
          <w:sz w:val="20"/>
          <w:szCs w:val="20"/>
          <w:lang w:val="es-ES"/>
        </w:rPr>
        <w:t xml:space="preserve">la UFI AMIA </w:t>
      </w:r>
      <w:r w:rsidRPr="00386E47">
        <w:rPr>
          <w:rFonts w:asciiTheme="majorHAnsi" w:eastAsia="Calibri" w:hAnsiTheme="majorHAnsi"/>
          <w:sz w:val="20"/>
          <w:szCs w:val="20"/>
          <w:lang w:val="es-ES"/>
        </w:rPr>
        <w:t xml:space="preserve">identificara la existencia de material biológico en un deposito </w:t>
      </w:r>
      <w:r w:rsidR="00FC22BD" w:rsidRPr="00386E47">
        <w:rPr>
          <w:rFonts w:asciiTheme="majorHAnsi" w:eastAsia="Calibri" w:hAnsiTheme="majorHAnsi"/>
          <w:sz w:val="20"/>
          <w:szCs w:val="20"/>
          <w:lang w:val="es-ES"/>
        </w:rPr>
        <w:t xml:space="preserve">que no correspondía a </w:t>
      </w:r>
      <w:r w:rsidR="009F70EA" w:rsidRPr="00386E47">
        <w:rPr>
          <w:rFonts w:asciiTheme="majorHAnsi" w:eastAsia="Calibri" w:hAnsiTheme="majorHAnsi"/>
          <w:sz w:val="20"/>
          <w:szCs w:val="20"/>
          <w:lang w:val="es-ES"/>
        </w:rPr>
        <w:t xml:space="preserve">ninguna de las victimas conocidas. </w:t>
      </w:r>
      <w:r w:rsidR="00FC22BD" w:rsidRPr="00386E47">
        <w:rPr>
          <w:rFonts w:asciiTheme="majorHAnsi" w:eastAsia="Calibri" w:hAnsiTheme="majorHAnsi"/>
          <w:sz w:val="20"/>
          <w:szCs w:val="20"/>
          <w:lang w:val="es-ES"/>
        </w:rPr>
        <w:t xml:space="preserve">Asimismo, </w:t>
      </w:r>
      <w:r w:rsidR="00324884" w:rsidRPr="00386E47">
        <w:rPr>
          <w:rFonts w:asciiTheme="majorHAnsi" w:eastAsia="Calibri" w:hAnsiTheme="majorHAnsi"/>
          <w:sz w:val="20"/>
          <w:szCs w:val="20"/>
          <w:lang w:val="es-ES"/>
        </w:rPr>
        <w:t xml:space="preserve">no </w:t>
      </w:r>
      <w:r w:rsidR="00F40018" w:rsidRPr="00386E47">
        <w:rPr>
          <w:rFonts w:asciiTheme="majorHAnsi" w:eastAsia="Calibri" w:hAnsiTheme="majorHAnsi"/>
          <w:sz w:val="20"/>
          <w:szCs w:val="20"/>
          <w:lang w:val="es-ES"/>
        </w:rPr>
        <w:t>f</w:t>
      </w:r>
      <w:r w:rsidR="00A34097" w:rsidRPr="00386E47">
        <w:rPr>
          <w:rFonts w:asciiTheme="majorHAnsi" w:eastAsia="Calibri" w:hAnsiTheme="majorHAnsi"/>
          <w:sz w:val="20"/>
          <w:szCs w:val="20"/>
          <w:lang w:val="es-ES"/>
        </w:rPr>
        <w:t>ue</w:t>
      </w:r>
      <w:r w:rsidR="00324884" w:rsidRPr="00386E47">
        <w:rPr>
          <w:rFonts w:asciiTheme="majorHAnsi" w:eastAsia="Calibri" w:hAnsiTheme="majorHAnsi"/>
          <w:sz w:val="20"/>
          <w:szCs w:val="20"/>
          <w:lang w:val="es-ES"/>
        </w:rPr>
        <w:t xml:space="preserve"> sino </w:t>
      </w:r>
      <w:r w:rsidR="00B46F73" w:rsidRPr="00386E47">
        <w:rPr>
          <w:rFonts w:asciiTheme="majorHAnsi" w:eastAsia="Calibri" w:hAnsiTheme="majorHAnsi"/>
          <w:sz w:val="20"/>
          <w:szCs w:val="20"/>
          <w:lang w:val="es-ES"/>
        </w:rPr>
        <w:t>hasta el</w:t>
      </w:r>
      <w:r w:rsidR="00324884" w:rsidRPr="00386E47">
        <w:rPr>
          <w:rFonts w:asciiTheme="majorHAnsi" w:eastAsia="Calibri" w:hAnsiTheme="majorHAnsi"/>
          <w:sz w:val="20"/>
          <w:szCs w:val="20"/>
          <w:lang w:val="es-ES"/>
        </w:rPr>
        <w:t xml:space="preserve"> año 2017</w:t>
      </w:r>
      <w:r w:rsidR="009F70EA" w:rsidRPr="00386E47">
        <w:rPr>
          <w:rFonts w:asciiTheme="majorHAnsi" w:eastAsia="Calibri" w:hAnsiTheme="majorHAnsi"/>
          <w:sz w:val="20"/>
          <w:szCs w:val="20"/>
          <w:lang w:val="es-ES"/>
        </w:rPr>
        <w:t xml:space="preserve"> </w:t>
      </w:r>
      <w:r w:rsidR="000E6B91" w:rsidRPr="00386E47">
        <w:rPr>
          <w:rFonts w:asciiTheme="majorHAnsi" w:eastAsia="Calibri" w:hAnsiTheme="majorHAnsi"/>
          <w:sz w:val="20"/>
          <w:szCs w:val="20"/>
          <w:lang w:val="es-ES"/>
        </w:rPr>
        <w:t xml:space="preserve">que </w:t>
      </w:r>
      <w:r w:rsidR="009F70EA" w:rsidRPr="00386E47">
        <w:rPr>
          <w:rFonts w:asciiTheme="majorHAnsi" w:eastAsia="Calibri" w:hAnsiTheme="majorHAnsi"/>
          <w:sz w:val="20"/>
          <w:szCs w:val="20"/>
          <w:lang w:val="es-ES"/>
        </w:rPr>
        <w:t xml:space="preserve">la UFI AMIA </w:t>
      </w:r>
      <w:r w:rsidRPr="00386E47">
        <w:rPr>
          <w:rFonts w:asciiTheme="majorHAnsi" w:eastAsia="Calibri" w:hAnsiTheme="majorHAnsi"/>
          <w:sz w:val="20"/>
          <w:szCs w:val="20"/>
          <w:lang w:val="es-ES"/>
        </w:rPr>
        <w:t>logró concluir</w:t>
      </w:r>
      <w:r w:rsidR="009F70EA" w:rsidRPr="00386E47">
        <w:rPr>
          <w:rFonts w:asciiTheme="majorHAnsi" w:eastAsia="Calibri" w:hAnsiTheme="majorHAnsi"/>
          <w:sz w:val="20"/>
          <w:szCs w:val="20"/>
          <w:lang w:val="es-ES"/>
        </w:rPr>
        <w:t xml:space="preserve"> </w:t>
      </w:r>
      <w:r w:rsidR="00F40018" w:rsidRPr="00386E47">
        <w:rPr>
          <w:rFonts w:asciiTheme="majorHAnsi" w:eastAsia="Calibri" w:hAnsiTheme="majorHAnsi"/>
          <w:sz w:val="20"/>
          <w:szCs w:val="20"/>
          <w:lang w:val="es-ES"/>
        </w:rPr>
        <w:t>que</w:t>
      </w:r>
      <w:r w:rsidRPr="00386E47">
        <w:rPr>
          <w:rFonts w:asciiTheme="majorHAnsi" w:eastAsia="Calibri" w:hAnsiTheme="majorHAnsi"/>
          <w:sz w:val="20"/>
          <w:szCs w:val="20"/>
          <w:lang w:val="es-ES"/>
        </w:rPr>
        <w:t xml:space="preserve"> esa</w:t>
      </w:r>
      <w:r w:rsidR="00F40018" w:rsidRPr="00386E47">
        <w:rPr>
          <w:rFonts w:asciiTheme="majorHAnsi" w:eastAsia="Calibri" w:hAnsiTheme="majorHAnsi"/>
          <w:sz w:val="20"/>
          <w:szCs w:val="20"/>
          <w:lang w:val="es-ES"/>
        </w:rPr>
        <w:t xml:space="preserve"> muestra </w:t>
      </w:r>
      <w:r w:rsidR="00324884" w:rsidRPr="00386E47">
        <w:rPr>
          <w:rFonts w:asciiTheme="majorHAnsi" w:eastAsia="Calibri" w:hAnsiTheme="majorHAnsi"/>
          <w:sz w:val="20"/>
          <w:szCs w:val="20"/>
          <w:lang w:val="es-ES"/>
        </w:rPr>
        <w:t>no poseía</w:t>
      </w:r>
      <w:r w:rsidR="00F40018" w:rsidRPr="00386E47">
        <w:rPr>
          <w:rFonts w:asciiTheme="majorHAnsi" w:eastAsia="Calibri" w:hAnsiTheme="majorHAnsi"/>
          <w:sz w:val="20"/>
          <w:szCs w:val="20"/>
          <w:lang w:val="es-ES"/>
        </w:rPr>
        <w:t xml:space="preserve"> correspondencia genética</w:t>
      </w:r>
      <w:r w:rsidR="00324884" w:rsidRPr="00386E47">
        <w:rPr>
          <w:rFonts w:asciiTheme="majorHAnsi" w:eastAsia="Calibri" w:hAnsiTheme="majorHAnsi"/>
          <w:sz w:val="20"/>
          <w:szCs w:val="20"/>
          <w:lang w:val="es-ES"/>
        </w:rPr>
        <w:t xml:space="preserve"> alguna</w:t>
      </w:r>
      <w:r w:rsidR="00FC22BD" w:rsidRPr="00386E47">
        <w:rPr>
          <w:rFonts w:asciiTheme="majorHAnsi" w:eastAsia="Calibri" w:hAnsiTheme="majorHAnsi"/>
          <w:sz w:val="20"/>
          <w:szCs w:val="20"/>
          <w:lang w:val="es-ES"/>
        </w:rPr>
        <w:t xml:space="preserve"> con uno de los hermanos de Berro</w:t>
      </w:r>
      <w:r w:rsidR="009F70EA" w:rsidRPr="00386E47">
        <w:rPr>
          <w:rFonts w:asciiTheme="majorHAnsi" w:eastAsia="Calibri" w:hAnsiTheme="majorHAnsi"/>
          <w:sz w:val="20"/>
          <w:szCs w:val="20"/>
          <w:lang w:val="es-ES"/>
        </w:rPr>
        <w:t>.</w:t>
      </w:r>
    </w:p>
    <w:p w14:paraId="244D4A24" w14:textId="77777777" w:rsidR="00974A7E" w:rsidRPr="00386E47" w:rsidRDefault="00974A7E" w:rsidP="00347DFB">
      <w:pPr>
        <w:tabs>
          <w:tab w:val="left" w:pos="567"/>
        </w:tabs>
        <w:jc w:val="both"/>
        <w:rPr>
          <w:rFonts w:asciiTheme="majorHAnsi" w:eastAsia="Calibri" w:hAnsiTheme="majorHAnsi"/>
          <w:b/>
          <w:sz w:val="20"/>
          <w:szCs w:val="20"/>
          <w:lang w:val="es-AR"/>
        </w:rPr>
      </w:pPr>
    </w:p>
    <w:p w14:paraId="44220BF0" w14:textId="77777777" w:rsidR="00664CCF" w:rsidRPr="00386E47" w:rsidRDefault="00953702" w:rsidP="003A5860">
      <w:pPr>
        <w:numPr>
          <w:ilvl w:val="0"/>
          <w:numId w:val="55"/>
        </w:numPr>
        <w:tabs>
          <w:tab w:val="left" w:pos="567"/>
        </w:tabs>
        <w:ind w:left="0" w:firstLine="0"/>
        <w:jc w:val="both"/>
        <w:rPr>
          <w:rFonts w:asciiTheme="majorHAnsi" w:eastAsia="Calibri" w:hAnsiTheme="majorHAnsi"/>
          <w:sz w:val="20"/>
          <w:szCs w:val="20"/>
          <w:lang w:val="es-AR"/>
        </w:rPr>
      </w:pPr>
      <w:r w:rsidRPr="00386E47">
        <w:rPr>
          <w:rFonts w:asciiTheme="majorHAnsi" w:eastAsia="Calibri" w:hAnsiTheme="majorHAnsi"/>
          <w:sz w:val="20"/>
          <w:szCs w:val="20"/>
          <w:lang w:val="es-AR"/>
        </w:rPr>
        <w:t>L</w:t>
      </w:r>
      <w:r w:rsidR="009F70EA" w:rsidRPr="00386E47">
        <w:rPr>
          <w:rFonts w:asciiTheme="majorHAnsi" w:eastAsia="Calibri" w:hAnsiTheme="majorHAnsi"/>
          <w:sz w:val="20"/>
          <w:szCs w:val="20"/>
          <w:lang w:val="es-AR"/>
        </w:rPr>
        <w:t xml:space="preserve">a CIDH entiende que, a la luz del resultado de este peritaje biológico, resulta razonable que </w:t>
      </w:r>
      <w:r w:rsidR="00121E33" w:rsidRPr="00386E47">
        <w:rPr>
          <w:rFonts w:asciiTheme="majorHAnsi" w:eastAsia="Calibri" w:hAnsiTheme="majorHAnsi"/>
          <w:sz w:val="20"/>
          <w:szCs w:val="20"/>
          <w:lang w:val="es-AR"/>
        </w:rPr>
        <w:t>a la fecha continúen existiendo</w:t>
      </w:r>
      <w:r w:rsidR="009F70EA" w:rsidRPr="00386E47">
        <w:rPr>
          <w:rFonts w:asciiTheme="majorHAnsi" w:eastAsia="Calibri" w:hAnsiTheme="majorHAnsi"/>
          <w:sz w:val="20"/>
          <w:szCs w:val="20"/>
          <w:lang w:val="es-AR"/>
        </w:rPr>
        <w:t xml:space="preserve"> serias dudas respecto de la veracidad de la hipótesis fiscal plasmada en el dictamen de octubre de 2006.</w:t>
      </w:r>
      <w:r w:rsidR="00324884" w:rsidRPr="00386E47">
        <w:rPr>
          <w:rFonts w:asciiTheme="majorHAnsi" w:eastAsia="Calibri" w:hAnsiTheme="majorHAnsi"/>
          <w:sz w:val="20"/>
          <w:szCs w:val="20"/>
          <w:lang w:val="es-AR"/>
        </w:rPr>
        <w:t xml:space="preserve"> </w:t>
      </w:r>
      <w:r w:rsidR="009F70EA" w:rsidRPr="00386E47">
        <w:rPr>
          <w:rFonts w:asciiTheme="majorHAnsi" w:eastAsia="Calibri" w:hAnsiTheme="majorHAnsi"/>
          <w:sz w:val="20"/>
          <w:szCs w:val="20"/>
          <w:lang w:val="es-AR"/>
        </w:rPr>
        <w:t xml:space="preserve"> </w:t>
      </w:r>
      <w:r w:rsidR="00F40018" w:rsidRPr="00386E47">
        <w:rPr>
          <w:rFonts w:asciiTheme="majorHAnsi" w:eastAsia="Calibri" w:hAnsiTheme="majorHAnsi"/>
          <w:sz w:val="20"/>
          <w:szCs w:val="20"/>
          <w:lang w:val="es-AR"/>
        </w:rPr>
        <w:t>E</w:t>
      </w:r>
      <w:r w:rsidR="009F70EA" w:rsidRPr="00386E47">
        <w:rPr>
          <w:rFonts w:asciiTheme="majorHAnsi" w:eastAsia="Calibri" w:hAnsiTheme="majorHAnsi"/>
          <w:sz w:val="20"/>
          <w:szCs w:val="20"/>
          <w:lang w:val="es-AR"/>
        </w:rPr>
        <w:t xml:space="preserve">ste estado de incertidumbre se agudiza si se tiene en cuenta que en el mencionado dictamen la identificación de Berro se </w:t>
      </w:r>
      <w:r w:rsidR="00245A1A" w:rsidRPr="00386E47">
        <w:rPr>
          <w:rFonts w:asciiTheme="majorHAnsi" w:eastAsia="Calibri" w:hAnsiTheme="majorHAnsi"/>
          <w:sz w:val="20"/>
          <w:szCs w:val="20"/>
          <w:lang w:val="es-AR"/>
        </w:rPr>
        <w:t>bas</w:t>
      </w:r>
      <w:r w:rsidR="00B816C5" w:rsidRPr="00386E47">
        <w:rPr>
          <w:rFonts w:asciiTheme="majorHAnsi" w:eastAsia="Calibri" w:hAnsiTheme="majorHAnsi"/>
          <w:sz w:val="20"/>
          <w:szCs w:val="20"/>
          <w:lang w:val="es-AR"/>
        </w:rPr>
        <w:t>ó</w:t>
      </w:r>
      <w:r w:rsidR="009F70EA" w:rsidRPr="00386E47">
        <w:rPr>
          <w:rFonts w:asciiTheme="majorHAnsi" w:eastAsia="Calibri" w:hAnsiTheme="majorHAnsi"/>
          <w:sz w:val="20"/>
          <w:szCs w:val="20"/>
          <w:lang w:val="es-AR"/>
        </w:rPr>
        <w:t xml:space="preserve">, </w:t>
      </w:r>
      <w:r w:rsidR="00324884" w:rsidRPr="00386E47">
        <w:rPr>
          <w:rFonts w:asciiTheme="majorHAnsi" w:eastAsia="Calibri" w:hAnsiTheme="majorHAnsi"/>
          <w:sz w:val="20"/>
          <w:szCs w:val="20"/>
          <w:lang w:val="es-AR"/>
        </w:rPr>
        <w:t xml:space="preserve">la </w:t>
      </w:r>
      <w:r w:rsidR="00B528BF" w:rsidRPr="00386E47">
        <w:rPr>
          <w:rFonts w:asciiTheme="majorHAnsi" w:eastAsia="Calibri" w:hAnsiTheme="majorHAnsi"/>
          <w:sz w:val="20"/>
          <w:szCs w:val="20"/>
          <w:lang w:val="es-AR"/>
        </w:rPr>
        <w:t>Comisión</w:t>
      </w:r>
      <w:r w:rsidR="00324884" w:rsidRPr="00386E47">
        <w:rPr>
          <w:rFonts w:asciiTheme="majorHAnsi" w:eastAsia="Calibri" w:hAnsiTheme="majorHAnsi"/>
          <w:sz w:val="20"/>
          <w:szCs w:val="20"/>
          <w:lang w:val="es-AR"/>
        </w:rPr>
        <w:t xml:space="preserve"> reitera</w:t>
      </w:r>
      <w:r w:rsidR="009F70EA" w:rsidRPr="00386E47">
        <w:rPr>
          <w:rFonts w:asciiTheme="majorHAnsi" w:eastAsia="Calibri" w:hAnsiTheme="majorHAnsi"/>
          <w:sz w:val="20"/>
          <w:szCs w:val="20"/>
          <w:lang w:val="es-AR"/>
        </w:rPr>
        <w:t xml:space="preserve">, en información reunida por agencias de inteligencia argentinas y extranjeras y por declaraciones de testigos de identidad reservada cuya veracidad no </w:t>
      </w:r>
      <w:r w:rsidR="002A3811" w:rsidRPr="00386E47">
        <w:rPr>
          <w:rFonts w:asciiTheme="majorHAnsi" w:eastAsia="Calibri" w:hAnsiTheme="majorHAnsi"/>
          <w:sz w:val="20"/>
          <w:szCs w:val="20"/>
          <w:lang w:val="es-AR"/>
        </w:rPr>
        <w:t xml:space="preserve">fue posible de </w:t>
      </w:r>
      <w:r w:rsidR="009F70EA" w:rsidRPr="00386E47">
        <w:rPr>
          <w:rFonts w:asciiTheme="majorHAnsi" w:eastAsia="Calibri" w:hAnsiTheme="majorHAnsi"/>
          <w:sz w:val="20"/>
          <w:szCs w:val="20"/>
          <w:lang w:val="es-AR"/>
        </w:rPr>
        <w:t xml:space="preserve">ser controlada o corroborada ni por las autoridades judiciales </w:t>
      </w:r>
      <w:r w:rsidR="002A3811" w:rsidRPr="00386E47">
        <w:rPr>
          <w:rFonts w:asciiTheme="majorHAnsi" w:eastAsia="Calibri" w:hAnsiTheme="majorHAnsi"/>
          <w:sz w:val="20"/>
          <w:szCs w:val="20"/>
          <w:lang w:val="es-AR"/>
        </w:rPr>
        <w:t xml:space="preserve">ni por los peticionarios constituidos como querellantes en la causa toda vez que su </w:t>
      </w:r>
      <w:r w:rsidR="00245A1A" w:rsidRPr="00386E47">
        <w:rPr>
          <w:rFonts w:asciiTheme="majorHAnsi" w:eastAsia="Calibri" w:hAnsiTheme="majorHAnsi"/>
          <w:sz w:val="20"/>
          <w:szCs w:val="20"/>
          <w:lang w:val="es-AR"/>
        </w:rPr>
        <w:t xml:space="preserve">introducción al expediente judicial no se rigió por las reglas de la prueba testimonial. </w:t>
      </w:r>
      <w:r w:rsidR="009F70EA" w:rsidRPr="00386E47">
        <w:rPr>
          <w:rFonts w:asciiTheme="majorHAnsi" w:eastAsia="Calibri" w:hAnsiTheme="majorHAnsi"/>
          <w:sz w:val="20"/>
          <w:szCs w:val="20"/>
          <w:lang w:val="es-AR"/>
        </w:rPr>
        <w:t xml:space="preserve">(ver </w:t>
      </w:r>
      <w:r w:rsidR="001D4ABD" w:rsidRPr="00386E47">
        <w:rPr>
          <w:rFonts w:asciiTheme="majorHAnsi" w:eastAsia="Calibri" w:hAnsiTheme="majorHAnsi"/>
          <w:sz w:val="20"/>
          <w:szCs w:val="20"/>
          <w:lang w:val="es-AR"/>
        </w:rPr>
        <w:t xml:space="preserve">supra </w:t>
      </w:r>
      <w:r w:rsidR="009F70EA" w:rsidRPr="00386E47">
        <w:rPr>
          <w:rFonts w:asciiTheme="majorHAnsi" w:eastAsia="Calibri" w:hAnsiTheme="majorHAnsi"/>
          <w:sz w:val="20"/>
          <w:szCs w:val="20"/>
          <w:lang w:val="es-AR"/>
        </w:rPr>
        <w:t>par</w:t>
      </w:r>
      <w:r w:rsidR="001D4ABD" w:rsidRPr="00386E47">
        <w:rPr>
          <w:rFonts w:asciiTheme="majorHAnsi" w:eastAsia="Calibri" w:hAnsiTheme="majorHAnsi"/>
          <w:sz w:val="20"/>
          <w:szCs w:val="20"/>
          <w:lang w:val="es-AR"/>
        </w:rPr>
        <w:t xml:space="preserve">r. </w:t>
      </w:r>
      <w:r w:rsidR="00245A1A" w:rsidRPr="00386E47">
        <w:rPr>
          <w:rFonts w:asciiTheme="majorHAnsi" w:eastAsia="Calibri" w:hAnsiTheme="majorHAnsi"/>
          <w:sz w:val="20"/>
          <w:szCs w:val="20"/>
          <w:lang w:val="es-AR"/>
        </w:rPr>
        <w:t>243</w:t>
      </w:r>
      <w:r w:rsidR="009F70EA" w:rsidRPr="00386E47">
        <w:rPr>
          <w:rFonts w:asciiTheme="majorHAnsi" w:eastAsia="Calibri" w:hAnsiTheme="majorHAnsi"/>
          <w:sz w:val="20"/>
          <w:szCs w:val="20"/>
          <w:lang w:val="es-AR"/>
        </w:rPr>
        <w:t>)</w:t>
      </w:r>
      <w:r w:rsidR="00B816C5" w:rsidRPr="00386E47">
        <w:rPr>
          <w:rFonts w:asciiTheme="majorHAnsi" w:eastAsia="Calibri" w:hAnsiTheme="majorHAnsi"/>
          <w:sz w:val="20"/>
          <w:szCs w:val="20"/>
          <w:lang w:val="es-AR"/>
        </w:rPr>
        <w:t xml:space="preserve">. </w:t>
      </w:r>
    </w:p>
    <w:p w14:paraId="6930CD41" w14:textId="77777777" w:rsidR="00664CCF" w:rsidRPr="00386E47" w:rsidRDefault="00664CCF" w:rsidP="00A311A0">
      <w:pPr>
        <w:pStyle w:val="ListParagraph"/>
        <w:rPr>
          <w:rFonts w:asciiTheme="majorHAnsi" w:eastAsia="Calibri" w:hAnsiTheme="majorHAnsi"/>
          <w:sz w:val="20"/>
          <w:szCs w:val="20"/>
          <w:lang w:val="es-AR"/>
        </w:rPr>
      </w:pPr>
    </w:p>
    <w:p w14:paraId="103F1301" w14:textId="77777777" w:rsidR="00324884" w:rsidRPr="00386E47" w:rsidRDefault="00953702" w:rsidP="003A5860">
      <w:pPr>
        <w:numPr>
          <w:ilvl w:val="0"/>
          <w:numId w:val="55"/>
        </w:numPr>
        <w:tabs>
          <w:tab w:val="left" w:pos="567"/>
        </w:tabs>
        <w:ind w:left="0" w:firstLine="0"/>
        <w:jc w:val="both"/>
        <w:rPr>
          <w:rFonts w:asciiTheme="majorHAnsi" w:eastAsia="Calibri" w:hAnsiTheme="majorHAnsi"/>
          <w:sz w:val="20"/>
          <w:szCs w:val="20"/>
          <w:lang w:val="es-AR"/>
        </w:rPr>
      </w:pPr>
      <w:r w:rsidRPr="00386E47">
        <w:rPr>
          <w:rFonts w:asciiTheme="majorHAnsi" w:eastAsia="Calibri" w:hAnsiTheme="majorHAnsi"/>
          <w:sz w:val="20"/>
          <w:szCs w:val="20"/>
          <w:lang w:val="es-AR"/>
        </w:rPr>
        <w:t>L</w:t>
      </w:r>
      <w:r w:rsidR="00B816C5" w:rsidRPr="00386E47">
        <w:rPr>
          <w:rFonts w:asciiTheme="majorHAnsi" w:eastAsia="Calibri" w:hAnsiTheme="majorHAnsi"/>
          <w:sz w:val="20"/>
          <w:szCs w:val="20"/>
          <w:lang w:val="es-AR"/>
        </w:rPr>
        <w:t xml:space="preserve">a Comisión considera </w:t>
      </w:r>
      <w:r w:rsidRPr="00386E47">
        <w:rPr>
          <w:rFonts w:asciiTheme="majorHAnsi" w:eastAsia="Calibri" w:hAnsiTheme="majorHAnsi"/>
          <w:sz w:val="20"/>
          <w:szCs w:val="20"/>
          <w:lang w:val="es-AR"/>
        </w:rPr>
        <w:t>que</w:t>
      </w:r>
      <w:r w:rsidR="002A3811" w:rsidRPr="00386E47">
        <w:rPr>
          <w:rFonts w:asciiTheme="majorHAnsi" w:eastAsia="Calibri" w:hAnsiTheme="majorHAnsi"/>
          <w:sz w:val="20"/>
          <w:szCs w:val="20"/>
          <w:lang w:val="es-AR"/>
        </w:rPr>
        <w:t>,</w:t>
      </w:r>
      <w:r w:rsidRPr="00386E47">
        <w:rPr>
          <w:rFonts w:asciiTheme="majorHAnsi" w:eastAsia="Calibri" w:hAnsiTheme="majorHAnsi"/>
          <w:sz w:val="20"/>
          <w:szCs w:val="20"/>
          <w:lang w:val="es-AR"/>
        </w:rPr>
        <w:t xml:space="preserve"> además de la </w:t>
      </w:r>
      <w:r w:rsidR="002A3811" w:rsidRPr="00386E47">
        <w:rPr>
          <w:rFonts w:asciiTheme="majorHAnsi" w:eastAsia="Calibri" w:hAnsiTheme="majorHAnsi"/>
          <w:sz w:val="20"/>
          <w:szCs w:val="20"/>
          <w:lang w:val="es-AR"/>
        </w:rPr>
        <w:t xml:space="preserve">realización oportuna de los estudios de </w:t>
      </w:r>
      <w:r w:rsidRPr="00386E47">
        <w:rPr>
          <w:rFonts w:asciiTheme="majorHAnsi" w:eastAsia="Calibri" w:hAnsiTheme="majorHAnsi"/>
          <w:sz w:val="20"/>
          <w:szCs w:val="20"/>
          <w:lang w:val="es-AR"/>
        </w:rPr>
        <w:t>ADN</w:t>
      </w:r>
      <w:r w:rsidR="002A3811" w:rsidRPr="00386E47">
        <w:rPr>
          <w:rFonts w:asciiTheme="majorHAnsi" w:eastAsia="Calibri" w:hAnsiTheme="majorHAnsi"/>
          <w:sz w:val="20"/>
          <w:szCs w:val="20"/>
          <w:lang w:val="es-AR"/>
        </w:rPr>
        <w:t xml:space="preserve"> anteriormente reseñados</w:t>
      </w:r>
      <w:r w:rsidR="00156EE3" w:rsidRPr="00386E47">
        <w:rPr>
          <w:rFonts w:asciiTheme="majorHAnsi" w:eastAsia="Calibri" w:hAnsiTheme="majorHAnsi"/>
          <w:sz w:val="20"/>
          <w:szCs w:val="20"/>
          <w:lang w:val="es-AR"/>
        </w:rPr>
        <w:t xml:space="preserve">, </w:t>
      </w:r>
      <w:r w:rsidRPr="00386E47">
        <w:rPr>
          <w:rFonts w:asciiTheme="majorHAnsi" w:eastAsia="Calibri" w:hAnsiTheme="majorHAnsi"/>
          <w:sz w:val="20"/>
          <w:szCs w:val="20"/>
          <w:lang w:val="es-AR"/>
        </w:rPr>
        <w:t xml:space="preserve">las autoridades a cargo de la investigación </w:t>
      </w:r>
      <w:r w:rsidR="00FC22BD" w:rsidRPr="00386E47">
        <w:rPr>
          <w:rFonts w:asciiTheme="majorHAnsi" w:eastAsia="Calibri" w:hAnsiTheme="majorHAnsi"/>
          <w:sz w:val="20"/>
          <w:szCs w:val="20"/>
          <w:lang w:val="es-AR"/>
        </w:rPr>
        <w:t xml:space="preserve">deberían haber adoptado una serie de medidas en forma diligente y exhaustiva con el objetivo de recabar la mayor cantidad de prueba que respaldaran la </w:t>
      </w:r>
      <w:r w:rsidR="00324884" w:rsidRPr="00386E47">
        <w:rPr>
          <w:rFonts w:asciiTheme="majorHAnsi" w:eastAsia="Calibri" w:hAnsiTheme="majorHAnsi"/>
          <w:sz w:val="20"/>
          <w:szCs w:val="20"/>
          <w:lang w:val="es-AR"/>
        </w:rPr>
        <w:t xml:space="preserve">versión de los hechos consignada en los </w:t>
      </w:r>
      <w:r w:rsidR="00FC22BD" w:rsidRPr="00386E47">
        <w:rPr>
          <w:rFonts w:asciiTheme="majorHAnsi" w:eastAsia="Calibri" w:hAnsiTheme="majorHAnsi"/>
          <w:sz w:val="20"/>
          <w:szCs w:val="20"/>
          <w:lang w:val="es-AR"/>
        </w:rPr>
        <w:t>informe</w:t>
      </w:r>
      <w:r w:rsidR="00324884" w:rsidRPr="00386E47">
        <w:rPr>
          <w:rFonts w:asciiTheme="majorHAnsi" w:eastAsia="Calibri" w:hAnsiTheme="majorHAnsi"/>
          <w:sz w:val="20"/>
          <w:szCs w:val="20"/>
          <w:lang w:val="es-AR"/>
        </w:rPr>
        <w:t>s</w:t>
      </w:r>
      <w:r w:rsidR="00FC22BD" w:rsidRPr="00386E47">
        <w:rPr>
          <w:rFonts w:asciiTheme="majorHAnsi" w:eastAsia="Calibri" w:hAnsiTheme="majorHAnsi"/>
          <w:sz w:val="20"/>
          <w:szCs w:val="20"/>
          <w:lang w:val="es-AR"/>
        </w:rPr>
        <w:t xml:space="preserve"> de inteligencia. Ello incluía</w:t>
      </w:r>
      <w:r w:rsidRPr="00386E47">
        <w:rPr>
          <w:rFonts w:asciiTheme="majorHAnsi" w:eastAsia="Calibri" w:hAnsiTheme="majorHAnsi"/>
          <w:sz w:val="20"/>
          <w:szCs w:val="20"/>
          <w:lang w:val="es-AR"/>
        </w:rPr>
        <w:t xml:space="preserve"> haber requerido</w:t>
      </w:r>
      <w:r w:rsidR="00156EE3" w:rsidRPr="00386E47">
        <w:rPr>
          <w:rFonts w:asciiTheme="majorHAnsi" w:eastAsia="Calibri" w:hAnsiTheme="majorHAnsi"/>
          <w:sz w:val="20"/>
          <w:szCs w:val="20"/>
          <w:lang w:val="es-AR"/>
        </w:rPr>
        <w:t xml:space="preserve"> </w:t>
      </w:r>
      <w:r w:rsidR="00E11640" w:rsidRPr="00386E47">
        <w:rPr>
          <w:rFonts w:asciiTheme="majorHAnsi" w:eastAsia="Calibri" w:hAnsiTheme="majorHAnsi"/>
          <w:sz w:val="20"/>
          <w:szCs w:val="20"/>
          <w:lang w:val="es-AR"/>
        </w:rPr>
        <w:t>el mantenimiento de</w:t>
      </w:r>
      <w:r w:rsidR="00324884" w:rsidRPr="00386E47">
        <w:rPr>
          <w:rFonts w:asciiTheme="majorHAnsi" w:eastAsia="Calibri" w:hAnsiTheme="majorHAnsi"/>
          <w:sz w:val="20"/>
          <w:szCs w:val="20"/>
          <w:lang w:val="es-AR"/>
        </w:rPr>
        <w:t xml:space="preserve"> un registro documental</w:t>
      </w:r>
      <w:r w:rsidR="002A3811" w:rsidRPr="00386E47">
        <w:rPr>
          <w:rFonts w:asciiTheme="majorHAnsi" w:eastAsia="Calibri" w:hAnsiTheme="majorHAnsi"/>
          <w:sz w:val="20"/>
          <w:szCs w:val="20"/>
          <w:lang w:val="es-AR"/>
        </w:rPr>
        <w:t xml:space="preserve"> </w:t>
      </w:r>
      <w:r w:rsidR="00156EE3" w:rsidRPr="00386E47">
        <w:rPr>
          <w:rFonts w:asciiTheme="majorHAnsi" w:eastAsia="Calibri" w:hAnsiTheme="majorHAnsi"/>
          <w:sz w:val="20"/>
          <w:szCs w:val="20"/>
          <w:lang w:val="es-AR"/>
        </w:rPr>
        <w:t xml:space="preserve">de </w:t>
      </w:r>
      <w:r w:rsidR="00324884" w:rsidRPr="00386E47">
        <w:rPr>
          <w:rFonts w:asciiTheme="majorHAnsi" w:eastAsia="Calibri" w:hAnsiTheme="majorHAnsi"/>
          <w:sz w:val="20"/>
          <w:szCs w:val="20"/>
          <w:lang w:val="es-AR"/>
        </w:rPr>
        <w:t>la actividad de los</w:t>
      </w:r>
      <w:r w:rsidR="00E11640" w:rsidRPr="00386E47">
        <w:rPr>
          <w:rFonts w:asciiTheme="majorHAnsi" w:eastAsia="Calibri" w:hAnsiTheme="majorHAnsi"/>
          <w:sz w:val="20"/>
          <w:szCs w:val="20"/>
          <w:lang w:val="es-AR"/>
        </w:rPr>
        <w:t xml:space="preserve"> servicios de inteligencia </w:t>
      </w:r>
      <w:r w:rsidR="00156EE3" w:rsidRPr="00386E47">
        <w:rPr>
          <w:rFonts w:asciiTheme="majorHAnsi" w:eastAsia="Calibri" w:hAnsiTheme="majorHAnsi"/>
          <w:sz w:val="20"/>
          <w:szCs w:val="20"/>
          <w:lang w:val="es-AR"/>
        </w:rPr>
        <w:t xml:space="preserve">con la finalidad de poder garantizar que tal información </w:t>
      </w:r>
      <w:r w:rsidR="00156EE3" w:rsidRPr="00386E47">
        <w:rPr>
          <w:rFonts w:asciiTheme="majorHAnsi" w:eastAsia="Calibri" w:hAnsiTheme="majorHAnsi"/>
          <w:sz w:val="20"/>
          <w:szCs w:val="20"/>
          <w:lang w:val="es-AR"/>
        </w:rPr>
        <w:lastRenderedPageBreak/>
        <w:t xml:space="preserve">pudiera constituir una prueba en las actuaciones judiciales, o bien, </w:t>
      </w:r>
      <w:r w:rsidR="002A3811" w:rsidRPr="00386E47">
        <w:rPr>
          <w:rFonts w:asciiTheme="majorHAnsi" w:eastAsia="Calibri" w:hAnsiTheme="majorHAnsi"/>
          <w:sz w:val="20"/>
          <w:szCs w:val="20"/>
          <w:lang w:val="es-AR"/>
        </w:rPr>
        <w:t>facilitar</w:t>
      </w:r>
      <w:r w:rsidR="00156EE3" w:rsidRPr="00386E47">
        <w:rPr>
          <w:rFonts w:asciiTheme="majorHAnsi" w:eastAsia="Calibri" w:hAnsiTheme="majorHAnsi"/>
          <w:sz w:val="20"/>
          <w:szCs w:val="20"/>
          <w:lang w:val="es-AR"/>
        </w:rPr>
        <w:t xml:space="preserve"> la prác</w:t>
      </w:r>
      <w:r w:rsidR="00D66DE3" w:rsidRPr="00386E47">
        <w:rPr>
          <w:rFonts w:asciiTheme="majorHAnsi" w:eastAsia="Calibri" w:hAnsiTheme="majorHAnsi"/>
          <w:sz w:val="20"/>
          <w:szCs w:val="20"/>
          <w:lang w:val="es-AR"/>
        </w:rPr>
        <w:t>tica de diligencias</w:t>
      </w:r>
      <w:r w:rsidR="002A3811" w:rsidRPr="00386E47">
        <w:rPr>
          <w:rFonts w:asciiTheme="majorHAnsi" w:eastAsia="Calibri" w:hAnsiTheme="majorHAnsi"/>
          <w:sz w:val="20"/>
          <w:szCs w:val="20"/>
          <w:lang w:val="es-AR"/>
        </w:rPr>
        <w:t xml:space="preserve"> judiciales</w:t>
      </w:r>
      <w:r w:rsidR="00D66DE3" w:rsidRPr="00386E47">
        <w:rPr>
          <w:rFonts w:asciiTheme="majorHAnsi" w:eastAsia="Calibri" w:hAnsiTheme="majorHAnsi"/>
          <w:sz w:val="20"/>
          <w:szCs w:val="20"/>
          <w:lang w:val="es-AR"/>
        </w:rPr>
        <w:t xml:space="preserve"> adicionales</w:t>
      </w:r>
      <w:r w:rsidR="00D66DE3" w:rsidRPr="00386E47">
        <w:rPr>
          <w:rStyle w:val="FootnoteReference"/>
          <w:rFonts w:asciiTheme="majorHAnsi" w:eastAsia="Calibri" w:hAnsiTheme="majorHAnsi"/>
          <w:sz w:val="20"/>
          <w:szCs w:val="20"/>
          <w:lang w:val="es-AR"/>
        </w:rPr>
        <w:footnoteReference w:id="246"/>
      </w:r>
      <w:r w:rsidR="00B816C5" w:rsidRPr="00386E47">
        <w:rPr>
          <w:rFonts w:asciiTheme="majorHAnsi" w:eastAsia="Calibri" w:hAnsiTheme="majorHAnsi"/>
          <w:sz w:val="20"/>
          <w:szCs w:val="20"/>
          <w:lang w:val="es-ES"/>
        </w:rPr>
        <w:t>.</w:t>
      </w:r>
      <w:r w:rsidRPr="00386E47">
        <w:rPr>
          <w:rFonts w:asciiTheme="majorHAnsi" w:eastAsia="Calibri" w:hAnsiTheme="majorHAnsi"/>
          <w:sz w:val="20"/>
          <w:szCs w:val="20"/>
          <w:lang w:val="es-ES"/>
        </w:rPr>
        <w:t xml:space="preserve"> </w:t>
      </w:r>
      <w:r w:rsidR="00664CCF" w:rsidRPr="00386E47">
        <w:rPr>
          <w:rFonts w:asciiTheme="majorHAnsi" w:eastAsia="Calibri" w:hAnsiTheme="majorHAnsi"/>
          <w:sz w:val="20"/>
          <w:szCs w:val="20"/>
          <w:lang w:val="es-AR"/>
        </w:rPr>
        <w:t xml:space="preserve"> </w:t>
      </w:r>
    </w:p>
    <w:p w14:paraId="5EC8BF6A" w14:textId="77777777" w:rsidR="00324884" w:rsidRPr="00386E47" w:rsidRDefault="00324884" w:rsidP="00324884">
      <w:pPr>
        <w:pStyle w:val="ListParagraph"/>
        <w:rPr>
          <w:rFonts w:asciiTheme="majorHAnsi" w:eastAsia="Calibri" w:hAnsiTheme="majorHAnsi"/>
          <w:sz w:val="20"/>
          <w:szCs w:val="20"/>
          <w:lang w:val="es-AR"/>
        </w:rPr>
      </w:pPr>
    </w:p>
    <w:p w14:paraId="56642C3C" w14:textId="77777777" w:rsidR="00324884" w:rsidRPr="00386E47" w:rsidRDefault="00664CCF" w:rsidP="003A5860">
      <w:pPr>
        <w:numPr>
          <w:ilvl w:val="0"/>
          <w:numId w:val="55"/>
        </w:numPr>
        <w:tabs>
          <w:tab w:val="left" w:pos="567"/>
        </w:tabs>
        <w:ind w:left="0" w:firstLine="0"/>
        <w:jc w:val="both"/>
        <w:rPr>
          <w:rFonts w:asciiTheme="majorHAnsi" w:eastAsia="Calibri" w:hAnsiTheme="majorHAnsi"/>
          <w:sz w:val="20"/>
          <w:szCs w:val="20"/>
          <w:lang w:val="es-AR"/>
        </w:rPr>
      </w:pPr>
      <w:r w:rsidRPr="00386E47">
        <w:rPr>
          <w:rFonts w:asciiTheme="majorHAnsi" w:eastAsia="Calibri" w:hAnsiTheme="majorHAnsi"/>
          <w:sz w:val="20"/>
          <w:szCs w:val="20"/>
          <w:lang w:val="es-AR"/>
        </w:rPr>
        <w:t>Sumado a ello, la Comisión resalta que la naturaleza transnacional del delito de terrorismo implica que los Estados poseen un deber especifico de hacer todo lo que este razonablemente a su alc</w:t>
      </w:r>
      <w:r w:rsidR="00D62291" w:rsidRPr="00386E47">
        <w:rPr>
          <w:rFonts w:asciiTheme="majorHAnsi" w:eastAsia="Calibri" w:hAnsiTheme="majorHAnsi"/>
          <w:sz w:val="20"/>
          <w:szCs w:val="20"/>
          <w:lang w:val="es-AR"/>
        </w:rPr>
        <w:t>ance para incentivar y asegurar</w:t>
      </w:r>
      <w:r w:rsidRPr="00386E47">
        <w:rPr>
          <w:rFonts w:asciiTheme="majorHAnsi" w:eastAsia="Calibri" w:hAnsiTheme="majorHAnsi"/>
          <w:sz w:val="20"/>
          <w:szCs w:val="20"/>
          <w:lang w:val="es-AR"/>
        </w:rPr>
        <w:t xml:space="preserve"> la cooperación judicial internacional de terceros estados en cuyo territorio se encuentren personas o documentación que sea de interés para el esclarecimiento de los hechos. En el caso concreto, el adecuado cumplimiento del deber de investigar con debida diligencia </w:t>
      </w:r>
      <w:r w:rsidR="000E6B91" w:rsidRPr="00386E47">
        <w:rPr>
          <w:rFonts w:asciiTheme="majorHAnsi" w:eastAsia="Calibri" w:hAnsiTheme="majorHAnsi"/>
          <w:sz w:val="20"/>
          <w:szCs w:val="20"/>
          <w:lang w:val="es-AR"/>
        </w:rPr>
        <w:t xml:space="preserve">demanda </w:t>
      </w:r>
      <w:r w:rsidRPr="00386E47">
        <w:rPr>
          <w:rFonts w:asciiTheme="majorHAnsi" w:eastAsia="Calibri" w:hAnsiTheme="majorHAnsi"/>
          <w:sz w:val="20"/>
          <w:szCs w:val="20"/>
          <w:lang w:val="es-AR"/>
        </w:rPr>
        <w:t xml:space="preserve">que el Estado argentino arbitre los medios que estén a su </w:t>
      </w:r>
      <w:r w:rsidR="00C516A9" w:rsidRPr="00386E47">
        <w:rPr>
          <w:rFonts w:asciiTheme="majorHAnsi" w:eastAsia="Calibri" w:hAnsiTheme="majorHAnsi"/>
          <w:sz w:val="20"/>
          <w:szCs w:val="20"/>
          <w:lang w:val="es-AR"/>
        </w:rPr>
        <w:t>alcance</w:t>
      </w:r>
      <w:r w:rsidRPr="00386E47">
        <w:rPr>
          <w:rFonts w:asciiTheme="majorHAnsi" w:eastAsia="Calibri" w:hAnsiTheme="majorHAnsi"/>
          <w:sz w:val="20"/>
          <w:szCs w:val="20"/>
          <w:lang w:val="es-AR"/>
        </w:rPr>
        <w:t xml:space="preserve"> para asegurar que toda información que se encuentre</w:t>
      </w:r>
      <w:r w:rsidR="00C516A9" w:rsidRPr="00386E47">
        <w:rPr>
          <w:rFonts w:asciiTheme="majorHAnsi" w:eastAsia="Calibri" w:hAnsiTheme="majorHAnsi"/>
          <w:sz w:val="20"/>
          <w:szCs w:val="20"/>
          <w:lang w:val="es-AR"/>
        </w:rPr>
        <w:t xml:space="preserve"> en manos</w:t>
      </w:r>
      <w:r w:rsidRPr="00386E47">
        <w:rPr>
          <w:rFonts w:asciiTheme="majorHAnsi" w:eastAsia="Calibri" w:hAnsiTheme="majorHAnsi"/>
          <w:sz w:val="20"/>
          <w:szCs w:val="20"/>
          <w:lang w:val="es-AR"/>
        </w:rPr>
        <w:t xml:space="preserve"> de un </w:t>
      </w:r>
      <w:r w:rsidR="002A3811" w:rsidRPr="00386E47">
        <w:rPr>
          <w:rFonts w:asciiTheme="majorHAnsi" w:eastAsia="Calibri" w:hAnsiTheme="majorHAnsi"/>
          <w:sz w:val="20"/>
          <w:szCs w:val="20"/>
          <w:lang w:val="es-AR"/>
        </w:rPr>
        <w:t xml:space="preserve">extranjero </w:t>
      </w:r>
      <w:r w:rsidRPr="00386E47">
        <w:rPr>
          <w:rFonts w:asciiTheme="majorHAnsi" w:eastAsia="Calibri" w:hAnsiTheme="majorHAnsi"/>
          <w:sz w:val="20"/>
          <w:szCs w:val="20"/>
          <w:lang w:val="es-AR"/>
        </w:rPr>
        <w:t xml:space="preserve"> o un</w:t>
      </w:r>
      <w:r w:rsidR="002A3811" w:rsidRPr="00386E47">
        <w:rPr>
          <w:rFonts w:asciiTheme="majorHAnsi" w:eastAsia="Calibri" w:hAnsiTheme="majorHAnsi"/>
          <w:sz w:val="20"/>
          <w:szCs w:val="20"/>
          <w:lang w:val="es-AR"/>
        </w:rPr>
        <w:t>a agencia perteneciente a un</w:t>
      </w:r>
      <w:r w:rsidRPr="00386E47">
        <w:rPr>
          <w:rFonts w:asciiTheme="majorHAnsi" w:eastAsia="Calibri" w:hAnsiTheme="majorHAnsi"/>
          <w:sz w:val="20"/>
          <w:szCs w:val="20"/>
          <w:lang w:val="es-AR"/>
        </w:rPr>
        <w:t xml:space="preserve"> estado extranjero pueda ser incorporada a la </w:t>
      </w:r>
      <w:r w:rsidR="00D62291" w:rsidRPr="00386E47">
        <w:rPr>
          <w:rFonts w:asciiTheme="majorHAnsi" w:eastAsia="Calibri" w:hAnsiTheme="majorHAnsi"/>
          <w:sz w:val="20"/>
          <w:szCs w:val="20"/>
          <w:lang w:val="es-AR"/>
        </w:rPr>
        <w:t>investigación</w:t>
      </w:r>
      <w:r w:rsidRPr="00386E47">
        <w:rPr>
          <w:rFonts w:asciiTheme="majorHAnsi" w:eastAsia="Calibri" w:hAnsiTheme="majorHAnsi"/>
          <w:sz w:val="20"/>
          <w:szCs w:val="20"/>
          <w:lang w:val="es-AR"/>
        </w:rPr>
        <w:t xml:space="preserve"> judicial actualmente en curso</w:t>
      </w:r>
      <w:r w:rsidR="002A3811" w:rsidRPr="00386E47">
        <w:rPr>
          <w:rStyle w:val="FootnoteReference"/>
          <w:rFonts w:asciiTheme="majorHAnsi" w:eastAsia="Calibri" w:hAnsiTheme="majorHAnsi"/>
          <w:sz w:val="20"/>
          <w:szCs w:val="20"/>
          <w:lang w:val="es-AR"/>
        </w:rPr>
        <w:footnoteReference w:id="247"/>
      </w:r>
      <w:r w:rsidR="00C516A9" w:rsidRPr="00386E47">
        <w:rPr>
          <w:rFonts w:asciiTheme="majorHAnsi" w:eastAsia="Calibri" w:hAnsiTheme="majorHAnsi"/>
          <w:sz w:val="20"/>
          <w:szCs w:val="20"/>
          <w:lang w:val="es-AR"/>
        </w:rPr>
        <w:t xml:space="preserve">. Ello incluye la </w:t>
      </w:r>
      <w:r w:rsidR="00B528BF" w:rsidRPr="00386E47">
        <w:rPr>
          <w:rFonts w:asciiTheme="majorHAnsi" w:eastAsia="Calibri" w:hAnsiTheme="majorHAnsi"/>
          <w:sz w:val="20"/>
          <w:szCs w:val="20"/>
          <w:lang w:val="es-AR"/>
        </w:rPr>
        <w:t>información</w:t>
      </w:r>
      <w:r w:rsidR="00C516A9" w:rsidRPr="00386E47">
        <w:rPr>
          <w:rFonts w:asciiTheme="majorHAnsi" w:eastAsia="Calibri" w:hAnsiTheme="majorHAnsi"/>
          <w:sz w:val="20"/>
          <w:szCs w:val="20"/>
          <w:lang w:val="es-AR"/>
        </w:rPr>
        <w:t xml:space="preserve"> que dichas personas</w:t>
      </w:r>
      <w:r w:rsidR="002A3811" w:rsidRPr="00386E47">
        <w:rPr>
          <w:rFonts w:asciiTheme="majorHAnsi" w:eastAsia="Calibri" w:hAnsiTheme="majorHAnsi"/>
          <w:sz w:val="20"/>
          <w:szCs w:val="20"/>
          <w:lang w:val="es-AR"/>
        </w:rPr>
        <w:t xml:space="preserve"> u organismos pudieron</w:t>
      </w:r>
      <w:r w:rsidR="00C516A9" w:rsidRPr="00386E47">
        <w:rPr>
          <w:rFonts w:asciiTheme="majorHAnsi" w:eastAsia="Calibri" w:hAnsiTheme="majorHAnsi"/>
          <w:sz w:val="20"/>
          <w:szCs w:val="20"/>
          <w:lang w:val="es-AR"/>
        </w:rPr>
        <w:t xml:space="preserve"> haber transmitido a agentes de inteligencia </w:t>
      </w:r>
      <w:r w:rsidR="002A3811" w:rsidRPr="00386E47">
        <w:rPr>
          <w:rFonts w:asciiTheme="majorHAnsi" w:eastAsia="Calibri" w:hAnsiTheme="majorHAnsi"/>
          <w:sz w:val="20"/>
          <w:szCs w:val="20"/>
          <w:lang w:val="es-AR"/>
        </w:rPr>
        <w:t>pertenecientes al Estado argentino.</w:t>
      </w:r>
    </w:p>
    <w:p w14:paraId="5C01D4C2" w14:textId="77777777" w:rsidR="00324884" w:rsidRPr="00386E47" w:rsidRDefault="00324884" w:rsidP="00324884">
      <w:pPr>
        <w:pStyle w:val="ListParagraph"/>
        <w:rPr>
          <w:rFonts w:asciiTheme="majorHAnsi" w:eastAsia="Calibri" w:hAnsiTheme="majorHAnsi"/>
          <w:sz w:val="20"/>
          <w:szCs w:val="20"/>
          <w:lang w:val="es-AR"/>
        </w:rPr>
      </w:pPr>
    </w:p>
    <w:p w14:paraId="4D4C03F2" w14:textId="77777777" w:rsidR="00664CCF" w:rsidRPr="00386E47" w:rsidRDefault="00664CCF" w:rsidP="003A5860">
      <w:pPr>
        <w:numPr>
          <w:ilvl w:val="0"/>
          <w:numId w:val="55"/>
        </w:numPr>
        <w:tabs>
          <w:tab w:val="left" w:pos="567"/>
        </w:tabs>
        <w:ind w:left="0" w:firstLine="0"/>
        <w:jc w:val="both"/>
        <w:rPr>
          <w:rFonts w:asciiTheme="majorHAnsi" w:eastAsia="Calibri" w:hAnsiTheme="majorHAnsi"/>
          <w:sz w:val="20"/>
          <w:szCs w:val="20"/>
          <w:lang w:val="es-AR"/>
        </w:rPr>
      </w:pPr>
      <w:r w:rsidRPr="00386E47">
        <w:rPr>
          <w:rFonts w:asciiTheme="majorHAnsi" w:eastAsia="Calibri" w:hAnsiTheme="majorHAnsi"/>
          <w:sz w:val="20"/>
          <w:szCs w:val="20"/>
          <w:lang w:val="es-AR"/>
        </w:rPr>
        <w:t xml:space="preserve">La Comisión </w:t>
      </w:r>
      <w:r w:rsidR="003070F1" w:rsidRPr="00386E47">
        <w:rPr>
          <w:rFonts w:asciiTheme="majorHAnsi" w:eastAsia="Calibri" w:hAnsiTheme="majorHAnsi"/>
          <w:sz w:val="20"/>
          <w:szCs w:val="20"/>
          <w:lang w:val="es-AR"/>
        </w:rPr>
        <w:t xml:space="preserve">no cuenta </w:t>
      </w:r>
      <w:r w:rsidR="00FF6211" w:rsidRPr="00386E47">
        <w:rPr>
          <w:rFonts w:asciiTheme="majorHAnsi" w:eastAsia="Calibri" w:hAnsiTheme="majorHAnsi"/>
          <w:sz w:val="20"/>
          <w:szCs w:val="20"/>
          <w:lang w:val="es-AR"/>
        </w:rPr>
        <w:t xml:space="preserve">a la fecha </w:t>
      </w:r>
      <w:r w:rsidR="003070F1" w:rsidRPr="00386E47">
        <w:rPr>
          <w:rFonts w:asciiTheme="majorHAnsi" w:eastAsia="Calibri" w:hAnsiTheme="majorHAnsi"/>
          <w:sz w:val="20"/>
          <w:szCs w:val="20"/>
          <w:lang w:val="es-AR"/>
        </w:rPr>
        <w:t>con información detallada que permita establecer</w:t>
      </w:r>
      <w:r w:rsidR="002A3811" w:rsidRPr="00386E47">
        <w:rPr>
          <w:rFonts w:asciiTheme="majorHAnsi" w:eastAsia="Calibri" w:hAnsiTheme="majorHAnsi"/>
          <w:sz w:val="20"/>
          <w:szCs w:val="20"/>
          <w:lang w:val="es-AR"/>
        </w:rPr>
        <w:t xml:space="preserve"> de manera concreta que </w:t>
      </w:r>
      <w:r w:rsidR="00FF6211" w:rsidRPr="00386E47">
        <w:rPr>
          <w:rFonts w:asciiTheme="majorHAnsi" w:eastAsia="Calibri" w:hAnsiTheme="majorHAnsi"/>
          <w:sz w:val="20"/>
          <w:szCs w:val="20"/>
          <w:lang w:val="es-AR"/>
        </w:rPr>
        <w:t xml:space="preserve">esfuerzos </w:t>
      </w:r>
      <w:r w:rsidR="00B528BF" w:rsidRPr="00386E47">
        <w:rPr>
          <w:rFonts w:asciiTheme="majorHAnsi" w:eastAsia="Calibri" w:hAnsiTheme="majorHAnsi"/>
          <w:sz w:val="20"/>
          <w:szCs w:val="20"/>
          <w:lang w:val="es-AR"/>
        </w:rPr>
        <w:t>estaría</w:t>
      </w:r>
      <w:r w:rsidR="00FF6211" w:rsidRPr="00386E47">
        <w:rPr>
          <w:rFonts w:asciiTheme="majorHAnsi" w:eastAsia="Calibri" w:hAnsiTheme="majorHAnsi"/>
          <w:sz w:val="20"/>
          <w:szCs w:val="20"/>
          <w:lang w:val="es-AR"/>
        </w:rPr>
        <w:t xml:space="preserve"> </w:t>
      </w:r>
      <w:r w:rsidR="003070F1" w:rsidRPr="00386E47">
        <w:rPr>
          <w:rFonts w:asciiTheme="majorHAnsi" w:eastAsia="Calibri" w:hAnsiTheme="majorHAnsi"/>
          <w:sz w:val="20"/>
          <w:szCs w:val="20"/>
          <w:lang w:val="es-AR"/>
        </w:rPr>
        <w:t xml:space="preserve">llevando a cabo </w:t>
      </w:r>
      <w:r w:rsidR="00FF6211" w:rsidRPr="00386E47">
        <w:rPr>
          <w:rFonts w:asciiTheme="majorHAnsi" w:eastAsia="Calibri" w:hAnsiTheme="majorHAnsi"/>
          <w:sz w:val="20"/>
          <w:szCs w:val="20"/>
          <w:lang w:val="es-AR"/>
        </w:rPr>
        <w:t xml:space="preserve">el Estado argentino </w:t>
      </w:r>
      <w:r w:rsidR="003070F1" w:rsidRPr="00386E47">
        <w:rPr>
          <w:rFonts w:asciiTheme="majorHAnsi" w:eastAsia="Calibri" w:hAnsiTheme="majorHAnsi"/>
          <w:sz w:val="20"/>
          <w:szCs w:val="20"/>
          <w:lang w:val="es-AR"/>
        </w:rPr>
        <w:t>en dicha dirección</w:t>
      </w:r>
      <w:r w:rsidR="00FF6211" w:rsidRPr="00386E47">
        <w:rPr>
          <w:rFonts w:asciiTheme="majorHAnsi" w:eastAsia="Calibri" w:hAnsiTheme="majorHAnsi"/>
          <w:sz w:val="20"/>
          <w:szCs w:val="20"/>
          <w:lang w:val="es-AR"/>
        </w:rPr>
        <w:t xml:space="preserve">. Ello a pesar de </w:t>
      </w:r>
      <w:r w:rsidR="007511E3" w:rsidRPr="00386E47">
        <w:rPr>
          <w:rFonts w:asciiTheme="majorHAnsi" w:eastAsia="Calibri" w:hAnsiTheme="majorHAnsi"/>
          <w:sz w:val="20"/>
          <w:szCs w:val="20"/>
          <w:lang w:val="es-AR"/>
        </w:rPr>
        <w:t>que entiende</w:t>
      </w:r>
      <w:r w:rsidR="002E3813" w:rsidRPr="00386E47">
        <w:rPr>
          <w:rFonts w:asciiTheme="majorHAnsi" w:eastAsia="Calibri" w:hAnsiTheme="majorHAnsi"/>
          <w:sz w:val="20"/>
          <w:szCs w:val="20"/>
          <w:lang w:val="es-AR"/>
        </w:rPr>
        <w:t xml:space="preserve"> que ha realizado contactos con otras agencias estatales en el marco de la investigación de la causa y que </w:t>
      </w:r>
      <w:r w:rsidR="00FF6211" w:rsidRPr="00386E47">
        <w:rPr>
          <w:rFonts w:asciiTheme="majorHAnsi" w:eastAsia="Calibri" w:hAnsiTheme="majorHAnsi"/>
          <w:sz w:val="20"/>
          <w:szCs w:val="20"/>
          <w:lang w:val="es-AR"/>
        </w:rPr>
        <w:t xml:space="preserve">también </w:t>
      </w:r>
      <w:r w:rsidR="002E3813" w:rsidRPr="00386E47">
        <w:rPr>
          <w:rFonts w:asciiTheme="majorHAnsi" w:eastAsia="Calibri" w:hAnsiTheme="majorHAnsi"/>
          <w:sz w:val="20"/>
          <w:szCs w:val="20"/>
          <w:lang w:val="es-AR"/>
        </w:rPr>
        <w:t xml:space="preserve">se han practicado diligencias periciales con </w:t>
      </w:r>
      <w:r w:rsidR="00FF6211" w:rsidRPr="00386E47">
        <w:rPr>
          <w:rFonts w:asciiTheme="majorHAnsi" w:eastAsia="Calibri" w:hAnsiTheme="majorHAnsi"/>
          <w:sz w:val="20"/>
          <w:szCs w:val="20"/>
          <w:lang w:val="es-AR"/>
        </w:rPr>
        <w:t>la cooperación</w:t>
      </w:r>
      <w:r w:rsidR="002E3813" w:rsidRPr="00386E47">
        <w:rPr>
          <w:rFonts w:asciiTheme="majorHAnsi" w:eastAsia="Calibri" w:hAnsiTheme="majorHAnsi"/>
          <w:sz w:val="20"/>
          <w:szCs w:val="20"/>
          <w:lang w:val="es-AR"/>
        </w:rPr>
        <w:t xml:space="preserve"> de otros Estados</w:t>
      </w:r>
      <w:r w:rsidR="002A3811" w:rsidRPr="00386E47">
        <w:rPr>
          <w:rFonts w:asciiTheme="majorHAnsi" w:eastAsia="Calibri" w:hAnsiTheme="majorHAnsi"/>
          <w:sz w:val="20"/>
          <w:szCs w:val="20"/>
          <w:lang w:val="es-AR"/>
        </w:rPr>
        <w:t xml:space="preserve"> y que se han</w:t>
      </w:r>
      <w:r w:rsidR="007511E3" w:rsidRPr="00386E47">
        <w:rPr>
          <w:rFonts w:asciiTheme="majorHAnsi" w:eastAsia="Calibri" w:hAnsiTheme="majorHAnsi"/>
          <w:sz w:val="20"/>
          <w:szCs w:val="20"/>
          <w:lang w:val="es-AR"/>
        </w:rPr>
        <w:t xml:space="preserve"> </w:t>
      </w:r>
      <w:r w:rsidR="002A3811" w:rsidRPr="00386E47">
        <w:rPr>
          <w:rFonts w:asciiTheme="majorHAnsi" w:eastAsia="Calibri" w:hAnsiTheme="majorHAnsi"/>
          <w:sz w:val="20"/>
          <w:szCs w:val="20"/>
          <w:lang w:val="es-AR"/>
        </w:rPr>
        <w:t>efectuado algunos</w:t>
      </w:r>
      <w:r w:rsidR="007511E3" w:rsidRPr="00386E47">
        <w:rPr>
          <w:rFonts w:asciiTheme="majorHAnsi" w:eastAsia="Calibri" w:hAnsiTheme="majorHAnsi"/>
          <w:sz w:val="20"/>
          <w:szCs w:val="20"/>
          <w:lang w:val="es-AR"/>
        </w:rPr>
        <w:t xml:space="preserve"> pedidos de extradición</w:t>
      </w:r>
      <w:r w:rsidR="002A3811" w:rsidRPr="00386E47">
        <w:rPr>
          <w:rFonts w:asciiTheme="majorHAnsi" w:eastAsia="Calibri" w:hAnsiTheme="majorHAnsi"/>
          <w:sz w:val="20"/>
          <w:szCs w:val="20"/>
          <w:lang w:val="es-AR"/>
        </w:rPr>
        <w:t xml:space="preserve"> respecto de personas acusadas</w:t>
      </w:r>
      <w:r w:rsidR="00FF6211" w:rsidRPr="00386E47">
        <w:rPr>
          <w:rFonts w:asciiTheme="majorHAnsi" w:eastAsia="Calibri" w:hAnsiTheme="majorHAnsi"/>
          <w:sz w:val="20"/>
          <w:szCs w:val="20"/>
          <w:lang w:val="es-AR"/>
        </w:rPr>
        <w:t xml:space="preserve">. </w:t>
      </w:r>
      <w:r w:rsidR="002A3811" w:rsidRPr="00386E47">
        <w:rPr>
          <w:rFonts w:asciiTheme="majorHAnsi" w:eastAsia="Calibri" w:hAnsiTheme="majorHAnsi"/>
          <w:sz w:val="20"/>
          <w:szCs w:val="20"/>
          <w:lang w:val="es-AR"/>
        </w:rPr>
        <w:t>En este sentido, l</w:t>
      </w:r>
      <w:r w:rsidR="003F1151" w:rsidRPr="00386E47">
        <w:rPr>
          <w:rFonts w:asciiTheme="majorHAnsi" w:eastAsia="Calibri" w:hAnsiTheme="majorHAnsi"/>
          <w:sz w:val="20"/>
          <w:szCs w:val="20"/>
          <w:lang w:val="es-AR"/>
        </w:rPr>
        <w:t>a Comisión no cuenta con información</w:t>
      </w:r>
      <w:r w:rsidR="00E9688C" w:rsidRPr="00386E47">
        <w:rPr>
          <w:rFonts w:asciiTheme="majorHAnsi" w:eastAsia="Calibri" w:hAnsiTheme="majorHAnsi"/>
          <w:sz w:val="20"/>
          <w:szCs w:val="20"/>
          <w:lang w:val="es-AR"/>
        </w:rPr>
        <w:t xml:space="preserve"> actualizada</w:t>
      </w:r>
      <w:r w:rsidR="003F1151" w:rsidRPr="00386E47">
        <w:rPr>
          <w:rFonts w:asciiTheme="majorHAnsi" w:eastAsia="Calibri" w:hAnsiTheme="majorHAnsi"/>
          <w:sz w:val="20"/>
          <w:szCs w:val="20"/>
          <w:lang w:val="es-AR"/>
        </w:rPr>
        <w:t>, por ejemplo, sobre l</w:t>
      </w:r>
      <w:r w:rsidR="00E9688C" w:rsidRPr="00386E47">
        <w:rPr>
          <w:rFonts w:asciiTheme="majorHAnsi" w:eastAsia="Calibri" w:hAnsiTheme="majorHAnsi"/>
          <w:sz w:val="20"/>
          <w:szCs w:val="20"/>
          <w:lang w:val="es-AR"/>
        </w:rPr>
        <w:t>a</w:t>
      </w:r>
      <w:r w:rsidR="003F1151" w:rsidRPr="00386E47">
        <w:rPr>
          <w:rFonts w:asciiTheme="majorHAnsi" w:eastAsia="Calibri" w:hAnsiTheme="majorHAnsi"/>
          <w:sz w:val="20"/>
          <w:szCs w:val="20"/>
          <w:lang w:val="es-AR"/>
        </w:rPr>
        <w:t xml:space="preserve">s iniciativas </w:t>
      </w:r>
      <w:r w:rsidR="007511E3" w:rsidRPr="00386E47">
        <w:rPr>
          <w:rFonts w:asciiTheme="majorHAnsi" w:eastAsia="Calibri" w:hAnsiTheme="majorHAnsi"/>
          <w:sz w:val="20"/>
          <w:szCs w:val="20"/>
          <w:lang w:val="es-AR"/>
        </w:rPr>
        <w:t xml:space="preserve">y estrategias </w:t>
      </w:r>
      <w:r w:rsidR="00E9688C" w:rsidRPr="00386E47">
        <w:rPr>
          <w:rFonts w:asciiTheme="majorHAnsi" w:eastAsia="Calibri" w:hAnsiTheme="majorHAnsi"/>
          <w:sz w:val="20"/>
          <w:szCs w:val="20"/>
          <w:lang w:val="es-AR"/>
        </w:rPr>
        <w:t>impulsadas</w:t>
      </w:r>
      <w:r w:rsidR="003F1151" w:rsidRPr="00386E47">
        <w:rPr>
          <w:rFonts w:asciiTheme="majorHAnsi" w:eastAsia="Calibri" w:hAnsiTheme="majorHAnsi"/>
          <w:sz w:val="20"/>
          <w:szCs w:val="20"/>
          <w:lang w:val="es-AR"/>
        </w:rPr>
        <w:t xml:space="preserve"> por parte del Estado con el objetivo de materializar las declaraciones indagatorias de los nacionales iraníes imputados</w:t>
      </w:r>
      <w:r w:rsidR="002A3811" w:rsidRPr="00386E47">
        <w:rPr>
          <w:rStyle w:val="FootnoteReference"/>
          <w:rFonts w:asciiTheme="majorHAnsi" w:eastAsia="Calibri" w:hAnsiTheme="majorHAnsi"/>
          <w:sz w:val="20"/>
          <w:szCs w:val="20"/>
          <w:lang w:val="es-AR"/>
        </w:rPr>
        <w:footnoteReference w:id="248"/>
      </w:r>
      <w:r w:rsidR="003070F1" w:rsidRPr="00386E47">
        <w:rPr>
          <w:rFonts w:asciiTheme="majorHAnsi" w:eastAsia="Calibri" w:hAnsiTheme="majorHAnsi"/>
          <w:sz w:val="20"/>
          <w:szCs w:val="20"/>
          <w:lang w:val="es-AR"/>
        </w:rPr>
        <w:t>.</w:t>
      </w:r>
    </w:p>
    <w:p w14:paraId="78404336" w14:textId="77777777" w:rsidR="00974A7E" w:rsidRPr="00386E47" w:rsidRDefault="00974A7E" w:rsidP="00347DFB">
      <w:pPr>
        <w:tabs>
          <w:tab w:val="left" w:pos="567"/>
        </w:tabs>
        <w:jc w:val="both"/>
        <w:rPr>
          <w:rFonts w:asciiTheme="majorHAnsi" w:eastAsia="Calibri" w:hAnsiTheme="majorHAnsi"/>
          <w:b/>
          <w:sz w:val="20"/>
          <w:szCs w:val="20"/>
          <w:lang w:val="es-AR"/>
        </w:rPr>
      </w:pPr>
    </w:p>
    <w:p w14:paraId="545F68D3" w14:textId="77777777" w:rsidR="00974A7E" w:rsidRPr="00386E47" w:rsidRDefault="009F70EA" w:rsidP="003A5860">
      <w:pPr>
        <w:numPr>
          <w:ilvl w:val="0"/>
          <w:numId w:val="55"/>
        </w:numPr>
        <w:tabs>
          <w:tab w:val="left" w:pos="567"/>
        </w:tabs>
        <w:ind w:left="0" w:firstLine="0"/>
        <w:jc w:val="both"/>
        <w:rPr>
          <w:rFonts w:asciiTheme="majorHAnsi" w:eastAsia="Calibri" w:hAnsiTheme="majorHAnsi"/>
          <w:b/>
          <w:sz w:val="20"/>
          <w:szCs w:val="20"/>
          <w:lang w:val="es-AR"/>
        </w:rPr>
      </w:pPr>
      <w:r w:rsidRPr="00386E47">
        <w:rPr>
          <w:rFonts w:asciiTheme="majorHAnsi" w:eastAsia="Calibri" w:hAnsiTheme="majorHAnsi"/>
          <w:sz w:val="20"/>
          <w:szCs w:val="20"/>
          <w:lang w:val="es-AR"/>
        </w:rPr>
        <w:t xml:space="preserve">La Comisión </w:t>
      </w:r>
      <w:r w:rsidR="00D95C63" w:rsidRPr="00386E47">
        <w:rPr>
          <w:rFonts w:asciiTheme="majorHAnsi" w:eastAsia="Calibri" w:hAnsiTheme="majorHAnsi"/>
          <w:sz w:val="20"/>
          <w:szCs w:val="20"/>
          <w:lang w:val="es-AR"/>
        </w:rPr>
        <w:t xml:space="preserve">resalta </w:t>
      </w:r>
      <w:r w:rsidRPr="00386E47">
        <w:rPr>
          <w:rFonts w:asciiTheme="majorHAnsi" w:eastAsia="Calibri" w:hAnsiTheme="majorHAnsi"/>
          <w:sz w:val="20"/>
          <w:szCs w:val="20"/>
          <w:lang w:val="es-AR"/>
        </w:rPr>
        <w:t>que la d</w:t>
      </w:r>
      <w:r w:rsidR="002A3811" w:rsidRPr="00386E47">
        <w:rPr>
          <w:rFonts w:asciiTheme="majorHAnsi" w:eastAsia="Calibri" w:hAnsiTheme="majorHAnsi"/>
          <w:sz w:val="20"/>
          <w:szCs w:val="20"/>
          <w:lang w:val="es-AR"/>
        </w:rPr>
        <w:t>eterminación de la identidad de la persona que se habría</w:t>
      </w:r>
      <w:r w:rsidRPr="00386E47">
        <w:rPr>
          <w:rFonts w:asciiTheme="majorHAnsi" w:eastAsia="Calibri" w:hAnsiTheme="majorHAnsi"/>
          <w:sz w:val="20"/>
          <w:szCs w:val="20"/>
          <w:lang w:val="es-AR"/>
        </w:rPr>
        <w:t xml:space="preserve"> inmolado en el atentado a la AMIA resulta especialmente importante, toda vez que a partir de esa información se podría confirmar las hipótesis acusatorias actualmente sostenidas por la fiscalía o </w:t>
      </w:r>
      <w:r w:rsidR="002A3811" w:rsidRPr="00386E47">
        <w:rPr>
          <w:rFonts w:asciiTheme="majorHAnsi" w:eastAsia="Calibri" w:hAnsiTheme="majorHAnsi"/>
          <w:sz w:val="20"/>
          <w:szCs w:val="20"/>
          <w:lang w:val="es-AR"/>
        </w:rPr>
        <w:t xml:space="preserve">bien </w:t>
      </w:r>
      <w:r w:rsidRPr="00386E47">
        <w:rPr>
          <w:rFonts w:asciiTheme="majorHAnsi" w:eastAsia="Calibri" w:hAnsiTheme="majorHAnsi"/>
          <w:sz w:val="20"/>
          <w:szCs w:val="20"/>
          <w:lang w:val="es-AR"/>
        </w:rPr>
        <w:t>iniciarse otros cursos de investigación diversos. Asimismo, llegar a conocer la identidad del autor material del atentado</w:t>
      </w:r>
      <w:r w:rsidR="00F9773C" w:rsidRPr="00386E47">
        <w:rPr>
          <w:rFonts w:asciiTheme="majorHAnsi" w:eastAsia="Calibri" w:hAnsiTheme="majorHAnsi"/>
          <w:sz w:val="20"/>
          <w:szCs w:val="20"/>
          <w:lang w:val="es-AR"/>
        </w:rPr>
        <w:t xml:space="preserve"> </w:t>
      </w:r>
      <w:r w:rsidRPr="00386E47">
        <w:rPr>
          <w:rFonts w:asciiTheme="majorHAnsi" w:eastAsia="Calibri" w:hAnsiTheme="majorHAnsi"/>
          <w:sz w:val="20"/>
          <w:szCs w:val="20"/>
          <w:lang w:val="es-AR"/>
        </w:rPr>
        <w:t xml:space="preserve">y </w:t>
      </w:r>
      <w:r w:rsidR="007039E1" w:rsidRPr="00386E47">
        <w:rPr>
          <w:rFonts w:asciiTheme="majorHAnsi" w:eastAsia="Calibri" w:hAnsiTheme="majorHAnsi"/>
          <w:sz w:val="20"/>
          <w:szCs w:val="20"/>
          <w:lang w:val="es-AR"/>
        </w:rPr>
        <w:t>eventuales</w:t>
      </w:r>
      <w:r w:rsidRPr="00386E47">
        <w:rPr>
          <w:rFonts w:asciiTheme="majorHAnsi" w:eastAsia="Calibri" w:hAnsiTheme="majorHAnsi"/>
          <w:sz w:val="20"/>
          <w:szCs w:val="20"/>
          <w:lang w:val="es-AR"/>
        </w:rPr>
        <w:t xml:space="preserve"> conexiones sociales o afiliaciones políticas representaría un gran paso en aras de</w:t>
      </w:r>
      <w:r w:rsidR="00664CCF" w:rsidRPr="00386E47">
        <w:rPr>
          <w:rFonts w:asciiTheme="majorHAnsi" w:eastAsia="Calibri" w:hAnsiTheme="majorHAnsi"/>
          <w:sz w:val="20"/>
          <w:szCs w:val="20"/>
          <w:lang w:val="es-AR"/>
        </w:rPr>
        <w:t xml:space="preserve"> determinar la totalidad de las responsabilidades materiales e intelectuales, y </w:t>
      </w:r>
      <w:r w:rsidRPr="00386E47">
        <w:rPr>
          <w:rFonts w:asciiTheme="majorHAnsi" w:eastAsia="Calibri" w:hAnsiTheme="majorHAnsi"/>
          <w:sz w:val="20"/>
          <w:szCs w:val="20"/>
          <w:lang w:val="es-AR"/>
        </w:rPr>
        <w:t xml:space="preserve">garantizar el derecho a la verdad de las víctimas, sus familiares y la sociedad.  </w:t>
      </w:r>
    </w:p>
    <w:p w14:paraId="6B454A61" w14:textId="77777777" w:rsidR="00AC5A78" w:rsidRPr="00386E47" w:rsidRDefault="00AC5A78" w:rsidP="00AC5A78">
      <w:pPr>
        <w:tabs>
          <w:tab w:val="left" w:pos="567"/>
        </w:tabs>
        <w:jc w:val="both"/>
        <w:rPr>
          <w:rFonts w:asciiTheme="majorHAnsi" w:eastAsia="Calibri" w:hAnsiTheme="majorHAnsi"/>
          <w:b/>
          <w:sz w:val="20"/>
          <w:szCs w:val="20"/>
          <w:lang w:val="es-ES"/>
        </w:rPr>
      </w:pPr>
    </w:p>
    <w:p w14:paraId="5C43625F" w14:textId="77777777" w:rsidR="00B816C5" w:rsidRPr="00386E47" w:rsidRDefault="00D95C63" w:rsidP="003A5860">
      <w:pPr>
        <w:numPr>
          <w:ilvl w:val="0"/>
          <w:numId w:val="55"/>
        </w:numPr>
        <w:tabs>
          <w:tab w:val="left" w:pos="567"/>
        </w:tabs>
        <w:ind w:left="0" w:firstLine="0"/>
        <w:jc w:val="both"/>
        <w:rPr>
          <w:rFonts w:asciiTheme="majorHAnsi" w:eastAsia="Calibri" w:hAnsiTheme="majorHAnsi"/>
          <w:b/>
          <w:sz w:val="20"/>
          <w:szCs w:val="20"/>
          <w:lang w:val="es-AR"/>
        </w:rPr>
      </w:pPr>
      <w:r w:rsidRPr="00386E47">
        <w:rPr>
          <w:rFonts w:asciiTheme="majorHAnsi" w:eastAsia="Calibri" w:hAnsiTheme="majorHAnsi"/>
          <w:sz w:val="20"/>
          <w:szCs w:val="20"/>
          <w:lang w:val="es-ES"/>
        </w:rPr>
        <w:t>La</w:t>
      </w:r>
      <w:r w:rsidR="009F70EA" w:rsidRPr="00386E47">
        <w:rPr>
          <w:rFonts w:asciiTheme="majorHAnsi" w:eastAsia="Calibri" w:hAnsiTheme="majorHAnsi"/>
          <w:sz w:val="20"/>
          <w:szCs w:val="20"/>
          <w:lang w:val="es-AR"/>
        </w:rPr>
        <w:t xml:space="preserve"> Comisión recuerda que la circunstancia de que el Estado haya omitido hasta el año 2016 inventariar restos orgánicos recolectados en la escena del hecho </w:t>
      </w:r>
      <w:r w:rsidR="008A40D3" w:rsidRPr="00386E47">
        <w:rPr>
          <w:rFonts w:asciiTheme="majorHAnsi" w:eastAsia="Calibri" w:hAnsiTheme="majorHAnsi"/>
          <w:sz w:val="20"/>
          <w:szCs w:val="20"/>
          <w:lang w:val="es-AR"/>
        </w:rPr>
        <w:t>refleja en sí mismo la falta de debida diligencia estatal</w:t>
      </w:r>
      <w:r w:rsidR="009F70EA" w:rsidRPr="00386E47">
        <w:rPr>
          <w:rFonts w:asciiTheme="majorHAnsi" w:eastAsia="Calibri" w:hAnsiTheme="majorHAnsi"/>
          <w:sz w:val="20"/>
          <w:szCs w:val="20"/>
          <w:lang w:val="es-AR"/>
        </w:rPr>
        <w:t xml:space="preserve">. Esta omisión explica asimismo que el cotejo genético que descartó que la muestra sin identificar hallada en el Laboratorio Químico de la PFA sea la de Ibrahim Hussein Berro recién haya podido ser concluido en noviembre de 2017. </w:t>
      </w:r>
    </w:p>
    <w:p w14:paraId="2021CF86" w14:textId="77777777" w:rsidR="00974A7E" w:rsidRPr="00386E47" w:rsidRDefault="00974A7E" w:rsidP="00347DFB">
      <w:pPr>
        <w:tabs>
          <w:tab w:val="left" w:pos="567"/>
        </w:tabs>
        <w:jc w:val="both"/>
        <w:rPr>
          <w:rFonts w:asciiTheme="majorHAnsi" w:eastAsia="Calibri" w:hAnsiTheme="majorHAnsi"/>
          <w:b/>
          <w:sz w:val="20"/>
          <w:szCs w:val="20"/>
          <w:lang w:val="es-AR"/>
        </w:rPr>
      </w:pPr>
    </w:p>
    <w:p w14:paraId="4C230891" w14:textId="77777777" w:rsidR="009F70EA" w:rsidRPr="00386E47" w:rsidRDefault="00E9688C" w:rsidP="003A5860">
      <w:pPr>
        <w:numPr>
          <w:ilvl w:val="0"/>
          <w:numId w:val="55"/>
        </w:numPr>
        <w:tabs>
          <w:tab w:val="left" w:pos="567"/>
        </w:tabs>
        <w:ind w:left="0" w:firstLine="0"/>
        <w:jc w:val="both"/>
        <w:rPr>
          <w:rFonts w:asciiTheme="majorHAnsi" w:eastAsia="Calibri" w:hAnsiTheme="majorHAnsi"/>
          <w:b/>
          <w:sz w:val="20"/>
          <w:szCs w:val="20"/>
          <w:lang w:val="es-AR"/>
        </w:rPr>
      </w:pPr>
      <w:r w:rsidRPr="00386E47">
        <w:rPr>
          <w:rFonts w:asciiTheme="majorHAnsi" w:eastAsia="Calibri" w:hAnsiTheme="majorHAnsi"/>
          <w:sz w:val="20"/>
          <w:szCs w:val="20"/>
          <w:lang w:val="es-AR"/>
        </w:rPr>
        <w:lastRenderedPageBreak/>
        <w:t>E</w:t>
      </w:r>
      <w:r w:rsidR="009F70EA" w:rsidRPr="00386E47">
        <w:rPr>
          <w:rFonts w:asciiTheme="majorHAnsi" w:eastAsia="Calibri" w:hAnsiTheme="majorHAnsi"/>
          <w:sz w:val="20"/>
          <w:szCs w:val="20"/>
          <w:lang w:val="es-AR"/>
        </w:rPr>
        <w:t xml:space="preserve">l deber de </w:t>
      </w:r>
      <w:r w:rsidR="00D95C63" w:rsidRPr="00386E47">
        <w:rPr>
          <w:rFonts w:asciiTheme="majorHAnsi" w:eastAsia="Calibri" w:hAnsiTheme="majorHAnsi"/>
          <w:sz w:val="20"/>
          <w:szCs w:val="20"/>
          <w:lang w:val="es-AR"/>
        </w:rPr>
        <w:t xml:space="preserve">actuar con debida diligencia </w:t>
      </w:r>
      <w:r w:rsidR="009F70EA" w:rsidRPr="00386E47">
        <w:rPr>
          <w:rFonts w:asciiTheme="majorHAnsi" w:eastAsia="Calibri" w:hAnsiTheme="majorHAnsi"/>
          <w:sz w:val="20"/>
          <w:szCs w:val="20"/>
          <w:lang w:val="es-AR"/>
        </w:rPr>
        <w:t>demandaba, en este caso, que el Estado arbitrara</w:t>
      </w:r>
      <w:r w:rsidR="00C516A9" w:rsidRPr="00386E47">
        <w:rPr>
          <w:rFonts w:asciiTheme="majorHAnsi" w:eastAsia="Calibri" w:hAnsiTheme="majorHAnsi"/>
          <w:sz w:val="20"/>
          <w:szCs w:val="20"/>
          <w:lang w:val="es-AR"/>
        </w:rPr>
        <w:t xml:space="preserve"> todos</w:t>
      </w:r>
      <w:r w:rsidR="009F70EA" w:rsidRPr="00386E47">
        <w:rPr>
          <w:rFonts w:asciiTheme="majorHAnsi" w:eastAsia="Calibri" w:hAnsiTheme="majorHAnsi"/>
          <w:sz w:val="20"/>
          <w:szCs w:val="20"/>
          <w:lang w:val="es-AR"/>
        </w:rPr>
        <w:t xml:space="preserve"> los medios </w:t>
      </w:r>
      <w:r w:rsidR="00C516A9" w:rsidRPr="00386E47">
        <w:rPr>
          <w:rFonts w:asciiTheme="majorHAnsi" w:eastAsia="Calibri" w:hAnsiTheme="majorHAnsi"/>
          <w:sz w:val="20"/>
          <w:szCs w:val="20"/>
          <w:lang w:val="es-AR"/>
        </w:rPr>
        <w:t xml:space="preserve">necesarios </w:t>
      </w:r>
      <w:r w:rsidR="009F70EA" w:rsidRPr="00386E47">
        <w:rPr>
          <w:rFonts w:asciiTheme="majorHAnsi" w:eastAsia="Calibri" w:hAnsiTheme="majorHAnsi"/>
          <w:sz w:val="20"/>
          <w:szCs w:val="20"/>
          <w:lang w:val="es-AR"/>
        </w:rPr>
        <w:t>para</w:t>
      </w:r>
      <w:r w:rsidR="00B816C5" w:rsidRPr="00386E47">
        <w:rPr>
          <w:rFonts w:asciiTheme="majorHAnsi" w:eastAsia="Calibri" w:hAnsiTheme="majorHAnsi"/>
          <w:sz w:val="20"/>
          <w:szCs w:val="20"/>
          <w:lang w:val="es-AR"/>
        </w:rPr>
        <w:t xml:space="preserve"> investigar de manera exhaustiva </w:t>
      </w:r>
      <w:r w:rsidR="00C516A9" w:rsidRPr="00386E47">
        <w:rPr>
          <w:rFonts w:asciiTheme="majorHAnsi" w:eastAsia="Calibri" w:hAnsiTheme="majorHAnsi"/>
          <w:sz w:val="20"/>
          <w:szCs w:val="20"/>
          <w:lang w:val="es-AR"/>
        </w:rPr>
        <w:t xml:space="preserve">y sin demoras </w:t>
      </w:r>
      <w:r w:rsidR="00B816C5" w:rsidRPr="00386E47">
        <w:rPr>
          <w:rFonts w:asciiTheme="majorHAnsi" w:eastAsia="Calibri" w:hAnsiTheme="majorHAnsi"/>
          <w:sz w:val="20"/>
          <w:szCs w:val="20"/>
          <w:lang w:val="es-AR"/>
        </w:rPr>
        <w:t>la hipótesis antes referida</w:t>
      </w:r>
      <w:r w:rsidR="00C516A9" w:rsidRPr="00386E47">
        <w:rPr>
          <w:rFonts w:asciiTheme="majorHAnsi" w:eastAsia="Calibri" w:hAnsiTheme="majorHAnsi"/>
          <w:sz w:val="20"/>
          <w:szCs w:val="20"/>
          <w:lang w:val="es-AR"/>
        </w:rPr>
        <w:t>,</w:t>
      </w:r>
      <w:r w:rsidR="00B816C5" w:rsidRPr="00386E47">
        <w:rPr>
          <w:rFonts w:asciiTheme="majorHAnsi" w:eastAsia="Calibri" w:hAnsiTheme="majorHAnsi"/>
          <w:sz w:val="20"/>
          <w:szCs w:val="20"/>
          <w:lang w:val="es-AR"/>
        </w:rPr>
        <w:t xml:space="preserve"> mediante la práctica de todas las pruebas pertinentes, incluido </w:t>
      </w:r>
      <w:r w:rsidR="009F70EA" w:rsidRPr="00386E47">
        <w:rPr>
          <w:rFonts w:asciiTheme="majorHAnsi" w:eastAsia="Calibri" w:hAnsiTheme="majorHAnsi"/>
          <w:sz w:val="20"/>
          <w:szCs w:val="20"/>
          <w:lang w:val="es-AR"/>
        </w:rPr>
        <w:t xml:space="preserve">el análisis genético de la muestra orgánica </w:t>
      </w:r>
      <w:r w:rsidR="00C516A9" w:rsidRPr="00386E47">
        <w:rPr>
          <w:rFonts w:asciiTheme="majorHAnsi" w:eastAsia="Calibri" w:hAnsiTheme="majorHAnsi"/>
          <w:sz w:val="20"/>
          <w:szCs w:val="20"/>
          <w:lang w:val="es-AR"/>
        </w:rPr>
        <w:t>que se hallaba en depósito sin identificar</w:t>
      </w:r>
      <w:r w:rsidRPr="00386E47">
        <w:rPr>
          <w:rFonts w:asciiTheme="majorHAnsi" w:eastAsia="Calibri" w:hAnsiTheme="majorHAnsi"/>
          <w:sz w:val="20"/>
          <w:szCs w:val="20"/>
          <w:lang w:val="es-AR"/>
        </w:rPr>
        <w:t>.</w:t>
      </w:r>
      <w:r w:rsidR="009F70EA" w:rsidRPr="00386E47">
        <w:rPr>
          <w:rFonts w:asciiTheme="majorHAnsi" w:eastAsia="Calibri" w:hAnsiTheme="majorHAnsi"/>
          <w:sz w:val="20"/>
          <w:szCs w:val="20"/>
          <w:lang w:val="es-AR"/>
        </w:rPr>
        <w:t xml:space="preserve"> Ello era aún más crucial si se tiene en cuenta que</w:t>
      </w:r>
      <w:r w:rsidR="00CC09BF" w:rsidRPr="00386E47">
        <w:rPr>
          <w:rFonts w:asciiTheme="majorHAnsi" w:eastAsia="Calibri" w:hAnsiTheme="majorHAnsi"/>
          <w:sz w:val="20"/>
          <w:szCs w:val="20"/>
          <w:lang w:val="es-AR"/>
        </w:rPr>
        <w:t>,</w:t>
      </w:r>
      <w:r w:rsidR="009F70EA" w:rsidRPr="00386E47">
        <w:rPr>
          <w:rFonts w:asciiTheme="majorHAnsi" w:eastAsia="Calibri" w:hAnsiTheme="majorHAnsi"/>
          <w:sz w:val="20"/>
          <w:szCs w:val="20"/>
          <w:lang w:val="es-AR"/>
        </w:rPr>
        <w:t xml:space="preserve"> </w:t>
      </w:r>
      <w:r w:rsidR="0042231B" w:rsidRPr="00386E47">
        <w:rPr>
          <w:rFonts w:asciiTheme="majorHAnsi" w:eastAsia="Calibri" w:hAnsiTheme="majorHAnsi"/>
          <w:sz w:val="20"/>
          <w:szCs w:val="20"/>
          <w:lang w:val="es-AR"/>
        </w:rPr>
        <w:t xml:space="preserve">al menos </w:t>
      </w:r>
      <w:r w:rsidR="009F70EA" w:rsidRPr="00386E47">
        <w:rPr>
          <w:rFonts w:asciiTheme="majorHAnsi" w:eastAsia="Calibri" w:hAnsiTheme="majorHAnsi"/>
          <w:sz w:val="20"/>
          <w:szCs w:val="20"/>
          <w:lang w:val="es-AR"/>
        </w:rPr>
        <w:t>desde octubre de 2006</w:t>
      </w:r>
      <w:r w:rsidR="00CC09BF" w:rsidRPr="00386E47">
        <w:rPr>
          <w:rFonts w:asciiTheme="majorHAnsi" w:eastAsia="Calibri" w:hAnsiTheme="majorHAnsi"/>
          <w:sz w:val="20"/>
          <w:szCs w:val="20"/>
          <w:lang w:val="es-AR"/>
        </w:rPr>
        <w:t>,</w:t>
      </w:r>
      <w:r w:rsidR="009F70EA" w:rsidRPr="00386E47">
        <w:rPr>
          <w:rFonts w:asciiTheme="majorHAnsi" w:eastAsia="Calibri" w:hAnsiTheme="majorHAnsi"/>
          <w:sz w:val="20"/>
          <w:szCs w:val="20"/>
          <w:lang w:val="es-AR"/>
        </w:rPr>
        <w:t xml:space="preserve"> </w:t>
      </w:r>
      <w:r w:rsidR="00CC09BF" w:rsidRPr="00386E47">
        <w:rPr>
          <w:rFonts w:asciiTheme="majorHAnsi" w:eastAsia="Calibri" w:hAnsiTheme="majorHAnsi"/>
          <w:sz w:val="20"/>
          <w:szCs w:val="20"/>
          <w:lang w:val="es-AR"/>
        </w:rPr>
        <w:t xml:space="preserve">una parte central de </w:t>
      </w:r>
      <w:r w:rsidR="009F70EA" w:rsidRPr="00386E47">
        <w:rPr>
          <w:rFonts w:asciiTheme="majorHAnsi" w:eastAsia="Calibri" w:hAnsiTheme="majorHAnsi"/>
          <w:sz w:val="20"/>
          <w:szCs w:val="20"/>
          <w:lang w:val="es-AR"/>
        </w:rPr>
        <w:t xml:space="preserve">la </w:t>
      </w:r>
      <w:r w:rsidR="0042231B" w:rsidRPr="00386E47">
        <w:rPr>
          <w:rFonts w:asciiTheme="majorHAnsi" w:eastAsia="Calibri" w:hAnsiTheme="majorHAnsi"/>
          <w:sz w:val="20"/>
          <w:szCs w:val="20"/>
          <w:lang w:val="es-AR"/>
        </w:rPr>
        <w:t>hip</w:t>
      </w:r>
      <w:r w:rsidR="007039E1" w:rsidRPr="00386E47">
        <w:rPr>
          <w:rFonts w:asciiTheme="majorHAnsi" w:eastAsia="Calibri" w:hAnsiTheme="majorHAnsi"/>
          <w:sz w:val="20"/>
          <w:szCs w:val="20"/>
          <w:lang w:val="es-AR"/>
        </w:rPr>
        <w:t>ó</w:t>
      </w:r>
      <w:r w:rsidR="0042231B" w:rsidRPr="00386E47">
        <w:rPr>
          <w:rFonts w:asciiTheme="majorHAnsi" w:eastAsia="Calibri" w:hAnsiTheme="majorHAnsi"/>
          <w:sz w:val="20"/>
          <w:szCs w:val="20"/>
          <w:lang w:val="es-AR"/>
        </w:rPr>
        <w:t xml:space="preserve">tesis acusatoria </w:t>
      </w:r>
      <w:r w:rsidR="00CC09BF" w:rsidRPr="00386E47">
        <w:rPr>
          <w:rFonts w:asciiTheme="majorHAnsi" w:eastAsia="Calibri" w:hAnsiTheme="majorHAnsi"/>
          <w:sz w:val="20"/>
          <w:szCs w:val="20"/>
          <w:lang w:val="es-AR"/>
        </w:rPr>
        <w:t>publica</w:t>
      </w:r>
      <w:r w:rsidR="009F70EA" w:rsidRPr="00386E47">
        <w:rPr>
          <w:rFonts w:asciiTheme="majorHAnsi" w:eastAsia="Calibri" w:hAnsiTheme="majorHAnsi"/>
          <w:sz w:val="20"/>
          <w:szCs w:val="20"/>
          <w:lang w:val="es-AR"/>
        </w:rPr>
        <w:t xml:space="preserve"> </w:t>
      </w:r>
      <w:r w:rsidR="00CC09BF" w:rsidRPr="00386E47">
        <w:rPr>
          <w:rFonts w:asciiTheme="majorHAnsi" w:eastAsia="Calibri" w:hAnsiTheme="majorHAnsi"/>
          <w:sz w:val="20"/>
          <w:szCs w:val="20"/>
          <w:lang w:val="es-AR"/>
        </w:rPr>
        <w:t>gir</w:t>
      </w:r>
      <w:r w:rsidR="00B816C5" w:rsidRPr="00386E47">
        <w:rPr>
          <w:rFonts w:asciiTheme="majorHAnsi" w:eastAsia="Calibri" w:hAnsiTheme="majorHAnsi"/>
          <w:sz w:val="20"/>
          <w:szCs w:val="20"/>
          <w:lang w:val="es-AR"/>
        </w:rPr>
        <w:t>ó</w:t>
      </w:r>
      <w:r w:rsidR="00CC09BF" w:rsidRPr="00386E47">
        <w:rPr>
          <w:rFonts w:asciiTheme="majorHAnsi" w:eastAsia="Calibri" w:hAnsiTheme="majorHAnsi"/>
          <w:sz w:val="20"/>
          <w:szCs w:val="20"/>
          <w:lang w:val="es-AR"/>
        </w:rPr>
        <w:t xml:space="preserve"> en torno a la </w:t>
      </w:r>
      <w:r w:rsidR="00861975" w:rsidRPr="00386E47">
        <w:rPr>
          <w:rFonts w:asciiTheme="majorHAnsi" w:eastAsia="Calibri" w:hAnsiTheme="majorHAnsi"/>
          <w:sz w:val="20"/>
          <w:szCs w:val="20"/>
          <w:lang w:val="es-AR"/>
        </w:rPr>
        <w:t>identificación</w:t>
      </w:r>
      <w:r w:rsidR="00CC09BF" w:rsidRPr="00386E47">
        <w:rPr>
          <w:rFonts w:asciiTheme="majorHAnsi" w:eastAsia="Calibri" w:hAnsiTheme="majorHAnsi"/>
          <w:sz w:val="20"/>
          <w:szCs w:val="20"/>
          <w:lang w:val="es-AR"/>
        </w:rPr>
        <w:t xml:space="preserve"> de</w:t>
      </w:r>
      <w:r w:rsidR="009F70EA" w:rsidRPr="00386E47">
        <w:rPr>
          <w:rFonts w:asciiTheme="majorHAnsi" w:eastAsia="Calibri" w:hAnsiTheme="majorHAnsi"/>
          <w:sz w:val="20"/>
          <w:szCs w:val="20"/>
          <w:lang w:val="es-AR"/>
        </w:rPr>
        <w:t xml:space="preserve"> Berro com</w:t>
      </w:r>
      <w:r w:rsidR="00CC09BF" w:rsidRPr="00386E47">
        <w:rPr>
          <w:rFonts w:asciiTheme="majorHAnsi" w:eastAsia="Calibri" w:hAnsiTheme="majorHAnsi"/>
          <w:sz w:val="20"/>
          <w:szCs w:val="20"/>
          <w:lang w:val="es-AR"/>
        </w:rPr>
        <w:t xml:space="preserve">o el individuo que </w:t>
      </w:r>
      <w:r w:rsidR="00D95C63" w:rsidRPr="00386E47">
        <w:rPr>
          <w:rFonts w:asciiTheme="majorHAnsi" w:eastAsia="Calibri" w:hAnsiTheme="majorHAnsi"/>
          <w:sz w:val="20"/>
          <w:szCs w:val="20"/>
          <w:lang w:val="es-AR"/>
        </w:rPr>
        <w:t>habría</w:t>
      </w:r>
      <w:r w:rsidR="00CC09BF" w:rsidRPr="00386E47">
        <w:rPr>
          <w:rFonts w:asciiTheme="majorHAnsi" w:eastAsia="Calibri" w:hAnsiTheme="majorHAnsi"/>
          <w:sz w:val="20"/>
          <w:szCs w:val="20"/>
          <w:lang w:val="es-AR"/>
        </w:rPr>
        <w:t xml:space="preserve"> actuado como</w:t>
      </w:r>
      <w:r w:rsidR="009F70EA" w:rsidRPr="00386E47">
        <w:rPr>
          <w:rFonts w:asciiTheme="majorHAnsi" w:eastAsia="Calibri" w:hAnsiTheme="majorHAnsi"/>
          <w:sz w:val="20"/>
          <w:szCs w:val="20"/>
          <w:lang w:val="es-AR"/>
        </w:rPr>
        <w:t xml:space="preserve"> conductor suicida de la Trafic que </w:t>
      </w:r>
      <w:r w:rsidR="00C21134" w:rsidRPr="00386E47">
        <w:rPr>
          <w:rFonts w:asciiTheme="majorHAnsi" w:eastAsia="Calibri" w:hAnsiTheme="majorHAnsi"/>
          <w:sz w:val="20"/>
          <w:szCs w:val="20"/>
          <w:lang w:val="es-AR"/>
        </w:rPr>
        <w:t>habria sido utilizada como coche bomba</w:t>
      </w:r>
      <w:r w:rsidR="009F70EA" w:rsidRPr="00386E47">
        <w:rPr>
          <w:rFonts w:asciiTheme="majorHAnsi" w:eastAsia="Calibri" w:hAnsiTheme="majorHAnsi"/>
          <w:sz w:val="20"/>
          <w:szCs w:val="20"/>
          <w:lang w:val="es-AR"/>
        </w:rPr>
        <w:t>. La</w:t>
      </w:r>
      <w:r w:rsidR="00FC22BD" w:rsidRPr="00386E47">
        <w:rPr>
          <w:rFonts w:asciiTheme="majorHAnsi" w:eastAsia="Calibri" w:hAnsiTheme="majorHAnsi"/>
          <w:sz w:val="20"/>
          <w:szCs w:val="20"/>
          <w:lang w:val="es-AR"/>
        </w:rPr>
        <w:t xml:space="preserve"> Comisión concluye que la</w:t>
      </w:r>
      <w:r w:rsidR="009F70EA" w:rsidRPr="00386E47">
        <w:rPr>
          <w:rFonts w:asciiTheme="majorHAnsi" w:eastAsia="Calibri" w:hAnsiTheme="majorHAnsi"/>
          <w:sz w:val="20"/>
          <w:szCs w:val="20"/>
          <w:lang w:val="es-AR"/>
        </w:rPr>
        <w:t xml:space="preserve"> falta de realización oportuna de est</w:t>
      </w:r>
      <w:r w:rsidR="007039E1" w:rsidRPr="00386E47">
        <w:rPr>
          <w:rFonts w:asciiTheme="majorHAnsi" w:eastAsia="Calibri" w:hAnsiTheme="majorHAnsi"/>
          <w:sz w:val="20"/>
          <w:szCs w:val="20"/>
          <w:lang w:val="es-AR"/>
        </w:rPr>
        <w:t>a diligencia probatoria</w:t>
      </w:r>
      <w:r w:rsidR="008A40D3" w:rsidRPr="00386E47">
        <w:rPr>
          <w:rFonts w:asciiTheme="majorHAnsi" w:eastAsia="Calibri" w:hAnsiTheme="majorHAnsi"/>
          <w:sz w:val="20"/>
          <w:szCs w:val="20"/>
          <w:lang w:val="es-AR"/>
        </w:rPr>
        <w:t xml:space="preserve">, así como otras que permitieran </w:t>
      </w:r>
      <w:r w:rsidR="00FC22BD" w:rsidRPr="00386E47">
        <w:rPr>
          <w:rFonts w:asciiTheme="majorHAnsi" w:eastAsia="Calibri" w:hAnsiTheme="majorHAnsi"/>
          <w:sz w:val="20"/>
          <w:szCs w:val="20"/>
          <w:lang w:val="es-AR"/>
        </w:rPr>
        <w:t xml:space="preserve">fortalecer la línea investigativa que </w:t>
      </w:r>
      <w:r w:rsidR="00C516A9" w:rsidRPr="00386E47">
        <w:rPr>
          <w:rFonts w:asciiTheme="majorHAnsi" w:eastAsia="Calibri" w:hAnsiTheme="majorHAnsi"/>
          <w:sz w:val="20"/>
          <w:szCs w:val="20"/>
          <w:lang w:val="es-AR"/>
        </w:rPr>
        <w:t>vincula a</w:t>
      </w:r>
      <w:r w:rsidR="00FC22BD" w:rsidRPr="00386E47">
        <w:rPr>
          <w:rFonts w:asciiTheme="majorHAnsi" w:eastAsia="Calibri" w:hAnsiTheme="majorHAnsi"/>
          <w:sz w:val="20"/>
          <w:szCs w:val="20"/>
          <w:lang w:val="es-AR"/>
        </w:rPr>
        <w:t xml:space="preserve"> Hezbollah y</w:t>
      </w:r>
      <w:r w:rsidR="00C516A9" w:rsidRPr="00386E47">
        <w:rPr>
          <w:rFonts w:asciiTheme="majorHAnsi" w:eastAsia="Calibri" w:hAnsiTheme="majorHAnsi"/>
          <w:sz w:val="20"/>
          <w:szCs w:val="20"/>
          <w:lang w:val="es-AR"/>
        </w:rPr>
        <w:t xml:space="preserve"> a</w:t>
      </w:r>
      <w:r w:rsidR="00FC22BD" w:rsidRPr="00386E47">
        <w:rPr>
          <w:rFonts w:asciiTheme="majorHAnsi" w:eastAsia="Calibri" w:hAnsiTheme="majorHAnsi"/>
          <w:sz w:val="20"/>
          <w:szCs w:val="20"/>
          <w:lang w:val="es-AR"/>
        </w:rPr>
        <w:t xml:space="preserve"> </w:t>
      </w:r>
      <w:r w:rsidR="00C516A9" w:rsidRPr="00386E47">
        <w:rPr>
          <w:rFonts w:asciiTheme="majorHAnsi" w:eastAsia="Calibri" w:hAnsiTheme="majorHAnsi"/>
          <w:sz w:val="20"/>
          <w:szCs w:val="20"/>
          <w:lang w:val="es-AR"/>
        </w:rPr>
        <w:t xml:space="preserve">funcionarios y nacionales de la República Islámica de Irán con el hecho </w:t>
      </w:r>
      <w:r w:rsidR="009F70EA" w:rsidRPr="00386E47">
        <w:rPr>
          <w:rFonts w:asciiTheme="majorHAnsi" w:eastAsia="Calibri" w:hAnsiTheme="majorHAnsi"/>
          <w:sz w:val="20"/>
          <w:szCs w:val="20"/>
          <w:lang w:val="es-AR"/>
        </w:rPr>
        <w:t xml:space="preserve">impidió </w:t>
      </w:r>
      <w:r w:rsidR="00FC22BD" w:rsidRPr="00386E47">
        <w:rPr>
          <w:rFonts w:asciiTheme="majorHAnsi" w:eastAsia="Calibri" w:hAnsiTheme="majorHAnsi"/>
          <w:sz w:val="20"/>
          <w:szCs w:val="20"/>
          <w:lang w:val="es-AR"/>
        </w:rPr>
        <w:t xml:space="preserve">asimismo </w:t>
      </w:r>
      <w:r w:rsidR="009F70EA" w:rsidRPr="00386E47">
        <w:rPr>
          <w:rFonts w:asciiTheme="majorHAnsi" w:eastAsia="Calibri" w:hAnsiTheme="majorHAnsi"/>
          <w:sz w:val="20"/>
          <w:szCs w:val="20"/>
          <w:lang w:val="es-AR"/>
        </w:rPr>
        <w:t>que se pudieran explorar</w:t>
      </w:r>
      <w:r w:rsidR="007A42D9" w:rsidRPr="00386E47">
        <w:rPr>
          <w:rFonts w:asciiTheme="majorHAnsi" w:eastAsia="Calibri" w:hAnsiTheme="majorHAnsi"/>
          <w:sz w:val="20"/>
          <w:szCs w:val="20"/>
          <w:lang w:val="es-AR"/>
        </w:rPr>
        <w:t xml:space="preserve"> </w:t>
      </w:r>
      <w:r w:rsidR="009F70EA" w:rsidRPr="00386E47">
        <w:rPr>
          <w:rFonts w:asciiTheme="majorHAnsi" w:eastAsia="Calibri" w:hAnsiTheme="majorHAnsi"/>
          <w:sz w:val="20"/>
          <w:szCs w:val="20"/>
          <w:lang w:val="es-AR"/>
        </w:rPr>
        <w:t>otras eventuales líneas de investigación</w:t>
      </w:r>
      <w:r w:rsidR="008A40D3" w:rsidRPr="00386E47">
        <w:rPr>
          <w:rFonts w:asciiTheme="majorHAnsi" w:eastAsia="Calibri" w:hAnsiTheme="majorHAnsi"/>
          <w:sz w:val="20"/>
          <w:szCs w:val="20"/>
          <w:lang w:val="es-AR"/>
        </w:rPr>
        <w:t xml:space="preserve"> complementarias</w:t>
      </w:r>
      <w:r w:rsidR="009F70EA" w:rsidRPr="00386E47">
        <w:rPr>
          <w:rFonts w:asciiTheme="majorHAnsi" w:eastAsia="Calibri" w:hAnsiTheme="majorHAnsi"/>
          <w:sz w:val="20"/>
          <w:szCs w:val="20"/>
          <w:lang w:val="es-AR"/>
        </w:rPr>
        <w:t xml:space="preserve"> que no incluyeran necesariamente la participación de Berro o de sus supuestos asociados en el atentado</w:t>
      </w:r>
      <w:r w:rsidR="00B816C5" w:rsidRPr="00386E47">
        <w:rPr>
          <w:rFonts w:asciiTheme="majorHAnsi" w:eastAsia="Calibri" w:hAnsiTheme="majorHAnsi"/>
          <w:sz w:val="20"/>
          <w:szCs w:val="20"/>
          <w:lang w:val="es-AR"/>
        </w:rPr>
        <w:t xml:space="preserve">, </w:t>
      </w:r>
      <w:r w:rsidR="008A40D3" w:rsidRPr="00386E47">
        <w:rPr>
          <w:rFonts w:asciiTheme="majorHAnsi" w:eastAsia="Calibri" w:hAnsiTheme="majorHAnsi"/>
          <w:sz w:val="20"/>
          <w:szCs w:val="20"/>
          <w:lang w:val="es-AR"/>
        </w:rPr>
        <w:t>impactando negativamente el avance de las investigaciones</w:t>
      </w:r>
      <w:r w:rsidR="009F70EA" w:rsidRPr="00386E47">
        <w:rPr>
          <w:rFonts w:asciiTheme="majorHAnsi" w:eastAsia="Calibri" w:hAnsiTheme="majorHAnsi"/>
          <w:sz w:val="20"/>
          <w:szCs w:val="20"/>
          <w:lang w:val="es-AR"/>
        </w:rPr>
        <w:t xml:space="preserve">.  </w:t>
      </w:r>
    </w:p>
    <w:p w14:paraId="770C880D" w14:textId="77777777" w:rsidR="009F70EA" w:rsidRPr="00386E47" w:rsidRDefault="009F70EA" w:rsidP="00974A7E">
      <w:pPr>
        <w:tabs>
          <w:tab w:val="left" w:pos="426"/>
        </w:tabs>
        <w:contextualSpacing/>
        <w:jc w:val="both"/>
        <w:rPr>
          <w:rFonts w:asciiTheme="majorHAnsi" w:eastAsia="Calibri" w:hAnsiTheme="majorHAnsi"/>
          <w:sz w:val="20"/>
          <w:szCs w:val="20"/>
          <w:lang w:val="es-AR"/>
        </w:rPr>
      </w:pPr>
    </w:p>
    <w:p w14:paraId="36CC51B6" w14:textId="77777777" w:rsidR="00A33088" w:rsidRPr="00386E47" w:rsidRDefault="00A33088" w:rsidP="009146F2">
      <w:pPr>
        <w:pStyle w:val="Heading5"/>
        <w:numPr>
          <w:ilvl w:val="0"/>
          <w:numId w:val="69"/>
        </w:numPr>
      </w:pPr>
      <w:r w:rsidRPr="00386E47">
        <w:t>Respecto de la muerte del fiscal a cargo de la investigación</w:t>
      </w:r>
    </w:p>
    <w:p w14:paraId="576777AD" w14:textId="77777777" w:rsidR="00A33088" w:rsidRPr="00386E47" w:rsidRDefault="00A33088" w:rsidP="00A33088">
      <w:pPr>
        <w:tabs>
          <w:tab w:val="left" w:pos="567"/>
        </w:tabs>
        <w:jc w:val="both"/>
        <w:rPr>
          <w:rFonts w:asciiTheme="majorHAnsi" w:eastAsia="Calibri" w:hAnsiTheme="majorHAnsi"/>
          <w:sz w:val="20"/>
          <w:szCs w:val="20"/>
          <w:lang w:val="es-ES_tradnl" w:eastAsia="es-ES"/>
        </w:rPr>
      </w:pPr>
    </w:p>
    <w:p w14:paraId="37670968" w14:textId="77777777" w:rsidR="00DB0B54" w:rsidRPr="00386E47" w:rsidRDefault="00A33088" w:rsidP="003A5860">
      <w:pPr>
        <w:pStyle w:val="ListParagraph"/>
        <w:numPr>
          <w:ilvl w:val="0"/>
          <w:numId w:val="55"/>
        </w:numPr>
        <w:tabs>
          <w:tab w:val="left" w:pos="567"/>
        </w:tabs>
        <w:ind w:left="0" w:firstLine="0"/>
        <w:jc w:val="both"/>
        <w:rPr>
          <w:rFonts w:asciiTheme="majorHAnsi" w:eastAsia="Calibri" w:hAnsiTheme="majorHAnsi"/>
          <w:sz w:val="20"/>
          <w:szCs w:val="20"/>
          <w:lang w:val="es-ES_tradnl"/>
        </w:rPr>
      </w:pPr>
      <w:r w:rsidRPr="00386E47">
        <w:rPr>
          <w:rFonts w:asciiTheme="majorHAnsi" w:eastAsia="Calibri" w:hAnsiTheme="majorHAnsi"/>
          <w:sz w:val="20"/>
          <w:szCs w:val="20"/>
          <w:lang w:val="es-ES_tradnl"/>
        </w:rPr>
        <w:t xml:space="preserve">Como se ha referido en el </w:t>
      </w:r>
      <w:r w:rsidR="0098796A" w:rsidRPr="00386E47">
        <w:rPr>
          <w:rFonts w:asciiTheme="majorHAnsi" w:eastAsia="Calibri" w:hAnsiTheme="majorHAnsi"/>
          <w:sz w:val="20"/>
          <w:szCs w:val="20"/>
          <w:lang w:val="es-ES_tradnl"/>
        </w:rPr>
        <w:t>apartado</w:t>
      </w:r>
      <w:r w:rsidRPr="00386E47">
        <w:rPr>
          <w:rFonts w:asciiTheme="majorHAnsi" w:eastAsia="Calibri" w:hAnsiTheme="majorHAnsi"/>
          <w:sz w:val="20"/>
          <w:szCs w:val="20"/>
          <w:lang w:val="es-ES_tradnl"/>
        </w:rPr>
        <w:t xml:space="preserve"> de hechos, el 18 de enero de 2015 el cuerpo del Fiscal Nisman</w:t>
      </w:r>
      <w:r w:rsidR="0098796A" w:rsidRPr="00386E47">
        <w:rPr>
          <w:rFonts w:asciiTheme="majorHAnsi" w:eastAsia="Calibri" w:hAnsiTheme="majorHAnsi"/>
          <w:sz w:val="20"/>
          <w:szCs w:val="20"/>
          <w:lang w:val="es-ES_tradnl"/>
        </w:rPr>
        <w:t>, entonces titular de la UFl</w:t>
      </w:r>
      <w:r w:rsidR="00DB0B54" w:rsidRPr="00386E47">
        <w:rPr>
          <w:rFonts w:asciiTheme="majorHAnsi" w:eastAsia="Calibri" w:hAnsiTheme="majorHAnsi"/>
          <w:sz w:val="20"/>
          <w:szCs w:val="20"/>
          <w:lang w:val="es-ES_tradnl"/>
        </w:rPr>
        <w:t xml:space="preserve"> </w:t>
      </w:r>
      <w:r w:rsidR="0098796A" w:rsidRPr="00386E47">
        <w:rPr>
          <w:rFonts w:asciiTheme="majorHAnsi" w:eastAsia="Calibri" w:hAnsiTheme="majorHAnsi"/>
          <w:sz w:val="20"/>
          <w:szCs w:val="20"/>
          <w:lang w:val="es-ES_tradnl"/>
        </w:rPr>
        <w:t>AMIA</w:t>
      </w:r>
      <w:r w:rsidR="00DB0B54" w:rsidRPr="00386E47">
        <w:rPr>
          <w:rFonts w:asciiTheme="majorHAnsi" w:eastAsia="Calibri" w:hAnsiTheme="majorHAnsi"/>
          <w:sz w:val="20"/>
          <w:szCs w:val="20"/>
          <w:lang w:val="es-ES_tradnl"/>
        </w:rPr>
        <w:t xml:space="preserve">, </w:t>
      </w:r>
      <w:r w:rsidRPr="00386E47">
        <w:rPr>
          <w:rFonts w:asciiTheme="majorHAnsi" w:eastAsia="Calibri" w:hAnsiTheme="majorHAnsi"/>
          <w:sz w:val="20"/>
          <w:szCs w:val="20"/>
          <w:lang w:val="es-ES_tradnl"/>
        </w:rPr>
        <w:t>fue hallado sin vida en su domicilio de la ciudad de Buenos Aires</w:t>
      </w:r>
      <w:r w:rsidR="00DB0B54" w:rsidRPr="00386E47">
        <w:rPr>
          <w:rFonts w:asciiTheme="majorHAnsi" w:eastAsia="Calibri" w:hAnsiTheme="majorHAnsi"/>
          <w:sz w:val="20"/>
          <w:szCs w:val="20"/>
          <w:lang w:val="es-ES_tradnl"/>
        </w:rPr>
        <w:t>. El suceso se produjo</w:t>
      </w:r>
      <w:r w:rsidR="0098796A" w:rsidRPr="00386E47">
        <w:rPr>
          <w:rFonts w:asciiTheme="majorHAnsi" w:eastAsia="Calibri" w:hAnsiTheme="majorHAnsi"/>
          <w:sz w:val="20"/>
          <w:szCs w:val="20"/>
          <w:lang w:val="es-ES_tradnl"/>
        </w:rPr>
        <w:t xml:space="preserve"> días después de </w:t>
      </w:r>
      <w:r w:rsidR="00DB0B54" w:rsidRPr="00386E47">
        <w:rPr>
          <w:rFonts w:asciiTheme="majorHAnsi" w:eastAsia="Calibri" w:hAnsiTheme="majorHAnsi"/>
          <w:sz w:val="20"/>
          <w:szCs w:val="20"/>
          <w:lang w:val="es-ES_tradnl"/>
        </w:rPr>
        <w:t>que la UFI AMIA interpuso</w:t>
      </w:r>
      <w:r w:rsidR="0098796A" w:rsidRPr="00386E47">
        <w:rPr>
          <w:rFonts w:asciiTheme="majorHAnsi" w:eastAsia="Calibri" w:hAnsiTheme="majorHAnsi"/>
          <w:sz w:val="20"/>
          <w:szCs w:val="20"/>
          <w:lang w:val="es-ES_tradnl"/>
        </w:rPr>
        <w:t xml:space="preserve"> una denuncia penal en contra de varios funcionarios estatales en relación con posibles </w:t>
      </w:r>
      <w:r w:rsidR="00DB0B54" w:rsidRPr="00386E47">
        <w:rPr>
          <w:rFonts w:asciiTheme="majorHAnsi" w:eastAsia="Calibri" w:hAnsiTheme="majorHAnsi"/>
          <w:sz w:val="20"/>
          <w:szCs w:val="20"/>
          <w:lang w:val="es-ES_tradnl"/>
        </w:rPr>
        <w:t xml:space="preserve">actos de encubrimiento vinculadas con la firma del Memorándum de entendimiento entre la República Argentina y la </w:t>
      </w:r>
      <w:r w:rsidR="00B528BF" w:rsidRPr="00386E47">
        <w:rPr>
          <w:rFonts w:asciiTheme="majorHAnsi" w:eastAsia="Calibri" w:hAnsiTheme="majorHAnsi"/>
          <w:sz w:val="20"/>
          <w:szCs w:val="20"/>
          <w:lang w:val="es-ES_tradnl"/>
        </w:rPr>
        <w:t>República</w:t>
      </w:r>
      <w:r w:rsidR="00DB0B54" w:rsidRPr="00386E47">
        <w:rPr>
          <w:rFonts w:asciiTheme="majorHAnsi" w:eastAsia="Calibri" w:hAnsiTheme="majorHAnsi"/>
          <w:sz w:val="20"/>
          <w:szCs w:val="20"/>
          <w:lang w:val="es-ES_tradnl"/>
        </w:rPr>
        <w:t xml:space="preserve"> Islámica de Irán. </w:t>
      </w:r>
      <w:r w:rsidR="0098796A" w:rsidRPr="00386E47">
        <w:rPr>
          <w:rFonts w:asciiTheme="majorHAnsi" w:eastAsia="Calibri" w:hAnsiTheme="majorHAnsi"/>
          <w:sz w:val="20"/>
          <w:szCs w:val="20"/>
          <w:lang w:val="es-ES_tradnl"/>
        </w:rPr>
        <w:t xml:space="preserve"> (ver supra párr. </w:t>
      </w:r>
      <w:r w:rsidR="00C11B38" w:rsidRPr="00386E47">
        <w:rPr>
          <w:rFonts w:asciiTheme="majorHAnsi" w:eastAsia="Calibri" w:hAnsiTheme="majorHAnsi"/>
          <w:sz w:val="20"/>
          <w:szCs w:val="20"/>
          <w:lang w:val="es-ES_tradnl"/>
        </w:rPr>
        <w:t>84</w:t>
      </w:r>
      <w:r w:rsidR="0098796A" w:rsidRPr="00386E47">
        <w:rPr>
          <w:rFonts w:asciiTheme="majorHAnsi" w:eastAsia="Calibri" w:hAnsiTheme="majorHAnsi"/>
          <w:sz w:val="20"/>
          <w:szCs w:val="20"/>
          <w:lang w:val="es-ES_tradnl"/>
        </w:rPr>
        <w:t>)</w:t>
      </w:r>
      <w:r w:rsidRPr="00386E47">
        <w:rPr>
          <w:rFonts w:asciiTheme="majorHAnsi" w:eastAsia="Calibri" w:hAnsiTheme="majorHAnsi"/>
          <w:sz w:val="20"/>
          <w:szCs w:val="20"/>
          <w:lang w:val="es-ES_tradnl"/>
        </w:rPr>
        <w:t>.</w:t>
      </w:r>
      <w:r w:rsidR="0098796A" w:rsidRPr="00386E47">
        <w:rPr>
          <w:rFonts w:asciiTheme="majorHAnsi" w:eastAsia="Calibri" w:hAnsiTheme="majorHAnsi"/>
          <w:sz w:val="20"/>
          <w:szCs w:val="20"/>
          <w:lang w:val="es-ES_tradnl"/>
        </w:rPr>
        <w:t xml:space="preserve">  </w:t>
      </w:r>
    </w:p>
    <w:p w14:paraId="06E0A14B" w14:textId="77777777" w:rsidR="00DB0B54" w:rsidRPr="00386E47" w:rsidRDefault="00DB0B54" w:rsidP="00DB0B54">
      <w:pPr>
        <w:tabs>
          <w:tab w:val="left" w:pos="567"/>
        </w:tabs>
        <w:jc w:val="both"/>
        <w:rPr>
          <w:rFonts w:asciiTheme="majorHAnsi" w:eastAsia="Calibri" w:hAnsiTheme="majorHAnsi"/>
          <w:sz w:val="20"/>
          <w:szCs w:val="20"/>
          <w:lang w:val="es-ES_tradnl" w:eastAsia="es-ES"/>
        </w:rPr>
      </w:pPr>
    </w:p>
    <w:p w14:paraId="72986ACC" w14:textId="77777777" w:rsidR="00A33088" w:rsidRPr="00386E47" w:rsidRDefault="0098796A" w:rsidP="003A5860">
      <w:pPr>
        <w:numPr>
          <w:ilvl w:val="0"/>
          <w:numId w:val="55"/>
        </w:numPr>
        <w:tabs>
          <w:tab w:val="left" w:pos="567"/>
        </w:tabs>
        <w:ind w:left="0" w:firstLine="0"/>
        <w:jc w:val="both"/>
        <w:rPr>
          <w:rFonts w:asciiTheme="majorHAnsi" w:eastAsia="Calibri" w:hAnsiTheme="majorHAnsi"/>
          <w:sz w:val="20"/>
          <w:szCs w:val="20"/>
          <w:lang w:val="es-ES_tradnl" w:eastAsia="es-ES"/>
        </w:rPr>
      </w:pPr>
      <w:r w:rsidRPr="00386E47">
        <w:rPr>
          <w:rFonts w:asciiTheme="majorHAnsi" w:eastAsia="Calibri" w:hAnsiTheme="majorHAnsi"/>
          <w:sz w:val="20"/>
          <w:szCs w:val="20"/>
          <w:lang w:val="es-ES_tradnl"/>
        </w:rPr>
        <w:t xml:space="preserve">En relación con este hecho, la Comisión observa que no es materia del presente caso pronunciarse sobre </w:t>
      </w:r>
      <w:r w:rsidR="00DB0B54" w:rsidRPr="00386E47">
        <w:rPr>
          <w:rFonts w:asciiTheme="majorHAnsi" w:eastAsia="Calibri" w:hAnsiTheme="majorHAnsi"/>
          <w:sz w:val="20"/>
          <w:szCs w:val="20"/>
          <w:lang w:val="es-ES_tradnl"/>
        </w:rPr>
        <w:t>el deceso</w:t>
      </w:r>
      <w:r w:rsidRPr="00386E47">
        <w:rPr>
          <w:rFonts w:asciiTheme="majorHAnsi" w:eastAsia="Calibri" w:hAnsiTheme="majorHAnsi"/>
          <w:sz w:val="20"/>
          <w:szCs w:val="20"/>
          <w:lang w:val="es-ES_tradnl"/>
        </w:rPr>
        <w:t xml:space="preserve"> del </w:t>
      </w:r>
      <w:r w:rsidR="00DB0B54" w:rsidRPr="00386E47">
        <w:rPr>
          <w:rFonts w:asciiTheme="majorHAnsi" w:eastAsia="Calibri" w:hAnsiTheme="majorHAnsi"/>
          <w:sz w:val="20"/>
          <w:szCs w:val="20"/>
          <w:lang w:val="es-ES_tradnl"/>
        </w:rPr>
        <w:t>Sr.</w:t>
      </w:r>
      <w:r w:rsidRPr="00386E47">
        <w:rPr>
          <w:rFonts w:asciiTheme="majorHAnsi" w:eastAsia="Calibri" w:hAnsiTheme="majorHAnsi"/>
          <w:sz w:val="20"/>
          <w:szCs w:val="20"/>
          <w:lang w:val="es-ES_tradnl"/>
        </w:rPr>
        <w:t xml:space="preserve"> Nisman y las circunstancias en las que </w:t>
      </w:r>
      <w:r w:rsidR="00DB0B54" w:rsidRPr="00386E47">
        <w:rPr>
          <w:rFonts w:asciiTheme="majorHAnsi" w:eastAsia="Calibri" w:hAnsiTheme="majorHAnsi"/>
          <w:sz w:val="20"/>
          <w:szCs w:val="20"/>
          <w:lang w:val="es-ES_tradnl"/>
        </w:rPr>
        <w:t>tuvo lugar, toda vez que este hecho se encuentra siendo investigado por las autoridades judiciales argentinas y ya que ellas podrían ser eventualmente objeto de una nueva petición ante el sistema interamericano</w:t>
      </w:r>
      <w:r w:rsidR="00DB0B54" w:rsidRPr="00386E47">
        <w:rPr>
          <w:rFonts w:asciiTheme="majorHAnsi" w:eastAsia="Calibri" w:hAnsiTheme="majorHAnsi"/>
          <w:sz w:val="20"/>
          <w:szCs w:val="20"/>
          <w:lang w:val="es-ES_tradnl" w:eastAsia="es-ES"/>
        </w:rPr>
        <w:t xml:space="preserve">. </w:t>
      </w:r>
      <w:r w:rsidRPr="00386E47">
        <w:rPr>
          <w:rFonts w:asciiTheme="majorHAnsi" w:eastAsia="Calibri" w:hAnsiTheme="majorHAnsi"/>
          <w:sz w:val="20"/>
          <w:szCs w:val="20"/>
          <w:lang w:val="es-ES_tradnl"/>
        </w:rPr>
        <w:t>En lo relevante para este caso, la Comisión considera únicamente dejar constancia que la falta de esclarecimiento de tales circunstancias, no ha permitido en el presente caso identificar si existiría un nexo causal entre tal muerte y el rol de</w:t>
      </w:r>
      <w:r w:rsidR="00DB0B54" w:rsidRPr="00386E47">
        <w:rPr>
          <w:rFonts w:asciiTheme="majorHAnsi" w:eastAsia="Calibri" w:hAnsiTheme="majorHAnsi"/>
          <w:sz w:val="20"/>
          <w:szCs w:val="20"/>
          <w:lang w:val="es-ES_tradnl"/>
        </w:rPr>
        <w:t xml:space="preserve">l Sr. </w:t>
      </w:r>
      <w:r w:rsidRPr="00386E47">
        <w:rPr>
          <w:rFonts w:asciiTheme="majorHAnsi" w:eastAsia="Calibri" w:hAnsiTheme="majorHAnsi"/>
          <w:sz w:val="20"/>
          <w:szCs w:val="20"/>
          <w:lang w:val="es-ES_tradnl"/>
        </w:rPr>
        <w:t xml:space="preserve">Nisman como operador de justicia </w:t>
      </w:r>
      <w:r w:rsidR="00831270" w:rsidRPr="00386E47">
        <w:rPr>
          <w:rFonts w:asciiTheme="majorHAnsi" w:eastAsia="Calibri" w:hAnsiTheme="majorHAnsi"/>
          <w:sz w:val="20"/>
          <w:szCs w:val="20"/>
          <w:lang w:val="es-ES_tradnl"/>
        </w:rPr>
        <w:t>y, en particular el deber en cabeza del Estado de haber adoptado las medidas requeridas frente a todo tipo de riesgo que surgiera en relación con las personas que investigan violaciones a derechos humanos</w:t>
      </w:r>
      <w:r w:rsidR="00831270" w:rsidRPr="00386E47">
        <w:rPr>
          <w:rStyle w:val="FootnoteReference"/>
          <w:rFonts w:asciiTheme="majorHAnsi" w:hAnsiTheme="majorHAnsi"/>
          <w:sz w:val="20"/>
          <w:szCs w:val="20"/>
          <w:lang w:val="es-ES"/>
        </w:rPr>
        <w:footnoteReference w:id="249"/>
      </w:r>
      <w:r w:rsidRPr="00386E47">
        <w:rPr>
          <w:rFonts w:asciiTheme="majorHAnsi" w:eastAsia="Calibri" w:hAnsiTheme="majorHAnsi"/>
          <w:sz w:val="20"/>
          <w:szCs w:val="20"/>
          <w:lang w:val="es-ES_tradnl"/>
        </w:rPr>
        <w:t xml:space="preserve">. </w:t>
      </w:r>
      <w:r w:rsidR="00831270" w:rsidRPr="00386E47">
        <w:rPr>
          <w:rFonts w:asciiTheme="majorHAnsi" w:eastAsia="Calibri" w:hAnsiTheme="majorHAnsi"/>
          <w:sz w:val="20"/>
          <w:szCs w:val="20"/>
          <w:lang w:val="es-ES_tradnl"/>
        </w:rPr>
        <w:t>En ese sentido, la Comisión observa la importancia de que el Estado continúe investigando dicho hecho</w:t>
      </w:r>
      <w:r w:rsidR="001B61F0" w:rsidRPr="00386E47">
        <w:rPr>
          <w:rFonts w:asciiTheme="majorHAnsi" w:eastAsia="Calibri" w:hAnsiTheme="majorHAnsi"/>
          <w:sz w:val="20"/>
          <w:szCs w:val="20"/>
          <w:lang w:val="es-ES_tradnl"/>
        </w:rPr>
        <w:t xml:space="preserve"> y esclarezca </w:t>
      </w:r>
      <w:r w:rsidR="00831270" w:rsidRPr="00386E47">
        <w:rPr>
          <w:rFonts w:asciiTheme="majorHAnsi" w:eastAsia="Calibri" w:hAnsiTheme="majorHAnsi"/>
          <w:sz w:val="20"/>
          <w:szCs w:val="20"/>
          <w:lang w:val="es-ES_tradnl"/>
        </w:rPr>
        <w:t xml:space="preserve">las circunstancias en </w:t>
      </w:r>
      <w:r w:rsidR="00905FE1" w:rsidRPr="00386E47">
        <w:rPr>
          <w:rFonts w:asciiTheme="majorHAnsi" w:eastAsia="Calibri" w:hAnsiTheme="majorHAnsi"/>
          <w:sz w:val="20"/>
          <w:szCs w:val="20"/>
          <w:lang w:val="es-ES_tradnl"/>
        </w:rPr>
        <w:t xml:space="preserve">las </w:t>
      </w:r>
      <w:r w:rsidR="00831270" w:rsidRPr="00386E47">
        <w:rPr>
          <w:rFonts w:asciiTheme="majorHAnsi" w:eastAsia="Calibri" w:hAnsiTheme="majorHAnsi"/>
          <w:sz w:val="20"/>
          <w:szCs w:val="20"/>
          <w:lang w:val="es-ES_tradnl"/>
        </w:rPr>
        <w:t xml:space="preserve">que tuvo lugar. </w:t>
      </w:r>
    </w:p>
    <w:p w14:paraId="5C4608EC" w14:textId="77777777" w:rsidR="00A33088" w:rsidRPr="00386E47" w:rsidRDefault="00A33088" w:rsidP="00A311A0">
      <w:pPr>
        <w:pStyle w:val="ListParagraph"/>
        <w:ind w:left="1080"/>
        <w:jc w:val="both"/>
        <w:rPr>
          <w:rFonts w:asciiTheme="majorHAnsi" w:eastAsia="Calibri" w:hAnsiTheme="majorHAnsi"/>
          <w:b/>
          <w:sz w:val="20"/>
          <w:szCs w:val="20"/>
          <w:lang w:val="es-AR"/>
        </w:rPr>
      </w:pPr>
    </w:p>
    <w:p w14:paraId="05D12678" w14:textId="77777777" w:rsidR="00335B7F" w:rsidRPr="00386E47" w:rsidRDefault="00335B7F" w:rsidP="009146F2">
      <w:pPr>
        <w:pStyle w:val="Heading5"/>
        <w:numPr>
          <w:ilvl w:val="0"/>
          <w:numId w:val="69"/>
        </w:numPr>
      </w:pPr>
      <w:r w:rsidRPr="00386E47">
        <w:t xml:space="preserve">Respecto a la falta de adopción de medidas oportunas para determinar la identidad de la denominada “víctima 85”. </w:t>
      </w:r>
    </w:p>
    <w:p w14:paraId="43BD902D" w14:textId="77777777" w:rsidR="00335B7F" w:rsidRPr="00386E47" w:rsidRDefault="00335B7F" w:rsidP="00335B7F">
      <w:pPr>
        <w:jc w:val="both"/>
        <w:rPr>
          <w:rFonts w:asciiTheme="majorHAnsi" w:eastAsia="Calibri" w:hAnsiTheme="majorHAnsi"/>
          <w:b/>
          <w:sz w:val="20"/>
          <w:szCs w:val="20"/>
          <w:lang w:val="es-AR"/>
        </w:rPr>
      </w:pPr>
    </w:p>
    <w:p w14:paraId="5A50EC3B" w14:textId="77777777" w:rsidR="00335B7F" w:rsidRPr="00386E47" w:rsidRDefault="006246FE" w:rsidP="003A5860">
      <w:pPr>
        <w:numPr>
          <w:ilvl w:val="0"/>
          <w:numId w:val="55"/>
        </w:numPr>
        <w:tabs>
          <w:tab w:val="left" w:pos="567"/>
        </w:tabs>
        <w:ind w:left="0" w:firstLine="0"/>
        <w:contextualSpacing/>
        <w:jc w:val="both"/>
        <w:rPr>
          <w:rFonts w:asciiTheme="majorHAnsi" w:eastAsia="Calibri" w:hAnsiTheme="majorHAnsi"/>
          <w:sz w:val="20"/>
          <w:szCs w:val="20"/>
          <w:lang w:val="es-AR"/>
        </w:rPr>
      </w:pPr>
      <w:r w:rsidRPr="00386E47">
        <w:rPr>
          <w:rFonts w:asciiTheme="majorHAnsi" w:eastAsia="Calibri" w:hAnsiTheme="majorHAnsi"/>
          <w:sz w:val="20"/>
          <w:szCs w:val="20"/>
          <w:lang w:val="es-AR"/>
        </w:rPr>
        <w:t xml:space="preserve">Durante </w:t>
      </w:r>
      <w:r w:rsidR="00335B7F" w:rsidRPr="00386E47">
        <w:rPr>
          <w:rFonts w:asciiTheme="majorHAnsi" w:eastAsia="Calibri" w:hAnsiTheme="majorHAnsi"/>
          <w:sz w:val="20"/>
          <w:szCs w:val="20"/>
          <w:lang w:val="es-AR"/>
        </w:rPr>
        <w:t>las labores de rescate de víctimas y remoción de escombros las autoridades hallaron el cuerpo sin vida de una persona que no pudo ser identificada</w:t>
      </w:r>
      <w:r w:rsidR="00335B7F" w:rsidRPr="00386E47">
        <w:rPr>
          <w:rFonts w:asciiTheme="majorHAnsi" w:eastAsia="Calibri" w:hAnsiTheme="majorHAnsi"/>
          <w:sz w:val="20"/>
          <w:szCs w:val="20"/>
          <w:vertAlign w:val="superscript"/>
          <w:lang w:val="es-AR"/>
        </w:rPr>
        <w:footnoteReference w:id="250"/>
      </w:r>
      <w:r w:rsidR="00335B7F" w:rsidRPr="00386E47">
        <w:rPr>
          <w:rFonts w:asciiTheme="majorHAnsi" w:eastAsia="Calibri" w:hAnsiTheme="majorHAnsi"/>
          <w:sz w:val="20"/>
          <w:szCs w:val="20"/>
          <w:lang w:val="es-AR"/>
        </w:rPr>
        <w:t>. La UFI AMIA relató en su informe de gestión de diciembre de 2016 que constató que, al momento de realizada la autopsia, al cuerpo se le seccionaron 3 falanges, sin que exist</w:t>
      </w:r>
      <w:r w:rsidRPr="00386E47">
        <w:rPr>
          <w:rFonts w:asciiTheme="majorHAnsi" w:eastAsia="Calibri" w:hAnsiTheme="majorHAnsi"/>
          <w:sz w:val="20"/>
          <w:szCs w:val="20"/>
          <w:lang w:val="es-AR"/>
        </w:rPr>
        <w:t>ier</w:t>
      </w:r>
      <w:r w:rsidR="00335B7F" w:rsidRPr="00386E47">
        <w:rPr>
          <w:rFonts w:asciiTheme="majorHAnsi" w:eastAsia="Calibri" w:hAnsiTheme="majorHAnsi"/>
          <w:sz w:val="20"/>
          <w:szCs w:val="20"/>
          <w:lang w:val="es-AR"/>
        </w:rPr>
        <w:t>a constancia del destino dado a la muestra. Años más tarde, la UFI AMIA agregó, el cuerpo fue colocado en el osario común del Cementerio de la Chacarita</w:t>
      </w:r>
      <w:r w:rsidR="001B61F0" w:rsidRPr="00386E47">
        <w:rPr>
          <w:rStyle w:val="FootnoteReference"/>
          <w:rFonts w:asciiTheme="majorHAnsi" w:eastAsia="Calibri" w:hAnsiTheme="majorHAnsi"/>
          <w:sz w:val="20"/>
          <w:szCs w:val="20"/>
          <w:lang w:val="es-AR"/>
        </w:rPr>
        <w:footnoteReference w:id="251"/>
      </w:r>
      <w:r w:rsidR="00335B7F" w:rsidRPr="00386E47">
        <w:rPr>
          <w:rFonts w:asciiTheme="majorHAnsi" w:eastAsia="Calibri" w:hAnsiTheme="majorHAnsi"/>
          <w:sz w:val="20"/>
          <w:szCs w:val="20"/>
          <w:lang w:val="es-AR"/>
        </w:rPr>
        <w:t xml:space="preserve">. </w:t>
      </w:r>
    </w:p>
    <w:p w14:paraId="6D838420" w14:textId="77777777" w:rsidR="00335B7F" w:rsidRPr="00386E47" w:rsidRDefault="00335B7F" w:rsidP="00335B7F">
      <w:pPr>
        <w:tabs>
          <w:tab w:val="left" w:pos="567"/>
        </w:tabs>
        <w:contextualSpacing/>
        <w:jc w:val="both"/>
        <w:rPr>
          <w:rFonts w:asciiTheme="majorHAnsi" w:eastAsia="Calibri" w:hAnsiTheme="majorHAnsi"/>
          <w:sz w:val="20"/>
          <w:szCs w:val="20"/>
          <w:lang w:val="es-AR"/>
        </w:rPr>
      </w:pPr>
    </w:p>
    <w:p w14:paraId="6970A0A8" w14:textId="77777777" w:rsidR="00335B7F" w:rsidRPr="00386E47" w:rsidRDefault="006246FE" w:rsidP="003A5860">
      <w:pPr>
        <w:numPr>
          <w:ilvl w:val="0"/>
          <w:numId w:val="55"/>
        </w:numPr>
        <w:tabs>
          <w:tab w:val="left" w:pos="567"/>
        </w:tabs>
        <w:ind w:left="0" w:firstLine="0"/>
        <w:contextualSpacing/>
        <w:jc w:val="both"/>
        <w:rPr>
          <w:rFonts w:asciiTheme="majorHAnsi" w:eastAsia="Calibri" w:hAnsiTheme="majorHAnsi"/>
          <w:sz w:val="20"/>
          <w:szCs w:val="20"/>
          <w:lang w:val="es-AR"/>
        </w:rPr>
      </w:pPr>
      <w:r w:rsidRPr="00386E47">
        <w:rPr>
          <w:rFonts w:asciiTheme="majorHAnsi" w:eastAsia="Calibri" w:hAnsiTheme="majorHAnsi"/>
          <w:sz w:val="20"/>
          <w:szCs w:val="20"/>
          <w:lang w:val="es-AR"/>
        </w:rPr>
        <w:t>E</w:t>
      </w:r>
      <w:r w:rsidR="00335B7F" w:rsidRPr="00386E47">
        <w:rPr>
          <w:rFonts w:asciiTheme="majorHAnsi" w:eastAsia="Calibri" w:hAnsiTheme="majorHAnsi"/>
          <w:sz w:val="20"/>
          <w:szCs w:val="20"/>
          <w:lang w:val="es-AR"/>
        </w:rPr>
        <w:t xml:space="preserve">n agosto de 2016 y gracias al peritaje de cotejo genético de las muestras orgánicas de los cuerpos de victimas existentes en poder de la UFI AMIA se pudo establecer que “existía una probabilidad equivalente a un 99,9999% de que los perfiles genéticos extraídos de las muestras correspondientes a la persona que, hasta entonces, no había sido identificada pertenezcan a un hijo biológico de la persona cuya muestra corresponde a Maria Lourdes Jesús”. Sobre esta información se estableció que el cuerpo correspondía a Augusto Daniel Jesús de </w:t>
      </w:r>
      <w:r w:rsidR="00335B7F" w:rsidRPr="00386E47">
        <w:rPr>
          <w:rFonts w:asciiTheme="majorHAnsi" w:eastAsia="Calibri" w:hAnsiTheme="majorHAnsi"/>
          <w:sz w:val="20"/>
          <w:szCs w:val="20"/>
          <w:lang w:val="es-AR"/>
        </w:rPr>
        <w:lastRenderedPageBreak/>
        <w:t>20 años de edad. Augusto había concurrido la mañana del atentado a la bolsa de trabajo que funcionaba en la AMIA en compañía de su madre, Maria Lourdes, quien también se cuenta entre las víctimas fatales del atentado</w:t>
      </w:r>
      <w:r w:rsidR="004E2EA6" w:rsidRPr="00386E47">
        <w:rPr>
          <w:rStyle w:val="FootnoteReference"/>
          <w:rFonts w:asciiTheme="majorHAnsi" w:eastAsia="Calibri" w:hAnsiTheme="majorHAnsi"/>
          <w:sz w:val="20"/>
          <w:szCs w:val="20"/>
          <w:lang w:val="es-AR"/>
        </w:rPr>
        <w:footnoteReference w:id="252"/>
      </w:r>
      <w:r w:rsidR="00335B7F" w:rsidRPr="00386E47">
        <w:rPr>
          <w:rFonts w:asciiTheme="majorHAnsi" w:eastAsia="Calibri" w:hAnsiTheme="majorHAnsi"/>
          <w:sz w:val="20"/>
          <w:szCs w:val="20"/>
          <w:lang w:val="es-AR"/>
        </w:rPr>
        <w:t xml:space="preserve">.  </w:t>
      </w:r>
    </w:p>
    <w:p w14:paraId="20D02F90" w14:textId="77777777" w:rsidR="00335B7F" w:rsidRPr="00386E47" w:rsidRDefault="00335B7F" w:rsidP="00335B7F">
      <w:pPr>
        <w:tabs>
          <w:tab w:val="left" w:pos="567"/>
        </w:tabs>
        <w:contextualSpacing/>
        <w:jc w:val="both"/>
        <w:rPr>
          <w:rFonts w:asciiTheme="majorHAnsi" w:eastAsia="Calibri" w:hAnsiTheme="majorHAnsi"/>
          <w:sz w:val="20"/>
          <w:szCs w:val="20"/>
          <w:lang w:val="es-AR"/>
        </w:rPr>
      </w:pPr>
    </w:p>
    <w:p w14:paraId="6DBD7BAE" w14:textId="77777777" w:rsidR="006246FE" w:rsidRPr="00386E47" w:rsidRDefault="006246FE" w:rsidP="003A5860">
      <w:pPr>
        <w:pStyle w:val="ListParagraph"/>
        <w:numPr>
          <w:ilvl w:val="0"/>
          <w:numId w:val="58"/>
        </w:numPr>
        <w:tabs>
          <w:tab w:val="left" w:pos="567"/>
        </w:tabs>
        <w:contextualSpacing/>
        <w:jc w:val="both"/>
        <w:rPr>
          <w:rFonts w:asciiTheme="majorHAnsi" w:eastAsia="Calibri" w:hAnsiTheme="majorHAnsi"/>
          <w:b/>
          <w:sz w:val="20"/>
          <w:szCs w:val="20"/>
          <w:lang w:val="es-AR"/>
        </w:rPr>
      </w:pPr>
      <w:r w:rsidRPr="00386E47">
        <w:rPr>
          <w:rFonts w:asciiTheme="majorHAnsi" w:eastAsia="Calibri" w:hAnsiTheme="majorHAnsi"/>
          <w:b/>
          <w:sz w:val="20"/>
          <w:szCs w:val="20"/>
          <w:lang w:val="es-AR"/>
        </w:rPr>
        <w:t>Consideraciones de la Comisión</w:t>
      </w:r>
    </w:p>
    <w:p w14:paraId="193EB049" w14:textId="77777777" w:rsidR="006246FE" w:rsidRPr="00386E47" w:rsidRDefault="006246FE" w:rsidP="00335B7F">
      <w:pPr>
        <w:tabs>
          <w:tab w:val="left" w:pos="567"/>
        </w:tabs>
        <w:contextualSpacing/>
        <w:jc w:val="both"/>
        <w:rPr>
          <w:rFonts w:asciiTheme="majorHAnsi" w:eastAsia="Calibri" w:hAnsiTheme="majorHAnsi"/>
          <w:sz w:val="20"/>
          <w:szCs w:val="20"/>
          <w:lang w:val="es-AR"/>
        </w:rPr>
      </w:pPr>
    </w:p>
    <w:p w14:paraId="14FD8D8E" w14:textId="77777777" w:rsidR="00335B7F" w:rsidRPr="00386E47" w:rsidRDefault="00335B7F" w:rsidP="003A5860">
      <w:pPr>
        <w:numPr>
          <w:ilvl w:val="0"/>
          <w:numId w:val="55"/>
        </w:numPr>
        <w:tabs>
          <w:tab w:val="left" w:pos="567"/>
        </w:tabs>
        <w:ind w:left="0" w:firstLine="0"/>
        <w:contextualSpacing/>
        <w:jc w:val="both"/>
        <w:rPr>
          <w:rFonts w:asciiTheme="majorHAnsi" w:eastAsia="Calibri" w:hAnsiTheme="majorHAnsi"/>
          <w:sz w:val="20"/>
          <w:szCs w:val="20"/>
          <w:lang w:val="es-AR"/>
        </w:rPr>
      </w:pPr>
      <w:r w:rsidRPr="00386E47">
        <w:rPr>
          <w:rFonts w:asciiTheme="majorHAnsi" w:eastAsia="Calibri" w:hAnsiTheme="majorHAnsi"/>
          <w:sz w:val="20"/>
          <w:szCs w:val="20"/>
          <w:lang w:val="es-AR"/>
        </w:rPr>
        <w:t xml:space="preserve">La Comisión valora los esfuerzos realizados por el Estado argentino a partir del año 2015 orientados a esclarecer la suerte de Augusto Daniel Jesús, establecer su identidad y reconocer su carácter de víctima del atentado. No obstante, la Comisión lamenta que una medida tan elemental como el cotejo genético de las muestras orgánicas del cuerpo </w:t>
      </w:r>
      <w:r w:rsidR="00F449B5" w:rsidRPr="00386E47">
        <w:rPr>
          <w:rFonts w:asciiTheme="majorHAnsi" w:eastAsia="Calibri" w:hAnsiTheme="majorHAnsi"/>
          <w:sz w:val="20"/>
          <w:szCs w:val="20"/>
          <w:lang w:val="es-AR"/>
        </w:rPr>
        <w:t>de Augusto Daniel</w:t>
      </w:r>
      <w:r w:rsidRPr="00386E47">
        <w:rPr>
          <w:rFonts w:asciiTheme="majorHAnsi" w:eastAsia="Calibri" w:hAnsiTheme="majorHAnsi"/>
          <w:sz w:val="20"/>
          <w:szCs w:val="20"/>
          <w:lang w:val="es-AR"/>
        </w:rPr>
        <w:t xml:space="preserve"> Jesús con aquellas pertenecientes al resto del universo de v</w:t>
      </w:r>
      <w:r w:rsidR="002516D0" w:rsidRPr="00386E47">
        <w:rPr>
          <w:rFonts w:asciiTheme="majorHAnsi" w:eastAsia="Calibri" w:hAnsiTheme="majorHAnsi"/>
          <w:sz w:val="20"/>
          <w:szCs w:val="20"/>
          <w:lang w:val="es-AR"/>
        </w:rPr>
        <w:t>í</w:t>
      </w:r>
      <w:r w:rsidRPr="00386E47">
        <w:rPr>
          <w:rFonts w:asciiTheme="majorHAnsi" w:eastAsia="Calibri" w:hAnsiTheme="majorHAnsi"/>
          <w:sz w:val="20"/>
          <w:szCs w:val="20"/>
          <w:lang w:val="es-AR"/>
        </w:rPr>
        <w:t xml:space="preserve">ctimas solo haya sido impulsada a pocos meses de cumplirse el vigésimo aniversario del atentado. </w:t>
      </w:r>
    </w:p>
    <w:p w14:paraId="5E2C3A6E" w14:textId="77777777" w:rsidR="006246FE" w:rsidRPr="00386E47" w:rsidRDefault="006246FE" w:rsidP="00A311A0">
      <w:pPr>
        <w:pStyle w:val="ListParagraph"/>
        <w:rPr>
          <w:rFonts w:asciiTheme="majorHAnsi" w:eastAsia="Calibri" w:hAnsiTheme="majorHAnsi"/>
          <w:sz w:val="20"/>
          <w:szCs w:val="20"/>
          <w:lang w:val="es-AR"/>
        </w:rPr>
      </w:pPr>
    </w:p>
    <w:p w14:paraId="61CA707D" w14:textId="77777777" w:rsidR="006246FE" w:rsidRPr="00386E47" w:rsidRDefault="006246FE" w:rsidP="003A5860">
      <w:pPr>
        <w:numPr>
          <w:ilvl w:val="0"/>
          <w:numId w:val="55"/>
        </w:numPr>
        <w:tabs>
          <w:tab w:val="left" w:pos="567"/>
        </w:tabs>
        <w:ind w:left="0" w:firstLine="0"/>
        <w:contextualSpacing/>
        <w:jc w:val="both"/>
        <w:rPr>
          <w:rFonts w:asciiTheme="majorHAnsi" w:eastAsia="Calibri" w:hAnsiTheme="majorHAnsi"/>
          <w:sz w:val="20"/>
          <w:szCs w:val="20"/>
          <w:lang w:val="es-AR"/>
        </w:rPr>
      </w:pPr>
      <w:r w:rsidRPr="00386E47">
        <w:rPr>
          <w:rFonts w:asciiTheme="majorHAnsi" w:eastAsia="Calibri" w:hAnsiTheme="majorHAnsi"/>
          <w:sz w:val="20"/>
          <w:szCs w:val="20"/>
          <w:lang w:val="es-AR"/>
        </w:rPr>
        <w:t xml:space="preserve">La Comisión advierte que la falta de diligencia con la que el Estado condujo la investigación en relación a las muestras orgánicas pertenecientes a las personas que perdieron la vida en el atentado no solo obstaculizó la posibilidad de comprobar la identidad del supuesto terrorista suicida, sino que también determinó que por años no se conociera el destino ni la identidad de la llamada “victima 85”.   </w:t>
      </w:r>
    </w:p>
    <w:p w14:paraId="2E4A6625" w14:textId="77777777" w:rsidR="00C82D5F" w:rsidRPr="00386E47" w:rsidRDefault="006246FE" w:rsidP="00DB3D43">
      <w:pPr>
        <w:tabs>
          <w:tab w:val="left" w:pos="567"/>
        </w:tabs>
        <w:contextualSpacing/>
        <w:jc w:val="both"/>
        <w:rPr>
          <w:rFonts w:asciiTheme="majorHAnsi" w:eastAsia="Calibri" w:hAnsiTheme="majorHAnsi"/>
          <w:sz w:val="20"/>
          <w:szCs w:val="20"/>
          <w:lang w:val="es-AR"/>
        </w:rPr>
      </w:pPr>
      <w:r w:rsidRPr="00386E47">
        <w:rPr>
          <w:rFonts w:asciiTheme="majorHAnsi" w:eastAsia="Calibri" w:hAnsiTheme="majorHAnsi"/>
          <w:sz w:val="20"/>
          <w:szCs w:val="20"/>
          <w:lang w:val="es-AR"/>
        </w:rPr>
        <w:t xml:space="preserve">  </w:t>
      </w:r>
    </w:p>
    <w:p w14:paraId="773D6125" w14:textId="77777777" w:rsidR="00DB3D43" w:rsidRPr="00386E47" w:rsidRDefault="00DB3D43" w:rsidP="009146F2">
      <w:pPr>
        <w:pStyle w:val="Heading5"/>
        <w:numPr>
          <w:ilvl w:val="0"/>
          <w:numId w:val="69"/>
        </w:numPr>
      </w:pPr>
      <w:r w:rsidRPr="00386E47">
        <w:t xml:space="preserve">Conclusión </w:t>
      </w:r>
    </w:p>
    <w:p w14:paraId="08C4C221" w14:textId="77777777" w:rsidR="00DB3D43" w:rsidRPr="00386E47" w:rsidRDefault="00DB3D43" w:rsidP="00DB3D43">
      <w:pPr>
        <w:tabs>
          <w:tab w:val="left" w:pos="567"/>
        </w:tabs>
        <w:contextualSpacing/>
        <w:jc w:val="both"/>
        <w:rPr>
          <w:rFonts w:asciiTheme="majorHAnsi" w:eastAsia="Calibri" w:hAnsiTheme="majorHAnsi"/>
          <w:sz w:val="20"/>
          <w:szCs w:val="20"/>
          <w:lang w:val="es-AR"/>
        </w:rPr>
      </w:pPr>
    </w:p>
    <w:p w14:paraId="7F581EDC" w14:textId="77777777" w:rsidR="00E77E69" w:rsidRPr="00386E47" w:rsidRDefault="006246FE" w:rsidP="003A5860">
      <w:pPr>
        <w:numPr>
          <w:ilvl w:val="0"/>
          <w:numId w:val="55"/>
        </w:numPr>
        <w:tabs>
          <w:tab w:val="left" w:pos="567"/>
        </w:tabs>
        <w:ind w:left="0" w:firstLine="0"/>
        <w:contextualSpacing/>
        <w:jc w:val="both"/>
        <w:rPr>
          <w:rFonts w:asciiTheme="majorHAnsi" w:eastAsia="Calibri" w:hAnsiTheme="majorHAnsi"/>
          <w:sz w:val="20"/>
          <w:szCs w:val="20"/>
          <w:lang w:val="es-AR"/>
        </w:rPr>
      </w:pPr>
      <w:r w:rsidRPr="00386E47">
        <w:rPr>
          <w:rFonts w:asciiTheme="majorHAnsi" w:eastAsia="Calibri" w:hAnsiTheme="majorHAnsi"/>
          <w:sz w:val="20"/>
          <w:szCs w:val="20"/>
          <w:lang w:val="es-AR"/>
        </w:rPr>
        <w:t>L</w:t>
      </w:r>
      <w:r w:rsidR="00DB3D43" w:rsidRPr="00386E47">
        <w:rPr>
          <w:rFonts w:asciiTheme="majorHAnsi" w:eastAsia="Calibri" w:hAnsiTheme="majorHAnsi"/>
          <w:sz w:val="20"/>
          <w:szCs w:val="20"/>
          <w:lang w:val="es-AR"/>
        </w:rPr>
        <w:t xml:space="preserve">a Comisión </w:t>
      </w:r>
      <w:r w:rsidR="0084011B" w:rsidRPr="00386E47">
        <w:rPr>
          <w:rFonts w:asciiTheme="majorHAnsi" w:eastAsia="Calibri" w:hAnsiTheme="majorHAnsi"/>
          <w:sz w:val="20"/>
          <w:szCs w:val="20"/>
          <w:lang w:val="es-AR"/>
        </w:rPr>
        <w:t>encuentra</w:t>
      </w:r>
      <w:r w:rsidR="00F56A47" w:rsidRPr="00386E47">
        <w:rPr>
          <w:rFonts w:asciiTheme="majorHAnsi" w:eastAsia="Calibri" w:hAnsiTheme="majorHAnsi"/>
          <w:sz w:val="20"/>
          <w:szCs w:val="20"/>
          <w:lang w:val="es-AR"/>
        </w:rPr>
        <w:t xml:space="preserve"> que</w:t>
      </w:r>
      <w:r w:rsidR="002516D0" w:rsidRPr="00386E47">
        <w:rPr>
          <w:rFonts w:asciiTheme="majorHAnsi" w:eastAsia="Calibri" w:hAnsiTheme="majorHAnsi"/>
          <w:sz w:val="20"/>
          <w:szCs w:val="20"/>
          <w:lang w:val="es-AR"/>
        </w:rPr>
        <w:t xml:space="preserve">, en los últimos </w:t>
      </w:r>
      <w:r w:rsidR="00E9688C" w:rsidRPr="00386E47">
        <w:rPr>
          <w:rFonts w:asciiTheme="majorHAnsi" w:eastAsia="Calibri" w:hAnsiTheme="majorHAnsi"/>
          <w:sz w:val="20"/>
          <w:szCs w:val="20"/>
          <w:lang w:val="es-AR"/>
        </w:rPr>
        <w:t>años, el</w:t>
      </w:r>
      <w:r w:rsidR="0084011B" w:rsidRPr="00386E47">
        <w:rPr>
          <w:rFonts w:asciiTheme="majorHAnsi" w:eastAsia="Calibri" w:hAnsiTheme="majorHAnsi"/>
          <w:sz w:val="20"/>
          <w:szCs w:val="20"/>
          <w:lang w:val="es-AR"/>
        </w:rPr>
        <w:t xml:space="preserve"> Estado ha adoptado </w:t>
      </w:r>
      <w:r w:rsidR="002516D0" w:rsidRPr="00386E47">
        <w:rPr>
          <w:rFonts w:asciiTheme="majorHAnsi" w:eastAsia="Calibri" w:hAnsiTheme="majorHAnsi"/>
          <w:sz w:val="20"/>
          <w:szCs w:val="20"/>
          <w:lang w:val="es-AR"/>
        </w:rPr>
        <w:t xml:space="preserve">algunas </w:t>
      </w:r>
      <w:r w:rsidR="0084011B" w:rsidRPr="00386E47">
        <w:rPr>
          <w:rFonts w:asciiTheme="majorHAnsi" w:eastAsia="Calibri" w:hAnsiTheme="majorHAnsi"/>
          <w:sz w:val="20"/>
          <w:szCs w:val="20"/>
          <w:lang w:val="es-AR"/>
        </w:rPr>
        <w:t>medidas relevantes para</w:t>
      </w:r>
      <w:r w:rsidR="002516D0" w:rsidRPr="00386E47">
        <w:rPr>
          <w:rFonts w:asciiTheme="majorHAnsi" w:eastAsia="Calibri" w:hAnsiTheme="majorHAnsi"/>
          <w:sz w:val="20"/>
          <w:szCs w:val="20"/>
          <w:lang w:val="es-AR"/>
        </w:rPr>
        <w:t xml:space="preserve"> encausar la pesquisa y </w:t>
      </w:r>
      <w:r w:rsidR="0084011B" w:rsidRPr="00386E47">
        <w:rPr>
          <w:rFonts w:asciiTheme="majorHAnsi" w:eastAsia="Calibri" w:hAnsiTheme="majorHAnsi"/>
          <w:sz w:val="20"/>
          <w:szCs w:val="20"/>
          <w:lang w:val="es-AR"/>
        </w:rPr>
        <w:t xml:space="preserve">subsanar las múltiples afectaciones </w:t>
      </w:r>
      <w:r w:rsidR="002516D0" w:rsidRPr="00386E47">
        <w:rPr>
          <w:rFonts w:asciiTheme="majorHAnsi" w:eastAsia="Calibri" w:hAnsiTheme="majorHAnsi"/>
          <w:sz w:val="20"/>
          <w:szCs w:val="20"/>
          <w:lang w:val="es-AR"/>
        </w:rPr>
        <w:t xml:space="preserve">acontecidas durante el tiempo en que la </w:t>
      </w:r>
      <w:r w:rsidR="00B528BF" w:rsidRPr="00386E47">
        <w:rPr>
          <w:rFonts w:asciiTheme="majorHAnsi" w:eastAsia="Calibri" w:hAnsiTheme="majorHAnsi"/>
          <w:sz w:val="20"/>
          <w:szCs w:val="20"/>
          <w:lang w:val="es-AR"/>
        </w:rPr>
        <w:t>investigación</w:t>
      </w:r>
      <w:r w:rsidR="002516D0" w:rsidRPr="00386E47">
        <w:rPr>
          <w:rFonts w:asciiTheme="majorHAnsi" w:eastAsia="Calibri" w:hAnsiTheme="majorHAnsi"/>
          <w:sz w:val="20"/>
          <w:szCs w:val="20"/>
          <w:lang w:val="es-AR"/>
        </w:rPr>
        <w:t xml:space="preserve"> estuvo </w:t>
      </w:r>
      <w:r w:rsidR="0084011B" w:rsidRPr="00386E47">
        <w:rPr>
          <w:rFonts w:asciiTheme="majorHAnsi" w:eastAsia="Calibri" w:hAnsiTheme="majorHAnsi"/>
          <w:sz w:val="20"/>
          <w:szCs w:val="20"/>
          <w:lang w:val="es-AR"/>
        </w:rPr>
        <w:t>e</w:t>
      </w:r>
      <w:r w:rsidR="00C423FB" w:rsidRPr="00386E47">
        <w:rPr>
          <w:rFonts w:asciiTheme="majorHAnsi" w:eastAsia="Calibri" w:hAnsiTheme="majorHAnsi"/>
          <w:sz w:val="20"/>
          <w:szCs w:val="20"/>
          <w:lang w:val="es-AR"/>
        </w:rPr>
        <w:t>ncabezada</w:t>
      </w:r>
      <w:r w:rsidR="0084011B" w:rsidRPr="00386E47">
        <w:rPr>
          <w:rFonts w:asciiTheme="majorHAnsi" w:eastAsia="Calibri" w:hAnsiTheme="majorHAnsi"/>
          <w:sz w:val="20"/>
          <w:szCs w:val="20"/>
          <w:lang w:val="es-AR"/>
        </w:rPr>
        <w:t xml:space="preserve"> por el Juzgado en lo Criminal Federal No. 9</w:t>
      </w:r>
      <w:r w:rsidR="002516D0" w:rsidRPr="00386E47">
        <w:rPr>
          <w:rFonts w:asciiTheme="majorHAnsi" w:eastAsia="Calibri" w:hAnsiTheme="majorHAnsi"/>
          <w:sz w:val="20"/>
          <w:szCs w:val="20"/>
          <w:lang w:val="es-AR"/>
        </w:rPr>
        <w:t xml:space="preserve">. </w:t>
      </w:r>
      <w:r w:rsidR="0084011B" w:rsidRPr="00386E47">
        <w:rPr>
          <w:rFonts w:asciiTheme="majorHAnsi" w:eastAsia="Calibri" w:hAnsiTheme="majorHAnsi"/>
          <w:sz w:val="20"/>
          <w:szCs w:val="20"/>
          <w:lang w:val="es-AR"/>
        </w:rPr>
        <w:t xml:space="preserve"> </w:t>
      </w:r>
      <w:r w:rsidR="002516D0" w:rsidRPr="00386E47">
        <w:rPr>
          <w:rFonts w:asciiTheme="majorHAnsi" w:eastAsia="Calibri" w:hAnsiTheme="majorHAnsi"/>
          <w:sz w:val="20"/>
          <w:szCs w:val="20"/>
          <w:lang w:val="es-AR"/>
        </w:rPr>
        <w:t>En este sentido</w:t>
      </w:r>
      <w:r w:rsidR="0084011B" w:rsidRPr="00386E47">
        <w:rPr>
          <w:rFonts w:asciiTheme="majorHAnsi" w:eastAsia="Calibri" w:hAnsiTheme="majorHAnsi"/>
          <w:sz w:val="20"/>
          <w:szCs w:val="20"/>
          <w:lang w:val="es-AR"/>
        </w:rPr>
        <w:t xml:space="preserve">, la UFI </w:t>
      </w:r>
      <w:r w:rsidR="00B528BF" w:rsidRPr="00386E47">
        <w:rPr>
          <w:rFonts w:asciiTheme="majorHAnsi" w:eastAsia="Calibri" w:hAnsiTheme="majorHAnsi"/>
          <w:sz w:val="20"/>
          <w:szCs w:val="20"/>
          <w:lang w:val="es-AR"/>
        </w:rPr>
        <w:t>AMIA desde</w:t>
      </w:r>
      <w:r w:rsidR="00E27260" w:rsidRPr="00386E47">
        <w:rPr>
          <w:rFonts w:asciiTheme="majorHAnsi" w:eastAsia="Calibri" w:hAnsiTheme="majorHAnsi"/>
          <w:sz w:val="20"/>
          <w:szCs w:val="20"/>
          <w:lang w:val="es-AR"/>
        </w:rPr>
        <w:t xml:space="preserve"> el año</w:t>
      </w:r>
      <w:r w:rsidR="004E2EA6" w:rsidRPr="00386E47">
        <w:rPr>
          <w:rFonts w:asciiTheme="majorHAnsi" w:eastAsia="Calibri" w:hAnsiTheme="majorHAnsi"/>
          <w:sz w:val="20"/>
          <w:szCs w:val="20"/>
          <w:lang w:val="es-AR"/>
        </w:rPr>
        <w:t xml:space="preserve"> 2015</w:t>
      </w:r>
      <w:r w:rsidR="002516D0" w:rsidRPr="00386E47">
        <w:rPr>
          <w:rFonts w:asciiTheme="majorHAnsi" w:eastAsia="Calibri" w:hAnsiTheme="majorHAnsi"/>
          <w:sz w:val="20"/>
          <w:szCs w:val="20"/>
          <w:lang w:val="es-AR"/>
        </w:rPr>
        <w:t xml:space="preserve"> </w:t>
      </w:r>
      <w:r w:rsidR="0084011B" w:rsidRPr="00386E47">
        <w:rPr>
          <w:rFonts w:asciiTheme="majorHAnsi" w:eastAsia="Calibri" w:hAnsiTheme="majorHAnsi"/>
          <w:sz w:val="20"/>
          <w:szCs w:val="20"/>
          <w:lang w:val="es-AR"/>
        </w:rPr>
        <w:t xml:space="preserve">ha </w:t>
      </w:r>
      <w:r w:rsidR="002516D0" w:rsidRPr="00386E47">
        <w:rPr>
          <w:rFonts w:asciiTheme="majorHAnsi" w:eastAsia="Calibri" w:hAnsiTheme="majorHAnsi"/>
          <w:sz w:val="20"/>
          <w:szCs w:val="20"/>
          <w:lang w:val="es-AR"/>
        </w:rPr>
        <w:t>realizado una actividad probatoria</w:t>
      </w:r>
      <w:r w:rsidR="0084011B" w:rsidRPr="00386E47">
        <w:rPr>
          <w:rFonts w:asciiTheme="majorHAnsi" w:eastAsia="Calibri" w:hAnsiTheme="majorHAnsi"/>
          <w:sz w:val="20"/>
          <w:szCs w:val="20"/>
          <w:lang w:val="es-AR"/>
        </w:rPr>
        <w:t xml:space="preserve"> que </w:t>
      </w:r>
      <w:r w:rsidR="002516D0" w:rsidRPr="00386E47">
        <w:rPr>
          <w:rFonts w:asciiTheme="majorHAnsi" w:eastAsia="Calibri" w:hAnsiTheme="majorHAnsi"/>
          <w:sz w:val="20"/>
          <w:szCs w:val="20"/>
          <w:lang w:val="es-AR"/>
        </w:rPr>
        <w:t xml:space="preserve">posibilitó </w:t>
      </w:r>
      <w:r w:rsidR="0084011B" w:rsidRPr="00386E47">
        <w:rPr>
          <w:rFonts w:asciiTheme="majorHAnsi" w:eastAsia="Calibri" w:hAnsiTheme="majorHAnsi"/>
          <w:sz w:val="20"/>
          <w:szCs w:val="20"/>
          <w:lang w:val="es-AR"/>
        </w:rPr>
        <w:t xml:space="preserve">revelar aún mayores falencias que ocurrieron durante la recolección e identificación de material probatorio </w:t>
      </w:r>
      <w:r w:rsidR="00B528BF" w:rsidRPr="00386E47">
        <w:rPr>
          <w:rFonts w:asciiTheme="majorHAnsi" w:eastAsia="Calibri" w:hAnsiTheme="majorHAnsi"/>
          <w:sz w:val="20"/>
          <w:szCs w:val="20"/>
          <w:lang w:val="es-AR"/>
        </w:rPr>
        <w:t>esencial en</w:t>
      </w:r>
      <w:r w:rsidR="0084011B" w:rsidRPr="00386E47">
        <w:rPr>
          <w:rFonts w:asciiTheme="majorHAnsi" w:eastAsia="Calibri" w:hAnsiTheme="majorHAnsi"/>
          <w:sz w:val="20"/>
          <w:szCs w:val="20"/>
          <w:lang w:val="es-AR"/>
        </w:rPr>
        <w:t xml:space="preserve"> las diligencias iniciales. </w:t>
      </w:r>
    </w:p>
    <w:p w14:paraId="72A4EAEF" w14:textId="77777777" w:rsidR="00E77E69" w:rsidRPr="00386E47" w:rsidRDefault="00E77E69" w:rsidP="00A311A0">
      <w:pPr>
        <w:tabs>
          <w:tab w:val="left" w:pos="567"/>
        </w:tabs>
        <w:contextualSpacing/>
        <w:jc w:val="both"/>
        <w:rPr>
          <w:rFonts w:asciiTheme="majorHAnsi" w:eastAsia="Calibri" w:hAnsiTheme="majorHAnsi"/>
          <w:sz w:val="20"/>
          <w:szCs w:val="20"/>
          <w:lang w:val="es-AR"/>
        </w:rPr>
      </w:pPr>
    </w:p>
    <w:p w14:paraId="3BD5CD55" w14:textId="77777777" w:rsidR="00664CCF" w:rsidRPr="00386E47" w:rsidRDefault="00335B7F" w:rsidP="003A5860">
      <w:pPr>
        <w:numPr>
          <w:ilvl w:val="0"/>
          <w:numId w:val="55"/>
        </w:numPr>
        <w:tabs>
          <w:tab w:val="left" w:pos="567"/>
        </w:tabs>
        <w:ind w:left="0" w:firstLine="0"/>
        <w:contextualSpacing/>
        <w:jc w:val="both"/>
        <w:rPr>
          <w:rFonts w:asciiTheme="majorHAnsi" w:eastAsia="Calibri" w:hAnsiTheme="majorHAnsi"/>
          <w:sz w:val="20"/>
          <w:szCs w:val="20"/>
          <w:lang w:val="es-AR"/>
        </w:rPr>
      </w:pPr>
      <w:r w:rsidRPr="00386E47">
        <w:rPr>
          <w:rFonts w:asciiTheme="majorHAnsi" w:eastAsia="Calibri" w:hAnsiTheme="majorHAnsi"/>
          <w:sz w:val="20"/>
          <w:szCs w:val="20"/>
          <w:lang w:val="es-AR"/>
        </w:rPr>
        <w:t xml:space="preserve">La Comisión </w:t>
      </w:r>
      <w:r w:rsidR="00E52D27" w:rsidRPr="00386E47">
        <w:rPr>
          <w:rFonts w:asciiTheme="majorHAnsi" w:eastAsia="Calibri" w:hAnsiTheme="majorHAnsi"/>
          <w:sz w:val="20"/>
          <w:szCs w:val="20"/>
          <w:lang w:val="es-AR"/>
        </w:rPr>
        <w:t>observa,</w:t>
      </w:r>
      <w:r w:rsidRPr="00386E47">
        <w:rPr>
          <w:rFonts w:asciiTheme="majorHAnsi" w:eastAsia="Calibri" w:hAnsiTheme="majorHAnsi"/>
          <w:sz w:val="20"/>
          <w:szCs w:val="20"/>
          <w:lang w:val="es-AR"/>
        </w:rPr>
        <w:t xml:space="preserve"> </w:t>
      </w:r>
      <w:r w:rsidR="00E232EE" w:rsidRPr="00386E47">
        <w:rPr>
          <w:rFonts w:asciiTheme="majorHAnsi" w:eastAsia="Calibri" w:hAnsiTheme="majorHAnsi"/>
          <w:sz w:val="20"/>
          <w:szCs w:val="20"/>
          <w:lang w:val="es-AR"/>
        </w:rPr>
        <w:t xml:space="preserve">sin embargo, </w:t>
      </w:r>
      <w:r w:rsidRPr="00386E47">
        <w:rPr>
          <w:rFonts w:asciiTheme="majorHAnsi" w:eastAsia="Calibri" w:hAnsiTheme="majorHAnsi"/>
          <w:sz w:val="20"/>
          <w:szCs w:val="20"/>
          <w:lang w:val="es-AR"/>
        </w:rPr>
        <w:t xml:space="preserve">que </w:t>
      </w:r>
      <w:r w:rsidR="002516D0" w:rsidRPr="00386E47">
        <w:rPr>
          <w:rFonts w:asciiTheme="majorHAnsi" w:eastAsia="Calibri" w:hAnsiTheme="majorHAnsi"/>
          <w:sz w:val="20"/>
          <w:szCs w:val="20"/>
          <w:lang w:val="es-AR"/>
        </w:rPr>
        <w:t>tales diligencias</w:t>
      </w:r>
      <w:r w:rsidR="0048693B" w:rsidRPr="00386E47">
        <w:rPr>
          <w:rFonts w:asciiTheme="majorHAnsi" w:eastAsia="Calibri" w:hAnsiTheme="majorHAnsi"/>
          <w:sz w:val="20"/>
          <w:szCs w:val="20"/>
          <w:lang w:val="es-AR"/>
        </w:rPr>
        <w:t xml:space="preserve"> </w:t>
      </w:r>
      <w:r w:rsidR="002516D0" w:rsidRPr="00386E47">
        <w:rPr>
          <w:rFonts w:asciiTheme="majorHAnsi" w:eastAsia="Calibri" w:hAnsiTheme="majorHAnsi"/>
          <w:sz w:val="20"/>
          <w:szCs w:val="20"/>
          <w:lang w:val="es-AR"/>
        </w:rPr>
        <w:t xml:space="preserve">fueron </w:t>
      </w:r>
      <w:r w:rsidR="00630449" w:rsidRPr="00386E47">
        <w:rPr>
          <w:rFonts w:asciiTheme="majorHAnsi" w:eastAsia="Calibri" w:hAnsiTheme="majorHAnsi"/>
          <w:sz w:val="20"/>
          <w:szCs w:val="20"/>
          <w:lang w:val="es-AR"/>
        </w:rPr>
        <w:t>precedidas</w:t>
      </w:r>
      <w:r w:rsidR="002516D0" w:rsidRPr="00386E47">
        <w:rPr>
          <w:rFonts w:asciiTheme="majorHAnsi" w:eastAsia="Calibri" w:hAnsiTheme="majorHAnsi"/>
          <w:sz w:val="20"/>
          <w:szCs w:val="20"/>
          <w:lang w:val="es-AR"/>
        </w:rPr>
        <w:t xml:space="preserve"> </w:t>
      </w:r>
      <w:r w:rsidR="00E9688C" w:rsidRPr="00386E47">
        <w:rPr>
          <w:rFonts w:asciiTheme="majorHAnsi" w:eastAsia="Calibri" w:hAnsiTheme="majorHAnsi"/>
          <w:sz w:val="20"/>
          <w:szCs w:val="20"/>
          <w:lang w:val="es-AR"/>
        </w:rPr>
        <w:t>de amplios</w:t>
      </w:r>
      <w:r w:rsidR="0048693B" w:rsidRPr="00386E47">
        <w:rPr>
          <w:rFonts w:asciiTheme="majorHAnsi" w:eastAsia="Calibri" w:hAnsiTheme="majorHAnsi"/>
          <w:sz w:val="20"/>
          <w:szCs w:val="20"/>
          <w:lang w:val="es-AR"/>
        </w:rPr>
        <w:t xml:space="preserve"> períodos de demora</w:t>
      </w:r>
      <w:r w:rsidR="00945190" w:rsidRPr="00386E47">
        <w:rPr>
          <w:rFonts w:asciiTheme="majorHAnsi" w:eastAsia="Calibri" w:hAnsiTheme="majorHAnsi"/>
          <w:sz w:val="20"/>
          <w:szCs w:val="20"/>
          <w:lang w:val="es-AR"/>
        </w:rPr>
        <w:t>, sin que s</w:t>
      </w:r>
      <w:r w:rsidR="00664CCF" w:rsidRPr="00386E47">
        <w:rPr>
          <w:rFonts w:asciiTheme="majorHAnsi" w:eastAsia="Calibri" w:hAnsiTheme="majorHAnsi"/>
          <w:sz w:val="20"/>
          <w:szCs w:val="20"/>
          <w:lang w:val="es-AR"/>
        </w:rPr>
        <w:t>e hubiere ofrecido una justificación al respecto</w:t>
      </w:r>
      <w:r w:rsidR="0048693B" w:rsidRPr="00386E47">
        <w:rPr>
          <w:rFonts w:asciiTheme="majorHAnsi" w:eastAsia="Calibri" w:hAnsiTheme="majorHAnsi"/>
          <w:sz w:val="20"/>
          <w:szCs w:val="20"/>
          <w:lang w:val="es-AR"/>
        </w:rPr>
        <w:t xml:space="preserve">. Además, el </w:t>
      </w:r>
      <w:r w:rsidR="00945190" w:rsidRPr="00386E47">
        <w:rPr>
          <w:rFonts w:asciiTheme="majorHAnsi" w:eastAsia="Calibri" w:hAnsiTheme="majorHAnsi"/>
          <w:sz w:val="20"/>
          <w:szCs w:val="20"/>
          <w:lang w:val="es-AR"/>
        </w:rPr>
        <w:t xml:space="preserve">Estado no ha demostrado </w:t>
      </w:r>
      <w:r w:rsidR="00E77E69" w:rsidRPr="00386E47">
        <w:rPr>
          <w:rFonts w:asciiTheme="majorHAnsi" w:eastAsia="Calibri" w:hAnsiTheme="majorHAnsi"/>
          <w:sz w:val="20"/>
          <w:szCs w:val="20"/>
          <w:lang w:val="es-AR"/>
        </w:rPr>
        <w:t>que,</w:t>
      </w:r>
      <w:r w:rsidR="00945190" w:rsidRPr="00386E47">
        <w:rPr>
          <w:rFonts w:asciiTheme="majorHAnsi" w:eastAsia="Calibri" w:hAnsiTheme="majorHAnsi"/>
          <w:sz w:val="20"/>
          <w:szCs w:val="20"/>
          <w:lang w:val="es-AR"/>
        </w:rPr>
        <w:t xml:space="preserve"> de conformidad con el principio de debida diligencia,</w:t>
      </w:r>
      <w:r w:rsidR="0048693B" w:rsidRPr="00386E47">
        <w:rPr>
          <w:rFonts w:asciiTheme="majorHAnsi" w:eastAsia="Calibri" w:hAnsiTheme="majorHAnsi"/>
          <w:sz w:val="20"/>
          <w:szCs w:val="20"/>
          <w:lang w:val="es-AR"/>
        </w:rPr>
        <w:t xml:space="preserve"> se hubiesen investigado y practicado en forma exhaustiva todas las diligencias requeridas, siendo que hasta la fecha la principal hipótesis investigativa respecto de la persona que había participado como supuesto suicida, </w:t>
      </w:r>
      <w:r w:rsidR="00E77E69" w:rsidRPr="00386E47">
        <w:rPr>
          <w:rFonts w:asciiTheme="majorHAnsi" w:eastAsia="Calibri" w:hAnsiTheme="majorHAnsi"/>
          <w:sz w:val="20"/>
          <w:szCs w:val="20"/>
          <w:lang w:val="es-AR"/>
        </w:rPr>
        <w:t xml:space="preserve">continúa sin ser lo suficientemente esclarecida. </w:t>
      </w:r>
      <w:r w:rsidR="0076793C" w:rsidRPr="00386E47">
        <w:rPr>
          <w:rFonts w:asciiTheme="majorHAnsi" w:eastAsia="Calibri" w:hAnsiTheme="majorHAnsi"/>
          <w:sz w:val="20"/>
          <w:szCs w:val="20"/>
          <w:lang w:val="es-AR"/>
        </w:rPr>
        <w:t xml:space="preserve"> </w:t>
      </w:r>
      <w:r w:rsidR="002516D0" w:rsidRPr="00386E47">
        <w:rPr>
          <w:rFonts w:asciiTheme="majorHAnsi" w:eastAsia="Calibri" w:hAnsiTheme="majorHAnsi"/>
          <w:sz w:val="20"/>
          <w:szCs w:val="20"/>
          <w:lang w:val="es-AR"/>
        </w:rPr>
        <w:t>Asimismo</w:t>
      </w:r>
      <w:r w:rsidR="00E232EE" w:rsidRPr="00386E47">
        <w:rPr>
          <w:rFonts w:asciiTheme="majorHAnsi" w:eastAsia="Calibri" w:hAnsiTheme="majorHAnsi"/>
          <w:sz w:val="20"/>
          <w:szCs w:val="20"/>
          <w:lang w:val="es-AR"/>
        </w:rPr>
        <w:t>, la</w:t>
      </w:r>
      <w:r w:rsidR="0076793C" w:rsidRPr="00386E47">
        <w:rPr>
          <w:rFonts w:asciiTheme="majorHAnsi" w:eastAsia="Calibri" w:hAnsiTheme="majorHAnsi"/>
          <w:sz w:val="20"/>
          <w:szCs w:val="20"/>
          <w:lang w:val="es-AR"/>
        </w:rPr>
        <w:t xml:space="preserve"> investigación </w:t>
      </w:r>
      <w:r w:rsidR="00E232EE" w:rsidRPr="00386E47">
        <w:rPr>
          <w:rFonts w:asciiTheme="majorHAnsi" w:eastAsia="Calibri" w:hAnsiTheme="majorHAnsi"/>
          <w:sz w:val="20"/>
          <w:szCs w:val="20"/>
          <w:lang w:val="es-AR"/>
        </w:rPr>
        <w:t xml:space="preserve">tampoco </w:t>
      </w:r>
      <w:r w:rsidR="002516D0" w:rsidRPr="00386E47">
        <w:rPr>
          <w:rFonts w:asciiTheme="majorHAnsi" w:eastAsia="Calibri" w:hAnsiTheme="majorHAnsi"/>
          <w:sz w:val="20"/>
          <w:szCs w:val="20"/>
          <w:lang w:val="es-AR"/>
        </w:rPr>
        <w:t xml:space="preserve">ha resultado </w:t>
      </w:r>
      <w:r w:rsidR="0076793C" w:rsidRPr="00386E47">
        <w:rPr>
          <w:rFonts w:asciiTheme="majorHAnsi" w:eastAsia="Calibri" w:hAnsiTheme="majorHAnsi"/>
          <w:sz w:val="20"/>
          <w:szCs w:val="20"/>
          <w:lang w:val="es-AR"/>
        </w:rPr>
        <w:t xml:space="preserve">efectiva para lograr la determinación de la </w:t>
      </w:r>
      <w:r w:rsidR="002516D0" w:rsidRPr="00386E47">
        <w:rPr>
          <w:rFonts w:asciiTheme="majorHAnsi" w:eastAsia="Calibri" w:hAnsiTheme="majorHAnsi"/>
          <w:sz w:val="20"/>
          <w:szCs w:val="20"/>
          <w:lang w:val="es-AR"/>
        </w:rPr>
        <w:t xml:space="preserve">responsabilidad en el atentado de actores de origen internacional </w:t>
      </w:r>
      <w:r w:rsidR="00043289" w:rsidRPr="00386E47">
        <w:rPr>
          <w:rFonts w:asciiTheme="majorHAnsi" w:eastAsia="Calibri" w:hAnsiTheme="majorHAnsi"/>
          <w:sz w:val="20"/>
          <w:szCs w:val="20"/>
          <w:lang w:val="es-AR"/>
        </w:rPr>
        <w:t>y</w:t>
      </w:r>
      <w:r w:rsidR="002516D0" w:rsidRPr="00386E47">
        <w:rPr>
          <w:rFonts w:asciiTheme="majorHAnsi" w:eastAsia="Calibri" w:hAnsiTheme="majorHAnsi"/>
          <w:sz w:val="20"/>
          <w:szCs w:val="20"/>
          <w:lang w:val="es-AR"/>
        </w:rPr>
        <w:t>, en general, de todos aquellos</w:t>
      </w:r>
      <w:r w:rsidR="0076793C" w:rsidRPr="00386E47">
        <w:rPr>
          <w:rFonts w:asciiTheme="majorHAnsi" w:eastAsia="Calibri" w:hAnsiTheme="majorHAnsi"/>
          <w:sz w:val="20"/>
          <w:szCs w:val="20"/>
          <w:lang w:val="es-AR"/>
        </w:rPr>
        <w:t xml:space="preserve"> de los responsables involucrados en el ataque, encontrándose los hechos en una situación de impunidad. </w:t>
      </w:r>
    </w:p>
    <w:p w14:paraId="14330F1F" w14:textId="77777777" w:rsidR="0076793C" w:rsidRPr="00386E47" w:rsidRDefault="0076793C" w:rsidP="002847DD">
      <w:pPr>
        <w:rPr>
          <w:rFonts w:asciiTheme="majorHAnsi" w:eastAsia="Calibri" w:hAnsiTheme="majorHAnsi"/>
          <w:sz w:val="20"/>
          <w:szCs w:val="20"/>
          <w:lang w:val="es-AR"/>
        </w:rPr>
      </w:pPr>
    </w:p>
    <w:p w14:paraId="05D7D88E" w14:textId="77777777" w:rsidR="002D4B06" w:rsidRPr="00386E47" w:rsidRDefault="002D4B06" w:rsidP="002D4B06">
      <w:pPr>
        <w:numPr>
          <w:ilvl w:val="0"/>
          <w:numId w:val="55"/>
        </w:numPr>
        <w:tabs>
          <w:tab w:val="left" w:pos="567"/>
        </w:tabs>
        <w:ind w:left="0" w:firstLine="0"/>
        <w:contextualSpacing/>
        <w:jc w:val="both"/>
        <w:rPr>
          <w:rFonts w:asciiTheme="majorHAnsi" w:eastAsia="Calibri" w:hAnsiTheme="majorHAnsi"/>
          <w:sz w:val="20"/>
          <w:szCs w:val="20"/>
          <w:lang w:val="es-AR"/>
        </w:rPr>
      </w:pPr>
      <w:r w:rsidRPr="00386E47">
        <w:rPr>
          <w:rFonts w:asciiTheme="majorHAnsi" w:eastAsia="Calibri" w:hAnsiTheme="majorHAnsi"/>
          <w:sz w:val="20"/>
          <w:szCs w:val="20"/>
          <w:lang w:val="es-AR"/>
        </w:rPr>
        <w:t>En el mismo sentido, tanto la CIDH como la Corte IDH han reiteradamente señalado que el derecho a la verdad que se deriva de los artículos 8 y 25 de la Convenció</w:t>
      </w:r>
      <w:r w:rsidR="00386E47" w:rsidRPr="00386E47">
        <w:rPr>
          <w:rFonts w:asciiTheme="majorHAnsi" w:eastAsia="Calibri" w:hAnsiTheme="majorHAnsi"/>
          <w:sz w:val="20"/>
          <w:szCs w:val="20"/>
          <w:lang w:val="es-AR"/>
        </w:rPr>
        <w:t>n comprende una doble dimensión.</w:t>
      </w:r>
      <w:r w:rsidRPr="00386E47">
        <w:rPr>
          <w:rFonts w:asciiTheme="majorHAnsi" w:eastAsia="Calibri" w:hAnsiTheme="majorHAnsi"/>
          <w:sz w:val="20"/>
          <w:szCs w:val="20"/>
          <w:lang w:val="es-AR"/>
        </w:rPr>
        <w:t xml:space="preserve"> Desde el punto de vista individual, incluye el derecho de las víctimas y de sus familiares a conocer tanto la verdad de los hechos que dieron lugar a las violaciones a sus derechos humanos como la identidad de los perpetradores.  Asimismo, y desde una óptica colectiva, la sociedad en su conjunto también resulta titular del derecho a conocer la verdad de lo sucedido, así como las razones y circunstancias en las que estos aberrantes hechos fueron cometidos, ello con el objeto de diseñar e implementar medidas de no repetición</w:t>
      </w:r>
      <w:r w:rsidRPr="00386E47">
        <w:rPr>
          <w:rStyle w:val="FootnoteReference"/>
          <w:rFonts w:asciiTheme="majorHAnsi" w:eastAsia="Calibri" w:hAnsiTheme="majorHAnsi"/>
          <w:sz w:val="20"/>
          <w:szCs w:val="20"/>
          <w:lang w:val="es-AR"/>
        </w:rPr>
        <w:footnoteReference w:id="253"/>
      </w:r>
      <w:r w:rsidRPr="00386E47">
        <w:rPr>
          <w:rFonts w:asciiTheme="majorHAnsi" w:eastAsia="Calibri" w:hAnsiTheme="majorHAnsi"/>
          <w:sz w:val="20"/>
          <w:szCs w:val="20"/>
          <w:lang w:val="es-AR"/>
        </w:rPr>
        <w:t xml:space="preserve">.  </w:t>
      </w:r>
    </w:p>
    <w:p w14:paraId="449B6D38" w14:textId="77777777" w:rsidR="002D4B06" w:rsidRPr="00386E47" w:rsidRDefault="002D4B06" w:rsidP="002D4B06">
      <w:pPr>
        <w:tabs>
          <w:tab w:val="left" w:pos="567"/>
        </w:tabs>
        <w:contextualSpacing/>
        <w:jc w:val="both"/>
        <w:rPr>
          <w:rFonts w:asciiTheme="majorHAnsi" w:eastAsia="Calibri" w:hAnsiTheme="majorHAnsi"/>
          <w:sz w:val="20"/>
          <w:szCs w:val="20"/>
          <w:lang w:val="es-AR"/>
        </w:rPr>
      </w:pPr>
    </w:p>
    <w:p w14:paraId="19B9C893" w14:textId="77777777" w:rsidR="0076793C" w:rsidRPr="00386E47" w:rsidRDefault="002D4B06" w:rsidP="003A5860">
      <w:pPr>
        <w:numPr>
          <w:ilvl w:val="0"/>
          <w:numId w:val="55"/>
        </w:numPr>
        <w:tabs>
          <w:tab w:val="left" w:pos="567"/>
        </w:tabs>
        <w:ind w:left="0" w:firstLine="0"/>
        <w:contextualSpacing/>
        <w:jc w:val="both"/>
        <w:rPr>
          <w:rFonts w:asciiTheme="majorHAnsi" w:eastAsia="Calibri" w:hAnsiTheme="majorHAnsi"/>
          <w:sz w:val="20"/>
          <w:szCs w:val="20"/>
          <w:lang w:val="es-AR"/>
        </w:rPr>
      </w:pPr>
      <w:r w:rsidRPr="00386E47">
        <w:rPr>
          <w:rFonts w:asciiTheme="majorHAnsi" w:eastAsia="Calibri" w:hAnsiTheme="majorHAnsi"/>
          <w:sz w:val="20"/>
          <w:szCs w:val="20"/>
          <w:lang w:val="es-AR"/>
        </w:rPr>
        <w:t>Teniendo en cuenta todo lo reseñado anteriormente</w:t>
      </w:r>
      <w:r w:rsidR="0076793C" w:rsidRPr="00386E47">
        <w:rPr>
          <w:rFonts w:asciiTheme="majorHAnsi" w:eastAsia="Calibri" w:hAnsiTheme="majorHAnsi"/>
          <w:sz w:val="20"/>
          <w:szCs w:val="20"/>
          <w:lang w:val="es-AR"/>
        </w:rPr>
        <w:t>,</w:t>
      </w:r>
      <w:r w:rsidRPr="00386E47">
        <w:rPr>
          <w:rFonts w:asciiTheme="majorHAnsi" w:eastAsia="Calibri" w:hAnsiTheme="majorHAnsi"/>
          <w:sz w:val="20"/>
          <w:szCs w:val="20"/>
          <w:lang w:val="es-AR"/>
        </w:rPr>
        <w:t xml:space="preserve"> y</w:t>
      </w:r>
      <w:r w:rsidR="0076793C" w:rsidRPr="00386E47">
        <w:rPr>
          <w:rFonts w:asciiTheme="majorHAnsi" w:eastAsia="Calibri" w:hAnsiTheme="majorHAnsi"/>
          <w:sz w:val="20"/>
          <w:szCs w:val="20"/>
          <w:lang w:val="es-AR"/>
        </w:rPr>
        <w:t xml:space="preserve"> </w:t>
      </w:r>
      <w:r w:rsidRPr="00386E47">
        <w:rPr>
          <w:rFonts w:asciiTheme="majorHAnsi" w:eastAsia="Calibri" w:hAnsiTheme="majorHAnsi"/>
          <w:sz w:val="20"/>
          <w:szCs w:val="20"/>
          <w:lang w:val="es-AR"/>
        </w:rPr>
        <w:t xml:space="preserve">habiendo transcurrido </w:t>
      </w:r>
      <w:r w:rsidR="00E232EE" w:rsidRPr="00386E47">
        <w:rPr>
          <w:rFonts w:asciiTheme="majorHAnsi" w:eastAsia="Calibri" w:hAnsiTheme="majorHAnsi"/>
          <w:sz w:val="20"/>
          <w:szCs w:val="20"/>
          <w:lang w:val="es-AR"/>
        </w:rPr>
        <w:t xml:space="preserve">más de </w:t>
      </w:r>
      <w:r w:rsidR="00B901C7" w:rsidRPr="00386E47">
        <w:rPr>
          <w:rFonts w:asciiTheme="majorHAnsi" w:eastAsia="Calibri" w:hAnsiTheme="majorHAnsi"/>
          <w:sz w:val="20"/>
          <w:szCs w:val="20"/>
          <w:lang w:val="es-AR"/>
        </w:rPr>
        <w:t xml:space="preserve">veinticinco años </w:t>
      </w:r>
      <w:r w:rsidRPr="00386E47">
        <w:rPr>
          <w:rFonts w:asciiTheme="majorHAnsi" w:eastAsia="Calibri" w:hAnsiTheme="majorHAnsi"/>
          <w:sz w:val="20"/>
          <w:szCs w:val="20"/>
          <w:lang w:val="es-AR"/>
        </w:rPr>
        <w:t>de ocurridos los hechos, la Comisión ha verificado que los</w:t>
      </w:r>
      <w:r w:rsidR="00E232EE" w:rsidRPr="00386E47">
        <w:rPr>
          <w:rFonts w:asciiTheme="majorHAnsi" w:eastAsia="Calibri" w:hAnsiTheme="majorHAnsi"/>
          <w:sz w:val="20"/>
          <w:szCs w:val="20"/>
          <w:lang w:val="es-AR"/>
        </w:rPr>
        <w:t xml:space="preserve"> resu</w:t>
      </w:r>
      <w:r w:rsidRPr="00386E47">
        <w:rPr>
          <w:rFonts w:asciiTheme="majorHAnsi" w:eastAsia="Calibri" w:hAnsiTheme="majorHAnsi"/>
          <w:sz w:val="20"/>
          <w:szCs w:val="20"/>
          <w:lang w:val="es-AR"/>
        </w:rPr>
        <w:t>ltados de la investigación son muy exiguos y tanto las víctimas como la sociedad argentina poco conocen respecto de lo sucedido en el atentado a la AMIA y aún menos respecto de quienes son los responsables de tal grave hecho</w:t>
      </w:r>
      <w:r w:rsidR="00E232EE" w:rsidRPr="00386E47">
        <w:rPr>
          <w:rFonts w:asciiTheme="majorHAnsi" w:eastAsia="Calibri" w:hAnsiTheme="majorHAnsi"/>
          <w:sz w:val="20"/>
          <w:szCs w:val="20"/>
          <w:lang w:val="es-AR"/>
        </w:rPr>
        <w:t>,</w:t>
      </w:r>
      <w:r w:rsidR="000B7B84" w:rsidRPr="00386E47">
        <w:rPr>
          <w:rFonts w:asciiTheme="majorHAnsi" w:eastAsia="Calibri" w:hAnsiTheme="majorHAnsi"/>
          <w:sz w:val="20"/>
          <w:szCs w:val="20"/>
          <w:lang w:val="es-AR"/>
        </w:rPr>
        <w:t xml:space="preserve"> </w:t>
      </w:r>
      <w:r w:rsidRPr="00386E47">
        <w:rPr>
          <w:rFonts w:asciiTheme="majorHAnsi" w:eastAsia="Calibri" w:hAnsiTheme="majorHAnsi"/>
          <w:sz w:val="20"/>
          <w:szCs w:val="20"/>
          <w:lang w:val="es-AR"/>
        </w:rPr>
        <w:t xml:space="preserve">Aún más grave, la Comisión ya ha puntualizado que </w:t>
      </w:r>
      <w:r w:rsidR="00E232EE" w:rsidRPr="00386E47">
        <w:rPr>
          <w:rFonts w:asciiTheme="majorHAnsi" w:eastAsia="Calibri" w:hAnsiTheme="majorHAnsi"/>
          <w:sz w:val="20"/>
          <w:szCs w:val="20"/>
          <w:lang w:val="es-AR"/>
        </w:rPr>
        <w:t xml:space="preserve">ha sido la propia actuación estatal la que </w:t>
      </w:r>
      <w:r w:rsidR="0076793C" w:rsidRPr="00386E47">
        <w:rPr>
          <w:rFonts w:asciiTheme="majorHAnsi" w:eastAsia="Calibri" w:hAnsiTheme="majorHAnsi"/>
          <w:sz w:val="20"/>
          <w:szCs w:val="20"/>
          <w:lang w:val="es-AR"/>
        </w:rPr>
        <w:t>ha contribuido</w:t>
      </w:r>
      <w:r w:rsidRPr="00386E47">
        <w:rPr>
          <w:rFonts w:asciiTheme="majorHAnsi" w:eastAsia="Calibri" w:hAnsiTheme="majorHAnsi"/>
          <w:sz w:val="20"/>
          <w:szCs w:val="20"/>
          <w:lang w:val="es-AR"/>
        </w:rPr>
        <w:t xml:space="preserve"> a la generación de</w:t>
      </w:r>
      <w:r w:rsidR="0076793C" w:rsidRPr="00386E47">
        <w:rPr>
          <w:rFonts w:asciiTheme="majorHAnsi" w:eastAsia="Calibri" w:hAnsiTheme="majorHAnsi"/>
          <w:sz w:val="20"/>
          <w:szCs w:val="20"/>
          <w:lang w:val="es-AR"/>
        </w:rPr>
        <w:t xml:space="preserve"> </w:t>
      </w:r>
      <w:r w:rsidRPr="00386E47">
        <w:rPr>
          <w:rFonts w:asciiTheme="majorHAnsi" w:eastAsia="Calibri" w:hAnsiTheme="majorHAnsi"/>
          <w:sz w:val="20"/>
          <w:szCs w:val="20"/>
          <w:lang w:val="es-AR"/>
        </w:rPr>
        <w:t xml:space="preserve">múltiples factores de impunidad, entre las que se incluyen un numero de </w:t>
      </w:r>
      <w:r w:rsidR="0076793C" w:rsidRPr="00386E47">
        <w:rPr>
          <w:rFonts w:asciiTheme="majorHAnsi" w:eastAsia="Calibri" w:hAnsiTheme="majorHAnsi"/>
          <w:sz w:val="20"/>
          <w:szCs w:val="20"/>
          <w:lang w:val="es-AR"/>
        </w:rPr>
        <w:t>falencias, irregularidades, demoras,</w:t>
      </w:r>
      <w:r w:rsidR="002516D0" w:rsidRPr="00386E47">
        <w:rPr>
          <w:rFonts w:asciiTheme="majorHAnsi" w:eastAsia="Calibri" w:hAnsiTheme="majorHAnsi"/>
          <w:sz w:val="20"/>
          <w:szCs w:val="20"/>
          <w:lang w:val="es-AR"/>
        </w:rPr>
        <w:t xml:space="preserve"> </w:t>
      </w:r>
      <w:r w:rsidR="0076793C" w:rsidRPr="00386E47">
        <w:rPr>
          <w:rFonts w:asciiTheme="majorHAnsi" w:eastAsia="Calibri" w:hAnsiTheme="majorHAnsi"/>
          <w:sz w:val="20"/>
          <w:szCs w:val="20"/>
          <w:lang w:val="es-AR"/>
        </w:rPr>
        <w:t xml:space="preserve">abandono </w:t>
      </w:r>
      <w:r w:rsidRPr="00386E47">
        <w:rPr>
          <w:rFonts w:asciiTheme="majorHAnsi" w:eastAsia="Calibri" w:hAnsiTheme="majorHAnsi"/>
          <w:sz w:val="20"/>
          <w:szCs w:val="20"/>
          <w:lang w:val="es-AR"/>
        </w:rPr>
        <w:t xml:space="preserve">irracional </w:t>
      </w:r>
      <w:r w:rsidR="0076793C" w:rsidRPr="00386E47">
        <w:rPr>
          <w:rFonts w:asciiTheme="majorHAnsi" w:eastAsia="Calibri" w:hAnsiTheme="majorHAnsi"/>
          <w:sz w:val="20"/>
          <w:szCs w:val="20"/>
          <w:lang w:val="es-AR"/>
        </w:rPr>
        <w:t xml:space="preserve">de </w:t>
      </w:r>
      <w:r w:rsidRPr="00386E47">
        <w:rPr>
          <w:rFonts w:asciiTheme="majorHAnsi" w:eastAsia="Calibri" w:hAnsiTheme="majorHAnsi"/>
          <w:sz w:val="20"/>
          <w:szCs w:val="20"/>
          <w:lang w:val="es-AR"/>
        </w:rPr>
        <w:t xml:space="preserve">determinadas </w:t>
      </w:r>
      <w:r w:rsidR="0076793C" w:rsidRPr="00386E47">
        <w:rPr>
          <w:rFonts w:asciiTheme="majorHAnsi" w:eastAsia="Calibri" w:hAnsiTheme="majorHAnsi"/>
          <w:sz w:val="20"/>
          <w:szCs w:val="20"/>
          <w:lang w:val="es-AR"/>
        </w:rPr>
        <w:t xml:space="preserve">líneas </w:t>
      </w:r>
      <w:r w:rsidR="0076793C" w:rsidRPr="00386E47">
        <w:rPr>
          <w:rFonts w:asciiTheme="majorHAnsi" w:eastAsia="Calibri" w:hAnsiTheme="majorHAnsi"/>
          <w:sz w:val="20"/>
          <w:szCs w:val="20"/>
          <w:lang w:val="es-AR"/>
        </w:rPr>
        <w:lastRenderedPageBreak/>
        <w:t>de investigación</w:t>
      </w:r>
      <w:r w:rsidRPr="00386E47">
        <w:rPr>
          <w:rFonts w:asciiTheme="majorHAnsi" w:eastAsia="Calibri" w:hAnsiTheme="majorHAnsi"/>
          <w:sz w:val="20"/>
          <w:szCs w:val="20"/>
          <w:lang w:val="es-AR"/>
        </w:rPr>
        <w:t xml:space="preserve"> lógicas</w:t>
      </w:r>
      <w:r w:rsidR="0076793C" w:rsidRPr="00386E47">
        <w:rPr>
          <w:rFonts w:asciiTheme="majorHAnsi" w:eastAsia="Calibri" w:hAnsiTheme="majorHAnsi"/>
          <w:sz w:val="20"/>
          <w:szCs w:val="20"/>
          <w:lang w:val="es-AR"/>
        </w:rPr>
        <w:t xml:space="preserve">, creación de líneas de investigación al margen de la ley y sin sustento </w:t>
      </w:r>
      <w:r w:rsidR="00CA38A4" w:rsidRPr="00386E47">
        <w:rPr>
          <w:rFonts w:asciiTheme="majorHAnsi" w:eastAsia="Calibri" w:hAnsiTheme="majorHAnsi"/>
          <w:sz w:val="20"/>
          <w:szCs w:val="20"/>
          <w:lang w:val="es-AR"/>
        </w:rPr>
        <w:t xml:space="preserve">probatorio </w:t>
      </w:r>
      <w:r w:rsidR="0076793C" w:rsidRPr="00386E47">
        <w:rPr>
          <w:rFonts w:asciiTheme="majorHAnsi" w:eastAsia="Calibri" w:hAnsiTheme="majorHAnsi"/>
          <w:sz w:val="20"/>
          <w:szCs w:val="20"/>
          <w:lang w:val="es-AR"/>
        </w:rPr>
        <w:t xml:space="preserve">que han desviado por </w:t>
      </w:r>
      <w:r w:rsidR="00E232EE" w:rsidRPr="00386E47">
        <w:rPr>
          <w:rFonts w:asciiTheme="majorHAnsi" w:eastAsia="Calibri" w:hAnsiTheme="majorHAnsi"/>
          <w:sz w:val="20"/>
          <w:szCs w:val="20"/>
          <w:lang w:val="es-AR"/>
        </w:rPr>
        <w:t>años</w:t>
      </w:r>
      <w:r w:rsidR="0076793C" w:rsidRPr="00386E47">
        <w:rPr>
          <w:rFonts w:asciiTheme="majorHAnsi" w:eastAsia="Calibri" w:hAnsiTheme="majorHAnsi"/>
          <w:sz w:val="20"/>
          <w:szCs w:val="20"/>
          <w:lang w:val="es-AR"/>
        </w:rPr>
        <w:t xml:space="preserve"> la investigación</w:t>
      </w:r>
      <w:r w:rsidRPr="00386E47">
        <w:rPr>
          <w:rFonts w:asciiTheme="majorHAnsi" w:eastAsia="Calibri" w:hAnsiTheme="majorHAnsi"/>
          <w:sz w:val="20"/>
          <w:szCs w:val="20"/>
          <w:lang w:val="es-AR"/>
        </w:rPr>
        <w:t xml:space="preserve"> y, finalmente, </w:t>
      </w:r>
      <w:r w:rsidR="0076793C" w:rsidRPr="00386E47">
        <w:rPr>
          <w:rFonts w:asciiTheme="majorHAnsi" w:eastAsia="Calibri" w:hAnsiTheme="majorHAnsi"/>
          <w:sz w:val="20"/>
          <w:szCs w:val="20"/>
          <w:lang w:val="es-AR"/>
        </w:rPr>
        <w:t xml:space="preserve">el establecimiento </w:t>
      </w:r>
      <w:r w:rsidRPr="00386E47">
        <w:rPr>
          <w:rFonts w:asciiTheme="majorHAnsi" w:eastAsia="Calibri" w:hAnsiTheme="majorHAnsi"/>
          <w:sz w:val="20"/>
          <w:szCs w:val="20"/>
          <w:lang w:val="es-AR"/>
        </w:rPr>
        <w:t>de hipótesis investigativas de gran fragilidad fáctica toda vez que no son el fruto</w:t>
      </w:r>
      <w:r w:rsidR="0005428C" w:rsidRPr="00386E47">
        <w:rPr>
          <w:rFonts w:asciiTheme="majorHAnsi" w:eastAsia="Calibri" w:hAnsiTheme="majorHAnsi"/>
          <w:sz w:val="20"/>
          <w:szCs w:val="20"/>
          <w:lang w:val="es-AR"/>
        </w:rPr>
        <w:t xml:space="preserve"> de una </w:t>
      </w:r>
      <w:r w:rsidR="00E232EE" w:rsidRPr="00386E47">
        <w:rPr>
          <w:rFonts w:asciiTheme="majorHAnsi" w:eastAsia="Calibri" w:hAnsiTheme="majorHAnsi"/>
          <w:sz w:val="20"/>
          <w:szCs w:val="20"/>
          <w:lang w:val="es-AR"/>
        </w:rPr>
        <w:t>investigación diligente y exhaustiva.</w:t>
      </w:r>
    </w:p>
    <w:p w14:paraId="075070F8" w14:textId="77777777" w:rsidR="00664CCF" w:rsidRPr="00386E47" w:rsidRDefault="00664CCF" w:rsidP="00A311A0">
      <w:pPr>
        <w:rPr>
          <w:rFonts w:asciiTheme="majorHAnsi" w:eastAsia="Calibri" w:hAnsiTheme="majorHAnsi"/>
          <w:sz w:val="20"/>
          <w:szCs w:val="20"/>
          <w:lang w:val="es-AR"/>
        </w:rPr>
      </w:pPr>
    </w:p>
    <w:p w14:paraId="340A8B19" w14:textId="77777777" w:rsidR="00E232EE" w:rsidRPr="00386E47" w:rsidRDefault="00E232EE" w:rsidP="003A5860">
      <w:pPr>
        <w:numPr>
          <w:ilvl w:val="0"/>
          <w:numId w:val="55"/>
        </w:numPr>
        <w:tabs>
          <w:tab w:val="left" w:pos="567"/>
        </w:tabs>
        <w:ind w:left="0" w:firstLine="0"/>
        <w:contextualSpacing/>
        <w:jc w:val="both"/>
        <w:rPr>
          <w:rFonts w:asciiTheme="majorHAnsi" w:eastAsia="Calibri" w:hAnsiTheme="majorHAnsi"/>
          <w:sz w:val="20"/>
          <w:szCs w:val="20"/>
          <w:lang w:val="es-AR"/>
        </w:rPr>
      </w:pPr>
      <w:r w:rsidRPr="00386E47">
        <w:rPr>
          <w:rFonts w:asciiTheme="majorHAnsi" w:eastAsia="Calibri" w:hAnsiTheme="majorHAnsi"/>
          <w:sz w:val="20"/>
          <w:szCs w:val="20"/>
          <w:lang w:val="es-AR"/>
        </w:rPr>
        <w:t>En consecuencia, la Comisión conclu</w:t>
      </w:r>
      <w:r w:rsidR="002516D0" w:rsidRPr="00386E47">
        <w:rPr>
          <w:rFonts w:asciiTheme="majorHAnsi" w:eastAsia="Calibri" w:hAnsiTheme="majorHAnsi"/>
          <w:sz w:val="20"/>
          <w:szCs w:val="20"/>
          <w:lang w:val="es-AR"/>
        </w:rPr>
        <w:t>irá</w:t>
      </w:r>
      <w:r w:rsidRPr="00386E47">
        <w:rPr>
          <w:rFonts w:asciiTheme="majorHAnsi" w:eastAsia="Calibri" w:hAnsiTheme="majorHAnsi"/>
          <w:sz w:val="20"/>
          <w:szCs w:val="20"/>
          <w:lang w:val="es-AR"/>
        </w:rPr>
        <w:t xml:space="preserve"> que el Estado de Argentina es responsable por la violación de los</w:t>
      </w:r>
      <w:r w:rsidR="002516D0" w:rsidRPr="00386E47">
        <w:rPr>
          <w:rFonts w:asciiTheme="majorHAnsi" w:eastAsia="Calibri" w:hAnsiTheme="majorHAnsi"/>
          <w:sz w:val="20"/>
          <w:szCs w:val="20"/>
          <w:lang w:val="es-AR"/>
        </w:rPr>
        <w:t xml:space="preserve"> derechos a las garantías judiciales y la protección judicial consagrados en los</w:t>
      </w:r>
      <w:r w:rsidR="00EB3BB7" w:rsidRPr="00386E47">
        <w:rPr>
          <w:rFonts w:asciiTheme="majorHAnsi" w:eastAsia="Calibri" w:hAnsiTheme="majorHAnsi"/>
          <w:sz w:val="20"/>
          <w:szCs w:val="20"/>
          <w:lang w:val="es-AR"/>
        </w:rPr>
        <w:t xml:space="preserve"> artículos 8 y 25 de la Convención Americana en relación con el artículo 1.1 del mismo instrumento.</w:t>
      </w:r>
    </w:p>
    <w:p w14:paraId="13870FFB" w14:textId="77777777" w:rsidR="00C125BA" w:rsidRPr="00386E47" w:rsidRDefault="002E3813" w:rsidP="00F449B5">
      <w:pPr>
        <w:tabs>
          <w:tab w:val="left" w:pos="567"/>
        </w:tabs>
        <w:contextualSpacing/>
        <w:jc w:val="both"/>
        <w:rPr>
          <w:rFonts w:asciiTheme="majorHAnsi" w:eastAsia="Calibri" w:hAnsiTheme="majorHAnsi"/>
          <w:sz w:val="20"/>
          <w:szCs w:val="20"/>
          <w:lang w:val="es-AR"/>
        </w:rPr>
      </w:pPr>
      <w:r w:rsidRPr="00386E47">
        <w:rPr>
          <w:rFonts w:asciiTheme="majorHAnsi" w:eastAsia="Calibri" w:hAnsiTheme="majorHAnsi"/>
          <w:sz w:val="20"/>
          <w:szCs w:val="20"/>
          <w:lang w:val="es-AR"/>
        </w:rPr>
        <w:t xml:space="preserve"> </w:t>
      </w:r>
    </w:p>
    <w:p w14:paraId="3F7CD81D" w14:textId="77777777" w:rsidR="009F70EA" w:rsidRPr="00386E47" w:rsidRDefault="009146F2" w:rsidP="00B528BF">
      <w:pPr>
        <w:pStyle w:val="Heading4"/>
      </w:pPr>
      <w:r w:rsidRPr="00386E47">
        <w:t>Investigaciones iniciadas</w:t>
      </w:r>
      <w:r w:rsidR="009F70EA" w:rsidRPr="00386E47">
        <w:t xml:space="preserve"> por el encubrimiento del atentado </w:t>
      </w:r>
    </w:p>
    <w:p w14:paraId="337BB8C3" w14:textId="77777777" w:rsidR="00521BC4" w:rsidRPr="00386E47" w:rsidRDefault="00521BC4" w:rsidP="00A311A0">
      <w:pPr>
        <w:tabs>
          <w:tab w:val="left" w:pos="567"/>
        </w:tabs>
        <w:contextualSpacing/>
        <w:jc w:val="both"/>
        <w:rPr>
          <w:rFonts w:asciiTheme="majorHAnsi" w:hAnsiTheme="majorHAnsi"/>
          <w:sz w:val="20"/>
          <w:szCs w:val="20"/>
          <w:lang w:val="es-US"/>
        </w:rPr>
      </w:pPr>
    </w:p>
    <w:p w14:paraId="2C6BDDB8" w14:textId="77777777" w:rsidR="00521BC4" w:rsidRPr="00386E47" w:rsidRDefault="00521BC4" w:rsidP="009146F2">
      <w:pPr>
        <w:pStyle w:val="Heading5"/>
        <w:numPr>
          <w:ilvl w:val="0"/>
          <w:numId w:val="66"/>
        </w:numPr>
      </w:pPr>
      <w:r w:rsidRPr="00386E47">
        <w:t xml:space="preserve">Investigación por las irregularidades cometidas </w:t>
      </w:r>
      <w:r w:rsidR="009146F2" w:rsidRPr="00386E47">
        <w:t xml:space="preserve">durante la instrucción conducida por el </w:t>
      </w:r>
      <w:r w:rsidR="004C42C7" w:rsidRPr="00386E47">
        <w:t>Juzgado</w:t>
      </w:r>
      <w:r w:rsidRPr="00386E47">
        <w:t xml:space="preserve"> Criminal Federal Nro. 9 </w:t>
      </w:r>
    </w:p>
    <w:p w14:paraId="41259D42" w14:textId="77777777" w:rsidR="00521BC4" w:rsidRPr="00386E47" w:rsidRDefault="00521BC4" w:rsidP="00A311A0">
      <w:pPr>
        <w:tabs>
          <w:tab w:val="left" w:pos="567"/>
        </w:tabs>
        <w:contextualSpacing/>
        <w:jc w:val="both"/>
        <w:rPr>
          <w:rFonts w:asciiTheme="majorHAnsi" w:hAnsiTheme="majorHAnsi"/>
          <w:lang w:val="es-US"/>
        </w:rPr>
      </w:pPr>
    </w:p>
    <w:p w14:paraId="5B0EB668" w14:textId="77777777" w:rsidR="00C570CA" w:rsidRPr="00386E47" w:rsidRDefault="00EB3BB7" w:rsidP="003A5860">
      <w:pPr>
        <w:numPr>
          <w:ilvl w:val="0"/>
          <w:numId w:val="55"/>
        </w:numPr>
        <w:tabs>
          <w:tab w:val="left" w:pos="567"/>
        </w:tabs>
        <w:ind w:left="0" w:firstLine="0"/>
        <w:contextualSpacing/>
        <w:jc w:val="both"/>
        <w:rPr>
          <w:rFonts w:asciiTheme="majorHAnsi" w:eastAsia="Calibri" w:hAnsiTheme="majorHAnsi"/>
          <w:sz w:val="20"/>
          <w:szCs w:val="20"/>
          <w:lang w:val="es-ES"/>
        </w:rPr>
      </w:pPr>
      <w:r w:rsidRPr="00386E47">
        <w:rPr>
          <w:rFonts w:asciiTheme="majorHAnsi" w:eastAsia="Calibri" w:hAnsiTheme="majorHAnsi"/>
          <w:sz w:val="20"/>
          <w:szCs w:val="20"/>
          <w:lang w:val="es-ES"/>
        </w:rPr>
        <w:t>A</w:t>
      </w:r>
      <w:r w:rsidR="008C380A" w:rsidRPr="00386E47">
        <w:rPr>
          <w:rFonts w:asciiTheme="majorHAnsi" w:eastAsia="Calibri" w:hAnsiTheme="majorHAnsi"/>
          <w:sz w:val="20"/>
          <w:szCs w:val="20"/>
          <w:lang w:val="es-ES"/>
        </w:rPr>
        <w:t xml:space="preserve"> partir de agosto de 2000</w:t>
      </w:r>
      <w:r w:rsidR="009F70EA" w:rsidRPr="00386E47">
        <w:rPr>
          <w:rFonts w:asciiTheme="majorHAnsi" w:eastAsia="Calibri" w:hAnsiTheme="majorHAnsi"/>
          <w:sz w:val="20"/>
          <w:szCs w:val="20"/>
          <w:lang w:val="es-ES"/>
        </w:rPr>
        <w:t xml:space="preserve"> </w:t>
      </w:r>
      <w:r w:rsidR="00C570CA" w:rsidRPr="00386E47">
        <w:rPr>
          <w:rFonts w:asciiTheme="majorHAnsi" w:eastAsia="Calibri" w:hAnsiTheme="majorHAnsi"/>
          <w:sz w:val="20"/>
          <w:szCs w:val="20"/>
          <w:lang w:val="es-ES"/>
        </w:rPr>
        <w:t>se iniciaron una serie de expedientes judiciales destinados a</w:t>
      </w:r>
      <w:r w:rsidR="008C380A" w:rsidRPr="00386E47">
        <w:rPr>
          <w:rFonts w:asciiTheme="majorHAnsi" w:eastAsia="Calibri" w:hAnsiTheme="majorHAnsi"/>
          <w:sz w:val="20"/>
          <w:szCs w:val="20"/>
          <w:lang w:val="es-ES"/>
        </w:rPr>
        <w:t xml:space="preserve"> </w:t>
      </w:r>
      <w:r w:rsidR="009F70EA" w:rsidRPr="00386E47">
        <w:rPr>
          <w:rFonts w:asciiTheme="majorHAnsi" w:eastAsia="Calibri" w:hAnsiTheme="majorHAnsi"/>
          <w:sz w:val="20"/>
          <w:szCs w:val="20"/>
          <w:lang w:val="es-ES"/>
        </w:rPr>
        <w:t xml:space="preserve">determinar eventuales responsabilidades penales por </w:t>
      </w:r>
      <w:r w:rsidR="00F449B5" w:rsidRPr="00386E47">
        <w:rPr>
          <w:rFonts w:asciiTheme="majorHAnsi" w:eastAsia="Calibri" w:hAnsiTheme="majorHAnsi"/>
          <w:sz w:val="20"/>
          <w:szCs w:val="20"/>
          <w:lang w:val="es-ES"/>
        </w:rPr>
        <w:t xml:space="preserve">las </w:t>
      </w:r>
      <w:r w:rsidR="009F70EA" w:rsidRPr="00386E47">
        <w:rPr>
          <w:rFonts w:asciiTheme="majorHAnsi" w:eastAsia="Calibri" w:hAnsiTheme="majorHAnsi"/>
          <w:sz w:val="20"/>
          <w:szCs w:val="20"/>
          <w:lang w:val="es-ES"/>
        </w:rPr>
        <w:t xml:space="preserve">irregularidades que se habrían cometido </w:t>
      </w:r>
      <w:r w:rsidR="008C380A" w:rsidRPr="00386E47">
        <w:rPr>
          <w:rFonts w:asciiTheme="majorHAnsi" w:eastAsia="Calibri" w:hAnsiTheme="majorHAnsi"/>
          <w:sz w:val="20"/>
          <w:szCs w:val="20"/>
          <w:lang w:val="es-ES"/>
        </w:rPr>
        <w:t>durante</w:t>
      </w:r>
      <w:r w:rsidR="009F70EA" w:rsidRPr="00386E47">
        <w:rPr>
          <w:rFonts w:asciiTheme="majorHAnsi" w:eastAsia="Calibri" w:hAnsiTheme="majorHAnsi"/>
          <w:sz w:val="20"/>
          <w:szCs w:val="20"/>
          <w:lang w:val="es-ES"/>
        </w:rPr>
        <w:t xml:space="preserve"> la investigación </w:t>
      </w:r>
      <w:r w:rsidR="008C380A" w:rsidRPr="00386E47">
        <w:rPr>
          <w:rFonts w:asciiTheme="majorHAnsi" w:eastAsia="Calibri" w:hAnsiTheme="majorHAnsi"/>
          <w:sz w:val="20"/>
          <w:szCs w:val="20"/>
          <w:lang w:val="es-ES"/>
        </w:rPr>
        <w:t xml:space="preserve">encabezada por el Juzgado de Instrucción en lo Criminal Federal Nro. </w:t>
      </w:r>
      <w:r w:rsidR="00521BC4" w:rsidRPr="00386E47">
        <w:rPr>
          <w:rFonts w:asciiTheme="majorHAnsi" w:eastAsia="Calibri" w:hAnsiTheme="majorHAnsi"/>
          <w:sz w:val="20"/>
          <w:szCs w:val="20"/>
          <w:lang w:val="es-ES"/>
        </w:rPr>
        <w:t>9</w:t>
      </w:r>
      <w:r w:rsidR="009F70EA" w:rsidRPr="00386E47">
        <w:rPr>
          <w:rFonts w:asciiTheme="majorHAnsi" w:eastAsia="Calibri" w:hAnsiTheme="majorHAnsi"/>
          <w:sz w:val="20"/>
          <w:szCs w:val="20"/>
          <w:vertAlign w:val="superscript"/>
          <w:lang w:val="es-AR"/>
        </w:rPr>
        <w:footnoteReference w:id="254"/>
      </w:r>
      <w:r w:rsidR="00CE50A8" w:rsidRPr="00386E47">
        <w:rPr>
          <w:rFonts w:asciiTheme="majorHAnsi" w:eastAsia="Calibri" w:hAnsiTheme="majorHAnsi"/>
          <w:sz w:val="20"/>
          <w:szCs w:val="20"/>
          <w:lang w:val="es-ES"/>
        </w:rPr>
        <w:t>.</w:t>
      </w:r>
    </w:p>
    <w:p w14:paraId="5E788DEB" w14:textId="77777777" w:rsidR="00C570CA" w:rsidRPr="00386E47" w:rsidRDefault="00C570CA" w:rsidP="00D85E80">
      <w:pPr>
        <w:tabs>
          <w:tab w:val="left" w:pos="567"/>
        </w:tabs>
        <w:contextualSpacing/>
        <w:jc w:val="both"/>
        <w:rPr>
          <w:rFonts w:asciiTheme="majorHAnsi" w:eastAsia="Calibri" w:hAnsiTheme="majorHAnsi"/>
          <w:sz w:val="20"/>
          <w:szCs w:val="20"/>
          <w:lang w:val="es-ES"/>
        </w:rPr>
      </w:pPr>
    </w:p>
    <w:p w14:paraId="51E95DEA" w14:textId="77777777" w:rsidR="00C570CA" w:rsidRPr="00386E47" w:rsidRDefault="00F449B5" w:rsidP="003A5860">
      <w:pPr>
        <w:numPr>
          <w:ilvl w:val="0"/>
          <w:numId w:val="55"/>
        </w:numPr>
        <w:tabs>
          <w:tab w:val="left" w:pos="567"/>
        </w:tabs>
        <w:ind w:left="0" w:firstLine="0"/>
        <w:contextualSpacing/>
        <w:jc w:val="both"/>
        <w:rPr>
          <w:rFonts w:asciiTheme="majorHAnsi" w:eastAsia="Calibri" w:hAnsiTheme="majorHAnsi"/>
          <w:sz w:val="20"/>
          <w:szCs w:val="20"/>
          <w:lang w:val="es-ES"/>
        </w:rPr>
      </w:pPr>
      <w:r w:rsidRPr="00386E47">
        <w:rPr>
          <w:rFonts w:asciiTheme="majorHAnsi" w:eastAsia="Calibri" w:hAnsiTheme="majorHAnsi"/>
          <w:sz w:val="20"/>
          <w:szCs w:val="20"/>
          <w:lang w:val="es-ES"/>
        </w:rPr>
        <w:t>Asimismo, e</w:t>
      </w:r>
      <w:r w:rsidR="009F70EA" w:rsidRPr="00386E47">
        <w:rPr>
          <w:rFonts w:asciiTheme="majorHAnsi" w:eastAsia="Calibri" w:hAnsiTheme="majorHAnsi"/>
          <w:sz w:val="20"/>
          <w:szCs w:val="20"/>
          <w:lang w:val="es-ES"/>
        </w:rPr>
        <w:t xml:space="preserve">l Tribunal Oral Federal Nro. 3 en su sentencia de fecha 29 de octubre de 2004 tuvo por acreditados los sucesos relacionados con el pago a </w:t>
      </w:r>
      <w:r w:rsidR="00B528BF" w:rsidRPr="00386E47">
        <w:rPr>
          <w:rFonts w:asciiTheme="majorHAnsi" w:eastAsia="Calibri" w:hAnsiTheme="majorHAnsi"/>
          <w:sz w:val="20"/>
          <w:szCs w:val="20"/>
          <w:lang w:val="es-ES"/>
        </w:rPr>
        <w:t>Telleldin</w:t>
      </w:r>
      <w:r w:rsidR="009F70EA" w:rsidRPr="00386E47">
        <w:rPr>
          <w:rFonts w:asciiTheme="majorHAnsi" w:eastAsia="Calibri" w:hAnsiTheme="majorHAnsi"/>
          <w:sz w:val="20"/>
          <w:szCs w:val="20"/>
          <w:lang w:val="es-ES"/>
        </w:rPr>
        <w:t xml:space="preserve"> y, en consecuencia, anuló todo lo actuado por el juez Galeano durante la etapa de instrucción y absolvió a </w:t>
      </w:r>
      <w:r w:rsidR="00C570CA" w:rsidRPr="00386E47">
        <w:rPr>
          <w:rFonts w:asciiTheme="majorHAnsi" w:eastAsia="Calibri" w:hAnsiTheme="majorHAnsi"/>
          <w:sz w:val="20"/>
          <w:szCs w:val="20"/>
          <w:lang w:val="es-ES"/>
        </w:rPr>
        <w:t>los policías bonaerenses sometidos a juicio</w:t>
      </w:r>
      <w:r w:rsidR="009F70EA" w:rsidRPr="00386E47">
        <w:rPr>
          <w:rFonts w:asciiTheme="majorHAnsi" w:eastAsia="Calibri" w:hAnsiTheme="majorHAnsi"/>
          <w:sz w:val="20"/>
          <w:szCs w:val="20"/>
          <w:lang w:val="es-ES"/>
        </w:rPr>
        <w:t xml:space="preserve">. </w:t>
      </w:r>
      <w:r w:rsidRPr="00386E47">
        <w:rPr>
          <w:rFonts w:asciiTheme="majorHAnsi" w:eastAsia="Calibri" w:hAnsiTheme="majorHAnsi"/>
          <w:sz w:val="20"/>
          <w:szCs w:val="20"/>
          <w:lang w:val="es-ES"/>
        </w:rPr>
        <w:t>E</w:t>
      </w:r>
      <w:r w:rsidR="009F70EA" w:rsidRPr="00386E47">
        <w:rPr>
          <w:rFonts w:asciiTheme="majorHAnsi" w:eastAsia="Calibri" w:hAnsiTheme="majorHAnsi"/>
          <w:sz w:val="20"/>
          <w:szCs w:val="20"/>
          <w:lang w:val="es-ES"/>
        </w:rPr>
        <w:t xml:space="preserve">l Tribunal ordenó que se </w:t>
      </w:r>
      <w:r w:rsidR="005A16DA" w:rsidRPr="00386E47">
        <w:rPr>
          <w:rFonts w:asciiTheme="majorHAnsi" w:eastAsia="Calibri" w:hAnsiTheme="majorHAnsi"/>
          <w:sz w:val="20"/>
          <w:szCs w:val="20"/>
          <w:lang w:val="es-ES"/>
        </w:rPr>
        <w:t xml:space="preserve">extrajeran </w:t>
      </w:r>
      <w:r w:rsidR="009F70EA" w:rsidRPr="00386E47">
        <w:rPr>
          <w:rFonts w:asciiTheme="majorHAnsi" w:eastAsia="Calibri" w:hAnsiTheme="majorHAnsi"/>
          <w:sz w:val="20"/>
          <w:szCs w:val="20"/>
          <w:lang w:val="es-ES"/>
        </w:rPr>
        <w:t xml:space="preserve">copias de lo actuado a fin de que se </w:t>
      </w:r>
      <w:r w:rsidR="005A16DA" w:rsidRPr="00386E47">
        <w:rPr>
          <w:rFonts w:asciiTheme="majorHAnsi" w:eastAsia="Calibri" w:hAnsiTheme="majorHAnsi"/>
          <w:sz w:val="20"/>
          <w:szCs w:val="20"/>
          <w:lang w:val="es-ES"/>
        </w:rPr>
        <w:t xml:space="preserve">investigara </w:t>
      </w:r>
      <w:r w:rsidR="009F70EA" w:rsidRPr="00386E47">
        <w:rPr>
          <w:rFonts w:asciiTheme="majorHAnsi" w:eastAsia="Calibri" w:hAnsiTheme="majorHAnsi"/>
          <w:sz w:val="20"/>
          <w:szCs w:val="20"/>
          <w:lang w:val="es-ES"/>
        </w:rPr>
        <w:t xml:space="preserve">la eventual responsabilidad penal del juez Galeano, de los fiscales intervinientes en la etapa de instrucción, de diversos funcionarios del Poder Ejecutivo Nacional, de la SIDE, de la Policía Federal, empleados judiciales, </w:t>
      </w:r>
      <w:r w:rsidR="00C570CA" w:rsidRPr="00386E47">
        <w:rPr>
          <w:rFonts w:asciiTheme="majorHAnsi" w:eastAsia="Calibri" w:hAnsiTheme="majorHAnsi"/>
          <w:sz w:val="20"/>
          <w:szCs w:val="20"/>
          <w:lang w:val="es-ES"/>
        </w:rPr>
        <w:t xml:space="preserve">de </w:t>
      </w:r>
      <w:r w:rsidR="009F70EA" w:rsidRPr="00386E47">
        <w:rPr>
          <w:rFonts w:asciiTheme="majorHAnsi" w:eastAsia="Calibri" w:hAnsiTheme="majorHAnsi"/>
          <w:sz w:val="20"/>
          <w:szCs w:val="20"/>
          <w:lang w:val="es-ES"/>
        </w:rPr>
        <w:t xml:space="preserve">algunos de los legisladores nacionales que </w:t>
      </w:r>
      <w:r w:rsidR="00C570CA" w:rsidRPr="00386E47">
        <w:rPr>
          <w:rFonts w:asciiTheme="majorHAnsi" w:eastAsia="Calibri" w:hAnsiTheme="majorHAnsi"/>
          <w:sz w:val="20"/>
          <w:szCs w:val="20"/>
          <w:lang w:val="es-ES"/>
        </w:rPr>
        <w:t>conformaron</w:t>
      </w:r>
      <w:r w:rsidR="009F70EA" w:rsidRPr="00386E47">
        <w:rPr>
          <w:rFonts w:asciiTheme="majorHAnsi" w:eastAsia="Calibri" w:hAnsiTheme="majorHAnsi"/>
          <w:sz w:val="20"/>
          <w:szCs w:val="20"/>
          <w:lang w:val="es-ES"/>
        </w:rPr>
        <w:t xml:space="preserve"> la Comisión Bicameral de Seguimiento y de ciertos abogados defensores que habían actuado en el expediente</w:t>
      </w:r>
      <w:r w:rsidR="00C570CA" w:rsidRPr="00386E47">
        <w:rPr>
          <w:rStyle w:val="FootnoteReference"/>
          <w:rFonts w:asciiTheme="majorHAnsi" w:eastAsia="Calibri" w:hAnsiTheme="majorHAnsi"/>
          <w:sz w:val="20"/>
          <w:szCs w:val="20"/>
          <w:lang w:val="es-ES"/>
        </w:rPr>
        <w:footnoteReference w:id="255"/>
      </w:r>
      <w:r w:rsidR="009F70EA" w:rsidRPr="00386E47">
        <w:rPr>
          <w:rFonts w:asciiTheme="majorHAnsi" w:eastAsia="Calibri" w:hAnsiTheme="majorHAnsi"/>
          <w:sz w:val="20"/>
          <w:szCs w:val="20"/>
          <w:lang w:val="es-ES"/>
        </w:rPr>
        <w:t xml:space="preserve">.   </w:t>
      </w:r>
    </w:p>
    <w:p w14:paraId="00C4C948" w14:textId="77777777" w:rsidR="00C570CA" w:rsidRPr="00386E47" w:rsidRDefault="00C570CA" w:rsidP="00D85E80">
      <w:pPr>
        <w:tabs>
          <w:tab w:val="left" w:pos="567"/>
        </w:tabs>
        <w:contextualSpacing/>
        <w:jc w:val="both"/>
        <w:rPr>
          <w:rFonts w:asciiTheme="majorHAnsi" w:eastAsia="Calibri" w:hAnsiTheme="majorHAnsi"/>
          <w:sz w:val="20"/>
          <w:szCs w:val="20"/>
          <w:lang w:val="es-ES"/>
        </w:rPr>
      </w:pPr>
    </w:p>
    <w:p w14:paraId="186A7885" w14:textId="77777777" w:rsidR="004D22AC" w:rsidRPr="00386E47" w:rsidRDefault="0097207E" w:rsidP="003A5860">
      <w:pPr>
        <w:numPr>
          <w:ilvl w:val="0"/>
          <w:numId w:val="55"/>
        </w:numPr>
        <w:tabs>
          <w:tab w:val="left" w:pos="567"/>
        </w:tabs>
        <w:ind w:left="0" w:firstLine="0"/>
        <w:contextualSpacing/>
        <w:jc w:val="both"/>
        <w:rPr>
          <w:rFonts w:asciiTheme="majorHAnsi" w:eastAsia="Calibri" w:hAnsiTheme="majorHAnsi"/>
          <w:sz w:val="20"/>
          <w:szCs w:val="20"/>
          <w:lang w:val="es-ES"/>
        </w:rPr>
      </w:pPr>
      <w:r w:rsidRPr="00386E47">
        <w:rPr>
          <w:rFonts w:asciiTheme="majorHAnsi" w:eastAsia="Calibri" w:hAnsiTheme="majorHAnsi"/>
          <w:sz w:val="20"/>
          <w:szCs w:val="20"/>
          <w:lang w:val="es-ES"/>
        </w:rPr>
        <w:t>Los</w:t>
      </w:r>
      <w:r w:rsidR="009F70EA" w:rsidRPr="00386E47">
        <w:rPr>
          <w:rFonts w:asciiTheme="majorHAnsi" w:eastAsia="Calibri" w:hAnsiTheme="majorHAnsi"/>
          <w:sz w:val="20"/>
          <w:szCs w:val="20"/>
          <w:lang w:val="es-ES"/>
        </w:rPr>
        <w:t xml:space="preserve"> procesos por el encubrimiento se dividieron en dos tramos: por un lado, aquel que tenía como objeto procesal el pago a </w:t>
      </w:r>
      <w:r w:rsidR="00B528BF" w:rsidRPr="00386E47">
        <w:rPr>
          <w:rFonts w:asciiTheme="majorHAnsi" w:eastAsia="Calibri" w:hAnsiTheme="majorHAnsi"/>
          <w:sz w:val="20"/>
          <w:szCs w:val="20"/>
          <w:lang w:val="es-ES"/>
        </w:rPr>
        <w:t>Telleldin</w:t>
      </w:r>
      <w:r w:rsidR="009F70EA" w:rsidRPr="00386E47">
        <w:rPr>
          <w:rFonts w:asciiTheme="majorHAnsi" w:eastAsia="Calibri" w:hAnsiTheme="majorHAnsi"/>
          <w:sz w:val="20"/>
          <w:szCs w:val="20"/>
          <w:lang w:val="es-ES"/>
        </w:rPr>
        <w:t xml:space="preserve"> con fondos reservados de la SIDE para construir una hipótesis acusatoria sin correspondencia con la verdad de lo acontecido y, por otro lado, aquel que buscaba averiguar si funcionarios públicos habían bloqueado la prosecución de la llamada “Pista Siria/Kanoore Edul”. </w:t>
      </w:r>
    </w:p>
    <w:p w14:paraId="479E43FC" w14:textId="77777777" w:rsidR="004D22AC" w:rsidRPr="00386E47" w:rsidRDefault="004D22AC" w:rsidP="00D85E80">
      <w:pPr>
        <w:tabs>
          <w:tab w:val="left" w:pos="567"/>
        </w:tabs>
        <w:contextualSpacing/>
        <w:jc w:val="both"/>
        <w:rPr>
          <w:rFonts w:asciiTheme="majorHAnsi" w:eastAsia="Calibri" w:hAnsiTheme="majorHAnsi"/>
          <w:sz w:val="20"/>
          <w:szCs w:val="20"/>
          <w:lang w:val="es-ES"/>
        </w:rPr>
      </w:pPr>
    </w:p>
    <w:p w14:paraId="1DA2EC55" w14:textId="77777777" w:rsidR="004D22AC" w:rsidRPr="00386E47" w:rsidRDefault="009F70EA" w:rsidP="003A5860">
      <w:pPr>
        <w:numPr>
          <w:ilvl w:val="0"/>
          <w:numId w:val="55"/>
        </w:numPr>
        <w:tabs>
          <w:tab w:val="left" w:pos="567"/>
        </w:tabs>
        <w:ind w:left="0" w:firstLine="0"/>
        <w:contextualSpacing/>
        <w:jc w:val="both"/>
        <w:rPr>
          <w:rFonts w:asciiTheme="majorHAnsi" w:eastAsia="Calibri" w:hAnsiTheme="majorHAnsi"/>
          <w:sz w:val="20"/>
          <w:szCs w:val="20"/>
          <w:lang w:val="es-ES"/>
        </w:rPr>
      </w:pPr>
      <w:r w:rsidRPr="00386E47">
        <w:rPr>
          <w:rFonts w:asciiTheme="majorHAnsi" w:eastAsia="Calibri" w:hAnsiTheme="majorHAnsi"/>
          <w:sz w:val="20"/>
          <w:szCs w:val="20"/>
          <w:lang w:val="es-ES"/>
        </w:rPr>
        <w:t xml:space="preserve">Con respecto a la línea de investigación por el pago a </w:t>
      </w:r>
      <w:r w:rsidR="00B528BF" w:rsidRPr="00386E47">
        <w:rPr>
          <w:rFonts w:asciiTheme="majorHAnsi" w:eastAsia="Calibri" w:hAnsiTheme="majorHAnsi"/>
          <w:sz w:val="20"/>
          <w:szCs w:val="20"/>
          <w:lang w:val="es-ES"/>
        </w:rPr>
        <w:t>Telleldin</w:t>
      </w:r>
      <w:r w:rsidRPr="00386E47">
        <w:rPr>
          <w:rFonts w:asciiTheme="majorHAnsi" w:eastAsia="Calibri" w:hAnsiTheme="majorHAnsi"/>
          <w:sz w:val="20"/>
          <w:szCs w:val="20"/>
          <w:lang w:val="es-ES"/>
        </w:rPr>
        <w:t xml:space="preserve">, el Juzgado Federal en lo Criminal y Correccional Nro. 4 dictó el 19 de septiembre de 2006 auto de procesamiento contra el ex juez Galeano, por los delitos de peculado, coacción, falsedad ideológica, privación ilegítima de la libertad y prevaricato. </w:t>
      </w:r>
      <w:r w:rsidR="004D22AC" w:rsidRPr="00386E47">
        <w:rPr>
          <w:rFonts w:asciiTheme="majorHAnsi" w:eastAsia="Calibri" w:hAnsiTheme="majorHAnsi"/>
          <w:sz w:val="20"/>
          <w:szCs w:val="20"/>
          <w:lang w:val="es-ES"/>
        </w:rPr>
        <w:t xml:space="preserve">Asimismo, otras personas, entre </w:t>
      </w:r>
      <w:r w:rsidRPr="00386E47">
        <w:rPr>
          <w:rFonts w:asciiTheme="majorHAnsi" w:eastAsia="Calibri" w:hAnsiTheme="majorHAnsi"/>
          <w:sz w:val="20"/>
          <w:szCs w:val="20"/>
          <w:lang w:val="es-ES"/>
        </w:rPr>
        <w:t>ellos ex agentes de la SIDE, fueron procesados por el delito de peculado</w:t>
      </w:r>
      <w:r w:rsidRPr="00386E47">
        <w:rPr>
          <w:rFonts w:asciiTheme="majorHAnsi" w:eastAsia="Calibri" w:hAnsiTheme="majorHAnsi"/>
          <w:sz w:val="20"/>
          <w:szCs w:val="20"/>
          <w:vertAlign w:val="superscript"/>
          <w:lang w:val="es-ES"/>
        </w:rPr>
        <w:footnoteReference w:id="256"/>
      </w:r>
      <w:r w:rsidRPr="00386E47">
        <w:rPr>
          <w:rFonts w:asciiTheme="majorHAnsi" w:eastAsia="Calibri" w:hAnsiTheme="majorHAnsi"/>
          <w:sz w:val="20"/>
          <w:szCs w:val="20"/>
          <w:lang w:val="es-ES"/>
        </w:rPr>
        <w:t xml:space="preserve">. El 29 de junio de 2007 la Cámara de Apelaciones en lo Criminal y Correccional Federal confirmó la decisión.  </w:t>
      </w:r>
    </w:p>
    <w:p w14:paraId="0E514981" w14:textId="77777777" w:rsidR="004D22AC" w:rsidRPr="00386E47" w:rsidRDefault="004D22AC" w:rsidP="00D85E80">
      <w:pPr>
        <w:tabs>
          <w:tab w:val="left" w:pos="567"/>
        </w:tabs>
        <w:contextualSpacing/>
        <w:jc w:val="both"/>
        <w:rPr>
          <w:rFonts w:asciiTheme="majorHAnsi" w:eastAsia="Calibri" w:hAnsiTheme="majorHAnsi"/>
          <w:sz w:val="20"/>
          <w:szCs w:val="20"/>
          <w:lang w:val="es-ES"/>
        </w:rPr>
      </w:pPr>
    </w:p>
    <w:p w14:paraId="5F7D9E6C" w14:textId="77777777" w:rsidR="00DC3723" w:rsidRPr="00386E47" w:rsidRDefault="009F70EA" w:rsidP="003A5860">
      <w:pPr>
        <w:numPr>
          <w:ilvl w:val="0"/>
          <w:numId w:val="55"/>
        </w:numPr>
        <w:tabs>
          <w:tab w:val="left" w:pos="567"/>
        </w:tabs>
        <w:ind w:left="0" w:firstLine="0"/>
        <w:contextualSpacing/>
        <w:jc w:val="both"/>
        <w:rPr>
          <w:rFonts w:asciiTheme="majorHAnsi" w:eastAsia="Calibri" w:hAnsiTheme="majorHAnsi"/>
          <w:sz w:val="20"/>
          <w:szCs w:val="20"/>
          <w:lang w:val="es-ES"/>
        </w:rPr>
      </w:pPr>
      <w:r w:rsidRPr="00386E47">
        <w:rPr>
          <w:rFonts w:asciiTheme="majorHAnsi" w:eastAsia="Calibri" w:hAnsiTheme="majorHAnsi"/>
          <w:sz w:val="20"/>
          <w:szCs w:val="20"/>
          <w:lang w:val="es-ES"/>
        </w:rPr>
        <w:t>La defensa del ex juez Galeano recurrió el procesamiento ante la Cámara Federal de Casación Penal.  El 31 de octubre de 2007 se tuvo por mantenido el recurso de casación y se notificó a las partes de la radicación de la causa. Luego de una serie de excusaciones por parte de los magistrados de ese tribunal, el 21 de marzo de 2013 quedó integrada la sala interviniente. El 14 de agosto de 2013 la Sala II de la Cámara Federal de Casación Penal rechazó el recurso de casación.</w:t>
      </w:r>
      <w:r w:rsidR="00302613" w:rsidRPr="00386E47">
        <w:rPr>
          <w:rStyle w:val="FootnoteReference"/>
          <w:rFonts w:asciiTheme="majorHAnsi" w:eastAsia="Calibri" w:hAnsiTheme="majorHAnsi"/>
          <w:sz w:val="20"/>
          <w:szCs w:val="20"/>
          <w:lang w:val="es-ES"/>
        </w:rPr>
        <w:footnoteReference w:id="257"/>
      </w:r>
      <w:r w:rsidRPr="00386E47">
        <w:rPr>
          <w:rFonts w:asciiTheme="majorHAnsi" w:eastAsia="Calibri" w:hAnsiTheme="majorHAnsi"/>
          <w:sz w:val="20"/>
          <w:szCs w:val="20"/>
          <w:lang w:val="es-ES"/>
        </w:rPr>
        <w:t xml:space="preserve">  </w:t>
      </w:r>
    </w:p>
    <w:p w14:paraId="713376CA" w14:textId="77777777" w:rsidR="00DC3723" w:rsidRPr="00386E47" w:rsidRDefault="009F70EA" w:rsidP="00D85E80">
      <w:pPr>
        <w:tabs>
          <w:tab w:val="left" w:pos="567"/>
        </w:tabs>
        <w:contextualSpacing/>
        <w:jc w:val="both"/>
        <w:rPr>
          <w:rFonts w:asciiTheme="majorHAnsi" w:eastAsia="Calibri" w:hAnsiTheme="majorHAnsi"/>
          <w:sz w:val="20"/>
          <w:szCs w:val="20"/>
          <w:lang w:val="es-ES"/>
        </w:rPr>
      </w:pPr>
      <w:r w:rsidRPr="00386E47">
        <w:rPr>
          <w:rFonts w:asciiTheme="majorHAnsi" w:eastAsia="Calibri" w:hAnsiTheme="majorHAnsi"/>
          <w:sz w:val="20"/>
          <w:szCs w:val="20"/>
          <w:lang w:val="es-ES"/>
        </w:rPr>
        <w:t xml:space="preserve"> </w:t>
      </w:r>
    </w:p>
    <w:p w14:paraId="5E611041" w14:textId="77777777" w:rsidR="00DC3723" w:rsidRPr="00386E47" w:rsidRDefault="00DC3723" w:rsidP="003A5860">
      <w:pPr>
        <w:numPr>
          <w:ilvl w:val="0"/>
          <w:numId w:val="55"/>
        </w:numPr>
        <w:tabs>
          <w:tab w:val="left" w:pos="567"/>
        </w:tabs>
        <w:ind w:left="0" w:firstLine="0"/>
        <w:contextualSpacing/>
        <w:jc w:val="both"/>
        <w:rPr>
          <w:rFonts w:asciiTheme="majorHAnsi" w:eastAsia="Calibri" w:hAnsiTheme="majorHAnsi"/>
          <w:sz w:val="20"/>
          <w:szCs w:val="20"/>
          <w:lang w:val="es-ES"/>
        </w:rPr>
      </w:pPr>
      <w:r w:rsidRPr="00386E47">
        <w:rPr>
          <w:rFonts w:asciiTheme="majorHAnsi" w:eastAsia="Calibri" w:hAnsiTheme="majorHAnsi"/>
          <w:sz w:val="20"/>
          <w:szCs w:val="20"/>
          <w:lang w:val="es-ES"/>
        </w:rPr>
        <w:t>Por otro lado, y con respecto al</w:t>
      </w:r>
      <w:r w:rsidR="009F70EA" w:rsidRPr="00386E47">
        <w:rPr>
          <w:rFonts w:asciiTheme="majorHAnsi" w:eastAsia="Calibri" w:hAnsiTheme="majorHAnsi"/>
          <w:sz w:val="20"/>
          <w:szCs w:val="20"/>
          <w:lang w:val="es-ES"/>
        </w:rPr>
        <w:t xml:space="preserve"> tramo de investigación </w:t>
      </w:r>
      <w:r w:rsidRPr="00386E47">
        <w:rPr>
          <w:rFonts w:asciiTheme="majorHAnsi" w:eastAsia="Calibri" w:hAnsiTheme="majorHAnsi"/>
          <w:sz w:val="20"/>
          <w:szCs w:val="20"/>
          <w:lang w:val="es-ES"/>
        </w:rPr>
        <w:t xml:space="preserve">vinculado </w:t>
      </w:r>
      <w:r w:rsidR="009F70EA" w:rsidRPr="00386E47">
        <w:rPr>
          <w:rFonts w:asciiTheme="majorHAnsi" w:eastAsia="Calibri" w:hAnsiTheme="majorHAnsi"/>
          <w:sz w:val="20"/>
          <w:szCs w:val="20"/>
          <w:lang w:val="es-ES"/>
        </w:rPr>
        <w:t>con el encubrimiento de la denominada “Pista Siria-Kanoore Edul</w:t>
      </w:r>
      <w:r w:rsidRPr="00386E47">
        <w:rPr>
          <w:rFonts w:asciiTheme="majorHAnsi" w:eastAsia="Calibri" w:hAnsiTheme="majorHAnsi"/>
          <w:sz w:val="20"/>
          <w:szCs w:val="20"/>
          <w:lang w:val="es-ES"/>
        </w:rPr>
        <w:t>”, con fecha</w:t>
      </w:r>
      <w:r w:rsidR="009F70EA" w:rsidRPr="00386E47">
        <w:rPr>
          <w:rFonts w:asciiTheme="majorHAnsi" w:eastAsia="Calibri" w:hAnsiTheme="majorHAnsi"/>
          <w:sz w:val="20"/>
          <w:szCs w:val="20"/>
          <w:lang w:val="es-ES"/>
        </w:rPr>
        <w:t xml:space="preserve"> 30 de marzo de 2012 el Juzgado Federal en lo Criminal y Correccional Nro. 4 </w:t>
      </w:r>
      <w:r w:rsidR="009F70EA" w:rsidRPr="00386E47">
        <w:rPr>
          <w:rFonts w:asciiTheme="majorHAnsi" w:eastAsia="Calibri" w:hAnsiTheme="majorHAnsi"/>
          <w:sz w:val="20"/>
          <w:szCs w:val="20"/>
          <w:lang w:val="es-ES"/>
        </w:rPr>
        <w:lastRenderedPageBreak/>
        <w:t>dio por terminada la instrucción y elevó la causa a juicio oral, vinculando a proceso al ex juez Galeano, al ex presidente Carlos Menem y a diversos funcionarios de la SIDE y de la Policía Federal</w:t>
      </w:r>
      <w:r w:rsidR="009F70EA" w:rsidRPr="00386E47">
        <w:rPr>
          <w:rFonts w:asciiTheme="majorHAnsi" w:eastAsia="Calibri" w:hAnsiTheme="majorHAnsi"/>
          <w:sz w:val="20"/>
          <w:szCs w:val="20"/>
          <w:vertAlign w:val="superscript"/>
          <w:lang w:val="es-ES"/>
        </w:rPr>
        <w:footnoteReference w:id="258"/>
      </w:r>
      <w:r w:rsidR="009F70EA" w:rsidRPr="00386E47">
        <w:rPr>
          <w:rFonts w:asciiTheme="majorHAnsi" w:eastAsia="Calibri" w:hAnsiTheme="majorHAnsi"/>
          <w:sz w:val="20"/>
          <w:szCs w:val="20"/>
          <w:lang w:val="es-ES"/>
        </w:rPr>
        <w:t xml:space="preserve">. </w:t>
      </w:r>
    </w:p>
    <w:p w14:paraId="4CB9649B" w14:textId="77777777" w:rsidR="00DC3723" w:rsidRPr="00386E47" w:rsidRDefault="00DC3723" w:rsidP="00D85E80">
      <w:pPr>
        <w:tabs>
          <w:tab w:val="left" w:pos="567"/>
        </w:tabs>
        <w:contextualSpacing/>
        <w:jc w:val="both"/>
        <w:rPr>
          <w:rFonts w:asciiTheme="majorHAnsi" w:eastAsia="Calibri" w:hAnsiTheme="majorHAnsi"/>
          <w:sz w:val="20"/>
          <w:szCs w:val="20"/>
          <w:lang w:val="es-ES"/>
        </w:rPr>
      </w:pPr>
    </w:p>
    <w:p w14:paraId="7F5563B9" w14:textId="77777777" w:rsidR="00DC3723" w:rsidRPr="00386E47" w:rsidRDefault="009F70EA" w:rsidP="003A5860">
      <w:pPr>
        <w:numPr>
          <w:ilvl w:val="0"/>
          <w:numId w:val="55"/>
        </w:numPr>
        <w:tabs>
          <w:tab w:val="left" w:pos="567"/>
        </w:tabs>
        <w:ind w:left="0" w:firstLine="0"/>
        <w:contextualSpacing/>
        <w:jc w:val="both"/>
        <w:rPr>
          <w:rFonts w:asciiTheme="majorHAnsi" w:eastAsia="Calibri" w:hAnsiTheme="majorHAnsi"/>
          <w:sz w:val="20"/>
          <w:szCs w:val="20"/>
          <w:lang w:val="es-ES"/>
        </w:rPr>
      </w:pPr>
      <w:r w:rsidRPr="00386E47">
        <w:rPr>
          <w:rFonts w:asciiTheme="majorHAnsi" w:eastAsia="Calibri" w:hAnsiTheme="majorHAnsi"/>
          <w:sz w:val="20"/>
          <w:szCs w:val="20"/>
          <w:lang w:val="es-ES"/>
        </w:rPr>
        <w:t xml:space="preserve">Ambos tramos fueron unificados en la etapa de juicio oral, el cual fue </w:t>
      </w:r>
      <w:r w:rsidR="00DC3723" w:rsidRPr="00386E47">
        <w:rPr>
          <w:rFonts w:asciiTheme="majorHAnsi" w:eastAsia="Calibri" w:hAnsiTheme="majorHAnsi"/>
          <w:sz w:val="20"/>
          <w:szCs w:val="20"/>
          <w:lang w:val="es-ES"/>
        </w:rPr>
        <w:t xml:space="preserve">celebrado </w:t>
      </w:r>
      <w:r w:rsidRPr="00386E47">
        <w:rPr>
          <w:rFonts w:asciiTheme="majorHAnsi" w:eastAsia="Calibri" w:hAnsiTheme="majorHAnsi"/>
          <w:sz w:val="20"/>
          <w:szCs w:val="20"/>
          <w:lang w:val="es-ES"/>
        </w:rPr>
        <w:t xml:space="preserve">ante el Tribunal Oral Federal Nro. 2. Las audiencias de juicio comenzaron el 6 de agosto de 2015. El 28 de febrero de 2019 el Tribunal dictó su veredicto, imponiendo diversas penas de prisión a ocho de los acusados y absolviendo a otros cinco. El 3 de mayo de 2019 se difundieron los fundamentos de la sentencia. La decisión del TOF 2 fue apelada por todas las partes y, al momento de la aprobación de este informe, la causa se encuentra radicada en la Cámara Federal de Casación Penal. </w:t>
      </w:r>
    </w:p>
    <w:p w14:paraId="09DFB31C" w14:textId="77777777" w:rsidR="00DC3723" w:rsidRPr="00386E47" w:rsidRDefault="00DC3723" w:rsidP="00D85E80">
      <w:pPr>
        <w:tabs>
          <w:tab w:val="left" w:pos="567"/>
        </w:tabs>
        <w:contextualSpacing/>
        <w:jc w:val="both"/>
        <w:rPr>
          <w:rFonts w:asciiTheme="majorHAnsi" w:eastAsia="Calibri" w:hAnsiTheme="majorHAnsi"/>
          <w:sz w:val="20"/>
          <w:szCs w:val="20"/>
          <w:lang w:val="es-ES"/>
        </w:rPr>
      </w:pPr>
    </w:p>
    <w:p w14:paraId="65E6F93C" w14:textId="77777777" w:rsidR="009F70EA" w:rsidRPr="00386E47" w:rsidRDefault="009F70EA" w:rsidP="003A5860">
      <w:pPr>
        <w:numPr>
          <w:ilvl w:val="0"/>
          <w:numId w:val="55"/>
        </w:numPr>
        <w:tabs>
          <w:tab w:val="left" w:pos="567"/>
        </w:tabs>
        <w:ind w:left="0" w:firstLine="0"/>
        <w:contextualSpacing/>
        <w:jc w:val="both"/>
        <w:rPr>
          <w:rFonts w:asciiTheme="majorHAnsi" w:eastAsia="Calibri" w:hAnsiTheme="majorHAnsi"/>
          <w:sz w:val="20"/>
          <w:szCs w:val="20"/>
          <w:lang w:val="es-ES"/>
        </w:rPr>
      </w:pPr>
      <w:r w:rsidRPr="00386E47">
        <w:rPr>
          <w:rFonts w:asciiTheme="majorHAnsi" w:eastAsia="Calibri" w:hAnsiTheme="majorHAnsi"/>
          <w:sz w:val="20"/>
          <w:szCs w:val="20"/>
          <w:lang w:val="es-ES"/>
        </w:rPr>
        <w:t xml:space="preserve">Existe asimismo otro desprendimiento de la causa por hechos de encubrimiento que se habrían cometido en el marco de la investigación Galeano que aún no ha sido objeto de una decisión de mérito. </w:t>
      </w:r>
      <w:r w:rsidR="00DC3723" w:rsidRPr="00386E47">
        <w:rPr>
          <w:rFonts w:asciiTheme="majorHAnsi" w:eastAsia="Calibri" w:hAnsiTheme="majorHAnsi"/>
          <w:sz w:val="20"/>
          <w:szCs w:val="20"/>
          <w:lang w:val="es-ES"/>
        </w:rPr>
        <w:t xml:space="preserve">Al respecto, la </w:t>
      </w:r>
      <w:r w:rsidR="00400AD7" w:rsidRPr="00386E47">
        <w:rPr>
          <w:rFonts w:asciiTheme="majorHAnsi" w:eastAsia="Calibri" w:hAnsiTheme="majorHAnsi"/>
          <w:sz w:val="20"/>
          <w:szCs w:val="20"/>
          <w:lang w:val="es-ES"/>
        </w:rPr>
        <w:t>Comisión</w:t>
      </w:r>
      <w:r w:rsidR="00DC3723" w:rsidRPr="00386E47">
        <w:rPr>
          <w:rFonts w:asciiTheme="majorHAnsi" w:eastAsia="Calibri" w:hAnsiTheme="majorHAnsi"/>
          <w:sz w:val="20"/>
          <w:szCs w:val="20"/>
          <w:lang w:val="es-ES"/>
        </w:rPr>
        <w:t xml:space="preserve"> ha sido informada del hecho </w:t>
      </w:r>
      <w:r w:rsidRPr="00386E47">
        <w:rPr>
          <w:rFonts w:asciiTheme="majorHAnsi" w:eastAsia="Calibri" w:hAnsiTheme="majorHAnsi"/>
          <w:sz w:val="20"/>
          <w:szCs w:val="20"/>
          <w:lang w:val="es-ES"/>
        </w:rPr>
        <w:t>que los tribunales nacionales aún no se han pronunciado respecto de la responsabilidad penal de una serie de funcionarios judiciales, abogados intervinientes en la investigación por el atentado y ministros del Poder Ejecutivo durante la década de 1990</w:t>
      </w:r>
      <w:r w:rsidRPr="00386E47">
        <w:rPr>
          <w:rFonts w:asciiTheme="majorHAnsi" w:eastAsia="Calibri" w:hAnsiTheme="majorHAnsi"/>
          <w:sz w:val="22"/>
          <w:szCs w:val="22"/>
          <w:vertAlign w:val="superscript"/>
          <w:lang w:val="es-ES"/>
        </w:rPr>
        <w:footnoteReference w:id="259"/>
      </w:r>
      <w:r w:rsidRPr="00386E47">
        <w:rPr>
          <w:rFonts w:asciiTheme="majorHAnsi" w:eastAsia="Calibri" w:hAnsiTheme="majorHAnsi"/>
          <w:sz w:val="20"/>
          <w:szCs w:val="20"/>
          <w:lang w:val="es-ES"/>
        </w:rPr>
        <w:t xml:space="preserve">. </w:t>
      </w:r>
    </w:p>
    <w:p w14:paraId="68F4583F" w14:textId="77777777" w:rsidR="00521BC4" w:rsidRPr="00386E47" w:rsidRDefault="00521BC4" w:rsidP="009F70EA">
      <w:pPr>
        <w:rPr>
          <w:rFonts w:asciiTheme="majorHAnsi" w:eastAsia="Calibri" w:hAnsiTheme="majorHAnsi"/>
          <w:sz w:val="20"/>
          <w:szCs w:val="20"/>
          <w:lang w:val="es-ES"/>
        </w:rPr>
      </w:pPr>
    </w:p>
    <w:p w14:paraId="00EA66D8" w14:textId="77777777" w:rsidR="00521BC4" w:rsidRPr="00386E47" w:rsidRDefault="00521BC4" w:rsidP="00B05379">
      <w:pPr>
        <w:pStyle w:val="Heading5"/>
        <w:numPr>
          <w:ilvl w:val="0"/>
          <w:numId w:val="66"/>
        </w:numPr>
      </w:pPr>
      <w:r w:rsidRPr="00386E47">
        <w:t xml:space="preserve">Investigación iniciada a partir de la </w:t>
      </w:r>
      <w:r w:rsidR="00B05379" w:rsidRPr="00386E47">
        <w:t>denuncia de la Unidad Fiscal de Investigación del Atentado a la AMIA de fecha 13</w:t>
      </w:r>
      <w:r w:rsidRPr="00386E47">
        <w:t xml:space="preserve"> enero de 2015</w:t>
      </w:r>
    </w:p>
    <w:p w14:paraId="3B782CE8" w14:textId="77777777" w:rsidR="00521BC4" w:rsidRPr="00386E47" w:rsidRDefault="00521BC4" w:rsidP="009F70EA">
      <w:pPr>
        <w:rPr>
          <w:rFonts w:asciiTheme="majorHAnsi" w:eastAsia="Calibri" w:hAnsiTheme="majorHAnsi"/>
          <w:sz w:val="20"/>
          <w:szCs w:val="20"/>
          <w:lang w:val="es-ES"/>
        </w:rPr>
      </w:pPr>
    </w:p>
    <w:p w14:paraId="0C5FA238" w14:textId="77777777" w:rsidR="00287767" w:rsidRPr="00386E47" w:rsidRDefault="00F449B5" w:rsidP="003A5860">
      <w:pPr>
        <w:numPr>
          <w:ilvl w:val="0"/>
          <w:numId w:val="55"/>
        </w:numPr>
        <w:tabs>
          <w:tab w:val="left" w:pos="567"/>
        </w:tabs>
        <w:ind w:left="0" w:firstLine="0"/>
        <w:contextualSpacing/>
        <w:jc w:val="both"/>
        <w:rPr>
          <w:rFonts w:asciiTheme="majorHAnsi" w:eastAsia="Calibri" w:hAnsiTheme="majorHAnsi"/>
          <w:sz w:val="20"/>
          <w:szCs w:val="20"/>
          <w:lang w:val="es-ES"/>
        </w:rPr>
      </w:pPr>
      <w:r w:rsidRPr="00386E47">
        <w:rPr>
          <w:rFonts w:asciiTheme="majorHAnsi" w:eastAsia="Calibri" w:hAnsiTheme="majorHAnsi"/>
          <w:sz w:val="20"/>
          <w:szCs w:val="20"/>
          <w:lang w:val="es-ES"/>
        </w:rPr>
        <w:t xml:space="preserve">El 13 de enero de 2015, el entonces titular de la UFI AMIA, Alberto Nisman, presentó ante el Juzgado en lo Criminal y Correccional Federal Nro. 4 de la Capital Federal una denuncia penal. En dicho documento, el Sr. Nisman aseguró que </w:t>
      </w:r>
      <w:r w:rsidR="00E9688C" w:rsidRPr="00386E47">
        <w:rPr>
          <w:rFonts w:asciiTheme="majorHAnsi" w:eastAsia="Calibri" w:hAnsiTheme="majorHAnsi"/>
          <w:sz w:val="20"/>
          <w:szCs w:val="20"/>
          <w:lang w:val="es-ES"/>
        </w:rPr>
        <w:t>tenía</w:t>
      </w:r>
      <w:r w:rsidRPr="00386E47">
        <w:rPr>
          <w:rFonts w:asciiTheme="majorHAnsi" w:eastAsia="Calibri" w:hAnsiTheme="majorHAnsi"/>
          <w:sz w:val="20"/>
          <w:szCs w:val="20"/>
          <w:lang w:val="es-ES"/>
        </w:rPr>
        <w:t xml:space="preserve"> conocimiento de la “existencia de un plan delictivo destinado a dotar de impunidad a los imputados de nacionalidad iraní” acusados en la causa AMIA. Estas acciones habrían sido ejecutadas “por altas autoridades del gobierno nacional argentino, con la colaboración de terceros”. </w:t>
      </w:r>
    </w:p>
    <w:p w14:paraId="4BDEE66E" w14:textId="77777777" w:rsidR="00287767" w:rsidRPr="00386E47" w:rsidRDefault="00287767" w:rsidP="00287767">
      <w:pPr>
        <w:tabs>
          <w:tab w:val="left" w:pos="567"/>
        </w:tabs>
        <w:contextualSpacing/>
        <w:jc w:val="both"/>
        <w:rPr>
          <w:rFonts w:asciiTheme="majorHAnsi" w:eastAsia="Calibri" w:hAnsiTheme="majorHAnsi"/>
          <w:sz w:val="20"/>
          <w:szCs w:val="20"/>
          <w:lang w:val="es-ES"/>
        </w:rPr>
      </w:pPr>
    </w:p>
    <w:p w14:paraId="413AEA9E" w14:textId="77777777" w:rsidR="00521BC4" w:rsidRPr="00386E47" w:rsidRDefault="00287767" w:rsidP="003A5860">
      <w:pPr>
        <w:numPr>
          <w:ilvl w:val="0"/>
          <w:numId w:val="55"/>
        </w:numPr>
        <w:tabs>
          <w:tab w:val="left" w:pos="567"/>
        </w:tabs>
        <w:ind w:left="0" w:firstLine="0"/>
        <w:contextualSpacing/>
        <w:jc w:val="both"/>
        <w:rPr>
          <w:rFonts w:asciiTheme="majorHAnsi" w:eastAsia="Calibri" w:hAnsiTheme="majorHAnsi"/>
          <w:sz w:val="20"/>
          <w:szCs w:val="20"/>
          <w:lang w:val="es-ES"/>
        </w:rPr>
      </w:pPr>
      <w:r w:rsidRPr="00386E47">
        <w:rPr>
          <w:rFonts w:asciiTheme="majorHAnsi" w:eastAsia="Calibri" w:hAnsiTheme="majorHAnsi"/>
          <w:sz w:val="20"/>
          <w:szCs w:val="20"/>
          <w:lang w:val="es-ES"/>
        </w:rPr>
        <w:t xml:space="preserve">De acuerdo </w:t>
      </w:r>
      <w:r w:rsidR="00D76661" w:rsidRPr="00386E47">
        <w:rPr>
          <w:rFonts w:asciiTheme="majorHAnsi" w:eastAsia="Calibri" w:hAnsiTheme="majorHAnsi"/>
          <w:sz w:val="20"/>
          <w:szCs w:val="20"/>
          <w:lang w:val="es-ES"/>
        </w:rPr>
        <w:t xml:space="preserve">con la información pública a disposición de la </w:t>
      </w:r>
      <w:r w:rsidR="00495DB1" w:rsidRPr="00386E47">
        <w:rPr>
          <w:rFonts w:asciiTheme="majorHAnsi" w:eastAsia="Calibri" w:hAnsiTheme="majorHAnsi"/>
          <w:sz w:val="20"/>
          <w:szCs w:val="20"/>
          <w:lang w:val="es-ES"/>
        </w:rPr>
        <w:t>Comisión</w:t>
      </w:r>
      <w:r w:rsidR="00D76661" w:rsidRPr="00386E47">
        <w:rPr>
          <w:rFonts w:asciiTheme="majorHAnsi" w:eastAsia="Calibri" w:hAnsiTheme="majorHAnsi"/>
          <w:sz w:val="20"/>
          <w:szCs w:val="20"/>
          <w:lang w:val="es-ES"/>
        </w:rPr>
        <w:t xml:space="preserve">, a la fecha de la aprobación de este informe </w:t>
      </w:r>
      <w:r w:rsidR="00495DB1" w:rsidRPr="00386E47">
        <w:rPr>
          <w:rFonts w:asciiTheme="majorHAnsi" w:eastAsia="Calibri" w:hAnsiTheme="majorHAnsi"/>
          <w:sz w:val="20"/>
          <w:szCs w:val="20"/>
          <w:lang w:val="es-ES"/>
        </w:rPr>
        <w:t>el proceso iniciado por la denuncia del Sr. Nisman se encuentra en etapa de juicio oral ante el Tribunal Oral en lo Criminal Federal Nro. 8</w:t>
      </w:r>
      <w:r w:rsidR="00495DB1" w:rsidRPr="00386E47">
        <w:rPr>
          <w:rStyle w:val="FootnoteReference"/>
          <w:rFonts w:asciiTheme="majorHAnsi" w:eastAsia="Calibri" w:hAnsiTheme="majorHAnsi"/>
          <w:sz w:val="20"/>
          <w:szCs w:val="20"/>
          <w:lang w:val="es-ES"/>
        </w:rPr>
        <w:footnoteReference w:id="260"/>
      </w:r>
      <w:r w:rsidR="00495DB1" w:rsidRPr="00386E47">
        <w:rPr>
          <w:rFonts w:asciiTheme="majorHAnsi" w:eastAsia="Calibri" w:hAnsiTheme="majorHAnsi"/>
          <w:sz w:val="20"/>
          <w:szCs w:val="20"/>
          <w:lang w:val="es-ES"/>
        </w:rPr>
        <w:t xml:space="preserve">. </w:t>
      </w:r>
    </w:p>
    <w:p w14:paraId="0C479561" w14:textId="77777777" w:rsidR="009F70EA" w:rsidRDefault="009F70EA" w:rsidP="009F70EA">
      <w:pPr>
        <w:tabs>
          <w:tab w:val="left" w:pos="426"/>
        </w:tabs>
        <w:contextualSpacing/>
        <w:jc w:val="both"/>
        <w:rPr>
          <w:rFonts w:asciiTheme="majorHAnsi" w:eastAsia="Calibri" w:hAnsiTheme="majorHAnsi"/>
          <w:sz w:val="20"/>
          <w:szCs w:val="20"/>
          <w:lang w:val="es-ES"/>
        </w:rPr>
      </w:pPr>
    </w:p>
    <w:p w14:paraId="313A65E2" w14:textId="77777777" w:rsidR="000F00CB" w:rsidRDefault="000F00CB" w:rsidP="009F70EA">
      <w:pPr>
        <w:tabs>
          <w:tab w:val="left" w:pos="426"/>
        </w:tabs>
        <w:contextualSpacing/>
        <w:jc w:val="both"/>
        <w:rPr>
          <w:rFonts w:asciiTheme="majorHAnsi" w:eastAsia="Calibri" w:hAnsiTheme="majorHAnsi"/>
          <w:sz w:val="20"/>
          <w:szCs w:val="20"/>
          <w:lang w:val="es-ES"/>
        </w:rPr>
      </w:pPr>
    </w:p>
    <w:p w14:paraId="2863590F" w14:textId="77777777" w:rsidR="000F00CB" w:rsidRDefault="000F00CB" w:rsidP="009F70EA">
      <w:pPr>
        <w:tabs>
          <w:tab w:val="left" w:pos="426"/>
        </w:tabs>
        <w:contextualSpacing/>
        <w:jc w:val="both"/>
        <w:rPr>
          <w:rFonts w:asciiTheme="majorHAnsi" w:eastAsia="Calibri" w:hAnsiTheme="majorHAnsi"/>
          <w:sz w:val="20"/>
          <w:szCs w:val="20"/>
          <w:lang w:val="es-ES"/>
        </w:rPr>
      </w:pPr>
    </w:p>
    <w:p w14:paraId="065C52A5" w14:textId="77777777" w:rsidR="000F00CB" w:rsidRDefault="000F00CB" w:rsidP="009F70EA">
      <w:pPr>
        <w:tabs>
          <w:tab w:val="left" w:pos="426"/>
        </w:tabs>
        <w:contextualSpacing/>
        <w:jc w:val="both"/>
        <w:rPr>
          <w:rFonts w:asciiTheme="majorHAnsi" w:eastAsia="Calibri" w:hAnsiTheme="majorHAnsi"/>
          <w:sz w:val="20"/>
          <w:szCs w:val="20"/>
          <w:lang w:val="es-ES"/>
        </w:rPr>
      </w:pPr>
    </w:p>
    <w:p w14:paraId="1EDB2E47" w14:textId="77777777" w:rsidR="009F70EA" w:rsidRPr="00386E47" w:rsidRDefault="007F64D0" w:rsidP="002457E7">
      <w:pPr>
        <w:pStyle w:val="ListParagraph"/>
        <w:numPr>
          <w:ilvl w:val="0"/>
          <w:numId w:val="58"/>
        </w:numPr>
        <w:rPr>
          <w:b/>
          <w:sz w:val="20"/>
          <w:szCs w:val="20"/>
          <w:lang w:val="es-AR"/>
        </w:rPr>
      </w:pPr>
      <w:r w:rsidRPr="00386E47">
        <w:rPr>
          <w:b/>
          <w:sz w:val="20"/>
          <w:szCs w:val="20"/>
          <w:lang w:val="es-AR"/>
        </w:rPr>
        <w:t>Consideraciones de la Comisión</w:t>
      </w:r>
    </w:p>
    <w:p w14:paraId="598B2552" w14:textId="77777777" w:rsidR="009F70EA" w:rsidRPr="00386E47" w:rsidRDefault="009F70EA" w:rsidP="009F70EA">
      <w:pPr>
        <w:tabs>
          <w:tab w:val="left" w:pos="426"/>
        </w:tabs>
        <w:ind w:left="720"/>
        <w:contextualSpacing/>
        <w:jc w:val="both"/>
        <w:rPr>
          <w:rFonts w:asciiTheme="majorHAnsi" w:eastAsia="Calibri" w:hAnsiTheme="majorHAnsi"/>
          <w:b/>
          <w:sz w:val="20"/>
          <w:szCs w:val="20"/>
          <w:lang w:val="es-ES"/>
        </w:rPr>
      </w:pPr>
    </w:p>
    <w:p w14:paraId="4A239839" w14:textId="77777777" w:rsidR="000727BA" w:rsidRPr="00386E47" w:rsidRDefault="009F70EA" w:rsidP="003A5860">
      <w:pPr>
        <w:numPr>
          <w:ilvl w:val="0"/>
          <w:numId w:val="55"/>
        </w:numPr>
        <w:tabs>
          <w:tab w:val="left" w:pos="567"/>
        </w:tabs>
        <w:ind w:left="0" w:firstLine="0"/>
        <w:contextualSpacing/>
        <w:jc w:val="both"/>
        <w:rPr>
          <w:rFonts w:asciiTheme="majorHAnsi" w:eastAsia="Calibri" w:hAnsiTheme="majorHAnsi"/>
          <w:sz w:val="20"/>
          <w:szCs w:val="20"/>
          <w:lang w:val="es-ES"/>
        </w:rPr>
      </w:pPr>
      <w:r w:rsidRPr="00386E47">
        <w:rPr>
          <w:rFonts w:asciiTheme="majorHAnsi" w:eastAsia="Calibri" w:hAnsiTheme="majorHAnsi"/>
          <w:sz w:val="20"/>
          <w:szCs w:val="20"/>
          <w:lang w:val="es-ES"/>
        </w:rPr>
        <w:t xml:space="preserve">Tal como se indicó </w:t>
      </w:r>
      <w:r w:rsidR="00043289" w:rsidRPr="00386E47">
        <w:rPr>
          <w:rFonts w:asciiTheme="majorHAnsi" w:eastAsia="Calibri" w:hAnsiTheme="majorHAnsi"/>
          <w:sz w:val="20"/>
          <w:szCs w:val="20"/>
          <w:lang w:val="es-ES"/>
        </w:rPr>
        <w:t xml:space="preserve">anteriormente, </w:t>
      </w:r>
      <w:r w:rsidR="00043289" w:rsidRPr="00386E47">
        <w:rPr>
          <w:rFonts w:asciiTheme="majorHAnsi" w:eastAsia="Calibri" w:hAnsiTheme="majorHAnsi"/>
          <w:sz w:val="20"/>
          <w:szCs w:val="20"/>
          <w:lang w:val="es-AR"/>
        </w:rPr>
        <w:t>en vista de que la investigación fue obstaculizada como resultado de la propia actuación estatal, existe una obligación acentuada para el Estado argentino de investigar y, en su caso, sancionar todas las demoras, desviaciones e irregularidades que fueron cometidas por agentes estatales que participaron en la investigación y que se han constituido en factores de impunidad en el presente caso. Dicha investigación debe ser asumida de manera seria y diligente</w:t>
      </w:r>
      <w:r w:rsidR="008026D7" w:rsidRPr="00386E47">
        <w:rPr>
          <w:rFonts w:asciiTheme="majorHAnsi" w:eastAsia="Calibri" w:hAnsiTheme="majorHAnsi"/>
          <w:sz w:val="20"/>
          <w:szCs w:val="20"/>
          <w:lang w:val="es-AR"/>
        </w:rPr>
        <w:t xml:space="preserve">, de tal forma que se logre esclarecer lo ocurrido y determinar la culpabilidad o inocencia de las personas que son vinculadas a tales procesos, </w:t>
      </w:r>
      <w:r w:rsidR="002958BB" w:rsidRPr="00386E47">
        <w:rPr>
          <w:rFonts w:asciiTheme="majorHAnsi" w:eastAsia="Calibri" w:hAnsiTheme="majorHAnsi"/>
          <w:sz w:val="20"/>
          <w:szCs w:val="20"/>
          <w:lang w:val="es-AR"/>
        </w:rPr>
        <w:t xml:space="preserve">dentro </w:t>
      </w:r>
      <w:r w:rsidR="002457E7" w:rsidRPr="00386E47">
        <w:rPr>
          <w:rFonts w:asciiTheme="majorHAnsi" w:eastAsia="Calibri" w:hAnsiTheme="majorHAnsi"/>
          <w:sz w:val="20"/>
          <w:szCs w:val="20"/>
          <w:lang w:val="es-AR"/>
        </w:rPr>
        <w:t>de un</w:t>
      </w:r>
      <w:r w:rsidR="008026D7" w:rsidRPr="00386E47">
        <w:rPr>
          <w:rFonts w:asciiTheme="majorHAnsi" w:eastAsia="Calibri" w:hAnsiTheme="majorHAnsi"/>
          <w:sz w:val="20"/>
          <w:szCs w:val="20"/>
          <w:lang w:val="es-AR"/>
        </w:rPr>
        <w:t xml:space="preserve"> plazo razonable.  </w:t>
      </w:r>
      <w:r w:rsidR="00397A09" w:rsidRPr="00386E47">
        <w:rPr>
          <w:rFonts w:asciiTheme="majorHAnsi" w:eastAsia="Calibri" w:hAnsiTheme="majorHAnsi"/>
          <w:sz w:val="20"/>
          <w:szCs w:val="20"/>
          <w:lang w:val="es-AR"/>
        </w:rPr>
        <w:t xml:space="preserve"> </w:t>
      </w:r>
    </w:p>
    <w:p w14:paraId="5293AFF4" w14:textId="77777777" w:rsidR="000727BA" w:rsidRPr="00386E47" w:rsidRDefault="000727BA" w:rsidP="00A311A0">
      <w:pPr>
        <w:tabs>
          <w:tab w:val="left" w:pos="567"/>
        </w:tabs>
        <w:contextualSpacing/>
        <w:jc w:val="both"/>
        <w:rPr>
          <w:rFonts w:asciiTheme="majorHAnsi" w:eastAsia="Calibri" w:hAnsiTheme="majorHAnsi"/>
          <w:sz w:val="20"/>
          <w:szCs w:val="20"/>
          <w:lang w:val="es-ES"/>
        </w:rPr>
      </w:pPr>
    </w:p>
    <w:p w14:paraId="06D1F70A" w14:textId="77777777" w:rsidR="00397A09" w:rsidRPr="00386E47" w:rsidRDefault="008026D7" w:rsidP="003A5860">
      <w:pPr>
        <w:numPr>
          <w:ilvl w:val="0"/>
          <w:numId w:val="55"/>
        </w:numPr>
        <w:tabs>
          <w:tab w:val="left" w:pos="567"/>
        </w:tabs>
        <w:ind w:left="0" w:firstLine="0"/>
        <w:contextualSpacing/>
        <w:jc w:val="both"/>
        <w:rPr>
          <w:rFonts w:asciiTheme="majorHAnsi" w:eastAsia="Calibri" w:hAnsiTheme="majorHAnsi"/>
          <w:b/>
          <w:sz w:val="20"/>
          <w:szCs w:val="20"/>
          <w:lang w:val="es-ES"/>
        </w:rPr>
      </w:pPr>
      <w:r w:rsidRPr="00386E47">
        <w:rPr>
          <w:rFonts w:asciiTheme="majorHAnsi" w:eastAsia="Calibri" w:hAnsiTheme="majorHAnsi"/>
          <w:sz w:val="20"/>
          <w:szCs w:val="20"/>
          <w:lang w:val="es-AR"/>
        </w:rPr>
        <w:t>A continuación, la Comisión se referirá a los procesos que se siguen en curso</w:t>
      </w:r>
      <w:r w:rsidR="007F64D0" w:rsidRPr="00386E47">
        <w:rPr>
          <w:rFonts w:asciiTheme="majorHAnsi" w:eastAsia="Calibri" w:hAnsiTheme="majorHAnsi"/>
          <w:sz w:val="20"/>
          <w:szCs w:val="20"/>
          <w:lang w:val="es-AR"/>
        </w:rPr>
        <w:t>.</w:t>
      </w:r>
      <w:r w:rsidR="000727BA" w:rsidRPr="00386E47">
        <w:rPr>
          <w:rFonts w:asciiTheme="majorHAnsi" w:eastAsia="Calibri" w:hAnsiTheme="majorHAnsi"/>
          <w:sz w:val="20"/>
          <w:szCs w:val="20"/>
          <w:lang w:val="es-AR"/>
        </w:rPr>
        <w:t xml:space="preserve"> Al realizar dicho análisis la Comisión</w:t>
      </w:r>
      <w:r w:rsidR="000727BA" w:rsidRPr="00386E47">
        <w:rPr>
          <w:rFonts w:asciiTheme="majorHAnsi" w:eastAsia="Calibri" w:hAnsiTheme="majorHAnsi"/>
          <w:sz w:val="20"/>
          <w:szCs w:val="20"/>
          <w:lang w:val="es-ES"/>
        </w:rPr>
        <w:t xml:space="preserve"> tomará en cuenta que, tal y como lo ha </w:t>
      </w:r>
      <w:r w:rsidR="00397A09" w:rsidRPr="00386E47">
        <w:rPr>
          <w:rFonts w:asciiTheme="majorHAnsi" w:eastAsia="Calibri" w:hAnsiTheme="majorHAnsi"/>
          <w:sz w:val="20"/>
          <w:szCs w:val="20"/>
          <w:lang w:val="es-ES"/>
        </w:rPr>
        <w:t xml:space="preserve">referido la Corte, </w:t>
      </w:r>
      <w:r w:rsidR="000727BA" w:rsidRPr="00386E47">
        <w:rPr>
          <w:rFonts w:asciiTheme="majorHAnsi" w:eastAsia="Calibri" w:hAnsiTheme="majorHAnsi"/>
          <w:sz w:val="20"/>
          <w:szCs w:val="20"/>
          <w:lang w:val="es-ES"/>
        </w:rPr>
        <w:t>“ante actos que dan cuenta de la obstaculización de la administración de justicia, tales como la alteración y supresión de la prueba aumenta la diligencia con la que debe actuar el Estado en la investigación”</w:t>
      </w:r>
      <w:r w:rsidR="000727BA" w:rsidRPr="00386E47">
        <w:rPr>
          <w:rFonts w:asciiTheme="majorHAnsi" w:eastAsia="Calibri" w:hAnsiTheme="majorHAnsi"/>
          <w:sz w:val="20"/>
          <w:szCs w:val="20"/>
          <w:vertAlign w:val="superscript"/>
          <w:lang w:val="es-ES"/>
        </w:rPr>
        <w:footnoteReference w:id="261"/>
      </w:r>
      <w:r w:rsidR="000727BA" w:rsidRPr="00386E47">
        <w:rPr>
          <w:rFonts w:asciiTheme="majorHAnsi" w:eastAsia="Calibri" w:hAnsiTheme="majorHAnsi"/>
          <w:sz w:val="20"/>
          <w:szCs w:val="20"/>
          <w:lang w:val="es-ES"/>
        </w:rPr>
        <w:t>.</w:t>
      </w:r>
      <w:r w:rsidR="00397A09" w:rsidRPr="00386E47">
        <w:rPr>
          <w:rFonts w:asciiTheme="majorHAnsi" w:eastAsia="Calibri" w:hAnsiTheme="majorHAnsi"/>
          <w:sz w:val="20"/>
          <w:szCs w:val="20"/>
          <w:lang w:val="es-ES"/>
        </w:rPr>
        <w:t xml:space="preserve"> </w:t>
      </w:r>
    </w:p>
    <w:p w14:paraId="3FFEF47A" w14:textId="77777777" w:rsidR="00397A09" w:rsidRPr="00386E47" w:rsidRDefault="00397A09" w:rsidP="00A311A0">
      <w:pPr>
        <w:tabs>
          <w:tab w:val="left" w:pos="567"/>
        </w:tabs>
        <w:contextualSpacing/>
        <w:jc w:val="both"/>
        <w:rPr>
          <w:rFonts w:asciiTheme="majorHAnsi" w:eastAsia="Calibri" w:hAnsiTheme="majorHAnsi"/>
          <w:b/>
          <w:sz w:val="20"/>
          <w:szCs w:val="20"/>
          <w:lang w:val="es-AR"/>
        </w:rPr>
      </w:pPr>
    </w:p>
    <w:p w14:paraId="32F5CEDA" w14:textId="77777777" w:rsidR="0049683A" w:rsidRPr="00386E47" w:rsidRDefault="008026D7" w:rsidP="003A5860">
      <w:pPr>
        <w:numPr>
          <w:ilvl w:val="0"/>
          <w:numId w:val="55"/>
        </w:numPr>
        <w:tabs>
          <w:tab w:val="left" w:pos="567"/>
        </w:tabs>
        <w:ind w:left="0" w:firstLine="0"/>
        <w:contextualSpacing/>
        <w:jc w:val="both"/>
        <w:rPr>
          <w:rFonts w:asciiTheme="majorHAnsi" w:eastAsia="Calibri" w:hAnsiTheme="majorHAnsi"/>
          <w:sz w:val="20"/>
          <w:szCs w:val="20"/>
          <w:lang w:val="es-ES"/>
        </w:rPr>
      </w:pPr>
      <w:r w:rsidRPr="00386E47">
        <w:rPr>
          <w:rFonts w:asciiTheme="majorHAnsi" w:eastAsia="Calibri" w:hAnsiTheme="majorHAnsi"/>
          <w:sz w:val="20"/>
          <w:szCs w:val="20"/>
          <w:lang w:val="es-ES"/>
        </w:rPr>
        <w:lastRenderedPageBreak/>
        <w:t>L</w:t>
      </w:r>
      <w:r w:rsidR="004B548A" w:rsidRPr="00386E47">
        <w:rPr>
          <w:rFonts w:asciiTheme="majorHAnsi" w:eastAsia="Calibri" w:hAnsiTheme="majorHAnsi"/>
          <w:sz w:val="20"/>
          <w:szCs w:val="20"/>
          <w:lang w:val="es-ES"/>
        </w:rPr>
        <w:t>a Comisión observa</w:t>
      </w:r>
      <w:r w:rsidR="000E35A2" w:rsidRPr="00386E47">
        <w:rPr>
          <w:rFonts w:asciiTheme="majorHAnsi" w:eastAsia="Calibri" w:hAnsiTheme="majorHAnsi"/>
          <w:sz w:val="20"/>
          <w:szCs w:val="20"/>
          <w:lang w:val="es-ES"/>
        </w:rPr>
        <w:t xml:space="preserve"> que</w:t>
      </w:r>
      <w:r w:rsidR="002958BB" w:rsidRPr="00386E47">
        <w:rPr>
          <w:rFonts w:asciiTheme="majorHAnsi" w:eastAsia="Calibri" w:hAnsiTheme="majorHAnsi"/>
          <w:sz w:val="20"/>
          <w:szCs w:val="20"/>
          <w:lang w:val="es-ES"/>
        </w:rPr>
        <w:t xml:space="preserve"> </w:t>
      </w:r>
      <w:r w:rsidR="0049683A" w:rsidRPr="00386E47">
        <w:rPr>
          <w:rFonts w:asciiTheme="majorHAnsi" w:eastAsia="Calibri" w:hAnsiTheme="majorHAnsi"/>
          <w:sz w:val="20"/>
          <w:szCs w:val="20"/>
          <w:lang w:val="es-ES"/>
        </w:rPr>
        <w:t xml:space="preserve">tanto los hechos vinculados con el tramo que tenía como objeto procesal el pago a </w:t>
      </w:r>
      <w:r w:rsidR="002457E7" w:rsidRPr="00386E47">
        <w:rPr>
          <w:rFonts w:asciiTheme="majorHAnsi" w:eastAsia="Calibri" w:hAnsiTheme="majorHAnsi"/>
          <w:sz w:val="20"/>
          <w:szCs w:val="20"/>
          <w:lang w:val="es-ES"/>
        </w:rPr>
        <w:t>Telleldin</w:t>
      </w:r>
      <w:r w:rsidR="0049683A" w:rsidRPr="00386E47">
        <w:rPr>
          <w:rFonts w:asciiTheme="majorHAnsi" w:eastAsia="Calibri" w:hAnsiTheme="majorHAnsi"/>
          <w:sz w:val="20"/>
          <w:szCs w:val="20"/>
          <w:lang w:val="es-ES"/>
        </w:rPr>
        <w:t xml:space="preserve"> con fondos reservados de la SIDE como el relacionado con la falta de profundización de la llamada “pista siria-Kanoore Edul”, se sustentan fundamentalmente en elementos de prueba que se encontraban presentes desde el mismo inicio en que comenzaron a ser investigados</w:t>
      </w:r>
      <w:r w:rsidR="00017822" w:rsidRPr="00386E47">
        <w:rPr>
          <w:rFonts w:asciiTheme="majorHAnsi" w:eastAsia="Calibri" w:hAnsiTheme="majorHAnsi"/>
          <w:sz w:val="20"/>
          <w:szCs w:val="20"/>
          <w:lang w:val="es-ES"/>
        </w:rPr>
        <w:t xml:space="preserve">, de tal forma que no </w:t>
      </w:r>
      <w:r w:rsidR="002C25B5" w:rsidRPr="00386E47">
        <w:rPr>
          <w:rFonts w:asciiTheme="majorHAnsi" w:eastAsia="Calibri" w:hAnsiTheme="majorHAnsi"/>
          <w:sz w:val="20"/>
          <w:szCs w:val="20"/>
          <w:lang w:val="es-ES"/>
        </w:rPr>
        <w:t>revestían</w:t>
      </w:r>
      <w:r w:rsidR="0049683A" w:rsidRPr="00386E47">
        <w:rPr>
          <w:rFonts w:asciiTheme="majorHAnsi" w:eastAsia="Calibri" w:hAnsiTheme="majorHAnsi"/>
          <w:sz w:val="20"/>
          <w:szCs w:val="20"/>
          <w:lang w:val="es-ES"/>
        </w:rPr>
        <w:t xml:space="preserve"> especial complejidad. </w:t>
      </w:r>
    </w:p>
    <w:p w14:paraId="1B0D5591" w14:textId="77777777" w:rsidR="0049683A" w:rsidRPr="00386E47" w:rsidRDefault="0049683A" w:rsidP="00A311A0">
      <w:pPr>
        <w:tabs>
          <w:tab w:val="left" w:pos="567"/>
        </w:tabs>
        <w:contextualSpacing/>
        <w:jc w:val="both"/>
        <w:rPr>
          <w:rFonts w:asciiTheme="majorHAnsi" w:eastAsia="Calibri" w:hAnsiTheme="majorHAnsi"/>
          <w:sz w:val="20"/>
          <w:szCs w:val="20"/>
          <w:lang w:val="es-ES"/>
        </w:rPr>
      </w:pPr>
    </w:p>
    <w:p w14:paraId="69986361" w14:textId="77777777" w:rsidR="00017822" w:rsidRPr="00386E47" w:rsidRDefault="0049683A" w:rsidP="003A5860">
      <w:pPr>
        <w:numPr>
          <w:ilvl w:val="0"/>
          <w:numId w:val="55"/>
        </w:numPr>
        <w:tabs>
          <w:tab w:val="left" w:pos="567"/>
        </w:tabs>
        <w:ind w:left="0" w:firstLine="0"/>
        <w:contextualSpacing/>
        <w:jc w:val="both"/>
        <w:rPr>
          <w:rFonts w:asciiTheme="majorHAnsi" w:eastAsia="Calibri" w:hAnsiTheme="majorHAnsi"/>
          <w:sz w:val="20"/>
          <w:szCs w:val="20"/>
          <w:lang w:val="es-ES"/>
        </w:rPr>
      </w:pPr>
      <w:r w:rsidRPr="00386E47">
        <w:rPr>
          <w:rFonts w:asciiTheme="majorHAnsi" w:eastAsia="Calibri" w:hAnsiTheme="majorHAnsi"/>
          <w:sz w:val="20"/>
          <w:szCs w:val="20"/>
          <w:lang w:val="es-ES"/>
        </w:rPr>
        <w:t xml:space="preserve">Respecto del pago a </w:t>
      </w:r>
      <w:r w:rsidR="002457E7" w:rsidRPr="00386E47">
        <w:rPr>
          <w:rFonts w:asciiTheme="majorHAnsi" w:eastAsia="Calibri" w:hAnsiTheme="majorHAnsi"/>
          <w:sz w:val="20"/>
          <w:szCs w:val="20"/>
          <w:lang w:val="es-ES"/>
        </w:rPr>
        <w:t>Telleldin</w:t>
      </w:r>
      <w:r w:rsidRPr="00386E47">
        <w:rPr>
          <w:rFonts w:asciiTheme="majorHAnsi" w:eastAsia="Calibri" w:hAnsiTheme="majorHAnsi"/>
          <w:sz w:val="20"/>
          <w:szCs w:val="20"/>
          <w:lang w:val="es-ES"/>
        </w:rPr>
        <w:t xml:space="preserve">, </w:t>
      </w:r>
      <w:r w:rsidR="008026D7" w:rsidRPr="00386E47">
        <w:rPr>
          <w:rFonts w:asciiTheme="majorHAnsi" w:eastAsia="Calibri" w:hAnsiTheme="majorHAnsi"/>
          <w:sz w:val="20"/>
          <w:szCs w:val="20"/>
          <w:lang w:val="es-ES"/>
        </w:rPr>
        <w:t xml:space="preserve">los hechos relacionados </w:t>
      </w:r>
      <w:r w:rsidR="009F70EA" w:rsidRPr="00386E47">
        <w:rPr>
          <w:rFonts w:asciiTheme="majorHAnsi" w:eastAsia="Calibri" w:hAnsiTheme="majorHAnsi"/>
          <w:sz w:val="20"/>
          <w:szCs w:val="20"/>
          <w:lang w:val="es-ES"/>
        </w:rPr>
        <w:t>había</w:t>
      </w:r>
      <w:r w:rsidR="008026D7" w:rsidRPr="00386E47">
        <w:rPr>
          <w:rFonts w:asciiTheme="majorHAnsi" w:eastAsia="Calibri" w:hAnsiTheme="majorHAnsi"/>
          <w:sz w:val="20"/>
          <w:szCs w:val="20"/>
          <w:lang w:val="es-ES"/>
        </w:rPr>
        <w:t>n</w:t>
      </w:r>
      <w:r w:rsidR="009F70EA" w:rsidRPr="00386E47">
        <w:rPr>
          <w:rFonts w:asciiTheme="majorHAnsi" w:eastAsia="Calibri" w:hAnsiTheme="majorHAnsi"/>
          <w:sz w:val="20"/>
          <w:szCs w:val="20"/>
          <w:lang w:val="es-ES"/>
        </w:rPr>
        <w:t xml:space="preserve"> sido objeto </w:t>
      </w:r>
      <w:r w:rsidR="002457E7" w:rsidRPr="00386E47">
        <w:rPr>
          <w:rFonts w:asciiTheme="majorHAnsi" w:eastAsia="Calibri" w:hAnsiTheme="majorHAnsi"/>
          <w:sz w:val="20"/>
          <w:szCs w:val="20"/>
          <w:lang w:val="es-ES"/>
        </w:rPr>
        <w:t>de comprobación</w:t>
      </w:r>
      <w:r w:rsidR="009F70EA" w:rsidRPr="00386E47">
        <w:rPr>
          <w:rFonts w:asciiTheme="majorHAnsi" w:eastAsia="Calibri" w:hAnsiTheme="majorHAnsi"/>
          <w:sz w:val="20"/>
          <w:szCs w:val="20"/>
          <w:lang w:val="es-ES"/>
        </w:rPr>
        <w:t xml:space="preserve"> judicial a partir de los elementos de prueba producidos durante el juicio oral celebrado ante el TOF 3, </w:t>
      </w:r>
      <w:r w:rsidR="003C7EA3" w:rsidRPr="00386E47">
        <w:rPr>
          <w:rFonts w:asciiTheme="majorHAnsi" w:eastAsia="Calibri" w:hAnsiTheme="majorHAnsi"/>
          <w:sz w:val="20"/>
          <w:szCs w:val="20"/>
          <w:lang w:val="es-ES"/>
        </w:rPr>
        <w:t xml:space="preserve">cuya sentencia fue </w:t>
      </w:r>
      <w:r w:rsidR="009F70EA" w:rsidRPr="00386E47">
        <w:rPr>
          <w:rFonts w:asciiTheme="majorHAnsi" w:eastAsia="Calibri" w:hAnsiTheme="majorHAnsi"/>
          <w:sz w:val="20"/>
          <w:szCs w:val="20"/>
          <w:lang w:val="es-ES"/>
        </w:rPr>
        <w:t xml:space="preserve">dictada en octubre de 2004. </w:t>
      </w:r>
      <w:r w:rsidR="008026D7" w:rsidRPr="00386E47">
        <w:rPr>
          <w:rFonts w:asciiTheme="majorHAnsi" w:eastAsia="Calibri" w:hAnsiTheme="majorHAnsi"/>
          <w:sz w:val="20"/>
          <w:szCs w:val="20"/>
          <w:lang w:val="es-ES"/>
        </w:rPr>
        <w:t xml:space="preserve"> </w:t>
      </w:r>
      <w:r w:rsidR="009F70EA" w:rsidRPr="00386E47">
        <w:rPr>
          <w:rFonts w:asciiTheme="majorHAnsi" w:eastAsia="Calibri" w:hAnsiTheme="majorHAnsi"/>
          <w:sz w:val="20"/>
          <w:szCs w:val="20"/>
          <w:lang w:val="es-ES"/>
        </w:rPr>
        <w:t xml:space="preserve">Asimismo, el TOF 3 tuvo por acreditado la </w:t>
      </w:r>
      <w:r w:rsidRPr="00386E47">
        <w:rPr>
          <w:rFonts w:asciiTheme="majorHAnsi" w:eastAsia="Calibri" w:hAnsiTheme="majorHAnsi"/>
          <w:sz w:val="20"/>
          <w:szCs w:val="20"/>
          <w:lang w:val="es-ES"/>
        </w:rPr>
        <w:t xml:space="preserve">misma </w:t>
      </w:r>
      <w:r w:rsidR="009F70EA" w:rsidRPr="00386E47">
        <w:rPr>
          <w:rFonts w:asciiTheme="majorHAnsi" w:eastAsia="Calibri" w:hAnsiTheme="majorHAnsi"/>
          <w:sz w:val="20"/>
          <w:szCs w:val="20"/>
          <w:lang w:val="es-ES"/>
        </w:rPr>
        <w:t xml:space="preserve">secuencia de hechos </w:t>
      </w:r>
      <w:r w:rsidR="007F64D0" w:rsidRPr="00386E47">
        <w:rPr>
          <w:rFonts w:asciiTheme="majorHAnsi" w:eastAsia="Calibri" w:hAnsiTheme="majorHAnsi"/>
          <w:sz w:val="20"/>
          <w:szCs w:val="20"/>
          <w:lang w:val="es-ES"/>
        </w:rPr>
        <w:t xml:space="preserve">que </w:t>
      </w:r>
      <w:r w:rsidR="00F0749E" w:rsidRPr="00386E47">
        <w:rPr>
          <w:rFonts w:asciiTheme="majorHAnsi" w:eastAsia="Calibri" w:hAnsiTheme="majorHAnsi"/>
          <w:sz w:val="20"/>
          <w:szCs w:val="20"/>
          <w:lang w:val="es-ES"/>
        </w:rPr>
        <w:t>culminó</w:t>
      </w:r>
      <w:r w:rsidR="007F64D0" w:rsidRPr="00386E47">
        <w:rPr>
          <w:rFonts w:asciiTheme="majorHAnsi" w:eastAsia="Calibri" w:hAnsiTheme="majorHAnsi"/>
          <w:sz w:val="20"/>
          <w:szCs w:val="20"/>
          <w:lang w:val="es-ES"/>
        </w:rPr>
        <w:t xml:space="preserve"> </w:t>
      </w:r>
      <w:r w:rsidR="009F70EA" w:rsidRPr="00386E47">
        <w:rPr>
          <w:rFonts w:asciiTheme="majorHAnsi" w:eastAsia="Calibri" w:hAnsiTheme="majorHAnsi"/>
          <w:sz w:val="20"/>
          <w:szCs w:val="20"/>
          <w:lang w:val="es-ES"/>
        </w:rPr>
        <w:t xml:space="preserve">con la declaración ampliatoria de </w:t>
      </w:r>
      <w:r w:rsidR="002457E7" w:rsidRPr="00386E47">
        <w:rPr>
          <w:rFonts w:asciiTheme="majorHAnsi" w:eastAsia="Calibri" w:hAnsiTheme="majorHAnsi"/>
          <w:sz w:val="20"/>
          <w:szCs w:val="20"/>
          <w:lang w:val="es-ES"/>
        </w:rPr>
        <w:t>Telleldin</w:t>
      </w:r>
      <w:r w:rsidR="009F70EA" w:rsidRPr="00386E47">
        <w:rPr>
          <w:rFonts w:asciiTheme="majorHAnsi" w:eastAsia="Calibri" w:hAnsiTheme="majorHAnsi"/>
          <w:sz w:val="20"/>
          <w:szCs w:val="20"/>
          <w:lang w:val="es-ES"/>
        </w:rPr>
        <w:t xml:space="preserve"> del 5 de julio de 1996, a partir de la cual se consolidó como única línea investigativa la hipótesis que sostenía </w:t>
      </w:r>
      <w:r w:rsidRPr="00386E47">
        <w:rPr>
          <w:rFonts w:asciiTheme="majorHAnsi" w:eastAsia="Calibri" w:hAnsiTheme="majorHAnsi"/>
          <w:sz w:val="20"/>
          <w:szCs w:val="20"/>
          <w:lang w:val="es-ES"/>
        </w:rPr>
        <w:t xml:space="preserve">a cambio del pago realizado por funcionarios del SIDE </w:t>
      </w:r>
      <w:r w:rsidR="009F70EA" w:rsidRPr="00386E47">
        <w:rPr>
          <w:rFonts w:asciiTheme="majorHAnsi" w:eastAsia="Calibri" w:hAnsiTheme="majorHAnsi"/>
          <w:sz w:val="20"/>
          <w:szCs w:val="20"/>
          <w:lang w:val="es-ES"/>
        </w:rPr>
        <w:t xml:space="preserve">la responsabilidad de ciertos policías bonaerenses. </w:t>
      </w:r>
      <w:r w:rsidR="002958BB" w:rsidRPr="00386E47">
        <w:rPr>
          <w:rFonts w:asciiTheme="majorHAnsi" w:eastAsia="Calibri" w:hAnsiTheme="majorHAnsi"/>
          <w:sz w:val="20"/>
          <w:szCs w:val="20"/>
          <w:lang w:val="es-ES"/>
        </w:rPr>
        <w:t xml:space="preserve"> </w:t>
      </w:r>
      <w:r w:rsidR="00017822" w:rsidRPr="00386E47">
        <w:rPr>
          <w:rFonts w:asciiTheme="majorHAnsi" w:eastAsia="Calibri" w:hAnsiTheme="majorHAnsi"/>
          <w:sz w:val="20"/>
          <w:szCs w:val="20"/>
          <w:lang w:val="es-ES"/>
        </w:rPr>
        <w:t xml:space="preserve"> La Comisión nota que el auto de procesamiento de fecha 19 de septiembre de 2006 dictado contra el ex juez Galeano y los ex fiscales del caso, entre otros imputados, se sustentó, en gran medida, en la valoración de prueba preconstituida tanto durante la etapa de instrucción por el atentado a la AMIA como durante el debate oral celebrado ante el TOF 3</w:t>
      </w:r>
      <w:r w:rsidR="00017822" w:rsidRPr="00386E47">
        <w:rPr>
          <w:rFonts w:asciiTheme="majorHAnsi" w:eastAsia="Calibri" w:hAnsiTheme="majorHAnsi"/>
          <w:sz w:val="20"/>
          <w:szCs w:val="20"/>
          <w:vertAlign w:val="superscript"/>
          <w:lang w:val="es-ES"/>
        </w:rPr>
        <w:footnoteReference w:id="262"/>
      </w:r>
      <w:r w:rsidR="00017822" w:rsidRPr="00386E47">
        <w:rPr>
          <w:rFonts w:asciiTheme="majorHAnsi" w:eastAsia="Calibri" w:hAnsiTheme="majorHAnsi"/>
          <w:sz w:val="20"/>
          <w:szCs w:val="20"/>
          <w:lang w:val="es-ES"/>
        </w:rPr>
        <w:t xml:space="preserve">. </w:t>
      </w:r>
    </w:p>
    <w:p w14:paraId="162979ED" w14:textId="77777777" w:rsidR="0049683A" w:rsidRPr="00386E47" w:rsidRDefault="0049683A" w:rsidP="00347DFB">
      <w:pPr>
        <w:tabs>
          <w:tab w:val="left" w:pos="567"/>
        </w:tabs>
        <w:contextualSpacing/>
        <w:jc w:val="both"/>
        <w:rPr>
          <w:rFonts w:asciiTheme="majorHAnsi" w:eastAsia="Calibri" w:hAnsiTheme="majorHAnsi"/>
          <w:sz w:val="20"/>
          <w:szCs w:val="20"/>
          <w:lang w:val="es-ES"/>
        </w:rPr>
      </w:pPr>
    </w:p>
    <w:p w14:paraId="50372BF9" w14:textId="77777777" w:rsidR="00017822" w:rsidRPr="00386E47" w:rsidRDefault="0049683A" w:rsidP="003A5860">
      <w:pPr>
        <w:numPr>
          <w:ilvl w:val="0"/>
          <w:numId w:val="55"/>
        </w:numPr>
        <w:tabs>
          <w:tab w:val="left" w:pos="567"/>
        </w:tabs>
        <w:ind w:left="0" w:firstLine="0"/>
        <w:contextualSpacing/>
        <w:jc w:val="both"/>
        <w:rPr>
          <w:rFonts w:asciiTheme="majorHAnsi" w:eastAsia="Calibri" w:hAnsiTheme="majorHAnsi"/>
          <w:sz w:val="20"/>
          <w:szCs w:val="20"/>
          <w:lang w:val="es-ES"/>
        </w:rPr>
      </w:pPr>
      <w:r w:rsidRPr="00386E47">
        <w:rPr>
          <w:rFonts w:asciiTheme="majorHAnsi" w:eastAsia="Calibri" w:hAnsiTheme="majorHAnsi"/>
          <w:sz w:val="20"/>
          <w:szCs w:val="20"/>
          <w:lang w:val="es-ES"/>
        </w:rPr>
        <w:t xml:space="preserve">Respecto de la </w:t>
      </w:r>
      <w:r w:rsidR="00017822" w:rsidRPr="00386E47">
        <w:rPr>
          <w:rFonts w:asciiTheme="majorHAnsi" w:eastAsia="Calibri" w:hAnsiTheme="majorHAnsi"/>
          <w:sz w:val="20"/>
          <w:szCs w:val="20"/>
          <w:lang w:val="es-ES"/>
        </w:rPr>
        <w:t xml:space="preserve">investigación sobre la falta de profundización de la </w:t>
      </w:r>
      <w:r w:rsidRPr="00386E47">
        <w:rPr>
          <w:rFonts w:asciiTheme="majorHAnsi" w:eastAsia="Calibri" w:hAnsiTheme="majorHAnsi"/>
          <w:sz w:val="20"/>
          <w:szCs w:val="20"/>
          <w:lang w:val="es-ES"/>
        </w:rPr>
        <w:t xml:space="preserve">pista </w:t>
      </w:r>
      <w:r w:rsidR="00017822" w:rsidRPr="00386E47">
        <w:rPr>
          <w:rFonts w:asciiTheme="majorHAnsi" w:eastAsia="Calibri" w:hAnsiTheme="majorHAnsi"/>
          <w:sz w:val="20"/>
          <w:szCs w:val="20"/>
          <w:lang w:val="es-ES"/>
        </w:rPr>
        <w:t>siria- Kannore Edul, de manera similar</w:t>
      </w:r>
      <w:r w:rsidR="001B3781" w:rsidRPr="00386E47">
        <w:rPr>
          <w:rFonts w:asciiTheme="majorHAnsi" w:eastAsia="Calibri" w:hAnsiTheme="majorHAnsi"/>
          <w:sz w:val="20"/>
          <w:szCs w:val="20"/>
          <w:lang w:val="es-ES"/>
        </w:rPr>
        <w:t>,</w:t>
      </w:r>
      <w:r w:rsidRPr="00386E47">
        <w:rPr>
          <w:rFonts w:asciiTheme="majorHAnsi" w:eastAsia="Calibri" w:hAnsiTheme="majorHAnsi"/>
          <w:sz w:val="20"/>
          <w:szCs w:val="20"/>
          <w:lang w:val="es-ES"/>
        </w:rPr>
        <w:t xml:space="preserve"> gran parte de las pruebas evaluadas por el TOF 2 en su sentencia de mayo de </w:t>
      </w:r>
      <w:r w:rsidR="002457E7" w:rsidRPr="00386E47">
        <w:rPr>
          <w:rFonts w:asciiTheme="majorHAnsi" w:eastAsia="Calibri" w:hAnsiTheme="majorHAnsi"/>
          <w:sz w:val="20"/>
          <w:szCs w:val="20"/>
          <w:lang w:val="es-ES"/>
        </w:rPr>
        <w:t>2019 se</w:t>
      </w:r>
      <w:r w:rsidRPr="00386E47">
        <w:rPr>
          <w:rFonts w:asciiTheme="majorHAnsi" w:eastAsia="Calibri" w:hAnsiTheme="majorHAnsi"/>
          <w:sz w:val="20"/>
          <w:szCs w:val="20"/>
          <w:lang w:val="es-ES"/>
        </w:rPr>
        <w:t xml:space="preserve"> encontraban a disposición de los órganos judiciales desde los inicios mismos de la instrucción. Tanto de la lectura del auto de elevación a juicio de fecha 30 de marzo de 2012 como de la sentencia del TOF 2 de mayo de 2019 se desprende que la comprobación de los hechos relacionados con el abandono deliberado de la llamada pista siria no requerían de la realización de una profusa actividad jurisdiccional, toda vez que los principales elementos de prueba ya se encontraban presentes desde la investigación por el atentado y solo restaba realizar un  análisis jurídico de subsunción de los hechos.  Por ejemplo, al menos desde el año 2001, ya se conocía que las cintas con las grabaciones de las escuchas telefónicas a abonados vinculados con personas de interés para la investigación se encontraban extraviadas. </w:t>
      </w:r>
    </w:p>
    <w:p w14:paraId="6F9ED61B" w14:textId="77777777" w:rsidR="00017822" w:rsidRPr="00386E47" w:rsidRDefault="00017822" w:rsidP="00A311A0">
      <w:pPr>
        <w:tabs>
          <w:tab w:val="left" w:pos="567"/>
        </w:tabs>
        <w:contextualSpacing/>
        <w:jc w:val="both"/>
        <w:rPr>
          <w:rFonts w:asciiTheme="majorHAnsi" w:eastAsia="Calibri" w:hAnsiTheme="majorHAnsi"/>
          <w:sz w:val="20"/>
          <w:szCs w:val="20"/>
          <w:lang w:val="es-ES"/>
        </w:rPr>
      </w:pPr>
    </w:p>
    <w:p w14:paraId="3B88C42B" w14:textId="77777777" w:rsidR="0049683A" w:rsidRPr="00386E47" w:rsidRDefault="0049683A" w:rsidP="003A5860">
      <w:pPr>
        <w:numPr>
          <w:ilvl w:val="0"/>
          <w:numId w:val="55"/>
        </w:numPr>
        <w:tabs>
          <w:tab w:val="left" w:pos="567"/>
        </w:tabs>
        <w:ind w:left="0" w:firstLine="0"/>
        <w:contextualSpacing/>
        <w:jc w:val="both"/>
        <w:rPr>
          <w:rFonts w:asciiTheme="majorHAnsi" w:eastAsia="Calibri" w:hAnsiTheme="majorHAnsi"/>
          <w:sz w:val="20"/>
          <w:szCs w:val="20"/>
          <w:lang w:val="es-ES"/>
        </w:rPr>
      </w:pPr>
      <w:r w:rsidRPr="00386E47">
        <w:rPr>
          <w:rFonts w:asciiTheme="majorHAnsi" w:eastAsia="Calibri" w:hAnsiTheme="majorHAnsi"/>
          <w:sz w:val="20"/>
          <w:szCs w:val="20"/>
          <w:lang w:val="es-ES"/>
        </w:rPr>
        <w:t>En efecto, esta circunstancia surgió a la luz cuando esos elementos fueron solicitados al juzgado a cargo de Galeano por el TOF 3 para el debate oral que se realizó ante dicho tribunal</w:t>
      </w:r>
      <w:r w:rsidRPr="00386E47">
        <w:rPr>
          <w:rFonts w:asciiTheme="majorHAnsi" w:eastAsia="Calibri" w:hAnsiTheme="majorHAnsi"/>
          <w:sz w:val="20"/>
          <w:szCs w:val="20"/>
          <w:vertAlign w:val="superscript"/>
          <w:lang w:val="es-ES"/>
        </w:rPr>
        <w:footnoteReference w:id="263"/>
      </w:r>
      <w:r w:rsidRPr="00386E47">
        <w:rPr>
          <w:rFonts w:asciiTheme="majorHAnsi" w:eastAsia="Calibri" w:hAnsiTheme="majorHAnsi"/>
          <w:sz w:val="20"/>
          <w:szCs w:val="20"/>
          <w:lang w:val="es-ES"/>
        </w:rPr>
        <w:t>.</w:t>
      </w:r>
      <w:r w:rsidR="00017822" w:rsidRPr="00386E47">
        <w:rPr>
          <w:rFonts w:asciiTheme="majorHAnsi" w:eastAsia="Calibri" w:hAnsiTheme="majorHAnsi"/>
          <w:sz w:val="20"/>
          <w:szCs w:val="20"/>
          <w:lang w:val="es-ES"/>
        </w:rPr>
        <w:t xml:space="preserve"> Adicionalmente, y tal como lo puntualizó el TOF 2, el incumplimiento del mandato judicial de allanamiento a los domicilios de la Calle Constitución vinculados con el Sr. Kanoore Edul, era un hecho que ya se conocía desde agosto de 1994, cuando el comisario a cargo del operativo devolvió sin diligenciar la orden de registro perteneciente al domicilio de Constitución 2633</w:t>
      </w:r>
      <w:r w:rsidR="00017822" w:rsidRPr="00386E47">
        <w:rPr>
          <w:rFonts w:asciiTheme="majorHAnsi" w:eastAsia="Calibri" w:hAnsiTheme="majorHAnsi"/>
          <w:sz w:val="20"/>
          <w:szCs w:val="20"/>
          <w:vertAlign w:val="superscript"/>
          <w:lang w:val="es-ES"/>
        </w:rPr>
        <w:footnoteReference w:id="264"/>
      </w:r>
      <w:r w:rsidR="00017822" w:rsidRPr="00386E47">
        <w:rPr>
          <w:rFonts w:asciiTheme="majorHAnsi" w:eastAsia="Calibri" w:hAnsiTheme="majorHAnsi"/>
          <w:sz w:val="20"/>
          <w:szCs w:val="20"/>
          <w:lang w:val="es-ES"/>
        </w:rPr>
        <w:t xml:space="preserve">.   </w:t>
      </w:r>
    </w:p>
    <w:p w14:paraId="08DA70ED" w14:textId="77777777" w:rsidR="0049683A" w:rsidRPr="00386E47" w:rsidRDefault="0049683A" w:rsidP="00347DFB">
      <w:pPr>
        <w:tabs>
          <w:tab w:val="left" w:pos="567"/>
        </w:tabs>
        <w:contextualSpacing/>
        <w:jc w:val="both"/>
        <w:rPr>
          <w:rFonts w:asciiTheme="majorHAnsi" w:eastAsia="Calibri" w:hAnsiTheme="majorHAnsi"/>
          <w:sz w:val="20"/>
          <w:szCs w:val="20"/>
          <w:lang w:val="es-ES"/>
        </w:rPr>
      </w:pPr>
    </w:p>
    <w:p w14:paraId="3F2AFCA1" w14:textId="77777777" w:rsidR="00017822" w:rsidRPr="00386E47" w:rsidRDefault="002958BB" w:rsidP="003A5860">
      <w:pPr>
        <w:numPr>
          <w:ilvl w:val="0"/>
          <w:numId w:val="55"/>
        </w:numPr>
        <w:tabs>
          <w:tab w:val="left" w:pos="567"/>
        </w:tabs>
        <w:ind w:left="0" w:firstLine="0"/>
        <w:contextualSpacing/>
        <w:jc w:val="both"/>
        <w:rPr>
          <w:rFonts w:asciiTheme="majorHAnsi" w:eastAsia="Calibri" w:hAnsiTheme="majorHAnsi"/>
          <w:sz w:val="20"/>
          <w:szCs w:val="20"/>
          <w:lang w:val="es-ES"/>
        </w:rPr>
      </w:pPr>
      <w:r w:rsidRPr="00386E47">
        <w:rPr>
          <w:rFonts w:asciiTheme="majorHAnsi" w:eastAsia="Calibri" w:hAnsiTheme="majorHAnsi"/>
          <w:sz w:val="20"/>
          <w:szCs w:val="20"/>
          <w:lang w:val="es-ES"/>
        </w:rPr>
        <w:t xml:space="preserve">A pesar de lo anterior, la Comisión observa que </w:t>
      </w:r>
      <w:r w:rsidR="00017822" w:rsidRPr="00386E47">
        <w:rPr>
          <w:rFonts w:asciiTheme="majorHAnsi" w:eastAsia="Calibri" w:hAnsiTheme="majorHAnsi"/>
          <w:sz w:val="20"/>
          <w:szCs w:val="20"/>
          <w:lang w:val="es-ES"/>
        </w:rPr>
        <w:t>el comportamiento de las autoridades se ha caracterizado por incurrir</w:t>
      </w:r>
      <w:r w:rsidRPr="00386E47">
        <w:rPr>
          <w:rFonts w:asciiTheme="majorHAnsi" w:eastAsia="Calibri" w:hAnsiTheme="majorHAnsi"/>
          <w:sz w:val="20"/>
          <w:szCs w:val="20"/>
          <w:lang w:val="es-ES"/>
        </w:rPr>
        <w:t xml:space="preserve"> en diversas demoras que ha</w:t>
      </w:r>
      <w:r w:rsidR="00017822" w:rsidRPr="00386E47">
        <w:rPr>
          <w:rFonts w:asciiTheme="majorHAnsi" w:eastAsia="Calibri" w:hAnsiTheme="majorHAnsi"/>
          <w:sz w:val="20"/>
          <w:szCs w:val="20"/>
          <w:lang w:val="es-ES"/>
        </w:rPr>
        <w:t>n</w:t>
      </w:r>
      <w:r w:rsidRPr="00386E47">
        <w:rPr>
          <w:rFonts w:asciiTheme="majorHAnsi" w:eastAsia="Calibri" w:hAnsiTheme="majorHAnsi"/>
          <w:sz w:val="20"/>
          <w:szCs w:val="20"/>
          <w:lang w:val="es-ES"/>
        </w:rPr>
        <w:t xml:space="preserve"> prolongado el curso de esta investigación. </w:t>
      </w:r>
    </w:p>
    <w:p w14:paraId="6F2A7FBB" w14:textId="77777777" w:rsidR="00017822" w:rsidRPr="00386E47" w:rsidRDefault="00017822" w:rsidP="00A311A0">
      <w:pPr>
        <w:pStyle w:val="ListParagraph"/>
        <w:rPr>
          <w:rFonts w:asciiTheme="majorHAnsi" w:eastAsia="Calibri" w:hAnsiTheme="majorHAnsi"/>
          <w:sz w:val="20"/>
          <w:szCs w:val="20"/>
          <w:lang w:val="es-ES"/>
        </w:rPr>
      </w:pPr>
    </w:p>
    <w:p w14:paraId="4C732191" w14:textId="77777777" w:rsidR="00017822" w:rsidRPr="00386E47" w:rsidRDefault="00017822" w:rsidP="003A5860">
      <w:pPr>
        <w:numPr>
          <w:ilvl w:val="0"/>
          <w:numId w:val="55"/>
        </w:numPr>
        <w:tabs>
          <w:tab w:val="left" w:pos="567"/>
        </w:tabs>
        <w:ind w:left="0" w:firstLine="0"/>
        <w:contextualSpacing/>
        <w:jc w:val="both"/>
        <w:rPr>
          <w:rFonts w:asciiTheme="majorHAnsi" w:eastAsia="Calibri" w:hAnsiTheme="majorHAnsi"/>
          <w:sz w:val="20"/>
          <w:szCs w:val="20"/>
          <w:lang w:val="es-ES"/>
        </w:rPr>
      </w:pPr>
      <w:r w:rsidRPr="00386E47">
        <w:rPr>
          <w:rFonts w:asciiTheme="majorHAnsi" w:eastAsia="Calibri" w:hAnsiTheme="majorHAnsi"/>
          <w:sz w:val="20"/>
          <w:szCs w:val="20"/>
          <w:lang w:val="es-ES"/>
        </w:rPr>
        <w:t xml:space="preserve">En la investigación seguida respecto del tramo vinculado al pago de </w:t>
      </w:r>
      <w:r w:rsidR="002457E7" w:rsidRPr="00386E47">
        <w:rPr>
          <w:rFonts w:asciiTheme="majorHAnsi" w:eastAsia="Calibri" w:hAnsiTheme="majorHAnsi"/>
          <w:sz w:val="20"/>
          <w:szCs w:val="20"/>
          <w:lang w:val="es-ES"/>
        </w:rPr>
        <w:t>Telleldin</w:t>
      </w:r>
      <w:r w:rsidRPr="00386E47">
        <w:rPr>
          <w:rFonts w:asciiTheme="majorHAnsi" w:eastAsia="Calibri" w:hAnsiTheme="majorHAnsi"/>
          <w:sz w:val="20"/>
          <w:szCs w:val="20"/>
          <w:lang w:val="es-ES"/>
        </w:rPr>
        <w:t>, el trámite que las instancias judiciales de apelación imprimieron a los recursos presentados por las defensas de los procesados causó una considerable dilación del proceso. La consecuencia más tangible de esta demora radica en que recién en el año 2015 se dieron inicio a las audiencias de debate oral, esto es: a más de 15 años de presentada la denuncia que dio origen a la investigación por el encubrimiento</w:t>
      </w:r>
      <w:r w:rsidRPr="00386E47">
        <w:rPr>
          <w:rFonts w:asciiTheme="majorHAnsi" w:hAnsiTheme="majorHAnsi"/>
          <w:sz w:val="20"/>
          <w:szCs w:val="20"/>
          <w:vertAlign w:val="superscript"/>
        </w:rPr>
        <w:footnoteReference w:id="265"/>
      </w:r>
      <w:r w:rsidRPr="00386E47">
        <w:rPr>
          <w:rFonts w:asciiTheme="majorHAnsi" w:eastAsia="Calibri" w:hAnsiTheme="majorHAnsi"/>
          <w:sz w:val="20"/>
          <w:szCs w:val="20"/>
          <w:lang w:val="es-ES"/>
        </w:rPr>
        <w:t xml:space="preserve">. La Comisión observa asimismo que resultaron especialmente problemáticas las circunstancias que rodearon la tramitación de un recurso de casación presentado por la defensa del ex juez Galeano contra la decisión de la Sala I “ad hoc” de la Cámara Nacional de Apelaciones en lo Criminal y Correccional Federal que confirmó el auto de procesamiento dictado por el juez de instrucción de fecha 19 de septiembre de 2006. Si bien el recurso quedó radicado ante los estrados de la Cámara de Casación el 31 de octubre de 2007, el tribunal recién fue integrado de manera definitiva el 8 de abril de 2013. La demora en la integración del tribunal se debió a que siete magistrados se inhibieron o excusaron de intervenir en distintos momentos del </w:t>
      </w:r>
      <w:r w:rsidRPr="00386E47">
        <w:rPr>
          <w:rFonts w:asciiTheme="majorHAnsi" w:eastAsia="Calibri" w:hAnsiTheme="majorHAnsi"/>
          <w:sz w:val="20"/>
          <w:szCs w:val="20"/>
          <w:lang w:val="es-ES"/>
        </w:rPr>
        <w:lastRenderedPageBreak/>
        <w:t>trámite. La Cámara de Casación finalmente rechazó el recurso por medio de una resolución dictada el 14 de agosto de 2013</w:t>
      </w:r>
      <w:r w:rsidRPr="00386E47">
        <w:rPr>
          <w:rFonts w:asciiTheme="majorHAnsi" w:eastAsia="Calibri" w:hAnsiTheme="majorHAnsi"/>
          <w:sz w:val="20"/>
          <w:szCs w:val="20"/>
          <w:vertAlign w:val="superscript"/>
          <w:lang w:val="es-ES"/>
        </w:rPr>
        <w:footnoteReference w:id="266"/>
      </w:r>
      <w:r w:rsidRPr="00386E47">
        <w:rPr>
          <w:rFonts w:asciiTheme="majorHAnsi" w:eastAsia="Calibri" w:hAnsiTheme="majorHAnsi"/>
          <w:sz w:val="20"/>
          <w:szCs w:val="20"/>
          <w:lang w:val="es-ES"/>
        </w:rPr>
        <w:t xml:space="preserve">.   </w:t>
      </w:r>
    </w:p>
    <w:p w14:paraId="77DBA298" w14:textId="77777777" w:rsidR="00017822" w:rsidRPr="00386E47" w:rsidRDefault="00017822" w:rsidP="00A311A0">
      <w:pPr>
        <w:tabs>
          <w:tab w:val="left" w:pos="567"/>
        </w:tabs>
        <w:contextualSpacing/>
        <w:jc w:val="both"/>
        <w:rPr>
          <w:rFonts w:asciiTheme="majorHAnsi" w:eastAsia="Calibri" w:hAnsiTheme="majorHAnsi"/>
          <w:sz w:val="20"/>
          <w:szCs w:val="20"/>
          <w:lang w:val="es-ES"/>
        </w:rPr>
      </w:pPr>
    </w:p>
    <w:p w14:paraId="3FF9A924" w14:textId="77777777" w:rsidR="00017822" w:rsidRPr="00386E47" w:rsidRDefault="00017822" w:rsidP="003A5860">
      <w:pPr>
        <w:numPr>
          <w:ilvl w:val="0"/>
          <w:numId w:val="55"/>
        </w:numPr>
        <w:tabs>
          <w:tab w:val="left" w:pos="567"/>
        </w:tabs>
        <w:ind w:left="0" w:firstLine="0"/>
        <w:contextualSpacing/>
        <w:jc w:val="both"/>
        <w:rPr>
          <w:rFonts w:asciiTheme="majorHAnsi" w:eastAsia="Calibri" w:hAnsiTheme="majorHAnsi"/>
          <w:sz w:val="20"/>
          <w:szCs w:val="20"/>
          <w:lang w:val="es-ES"/>
        </w:rPr>
      </w:pPr>
      <w:r w:rsidRPr="00386E47">
        <w:rPr>
          <w:rFonts w:asciiTheme="majorHAnsi" w:eastAsia="Calibri" w:hAnsiTheme="majorHAnsi"/>
          <w:sz w:val="20"/>
          <w:szCs w:val="20"/>
          <w:lang w:val="es-ES"/>
        </w:rPr>
        <w:t>Respecto de la investigación sobre la falta de profundización de la pista siria- Kannore Edul, la Comisión nota que el Juzgado Federal en lo Criminal y Correccional Nro. 4 resolvió el 30 de marzo de 2012 clausurar la instrucción y elevar la causa a juicio oral</w:t>
      </w:r>
      <w:r w:rsidRPr="00386E47">
        <w:rPr>
          <w:rFonts w:asciiTheme="majorHAnsi" w:eastAsia="Calibri" w:hAnsiTheme="majorHAnsi"/>
          <w:sz w:val="20"/>
          <w:szCs w:val="20"/>
          <w:vertAlign w:val="superscript"/>
          <w:lang w:val="es-ES"/>
        </w:rPr>
        <w:footnoteReference w:id="267"/>
      </w:r>
      <w:r w:rsidRPr="00386E47">
        <w:rPr>
          <w:rFonts w:asciiTheme="majorHAnsi" w:eastAsia="Calibri" w:hAnsiTheme="majorHAnsi"/>
          <w:sz w:val="20"/>
          <w:szCs w:val="20"/>
          <w:lang w:val="es-ES"/>
        </w:rPr>
        <w:t>. Considerando que el proceso se inició en el año 2000, ello significa que la etapa de instrucción insumió doce años. Las peticionarias expresaron que el primer magistrado que intervino en la causa debió ser desplazado de la misma por su inactividad procesal</w:t>
      </w:r>
      <w:r w:rsidRPr="00386E47">
        <w:rPr>
          <w:rFonts w:asciiTheme="majorHAnsi" w:eastAsia="Calibri" w:hAnsiTheme="majorHAnsi"/>
          <w:sz w:val="20"/>
          <w:szCs w:val="20"/>
          <w:vertAlign w:val="superscript"/>
          <w:lang w:val="es-ES"/>
        </w:rPr>
        <w:footnoteReference w:id="268"/>
      </w:r>
      <w:r w:rsidRPr="00386E47">
        <w:rPr>
          <w:rFonts w:asciiTheme="majorHAnsi" w:eastAsia="Calibri" w:hAnsiTheme="majorHAnsi"/>
          <w:sz w:val="20"/>
          <w:szCs w:val="20"/>
          <w:lang w:val="es-ES"/>
        </w:rPr>
        <w:t xml:space="preserve">. El Estado argentino no proporcionó en el trámite de esta petición razón alguna que explique el porqué de la prolongada demora de esta instrucción. </w:t>
      </w:r>
    </w:p>
    <w:p w14:paraId="67DA90BC" w14:textId="77777777" w:rsidR="006C5BDC" w:rsidRPr="00386E47" w:rsidRDefault="006C5BDC">
      <w:pPr>
        <w:tabs>
          <w:tab w:val="left" w:pos="567"/>
        </w:tabs>
        <w:contextualSpacing/>
        <w:jc w:val="both"/>
        <w:rPr>
          <w:rFonts w:asciiTheme="majorHAnsi" w:eastAsia="Calibri" w:hAnsiTheme="majorHAnsi"/>
          <w:sz w:val="20"/>
          <w:szCs w:val="20"/>
          <w:lang w:val="es-ES"/>
        </w:rPr>
      </w:pPr>
    </w:p>
    <w:p w14:paraId="46EF6126" w14:textId="77777777" w:rsidR="00CD6F1B" w:rsidRPr="00386E47" w:rsidRDefault="000E35A2" w:rsidP="003A5860">
      <w:pPr>
        <w:numPr>
          <w:ilvl w:val="0"/>
          <w:numId w:val="55"/>
        </w:numPr>
        <w:tabs>
          <w:tab w:val="left" w:pos="567"/>
        </w:tabs>
        <w:ind w:left="0" w:firstLine="0"/>
        <w:contextualSpacing/>
        <w:jc w:val="both"/>
        <w:rPr>
          <w:rFonts w:asciiTheme="majorHAnsi" w:eastAsia="Calibri" w:hAnsiTheme="majorHAnsi"/>
          <w:sz w:val="20"/>
          <w:szCs w:val="20"/>
          <w:lang w:val="es-ES"/>
        </w:rPr>
      </w:pPr>
      <w:r w:rsidRPr="00386E47">
        <w:rPr>
          <w:rFonts w:asciiTheme="majorHAnsi" w:eastAsia="Calibri" w:hAnsiTheme="majorHAnsi"/>
          <w:sz w:val="20"/>
          <w:szCs w:val="20"/>
          <w:lang w:val="es-ES"/>
        </w:rPr>
        <w:t xml:space="preserve">La Comisión observa en relación con ambas investigaciones </w:t>
      </w:r>
      <w:r w:rsidR="009F70EA" w:rsidRPr="00386E47">
        <w:rPr>
          <w:rFonts w:asciiTheme="majorHAnsi" w:eastAsia="Calibri" w:hAnsiTheme="majorHAnsi"/>
          <w:sz w:val="20"/>
          <w:szCs w:val="20"/>
          <w:lang w:val="es-ES"/>
        </w:rPr>
        <w:t>que</w:t>
      </w:r>
      <w:r w:rsidR="001B3781" w:rsidRPr="00386E47">
        <w:rPr>
          <w:rFonts w:asciiTheme="majorHAnsi" w:eastAsia="Calibri" w:hAnsiTheme="majorHAnsi"/>
          <w:sz w:val="20"/>
          <w:szCs w:val="20"/>
          <w:lang w:val="es-ES"/>
        </w:rPr>
        <w:t>,</w:t>
      </w:r>
      <w:r w:rsidR="009F70EA" w:rsidRPr="00386E47">
        <w:rPr>
          <w:rFonts w:asciiTheme="majorHAnsi" w:eastAsia="Calibri" w:hAnsiTheme="majorHAnsi"/>
          <w:sz w:val="20"/>
          <w:szCs w:val="20"/>
          <w:lang w:val="es-ES"/>
        </w:rPr>
        <w:t xml:space="preserve"> desde el dictado de </w:t>
      </w:r>
      <w:r w:rsidRPr="00386E47">
        <w:rPr>
          <w:rFonts w:asciiTheme="majorHAnsi" w:eastAsia="Calibri" w:hAnsiTheme="majorHAnsi"/>
          <w:sz w:val="20"/>
          <w:szCs w:val="20"/>
          <w:lang w:val="es-ES"/>
        </w:rPr>
        <w:t xml:space="preserve">los respectivos </w:t>
      </w:r>
      <w:r w:rsidR="009F70EA" w:rsidRPr="00386E47">
        <w:rPr>
          <w:rFonts w:asciiTheme="majorHAnsi" w:eastAsia="Calibri" w:hAnsiTheme="majorHAnsi"/>
          <w:sz w:val="20"/>
          <w:szCs w:val="20"/>
          <w:lang w:val="es-ES"/>
        </w:rPr>
        <w:t>autos de elevación a juicio hasta el inicio de la primera audiencia de debate</w:t>
      </w:r>
      <w:r w:rsidR="001B3781" w:rsidRPr="00386E47">
        <w:rPr>
          <w:rFonts w:asciiTheme="majorHAnsi" w:eastAsia="Calibri" w:hAnsiTheme="majorHAnsi"/>
          <w:sz w:val="20"/>
          <w:szCs w:val="20"/>
          <w:lang w:val="es-ES"/>
        </w:rPr>
        <w:t>,</w:t>
      </w:r>
      <w:r w:rsidR="009F70EA" w:rsidRPr="00386E47">
        <w:rPr>
          <w:rFonts w:asciiTheme="majorHAnsi" w:eastAsia="Calibri" w:hAnsiTheme="majorHAnsi"/>
          <w:sz w:val="20"/>
          <w:szCs w:val="20"/>
          <w:lang w:val="es-ES"/>
        </w:rPr>
        <w:t xml:space="preserve"> transcurrieron más de tres años en los cuales el trámite de la causa no experimentó avance</w:t>
      </w:r>
      <w:r w:rsidR="001B3781" w:rsidRPr="00386E47">
        <w:rPr>
          <w:rFonts w:asciiTheme="majorHAnsi" w:eastAsia="Calibri" w:hAnsiTheme="majorHAnsi"/>
          <w:sz w:val="20"/>
          <w:szCs w:val="20"/>
          <w:lang w:val="es-ES"/>
        </w:rPr>
        <w:t>s</w:t>
      </w:r>
      <w:r w:rsidR="009F70EA" w:rsidRPr="00386E47">
        <w:rPr>
          <w:rFonts w:asciiTheme="majorHAnsi" w:eastAsia="Calibri" w:hAnsiTheme="majorHAnsi"/>
          <w:sz w:val="20"/>
          <w:szCs w:val="20"/>
          <w:lang w:val="es-ES"/>
        </w:rPr>
        <w:t xml:space="preserve"> sustancial</w:t>
      </w:r>
      <w:r w:rsidR="001B3781" w:rsidRPr="00386E47">
        <w:rPr>
          <w:rFonts w:asciiTheme="majorHAnsi" w:eastAsia="Calibri" w:hAnsiTheme="majorHAnsi"/>
          <w:sz w:val="20"/>
          <w:szCs w:val="20"/>
          <w:lang w:val="es-ES"/>
        </w:rPr>
        <w:t>es</w:t>
      </w:r>
      <w:r w:rsidR="009F70EA" w:rsidRPr="00386E47">
        <w:rPr>
          <w:rFonts w:asciiTheme="majorHAnsi" w:eastAsia="Calibri" w:hAnsiTheme="majorHAnsi"/>
          <w:sz w:val="20"/>
          <w:szCs w:val="20"/>
          <w:lang w:val="es-ES"/>
        </w:rPr>
        <w:t xml:space="preserve">. En efecto, el auto de elevación a juicio oral por los hechos vinculados con el pago a </w:t>
      </w:r>
      <w:r w:rsidR="002457E7" w:rsidRPr="00386E47">
        <w:rPr>
          <w:rFonts w:asciiTheme="majorHAnsi" w:eastAsia="Calibri" w:hAnsiTheme="majorHAnsi"/>
          <w:sz w:val="20"/>
          <w:szCs w:val="20"/>
          <w:lang w:val="es-ES"/>
        </w:rPr>
        <w:t>Telleldin</w:t>
      </w:r>
      <w:r w:rsidR="009F70EA" w:rsidRPr="00386E47">
        <w:rPr>
          <w:rFonts w:asciiTheme="majorHAnsi" w:eastAsia="Calibri" w:hAnsiTheme="majorHAnsi"/>
          <w:sz w:val="20"/>
          <w:szCs w:val="20"/>
          <w:lang w:val="es-ES"/>
        </w:rPr>
        <w:t xml:space="preserve"> data del 12 de mayo de 2011 y el auto dictado por la interrupción de la pista siria es de fecha 30 de marzo de 2012. Sin embargo, la primera audiencia del juicio oral tuvo lugar recién en agosto de 2015</w:t>
      </w:r>
      <w:r w:rsidR="006C5BDC" w:rsidRPr="00386E47">
        <w:rPr>
          <w:rStyle w:val="FootnoteReference"/>
          <w:rFonts w:asciiTheme="majorHAnsi" w:eastAsia="Calibri" w:hAnsiTheme="majorHAnsi"/>
          <w:sz w:val="20"/>
          <w:szCs w:val="20"/>
          <w:lang w:val="es-ES"/>
        </w:rPr>
        <w:footnoteReference w:id="269"/>
      </w:r>
      <w:r w:rsidR="009F70EA" w:rsidRPr="00386E47">
        <w:rPr>
          <w:rFonts w:asciiTheme="majorHAnsi" w:eastAsia="Calibri" w:hAnsiTheme="majorHAnsi"/>
          <w:sz w:val="20"/>
          <w:szCs w:val="20"/>
          <w:lang w:val="es-ES"/>
        </w:rPr>
        <w:t xml:space="preserve">. </w:t>
      </w:r>
    </w:p>
    <w:p w14:paraId="686EDB60" w14:textId="77777777" w:rsidR="00CD6F1B" w:rsidRPr="00386E47" w:rsidRDefault="00CD6F1B" w:rsidP="00D85E80">
      <w:pPr>
        <w:tabs>
          <w:tab w:val="left" w:pos="567"/>
        </w:tabs>
        <w:contextualSpacing/>
        <w:jc w:val="both"/>
        <w:rPr>
          <w:rFonts w:asciiTheme="majorHAnsi" w:eastAsia="Calibri" w:hAnsiTheme="majorHAnsi"/>
          <w:sz w:val="20"/>
          <w:szCs w:val="20"/>
          <w:lang w:val="es-ES"/>
        </w:rPr>
      </w:pPr>
    </w:p>
    <w:p w14:paraId="7FE2D347" w14:textId="77777777" w:rsidR="00CD6F1B" w:rsidRPr="00386E47" w:rsidRDefault="009F70EA" w:rsidP="003A5860">
      <w:pPr>
        <w:numPr>
          <w:ilvl w:val="0"/>
          <w:numId w:val="55"/>
        </w:numPr>
        <w:tabs>
          <w:tab w:val="left" w:pos="567"/>
        </w:tabs>
        <w:ind w:left="0" w:firstLine="0"/>
        <w:contextualSpacing/>
        <w:jc w:val="both"/>
        <w:rPr>
          <w:rFonts w:asciiTheme="majorHAnsi" w:eastAsia="Calibri" w:hAnsiTheme="majorHAnsi"/>
          <w:sz w:val="20"/>
          <w:szCs w:val="20"/>
          <w:lang w:val="es-ES"/>
        </w:rPr>
      </w:pPr>
      <w:r w:rsidRPr="00386E47">
        <w:rPr>
          <w:rFonts w:asciiTheme="majorHAnsi" w:eastAsia="Calibri" w:hAnsiTheme="majorHAnsi"/>
          <w:sz w:val="20"/>
          <w:szCs w:val="20"/>
          <w:lang w:val="es-ES"/>
        </w:rPr>
        <w:t xml:space="preserve">La Comisión </w:t>
      </w:r>
      <w:r w:rsidR="00162518" w:rsidRPr="00386E47">
        <w:rPr>
          <w:rFonts w:asciiTheme="majorHAnsi" w:eastAsia="Calibri" w:hAnsiTheme="majorHAnsi"/>
          <w:sz w:val="20"/>
          <w:szCs w:val="20"/>
          <w:lang w:val="es-ES"/>
        </w:rPr>
        <w:t>destaca asimismo</w:t>
      </w:r>
      <w:r w:rsidRPr="00386E47">
        <w:rPr>
          <w:rFonts w:asciiTheme="majorHAnsi" w:eastAsia="Calibri" w:hAnsiTheme="majorHAnsi"/>
          <w:sz w:val="20"/>
          <w:szCs w:val="20"/>
          <w:lang w:val="es-ES"/>
        </w:rPr>
        <w:t xml:space="preserve"> que las audiencias de debate ante el TOF 2 se extendieron por más de tres años y seis meses. En efecto, la primera audiencia de debate del juicio oral se celebró el día 6 de agosto de 2015 y el veredicto fue pronunciado el 28 de febrero de 2019. La Comisión destaca que, conforme se encuentra plasmado en la sentencia del TOF 2, entre agosto de 2015 y febrero de 2019 se habrían tenido lugar 172 audiencias y que la etapa de alegatos de las partes comenzó el 26 de octubre de 2017 y culminó el 22 de noviembre de 2018. La Comisión nota que las audiencias fueron celebradas de manera esporádica, a un ritmo de tres o cuatro por mes y que se interrumpieron en reiteradas oportunidades, especialmente durante los meses de diciembre y enero.  </w:t>
      </w:r>
    </w:p>
    <w:p w14:paraId="3BD05017" w14:textId="77777777" w:rsidR="00CD6F1B" w:rsidRPr="00386E47" w:rsidRDefault="00CD6F1B" w:rsidP="00D85E80">
      <w:pPr>
        <w:tabs>
          <w:tab w:val="left" w:pos="567"/>
        </w:tabs>
        <w:contextualSpacing/>
        <w:jc w:val="both"/>
        <w:rPr>
          <w:rFonts w:asciiTheme="majorHAnsi" w:eastAsia="Calibri" w:hAnsiTheme="majorHAnsi"/>
          <w:sz w:val="20"/>
          <w:szCs w:val="20"/>
          <w:lang w:val="es-ES"/>
        </w:rPr>
      </w:pPr>
    </w:p>
    <w:p w14:paraId="419D6197" w14:textId="77777777" w:rsidR="00CD6F1B" w:rsidRPr="00386E47" w:rsidRDefault="009F70EA" w:rsidP="003A5860">
      <w:pPr>
        <w:numPr>
          <w:ilvl w:val="0"/>
          <w:numId w:val="55"/>
        </w:numPr>
        <w:tabs>
          <w:tab w:val="left" w:pos="567"/>
        </w:tabs>
        <w:ind w:left="0" w:firstLine="0"/>
        <w:contextualSpacing/>
        <w:jc w:val="both"/>
        <w:rPr>
          <w:rFonts w:asciiTheme="majorHAnsi" w:eastAsia="Calibri" w:hAnsiTheme="majorHAnsi"/>
          <w:sz w:val="20"/>
          <w:szCs w:val="20"/>
          <w:lang w:val="es-ES"/>
        </w:rPr>
      </w:pPr>
      <w:r w:rsidRPr="00386E47">
        <w:rPr>
          <w:rFonts w:asciiTheme="majorHAnsi" w:eastAsia="Calibri" w:hAnsiTheme="majorHAnsi"/>
          <w:sz w:val="20"/>
          <w:szCs w:val="20"/>
          <w:lang w:val="es-ES"/>
        </w:rPr>
        <w:t>En resumen, la Comisión resalta que la etapa de juicio por el encubrimiento al atentado se extendió por más de siete años y la etapa de instrucción por más de doce. La Comisión advierte que en la causa aún no se ha dictado sentencia definitiva, toda vez que se encuentran en trámite diversos recursos de casación interpuestos ante la decisión del TOF 2 de mayo de 2019. A lo largo del trámite de esta petición el Estado argentino no esbozó argumento alguno respecto de la razonabilidad del plazo y tampoco elaboró que factores pudieron haber influido para que la tramitación global del proceso se encuentre, a la fecha de aprobación de este informe, ingresando en su vigésimo año</w:t>
      </w:r>
      <w:r w:rsidRPr="00386E47">
        <w:rPr>
          <w:rFonts w:asciiTheme="majorHAnsi" w:eastAsia="Calibri" w:hAnsiTheme="majorHAnsi"/>
          <w:sz w:val="22"/>
          <w:szCs w:val="22"/>
          <w:vertAlign w:val="superscript"/>
          <w:lang w:val="es-ES"/>
        </w:rPr>
        <w:footnoteReference w:id="270"/>
      </w:r>
      <w:r w:rsidRPr="00386E47">
        <w:rPr>
          <w:rFonts w:asciiTheme="majorHAnsi" w:eastAsia="Calibri" w:hAnsiTheme="majorHAnsi"/>
          <w:sz w:val="20"/>
          <w:szCs w:val="20"/>
          <w:lang w:val="es-ES"/>
        </w:rPr>
        <w:t xml:space="preserve">. </w:t>
      </w:r>
    </w:p>
    <w:p w14:paraId="4DB5B286" w14:textId="77777777" w:rsidR="00CD6F1B" w:rsidRPr="00386E47" w:rsidRDefault="00CD6F1B" w:rsidP="00D85E80">
      <w:pPr>
        <w:tabs>
          <w:tab w:val="left" w:pos="567"/>
        </w:tabs>
        <w:contextualSpacing/>
        <w:jc w:val="both"/>
        <w:rPr>
          <w:rFonts w:asciiTheme="majorHAnsi" w:eastAsia="Calibri" w:hAnsiTheme="majorHAnsi"/>
          <w:sz w:val="20"/>
          <w:szCs w:val="20"/>
          <w:lang w:val="es-ES"/>
        </w:rPr>
      </w:pPr>
    </w:p>
    <w:p w14:paraId="4E8EA242" w14:textId="77777777" w:rsidR="009F70EA" w:rsidRPr="00386E47" w:rsidRDefault="009F70EA" w:rsidP="003A5860">
      <w:pPr>
        <w:numPr>
          <w:ilvl w:val="0"/>
          <w:numId w:val="55"/>
        </w:numPr>
        <w:tabs>
          <w:tab w:val="left" w:pos="567"/>
        </w:tabs>
        <w:ind w:left="0" w:firstLine="0"/>
        <w:contextualSpacing/>
        <w:jc w:val="both"/>
        <w:rPr>
          <w:rFonts w:asciiTheme="majorHAnsi" w:eastAsia="Calibri" w:hAnsiTheme="majorHAnsi"/>
          <w:sz w:val="20"/>
          <w:szCs w:val="20"/>
          <w:lang w:val="es-ES"/>
        </w:rPr>
      </w:pPr>
      <w:r w:rsidRPr="00386E47">
        <w:rPr>
          <w:rFonts w:asciiTheme="majorHAnsi" w:eastAsia="Calibri" w:hAnsiTheme="majorHAnsi"/>
          <w:sz w:val="20"/>
          <w:szCs w:val="20"/>
          <w:lang w:val="es-ES"/>
        </w:rPr>
        <w:t>Por último, la Comisión destaca que también existen causas donde se investigan otros posibles actos de encubrimiento durante la investigación Galeano que aún continúan en trámite y que no fueron objeto de una decisión de mérito de primera instancia. Entre estos desprendimientos o causas residuales se encuentra pendiente de resolución la situación de los secretarios que secundaban a Galeano en el juzgado</w:t>
      </w:r>
      <w:r w:rsidRPr="00386E47">
        <w:rPr>
          <w:rFonts w:asciiTheme="majorHAnsi" w:eastAsia="Calibri" w:hAnsiTheme="majorHAnsi"/>
          <w:sz w:val="22"/>
          <w:szCs w:val="22"/>
          <w:vertAlign w:val="superscript"/>
          <w:lang w:val="es-ES"/>
        </w:rPr>
        <w:footnoteReference w:id="271"/>
      </w:r>
      <w:r w:rsidRPr="00386E47">
        <w:rPr>
          <w:rFonts w:asciiTheme="majorHAnsi" w:eastAsia="Calibri" w:hAnsiTheme="majorHAnsi"/>
          <w:sz w:val="20"/>
          <w:szCs w:val="20"/>
          <w:lang w:val="es-ES"/>
        </w:rPr>
        <w:t xml:space="preserve"> y la responsabilidad penal de algunos abogados que intervinieron en la investigación por amenazas a ciertos imputados</w:t>
      </w:r>
      <w:r w:rsidRPr="00386E47">
        <w:rPr>
          <w:rFonts w:asciiTheme="majorHAnsi" w:eastAsia="Calibri" w:hAnsiTheme="majorHAnsi"/>
          <w:sz w:val="22"/>
          <w:szCs w:val="22"/>
          <w:vertAlign w:val="superscript"/>
          <w:lang w:val="es-ES"/>
        </w:rPr>
        <w:footnoteReference w:id="272"/>
      </w:r>
      <w:r w:rsidRPr="00386E47">
        <w:rPr>
          <w:rFonts w:asciiTheme="majorHAnsi" w:eastAsia="Calibri" w:hAnsiTheme="majorHAnsi"/>
          <w:sz w:val="20"/>
          <w:szCs w:val="20"/>
          <w:lang w:val="es-ES"/>
        </w:rPr>
        <w:t xml:space="preserve">. </w:t>
      </w:r>
    </w:p>
    <w:p w14:paraId="50F3A72D" w14:textId="77777777" w:rsidR="009F70EA" w:rsidRPr="00386E47" w:rsidRDefault="009F70EA" w:rsidP="00A311A0">
      <w:pPr>
        <w:tabs>
          <w:tab w:val="left" w:pos="426"/>
        </w:tabs>
        <w:contextualSpacing/>
        <w:jc w:val="both"/>
        <w:rPr>
          <w:rFonts w:asciiTheme="majorHAnsi" w:eastAsia="Calibri" w:hAnsiTheme="majorHAnsi"/>
          <w:b/>
          <w:sz w:val="20"/>
          <w:szCs w:val="20"/>
          <w:lang w:val="es-ES"/>
        </w:rPr>
      </w:pPr>
    </w:p>
    <w:p w14:paraId="2E614416" w14:textId="77777777" w:rsidR="007F4EFD" w:rsidRPr="00386E47" w:rsidRDefault="009F70EA" w:rsidP="003A5860">
      <w:pPr>
        <w:numPr>
          <w:ilvl w:val="0"/>
          <w:numId w:val="55"/>
        </w:numPr>
        <w:tabs>
          <w:tab w:val="left" w:pos="567"/>
        </w:tabs>
        <w:ind w:left="0" w:firstLine="0"/>
        <w:contextualSpacing/>
        <w:jc w:val="both"/>
        <w:rPr>
          <w:rFonts w:asciiTheme="majorHAnsi" w:eastAsia="Calibri" w:hAnsiTheme="majorHAnsi"/>
          <w:sz w:val="20"/>
          <w:szCs w:val="20"/>
          <w:lang w:val="es-ES"/>
        </w:rPr>
      </w:pPr>
      <w:r w:rsidRPr="00386E47">
        <w:rPr>
          <w:rFonts w:asciiTheme="majorHAnsi" w:eastAsia="Calibri" w:hAnsiTheme="majorHAnsi"/>
          <w:sz w:val="20"/>
          <w:szCs w:val="20"/>
          <w:lang w:val="es-ES"/>
        </w:rPr>
        <w:t xml:space="preserve">La Comisión verificó que las peticionarias, en su carácter de parte querellante de los procesos por el encubrimiento del atentado, instaron en numerosas ocasiones a las autoridades judiciales a que se avance con las </w:t>
      </w:r>
      <w:r w:rsidRPr="00386E47">
        <w:rPr>
          <w:rFonts w:asciiTheme="majorHAnsi" w:eastAsia="Calibri" w:hAnsiTheme="majorHAnsi"/>
          <w:sz w:val="20"/>
          <w:szCs w:val="20"/>
          <w:lang w:val="es-ES"/>
        </w:rPr>
        <w:lastRenderedPageBreak/>
        <w:t xml:space="preserve">investigaciones y se celebren los respectivos juicios orales. </w:t>
      </w:r>
      <w:r w:rsidR="000E35A2" w:rsidRPr="00386E47">
        <w:rPr>
          <w:rFonts w:asciiTheme="majorHAnsi" w:eastAsia="Calibri" w:hAnsiTheme="majorHAnsi"/>
          <w:sz w:val="20"/>
          <w:szCs w:val="20"/>
          <w:lang w:val="es-ES"/>
        </w:rPr>
        <w:t>Además, las peticionarias y sus representantes legales también han recurrido a las más altas autoridades de la Procuración General de la Nación a efectos de solicitar que los fiscales intervinientes en los procesos por el encubrimiento desplieguen un rol más proactivo a la hora de ejercer la acción penal pública</w:t>
      </w:r>
      <w:r w:rsidR="000E35A2" w:rsidRPr="00386E47">
        <w:rPr>
          <w:rFonts w:asciiTheme="majorHAnsi" w:eastAsia="Calibri" w:hAnsiTheme="majorHAnsi"/>
          <w:sz w:val="20"/>
          <w:szCs w:val="20"/>
          <w:vertAlign w:val="superscript"/>
          <w:lang w:val="es-ES"/>
        </w:rPr>
        <w:footnoteReference w:id="273"/>
      </w:r>
      <w:r w:rsidR="000E35A2" w:rsidRPr="00386E47">
        <w:rPr>
          <w:rFonts w:asciiTheme="majorHAnsi" w:eastAsia="Calibri" w:hAnsiTheme="majorHAnsi"/>
          <w:sz w:val="20"/>
          <w:szCs w:val="20"/>
          <w:lang w:val="es-ES"/>
        </w:rPr>
        <w:t xml:space="preserve">.  </w:t>
      </w:r>
    </w:p>
    <w:p w14:paraId="647DD88E" w14:textId="77777777" w:rsidR="0014695A" w:rsidRPr="00386E47" w:rsidRDefault="00D85E80" w:rsidP="00A311A0">
      <w:pPr>
        <w:tabs>
          <w:tab w:val="left" w:pos="567"/>
        </w:tabs>
        <w:contextualSpacing/>
        <w:jc w:val="both"/>
        <w:rPr>
          <w:rFonts w:asciiTheme="majorHAnsi" w:eastAsia="Calibri" w:hAnsiTheme="majorHAnsi"/>
          <w:sz w:val="20"/>
          <w:szCs w:val="20"/>
          <w:lang w:val="es-ES"/>
        </w:rPr>
      </w:pPr>
      <w:r w:rsidRPr="00386E47">
        <w:rPr>
          <w:rFonts w:asciiTheme="majorHAnsi" w:eastAsia="Calibri" w:hAnsiTheme="majorHAnsi"/>
          <w:sz w:val="20"/>
          <w:szCs w:val="20"/>
          <w:lang w:val="es-ES"/>
        </w:rPr>
        <w:tab/>
      </w:r>
    </w:p>
    <w:p w14:paraId="4AE9B440" w14:textId="77777777" w:rsidR="009F70EA" w:rsidRPr="00386E47" w:rsidRDefault="009F70EA" w:rsidP="003A5860">
      <w:pPr>
        <w:numPr>
          <w:ilvl w:val="0"/>
          <w:numId w:val="55"/>
        </w:numPr>
        <w:tabs>
          <w:tab w:val="left" w:pos="567"/>
        </w:tabs>
        <w:ind w:left="0" w:firstLine="0"/>
        <w:contextualSpacing/>
        <w:jc w:val="both"/>
        <w:rPr>
          <w:rFonts w:asciiTheme="majorHAnsi" w:eastAsia="Calibri" w:hAnsiTheme="majorHAnsi"/>
          <w:sz w:val="20"/>
          <w:szCs w:val="20"/>
          <w:lang w:val="es-ES"/>
        </w:rPr>
      </w:pPr>
      <w:r w:rsidRPr="00386E47">
        <w:rPr>
          <w:rFonts w:asciiTheme="majorHAnsi" w:eastAsia="Calibri" w:hAnsiTheme="majorHAnsi"/>
          <w:sz w:val="20"/>
          <w:szCs w:val="20"/>
          <w:lang w:val="es-ES"/>
        </w:rPr>
        <w:t>En esta misma línea, la Comisión destaca que el objeto procesal de las investigaciones reseñadas en este apartado es el juzgamiento y eventual imposición de sanciones penales por hechos de encubrimiento y ocultamiento de la verdad por parte de funcionarios públicos. La importancia de investigar y juzgar este tipo de actos en un plazo razonable resulta aún más intensa si se tiene en cuenta que las maniobras de encubrimiento se sucedieron en el marco de la investigación por el atentado terrorista a la sede de la AMIA que arrojó decenas de víctimas fatales y centenares de heridos y fue catalogado por las propias autoridades judiciales nacionales como un caso de graves violaciones a los derechos humano</w:t>
      </w:r>
      <w:r w:rsidR="00F361B0" w:rsidRPr="00386E47">
        <w:rPr>
          <w:rFonts w:asciiTheme="majorHAnsi" w:eastAsia="Calibri" w:hAnsiTheme="majorHAnsi"/>
          <w:sz w:val="20"/>
          <w:szCs w:val="20"/>
          <w:lang w:val="es-ES"/>
        </w:rPr>
        <w:t>s</w:t>
      </w:r>
      <w:r w:rsidRPr="00386E47">
        <w:rPr>
          <w:rFonts w:asciiTheme="majorHAnsi" w:eastAsia="Calibri" w:hAnsiTheme="majorHAnsi"/>
          <w:sz w:val="20"/>
          <w:szCs w:val="20"/>
          <w:lang w:val="es-ES"/>
        </w:rPr>
        <w:t xml:space="preserve">. </w:t>
      </w:r>
    </w:p>
    <w:p w14:paraId="02B4CDFA" w14:textId="77777777" w:rsidR="004C42C7" w:rsidRPr="00386E47" w:rsidRDefault="004C42C7" w:rsidP="004C42C7">
      <w:pPr>
        <w:pStyle w:val="ListParagraph"/>
        <w:rPr>
          <w:rFonts w:asciiTheme="majorHAnsi" w:eastAsia="Calibri" w:hAnsiTheme="majorHAnsi"/>
          <w:sz w:val="20"/>
          <w:szCs w:val="20"/>
          <w:lang w:val="es-ES"/>
        </w:rPr>
      </w:pPr>
    </w:p>
    <w:p w14:paraId="6D4E9150" w14:textId="77777777" w:rsidR="004C42C7" w:rsidRPr="00386E47" w:rsidRDefault="004C42C7" w:rsidP="003A5860">
      <w:pPr>
        <w:numPr>
          <w:ilvl w:val="0"/>
          <w:numId w:val="55"/>
        </w:numPr>
        <w:tabs>
          <w:tab w:val="left" w:pos="567"/>
        </w:tabs>
        <w:ind w:left="0" w:firstLine="0"/>
        <w:contextualSpacing/>
        <w:jc w:val="both"/>
        <w:rPr>
          <w:rFonts w:asciiTheme="majorHAnsi" w:eastAsia="Calibri" w:hAnsiTheme="majorHAnsi"/>
          <w:sz w:val="20"/>
          <w:szCs w:val="20"/>
          <w:lang w:val="es-ES"/>
        </w:rPr>
      </w:pPr>
      <w:r w:rsidRPr="00386E47">
        <w:rPr>
          <w:rFonts w:asciiTheme="majorHAnsi" w:eastAsia="Calibri" w:hAnsiTheme="majorHAnsi"/>
          <w:sz w:val="20"/>
          <w:szCs w:val="20"/>
          <w:lang w:val="es-ES"/>
        </w:rPr>
        <w:t>Finalmente, en relación con la investigación de la denuncia interpuesta</w:t>
      </w:r>
      <w:r w:rsidR="00287767" w:rsidRPr="00386E47">
        <w:rPr>
          <w:rFonts w:asciiTheme="majorHAnsi" w:eastAsia="Calibri" w:hAnsiTheme="majorHAnsi"/>
          <w:sz w:val="20"/>
          <w:szCs w:val="20"/>
          <w:lang w:val="es-ES"/>
        </w:rPr>
        <w:t xml:space="preserve"> en enero de 2015 </w:t>
      </w:r>
      <w:r w:rsidRPr="00386E47">
        <w:rPr>
          <w:rFonts w:asciiTheme="majorHAnsi" w:eastAsia="Calibri" w:hAnsiTheme="majorHAnsi"/>
          <w:sz w:val="20"/>
          <w:szCs w:val="20"/>
          <w:lang w:val="es-ES"/>
        </w:rPr>
        <w:t xml:space="preserve"> por el fiscal Nisman </w:t>
      </w:r>
      <w:r w:rsidR="00287767" w:rsidRPr="00386E47">
        <w:rPr>
          <w:rFonts w:asciiTheme="majorHAnsi" w:eastAsia="Calibri" w:hAnsiTheme="majorHAnsi"/>
          <w:sz w:val="20"/>
          <w:szCs w:val="20"/>
          <w:lang w:val="es-ES"/>
        </w:rPr>
        <w:t xml:space="preserve">por el posible delito de encubrimiento en el contexto de la firma del </w:t>
      </w:r>
      <w:r w:rsidR="00EC5A9D" w:rsidRPr="00386E47">
        <w:rPr>
          <w:rFonts w:asciiTheme="majorHAnsi" w:eastAsia="Calibri" w:hAnsiTheme="majorHAnsi"/>
          <w:sz w:val="20"/>
          <w:szCs w:val="20"/>
          <w:lang w:val="es-ES"/>
        </w:rPr>
        <w:t>Memorándum</w:t>
      </w:r>
      <w:r w:rsidR="00287767" w:rsidRPr="00386E47">
        <w:rPr>
          <w:rFonts w:asciiTheme="majorHAnsi" w:eastAsia="Calibri" w:hAnsiTheme="majorHAnsi"/>
          <w:sz w:val="20"/>
          <w:szCs w:val="20"/>
          <w:lang w:val="es-ES"/>
        </w:rPr>
        <w:t xml:space="preserve"> de entendimiento entre Argentina e Irán</w:t>
      </w:r>
      <w:r w:rsidR="00EC5A9D" w:rsidRPr="00386E47">
        <w:rPr>
          <w:rFonts w:asciiTheme="majorHAnsi" w:eastAsia="Calibri" w:hAnsiTheme="majorHAnsi"/>
          <w:sz w:val="20"/>
          <w:szCs w:val="20"/>
          <w:lang w:val="es-ES"/>
        </w:rPr>
        <w:t xml:space="preserve">, la Comisión ha verificado que, a </w:t>
      </w:r>
      <w:r w:rsidR="002457E7" w:rsidRPr="00386E47">
        <w:rPr>
          <w:rFonts w:asciiTheme="majorHAnsi" w:eastAsia="Calibri" w:hAnsiTheme="majorHAnsi"/>
          <w:sz w:val="20"/>
          <w:szCs w:val="20"/>
          <w:lang w:val="es-ES"/>
        </w:rPr>
        <w:t>más</w:t>
      </w:r>
      <w:r w:rsidR="00EC5A9D" w:rsidRPr="00386E47">
        <w:rPr>
          <w:rFonts w:asciiTheme="majorHAnsi" w:eastAsia="Calibri" w:hAnsiTheme="majorHAnsi"/>
          <w:sz w:val="20"/>
          <w:szCs w:val="20"/>
          <w:lang w:val="es-ES"/>
        </w:rPr>
        <w:t xml:space="preserve"> de </w:t>
      </w:r>
      <w:r w:rsidR="00D76661" w:rsidRPr="00386E47">
        <w:rPr>
          <w:rFonts w:asciiTheme="majorHAnsi" w:eastAsia="Calibri" w:hAnsiTheme="majorHAnsi"/>
          <w:sz w:val="20"/>
          <w:szCs w:val="20"/>
          <w:lang w:val="es-ES"/>
        </w:rPr>
        <w:t xml:space="preserve">5 años de iniciada la instrucción judicial, las autoridades judiciales argentinas aún no han pronunciado una sentencia que establezca la existencia o no de conductas delictivas por parte de las personas sometidas a proceso, como asa tampoco existe un pronunciamiento judicial que determine que los hechos denunciados </w:t>
      </w:r>
      <w:r w:rsidR="00D72113" w:rsidRPr="00386E47">
        <w:rPr>
          <w:rFonts w:asciiTheme="majorHAnsi" w:eastAsia="Calibri" w:hAnsiTheme="majorHAnsi"/>
          <w:sz w:val="20"/>
          <w:szCs w:val="20"/>
          <w:lang w:val="es-ES"/>
        </w:rPr>
        <w:t>efectivamente se produjeron</w:t>
      </w:r>
      <w:r w:rsidR="00D76661" w:rsidRPr="00386E47">
        <w:rPr>
          <w:rFonts w:asciiTheme="majorHAnsi" w:eastAsia="Calibri" w:hAnsiTheme="majorHAnsi"/>
          <w:sz w:val="20"/>
          <w:szCs w:val="20"/>
          <w:lang w:val="es-ES"/>
        </w:rPr>
        <w:t xml:space="preserve">. </w:t>
      </w:r>
    </w:p>
    <w:p w14:paraId="7A298B52" w14:textId="77777777" w:rsidR="00C56BCD" w:rsidRPr="00386E47" w:rsidRDefault="00C56BCD" w:rsidP="00BB0C99">
      <w:pPr>
        <w:tabs>
          <w:tab w:val="left" w:pos="426"/>
        </w:tabs>
        <w:contextualSpacing/>
        <w:jc w:val="both"/>
        <w:rPr>
          <w:rFonts w:asciiTheme="majorHAnsi" w:eastAsia="Calibri" w:hAnsiTheme="majorHAnsi"/>
          <w:sz w:val="20"/>
          <w:szCs w:val="20"/>
          <w:lang w:val="es-ES"/>
        </w:rPr>
      </w:pPr>
    </w:p>
    <w:p w14:paraId="26D2B0DE" w14:textId="77777777" w:rsidR="009F70EA" w:rsidRPr="00386E47" w:rsidRDefault="009F70EA" w:rsidP="002457E7">
      <w:pPr>
        <w:pStyle w:val="Heading5"/>
      </w:pPr>
      <w:r w:rsidRPr="00386E47">
        <w:t xml:space="preserve">Conclusión </w:t>
      </w:r>
    </w:p>
    <w:p w14:paraId="7BD7F3A9" w14:textId="77777777" w:rsidR="009F70EA" w:rsidRPr="00386E47" w:rsidRDefault="009F70EA" w:rsidP="00BB0C99">
      <w:pPr>
        <w:tabs>
          <w:tab w:val="left" w:pos="426"/>
        </w:tabs>
        <w:ind w:left="720"/>
        <w:contextualSpacing/>
        <w:jc w:val="both"/>
        <w:rPr>
          <w:rFonts w:asciiTheme="majorHAnsi" w:eastAsia="Calibri" w:hAnsiTheme="majorHAnsi"/>
          <w:b/>
          <w:sz w:val="20"/>
          <w:szCs w:val="20"/>
          <w:lang w:val="es-AR"/>
        </w:rPr>
      </w:pPr>
    </w:p>
    <w:p w14:paraId="26AB9162" w14:textId="77777777" w:rsidR="00495DB1" w:rsidRPr="00386E47" w:rsidRDefault="009F70EA" w:rsidP="003A5860">
      <w:pPr>
        <w:numPr>
          <w:ilvl w:val="0"/>
          <w:numId w:val="55"/>
        </w:numPr>
        <w:tabs>
          <w:tab w:val="left" w:pos="567"/>
        </w:tabs>
        <w:ind w:left="0" w:firstLine="0"/>
        <w:contextualSpacing/>
        <w:jc w:val="both"/>
        <w:rPr>
          <w:rFonts w:asciiTheme="majorHAnsi" w:eastAsia="Calibri" w:hAnsiTheme="majorHAnsi"/>
          <w:sz w:val="20"/>
          <w:szCs w:val="20"/>
          <w:lang w:val="es-ES"/>
        </w:rPr>
      </w:pPr>
      <w:r w:rsidRPr="00386E47">
        <w:rPr>
          <w:rFonts w:asciiTheme="majorHAnsi" w:eastAsia="Calibri" w:hAnsiTheme="majorHAnsi"/>
          <w:sz w:val="20"/>
          <w:szCs w:val="20"/>
          <w:lang w:val="es-ES"/>
        </w:rPr>
        <w:t xml:space="preserve">En virtud de las anteriores consideraciones, la Comisión concluye que el plazo de más de 20 años que </w:t>
      </w:r>
      <w:r w:rsidR="001B3781" w:rsidRPr="00386E47">
        <w:rPr>
          <w:rFonts w:asciiTheme="majorHAnsi" w:eastAsia="Calibri" w:hAnsiTheme="majorHAnsi"/>
          <w:sz w:val="20"/>
          <w:szCs w:val="20"/>
          <w:lang w:val="es-ES"/>
        </w:rPr>
        <w:t>han demorado</w:t>
      </w:r>
      <w:r w:rsidRPr="00386E47">
        <w:rPr>
          <w:rFonts w:asciiTheme="majorHAnsi" w:eastAsia="Calibri" w:hAnsiTheme="majorHAnsi"/>
          <w:sz w:val="20"/>
          <w:szCs w:val="20"/>
          <w:lang w:val="es-ES"/>
        </w:rPr>
        <w:t xml:space="preserve"> los diversos procesos penales donde se investigan hechos de encubrimiento del atentado a la AMIA, </w:t>
      </w:r>
      <w:r w:rsidR="001B3781" w:rsidRPr="00386E47">
        <w:rPr>
          <w:rFonts w:asciiTheme="majorHAnsi" w:eastAsia="Calibri" w:hAnsiTheme="majorHAnsi"/>
          <w:sz w:val="20"/>
          <w:szCs w:val="20"/>
          <w:lang w:val="es-ES"/>
        </w:rPr>
        <w:t xml:space="preserve">no ha tenido por resultado una determinación efectiva de las responsabilidades correspondientes. En este sentido, </w:t>
      </w:r>
      <w:r w:rsidR="00495DB1" w:rsidRPr="00386E47">
        <w:rPr>
          <w:rFonts w:asciiTheme="majorHAnsi" w:eastAsia="Calibri" w:hAnsiTheme="majorHAnsi"/>
          <w:sz w:val="20"/>
          <w:szCs w:val="20"/>
          <w:lang w:val="es-ES"/>
        </w:rPr>
        <w:t xml:space="preserve">los procesos por el encubrimiento no </w:t>
      </w:r>
      <w:r w:rsidR="001B3781" w:rsidRPr="00386E47">
        <w:rPr>
          <w:rFonts w:asciiTheme="majorHAnsi" w:eastAsia="Calibri" w:hAnsiTheme="majorHAnsi"/>
          <w:sz w:val="20"/>
          <w:szCs w:val="20"/>
          <w:lang w:val="es-ES"/>
        </w:rPr>
        <w:t>ha</w:t>
      </w:r>
      <w:r w:rsidR="00495DB1" w:rsidRPr="00386E47">
        <w:rPr>
          <w:rFonts w:asciiTheme="majorHAnsi" w:eastAsia="Calibri" w:hAnsiTheme="majorHAnsi"/>
          <w:sz w:val="20"/>
          <w:szCs w:val="20"/>
          <w:lang w:val="es-ES"/>
        </w:rPr>
        <w:t>n</w:t>
      </w:r>
      <w:r w:rsidR="001B3781" w:rsidRPr="00386E47">
        <w:rPr>
          <w:rFonts w:asciiTheme="majorHAnsi" w:eastAsia="Calibri" w:hAnsiTheme="majorHAnsi"/>
          <w:sz w:val="20"/>
          <w:szCs w:val="20"/>
          <w:lang w:val="es-ES"/>
        </w:rPr>
        <w:t xml:space="preserve"> contribuido a identificar con claridad las acciones u omisiones en que incurrieron las autoridades lo cual es especialmente grave en el presente caso donde como se ha establecido existen múltiples irregularidades y desvíos que se han convertido en factores de impunidad.  </w:t>
      </w:r>
    </w:p>
    <w:p w14:paraId="1EF5212A" w14:textId="77777777" w:rsidR="00495DB1" w:rsidRPr="00386E47" w:rsidRDefault="00495DB1" w:rsidP="00495DB1">
      <w:pPr>
        <w:tabs>
          <w:tab w:val="left" w:pos="567"/>
        </w:tabs>
        <w:contextualSpacing/>
        <w:jc w:val="both"/>
        <w:rPr>
          <w:rFonts w:asciiTheme="majorHAnsi" w:eastAsia="Calibri" w:hAnsiTheme="majorHAnsi"/>
          <w:sz w:val="20"/>
          <w:szCs w:val="20"/>
          <w:lang w:val="es-ES"/>
        </w:rPr>
      </w:pPr>
    </w:p>
    <w:p w14:paraId="3D060374" w14:textId="77777777" w:rsidR="00495DB1" w:rsidRPr="00386E47" w:rsidRDefault="00495DB1" w:rsidP="003A5860">
      <w:pPr>
        <w:numPr>
          <w:ilvl w:val="0"/>
          <w:numId w:val="55"/>
        </w:numPr>
        <w:tabs>
          <w:tab w:val="left" w:pos="567"/>
        </w:tabs>
        <w:ind w:left="0" w:firstLine="0"/>
        <w:contextualSpacing/>
        <w:jc w:val="both"/>
        <w:rPr>
          <w:rFonts w:asciiTheme="majorHAnsi" w:eastAsia="Calibri" w:hAnsiTheme="majorHAnsi"/>
          <w:sz w:val="20"/>
          <w:szCs w:val="20"/>
          <w:lang w:val="es-ES"/>
        </w:rPr>
      </w:pPr>
      <w:r w:rsidRPr="00386E47">
        <w:rPr>
          <w:rFonts w:asciiTheme="majorHAnsi" w:eastAsia="Calibri" w:hAnsiTheme="majorHAnsi"/>
          <w:sz w:val="20"/>
          <w:szCs w:val="20"/>
          <w:lang w:val="es-ES"/>
        </w:rPr>
        <w:t>En consecuencia</w:t>
      </w:r>
      <w:r w:rsidR="001B3781" w:rsidRPr="00386E47">
        <w:rPr>
          <w:rFonts w:asciiTheme="majorHAnsi" w:eastAsia="Calibri" w:hAnsiTheme="majorHAnsi"/>
          <w:sz w:val="20"/>
          <w:szCs w:val="20"/>
          <w:lang w:val="es-ES"/>
        </w:rPr>
        <w:t xml:space="preserve">, dichos procesos se han extendido de una manera irrazonable, no han contribuido al conocimiento de la verdad sobre </w:t>
      </w:r>
      <w:r w:rsidRPr="00386E47">
        <w:rPr>
          <w:rFonts w:asciiTheme="majorHAnsi" w:eastAsia="Calibri" w:hAnsiTheme="majorHAnsi"/>
          <w:sz w:val="20"/>
          <w:szCs w:val="20"/>
          <w:lang w:val="es-ES"/>
        </w:rPr>
        <w:t>las maniobras de encubrimiento</w:t>
      </w:r>
      <w:r w:rsidR="001B3781" w:rsidRPr="00386E47">
        <w:rPr>
          <w:rFonts w:asciiTheme="majorHAnsi" w:eastAsia="Calibri" w:hAnsiTheme="majorHAnsi"/>
          <w:sz w:val="20"/>
          <w:szCs w:val="20"/>
          <w:lang w:val="es-ES"/>
        </w:rPr>
        <w:t xml:space="preserve"> y, por lo tanto, </w:t>
      </w:r>
      <w:r w:rsidRPr="00386E47">
        <w:rPr>
          <w:rFonts w:asciiTheme="majorHAnsi" w:eastAsia="Calibri" w:hAnsiTheme="majorHAnsi"/>
          <w:sz w:val="20"/>
          <w:szCs w:val="20"/>
          <w:lang w:val="es-ES"/>
        </w:rPr>
        <w:t>tampoco han subsanado</w:t>
      </w:r>
      <w:r w:rsidR="001B3781" w:rsidRPr="00386E47">
        <w:rPr>
          <w:rFonts w:asciiTheme="majorHAnsi" w:eastAsia="Calibri" w:hAnsiTheme="majorHAnsi"/>
          <w:sz w:val="20"/>
          <w:szCs w:val="20"/>
          <w:lang w:val="es-ES"/>
        </w:rPr>
        <w:t xml:space="preserve"> las múltiples irregularidades que se han cometido a lo largo de la investigación. </w:t>
      </w:r>
      <w:r w:rsidR="0034073A" w:rsidRPr="00386E47">
        <w:rPr>
          <w:rFonts w:asciiTheme="majorHAnsi" w:eastAsia="Calibri" w:hAnsiTheme="majorHAnsi"/>
          <w:sz w:val="20"/>
          <w:szCs w:val="20"/>
          <w:lang w:val="es-ES"/>
        </w:rPr>
        <w:t xml:space="preserve">Especialmente, la Comisión observa que tales investigaciones no han permitido conocer cuáles fueron asimismo las reales motivaciones que pudieron encontrarse detrás de los hechos que son investigados, incluyendo la generación de prueba para generar convicción sobre el involucramiento de </w:t>
      </w:r>
      <w:r w:rsidRPr="00386E47">
        <w:rPr>
          <w:rFonts w:asciiTheme="majorHAnsi" w:eastAsia="Calibri" w:hAnsiTheme="majorHAnsi"/>
          <w:sz w:val="20"/>
          <w:szCs w:val="20"/>
          <w:lang w:val="es-ES"/>
        </w:rPr>
        <w:t xml:space="preserve">determinados </w:t>
      </w:r>
      <w:r w:rsidR="0034073A" w:rsidRPr="00386E47">
        <w:rPr>
          <w:rFonts w:asciiTheme="majorHAnsi" w:eastAsia="Calibri" w:hAnsiTheme="majorHAnsi"/>
          <w:sz w:val="20"/>
          <w:szCs w:val="20"/>
          <w:lang w:val="es-ES"/>
        </w:rPr>
        <w:t xml:space="preserve">policías bonaerenses en los hechos y en el abandono de </w:t>
      </w:r>
      <w:r w:rsidRPr="00386E47">
        <w:rPr>
          <w:rFonts w:asciiTheme="majorHAnsi" w:eastAsia="Calibri" w:hAnsiTheme="majorHAnsi"/>
          <w:sz w:val="20"/>
          <w:szCs w:val="20"/>
          <w:lang w:val="es-ES"/>
        </w:rPr>
        <w:t>la denominada</w:t>
      </w:r>
      <w:r w:rsidR="0034073A" w:rsidRPr="00386E47">
        <w:rPr>
          <w:rFonts w:asciiTheme="majorHAnsi" w:eastAsia="Calibri" w:hAnsiTheme="majorHAnsi"/>
          <w:sz w:val="20"/>
          <w:szCs w:val="20"/>
          <w:lang w:val="es-ES"/>
        </w:rPr>
        <w:t xml:space="preserve"> </w:t>
      </w:r>
      <w:r w:rsidRPr="00386E47">
        <w:rPr>
          <w:rFonts w:asciiTheme="majorHAnsi" w:eastAsia="Calibri" w:hAnsiTheme="majorHAnsi"/>
          <w:sz w:val="20"/>
          <w:szCs w:val="20"/>
          <w:lang w:val="es-ES"/>
        </w:rPr>
        <w:t>“</w:t>
      </w:r>
      <w:r w:rsidR="0034073A" w:rsidRPr="00386E47">
        <w:rPr>
          <w:rFonts w:asciiTheme="majorHAnsi" w:eastAsia="Calibri" w:hAnsiTheme="majorHAnsi"/>
          <w:sz w:val="20"/>
          <w:szCs w:val="20"/>
          <w:lang w:val="es-ES"/>
        </w:rPr>
        <w:t>pista siria Kannore Edul</w:t>
      </w:r>
      <w:r w:rsidRPr="00386E47">
        <w:rPr>
          <w:rFonts w:asciiTheme="majorHAnsi" w:eastAsia="Calibri" w:hAnsiTheme="majorHAnsi"/>
          <w:sz w:val="20"/>
          <w:szCs w:val="20"/>
          <w:lang w:val="es-ES"/>
        </w:rPr>
        <w:t>”</w:t>
      </w:r>
      <w:r w:rsidR="0034073A" w:rsidRPr="00386E47">
        <w:rPr>
          <w:rFonts w:asciiTheme="majorHAnsi" w:eastAsia="Calibri" w:hAnsiTheme="majorHAnsi"/>
          <w:sz w:val="20"/>
          <w:szCs w:val="20"/>
          <w:lang w:val="es-ES"/>
        </w:rPr>
        <w:t>.</w:t>
      </w:r>
    </w:p>
    <w:p w14:paraId="2ABF3FA6" w14:textId="77777777" w:rsidR="00495DB1" w:rsidRPr="00386E47" w:rsidRDefault="00495DB1" w:rsidP="00495DB1">
      <w:pPr>
        <w:pStyle w:val="ListParagraph"/>
        <w:rPr>
          <w:rFonts w:asciiTheme="majorHAnsi" w:eastAsia="Calibri" w:hAnsiTheme="majorHAnsi"/>
          <w:sz w:val="20"/>
          <w:szCs w:val="20"/>
          <w:lang w:val="es-ES"/>
        </w:rPr>
      </w:pPr>
    </w:p>
    <w:p w14:paraId="05F99A3A" w14:textId="77777777" w:rsidR="009F70EA" w:rsidRPr="00386E47" w:rsidRDefault="0034073A" w:rsidP="003A5860">
      <w:pPr>
        <w:numPr>
          <w:ilvl w:val="0"/>
          <w:numId w:val="55"/>
        </w:numPr>
        <w:tabs>
          <w:tab w:val="left" w:pos="567"/>
        </w:tabs>
        <w:ind w:left="0" w:firstLine="0"/>
        <w:contextualSpacing/>
        <w:jc w:val="both"/>
        <w:rPr>
          <w:rFonts w:asciiTheme="majorHAnsi" w:eastAsia="Calibri" w:hAnsiTheme="majorHAnsi"/>
          <w:sz w:val="20"/>
          <w:szCs w:val="20"/>
          <w:lang w:val="es-ES"/>
        </w:rPr>
      </w:pPr>
      <w:r w:rsidRPr="00386E47">
        <w:rPr>
          <w:rFonts w:asciiTheme="majorHAnsi" w:eastAsia="Calibri" w:hAnsiTheme="majorHAnsi"/>
          <w:sz w:val="20"/>
          <w:szCs w:val="20"/>
          <w:lang w:val="es-ES"/>
        </w:rPr>
        <w:t xml:space="preserve"> </w:t>
      </w:r>
      <w:r w:rsidR="001B3781" w:rsidRPr="00386E47">
        <w:rPr>
          <w:rFonts w:asciiTheme="majorHAnsi" w:eastAsia="Calibri" w:hAnsiTheme="majorHAnsi"/>
          <w:sz w:val="20"/>
          <w:szCs w:val="20"/>
          <w:lang w:val="es-ES"/>
        </w:rPr>
        <w:t>En vista de lo anterior,</w:t>
      </w:r>
      <w:r w:rsidR="009F70EA" w:rsidRPr="00386E47">
        <w:rPr>
          <w:rFonts w:asciiTheme="majorHAnsi" w:eastAsia="Calibri" w:hAnsiTheme="majorHAnsi"/>
          <w:sz w:val="20"/>
          <w:szCs w:val="20"/>
          <w:lang w:val="es-ES"/>
        </w:rPr>
        <w:t xml:space="preserve"> </w:t>
      </w:r>
      <w:r w:rsidR="00495DB1" w:rsidRPr="00386E47">
        <w:rPr>
          <w:rFonts w:asciiTheme="majorHAnsi" w:eastAsia="Calibri" w:hAnsiTheme="majorHAnsi"/>
          <w:sz w:val="20"/>
          <w:szCs w:val="20"/>
          <w:lang w:val="es-ES"/>
        </w:rPr>
        <w:t>la Comisión concluye que los diversos procesos por el encubrimiento del atentado a la AMIA</w:t>
      </w:r>
      <w:r w:rsidR="009F70EA" w:rsidRPr="00386E47">
        <w:rPr>
          <w:rFonts w:asciiTheme="majorHAnsi" w:eastAsia="Calibri" w:hAnsiTheme="majorHAnsi"/>
          <w:sz w:val="20"/>
          <w:szCs w:val="20"/>
          <w:lang w:val="es-ES"/>
        </w:rPr>
        <w:t xml:space="preserve"> no </w:t>
      </w:r>
      <w:r w:rsidR="001B3781" w:rsidRPr="00386E47">
        <w:rPr>
          <w:rFonts w:asciiTheme="majorHAnsi" w:eastAsia="Calibri" w:hAnsiTheme="majorHAnsi"/>
          <w:sz w:val="20"/>
          <w:szCs w:val="20"/>
          <w:lang w:val="es-ES"/>
        </w:rPr>
        <w:t>han sido conducidos de forma diligente y en un plazo razonable</w:t>
      </w:r>
      <w:r w:rsidR="00495DB1" w:rsidRPr="00386E47">
        <w:rPr>
          <w:rFonts w:asciiTheme="majorHAnsi" w:eastAsia="Calibri" w:hAnsiTheme="majorHAnsi"/>
          <w:sz w:val="20"/>
          <w:szCs w:val="20"/>
          <w:lang w:val="es-ES"/>
        </w:rPr>
        <w:t xml:space="preserve">. En consecuencia, la Comisión entiende </w:t>
      </w:r>
      <w:r w:rsidR="001B3781" w:rsidRPr="00386E47">
        <w:rPr>
          <w:rFonts w:asciiTheme="majorHAnsi" w:eastAsia="Calibri" w:hAnsiTheme="majorHAnsi"/>
          <w:sz w:val="20"/>
          <w:szCs w:val="20"/>
          <w:lang w:val="es-ES"/>
        </w:rPr>
        <w:t>no se ha contado con un</w:t>
      </w:r>
      <w:r w:rsidR="009F70EA" w:rsidRPr="00386E47">
        <w:rPr>
          <w:rFonts w:asciiTheme="majorHAnsi" w:eastAsia="Calibri" w:hAnsiTheme="majorHAnsi"/>
          <w:sz w:val="20"/>
          <w:szCs w:val="20"/>
          <w:lang w:val="es-ES"/>
        </w:rPr>
        <w:t xml:space="preserve"> recurso efectivo </w:t>
      </w:r>
      <w:r w:rsidR="001B3781" w:rsidRPr="00386E47">
        <w:rPr>
          <w:rFonts w:asciiTheme="majorHAnsi" w:eastAsia="Calibri" w:hAnsiTheme="majorHAnsi"/>
          <w:sz w:val="20"/>
          <w:szCs w:val="20"/>
          <w:lang w:val="es-ES"/>
        </w:rPr>
        <w:t>que cumpla con los requisitos que imponen los artículos 8 y 25 de la Convención Americana</w:t>
      </w:r>
      <w:r w:rsidR="009F70EA" w:rsidRPr="00386E47">
        <w:rPr>
          <w:rFonts w:asciiTheme="majorHAnsi" w:eastAsia="Calibri" w:hAnsiTheme="majorHAnsi"/>
          <w:sz w:val="20"/>
          <w:szCs w:val="20"/>
          <w:lang w:val="es-ES"/>
        </w:rPr>
        <w:t xml:space="preserve">. </w:t>
      </w:r>
    </w:p>
    <w:p w14:paraId="539E4B28" w14:textId="77777777" w:rsidR="00043289" w:rsidRPr="00386E47" w:rsidRDefault="00043289" w:rsidP="00A311A0">
      <w:pPr>
        <w:rPr>
          <w:rFonts w:asciiTheme="majorHAnsi" w:eastAsia="Times New Roman" w:hAnsiTheme="majorHAnsi"/>
          <w:lang w:val="es-ES"/>
        </w:rPr>
      </w:pPr>
    </w:p>
    <w:p w14:paraId="7AB61E2F" w14:textId="77777777" w:rsidR="0097207E" w:rsidRPr="00386E47" w:rsidRDefault="0097207E" w:rsidP="008A03A7">
      <w:pPr>
        <w:pStyle w:val="Heading3"/>
        <w:numPr>
          <w:ilvl w:val="1"/>
          <w:numId w:val="68"/>
        </w:numPr>
        <w:ind w:left="284" w:firstLine="0"/>
        <w:rPr>
          <w:rFonts w:asciiTheme="majorHAnsi" w:hAnsiTheme="majorHAnsi"/>
          <w:lang w:val="es-ES"/>
        </w:rPr>
      </w:pPr>
      <w:bookmarkStart w:id="30" w:name="_Toc51252201"/>
      <w:r w:rsidRPr="00386E47">
        <w:rPr>
          <w:rFonts w:asciiTheme="majorHAnsi" w:hAnsiTheme="majorHAnsi"/>
          <w:lang w:val="es-ES"/>
        </w:rPr>
        <w:t xml:space="preserve">Respecto </w:t>
      </w:r>
      <w:r w:rsidR="00E92433" w:rsidRPr="00386E47">
        <w:rPr>
          <w:rFonts w:asciiTheme="majorHAnsi" w:hAnsiTheme="majorHAnsi"/>
          <w:lang w:val="es-ES"/>
        </w:rPr>
        <w:t>del</w:t>
      </w:r>
      <w:r w:rsidRPr="00386E47">
        <w:rPr>
          <w:rFonts w:asciiTheme="majorHAnsi" w:hAnsiTheme="majorHAnsi"/>
          <w:lang w:val="es-ES"/>
        </w:rPr>
        <w:t xml:space="preserve"> </w:t>
      </w:r>
      <w:r w:rsidR="00E92433" w:rsidRPr="00386E47">
        <w:rPr>
          <w:rFonts w:asciiTheme="majorHAnsi" w:hAnsiTheme="majorHAnsi"/>
          <w:lang w:val="es-ES"/>
        </w:rPr>
        <w:t>plazo razonable</w:t>
      </w:r>
      <w:r w:rsidR="00804DA9" w:rsidRPr="00386E47">
        <w:rPr>
          <w:rFonts w:asciiTheme="majorHAnsi" w:hAnsiTheme="majorHAnsi"/>
          <w:lang w:val="es-ES"/>
        </w:rPr>
        <w:t xml:space="preserve"> y el derecho a la verdad</w:t>
      </w:r>
      <w:bookmarkEnd w:id="30"/>
    </w:p>
    <w:p w14:paraId="37B0FD6A" w14:textId="77777777" w:rsidR="00495DB1" w:rsidRPr="00386E47" w:rsidRDefault="00397A09" w:rsidP="003A5860">
      <w:pPr>
        <w:numPr>
          <w:ilvl w:val="0"/>
          <w:numId w:val="55"/>
        </w:numPr>
        <w:tabs>
          <w:tab w:val="left" w:pos="567"/>
        </w:tabs>
        <w:ind w:left="0" w:firstLine="0"/>
        <w:contextualSpacing/>
        <w:jc w:val="both"/>
        <w:rPr>
          <w:rFonts w:asciiTheme="majorHAnsi" w:eastAsia="Calibri" w:hAnsiTheme="majorHAnsi"/>
          <w:sz w:val="20"/>
          <w:szCs w:val="20"/>
          <w:lang w:val="es-ES"/>
        </w:rPr>
      </w:pPr>
      <w:r w:rsidRPr="00386E47">
        <w:rPr>
          <w:rFonts w:asciiTheme="majorHAnsi" w:eastAsia="Calibri" w:hAnsiTheme="majorHAnsi"/>
          <w:sz w:val="20"/>
          <w:szCs w:val="20"/>
          <w:lang w:val="es-ES"/>
        </w:rPr>
        <w:t xml:space="preserve">Atendiendo a los elementos para el análisis del plazo razonable expuestos anteriormente, la Comisión reconoce que </w:t>
      </w:r>
      <w:r w:rsidR="004C42C7" w:rsidRPr="00386E47">
        <w:rPr>
          <w:rFonts w:asciiTheme="majorHAnsi" w:eastAsia="Calibri" w:hAnsiTheme="majorHAnsi"/>
          <w:sz w:val="20"/>
          <w:szCs w:val="20"/>
          <w:lang w:val="es-ES"/>
        </w:rPr>
        <w:t>la investigación seguida por los hechos del presente caso reviste</w:t>
      </w:r>
      <w:r w:rsidR="006463F9" w:rsidRPr="00386E47">
        <w:rPr>
          <w:rFonts w:asciiTheme="majorHAnsi" w:eastAsia="Calibri" w:hAnsiTheme="majorHAnsi"/>
          <w:sz w:val="20"/>
          <w:szCs w:val="20"/>
          <w:lang w:val="es-ES"/>
        </w:rPr>
        <w:t xml:space="preserve"> cierta complejidad teniendo en cuenta la naturaleza de los hechos y la estructura o red </w:t>
      </w:r>
      <w:r w:rsidR="00804DA9" w:rsidRPr="00386E47">
        <w:rPr>
          <w:rFonts w:asciiTheme="majorHAnsi" w:eastAsia="Calibri" w:hAnsiTheme="majorHAnsi"/>
          <w:sz w:val="20"/>
          <w:szCs w:val="20"/>
          <w:lang w:val="es-ES"/>
        </w:rPr>
        <w:t xml:space="preserve">criminal </w:t>
      </w:r>
      <w:r w:rsidR="006463F9" w:rsidRPr="00386E47">
        <w:rPr>
          <w:rFonts w:asciiTheme="majorHAnsi" w:eastAsia="Calibri" w:hAnsiTheme="majorHAnsi"/>
          <w:sz w:val="20"/>
          <w:szCs w:val="20"/>
          <w:lang w:val="es-ES"/>
        </w:rPr>
        <w:t xml:space="preserve">que podría encontrarse detrás del atentado, incluso </w:t>
      </w:r>
      <w:r w:rsidR="00804DA9" w:rsidRPr="00386E47">
        <w:rPr>
          <w:rFonts w:asciiTheme="majorHAnsi" w:eastAsia="Calibri" w:hAnsiTheme="majorHAnsi"/>
          <w:sz w:val="20"/>
          <w:szCs w:val="20"/>
          <w:lang w:val="es-ES"/>
        </w:rPr>
        <w:t>podría tener</w:t>
      </w:r>
      <w:r w:rsidR="006463F9" w:rsidRPr="00386E47">
        <w:rPr>
          <w:rFonts w:asciiTheme="majorHAnsi" w:eastAsia="Calibri" w:hAnsiTheme="majorHAnsi"/>
          <w:sz w:val="20"/>
          <w:szCs w:val="20"/>
          <w:lang w:val="es-ES"/>
        </w:rPr>
        <w:t xml:space="preserve"> un carácter que rebasa las fronteras del Estado argentino. </w:t>
      </w:r>
    </w:p>
    <w:p w14:paraId="1BF6AD97" w14:textId="77777777" w:rsidR="00495DB1" w:rsidRPr="00386E47" w:rsidRDefault="00495DB1" w:rsidP="00495DB1">
      <w:pPr>
        <w:tabs>
          <w:tab w:val="left" w:pos="567"/>
        </w:tabs>
        <w:contextualSpacing/>
        <w:jc w:val="both"/>
        <w:rPr>
          <w:rFonts w:asciiTheme="majorHAnsi" w:eastAsia="Calibri" w:hAnsiTheme="majorHAnsi"/>
          <w:sz w:val="20"/>
          <w:szCs w:val="20"/>
          <w:lang w:val="es-ES"/>
        </w:rPr>
      </w:pPr>
    </w:p>
    <w:p w14:paraId="616E4AC7" w14:textId="77777777" w:rsidR="00495DB1" w:rsidRPr="00386E47" w:rsidRDefault="006463F9" w:rsidP="003A5860">
      <w:pPr>
        <w:numPr>
          <w:ilvl w:val="0"/>
          <w:numId w:val="55"/>
        </w:numPr>
        <w:tabs>
          <w:tab w:val="left" w:pos="567"/>
        </w:tabs>
        <w:ind w:left="0" w:firstLine="0"/>
        <w:contextualSpacing/>
        <w:jc w:val="both"/>
        <w:rPr>
          <w:rFonts w:asciiTheme="majorHAnsi" w:eastAsia="Calibri" w:hAnsiTheme="majorHAnsi"/>
          <w:sz w:val="20"/>
          <w:szCs w:val="20"/>
          <w:lang w:val="es-ES"/>
        </w:rPr>
      </w:pPr>
      <w:r w:rsidRPr="00386E47">
        <w:rPr>
          <w:rFonts w:asciiTheme="majorHAnsi" w:eastAsia="Calibri" w:hAnsiTheme="majorHAnsi"/>
          <w:sz w:val="20"/>
          <w:szCs w:val="20"/>
          <w:lang w:val="es-ES"/>
        </w:rPr>
        <w:t>Sin perjuicio de ello, como se ha expuesto a lo largo del presente informe, la conducta de las autoridades a cargo de la investigación</w:t>
      </w:r>
      <w:r w:rsidR="00495DB1" w:rsidRPr="00386E47">
        <w:rPr>
          <w:rFonts w:asciiTheme="majorHAnsi" w:eastAsia="Calibri" w:hAnsiTheme="majorHAnsi"/>
          <w:sz w:val="20"/>
          <w:szCs w:val="20"/>
          <w:lang w:val="es-ES"/>
        </w:rPr>
        <w:t xml:space="preserve"> - </w:t>
      </w:r>
      <w:r w:rsidRPr="00386E47">
        <w:rPr>
          <w:rFonts w:asciiTheme="majorHAnsi" w:eastAsia="Calibri" w:hAnsiTheme="majorHAnsi"/>
          <w:sz w:val="20"/>
          <w:szCs w:val="20"/>
          <w:lang w:val="es-ES"/>
        </w:rPr>
        <w:t xml:space="preserve">especialmente en las diligencias iniciales y aquellas a cargo del </w:t>
      </w:r>
      <w:r w:rsidRPr="00386E47">
        <w:rPr>
          <w:rFonts w:asciiTheme="majorHAnsi" w:hAnsiTheme="majorHAnsi"/>
          <w:sz w:val="20"/>
          <w:szCs w:val="20"/>
          <w:lang w:val="es-US"/>
        </w:rPr>
        <w:t xml:space="preserve">Juzgado en lo Criminal </w:t>
      </w:r>
      <w:r w:rsidRPr="00386E47">
        <w:rPr>
          <w:rFonts w:asciiTheme="majorHAnsi" w:hAnsiTheme="majorHAnsi"/>
          <w:sz w:val="20"/>
          <w:szCs w:val="20"/>
          <w:lang w:val="es-US"/>
        </w:rPr>
        <w:lastRenderedPageBreak/>
        <w:t xml:space="preserve">y </w:t>
      </w:r>
      <w:r w:rsidRPr="00386E47">
        <w:rPr>
          <w:rFonts w:asciiTheme="majorHAnsi" w:eastAsia="Calibri" w:hAnsiTheme="majorHAnsi"/>
          <w:sz w:val="20"/>
          <w:szCs w:val="20"/>
          <w:lang w:val="es-ES_tradnl"/>
        </w:rPr>
        <w:t>Correccional Federal Nro.9</w:t>
      </w:r>
      <w:r w:rsidR="00495DB1" w:rsidRPr="00386E47">
        <w:rPr>
          <w:rFonts w:asciiTheme="majorHAnsi" w:eastAsia="Calibri" w:hAnsiTheme="majorHAnsi"/>
          <w:sz w:val="20"/>
          <w:szCs w:val="20"/>
          <w:lang w:val="es-ES_tradnl"/>
        </w:rPr>
        <w:t xml:space="preserve"> - </w:t>
      </w:r>
      <w:r w:rsidRPr="00386E47">
        <w:rPr>
          <w:rFonts w:asciiTheme="majorHAnsi" w:eastAsia="Calibri" w:hAnsiTheme="majorHAnsi"/>
          <w:sz w:val="20"/>
          <w:szCs w:val="20"/>
          <w:lang w:val="es-ES_tradnl"/>
        </w:rPr>
        <w:t>en vez de impulsar seriamente la investigación y la sanción de los responsables, terminó por incurrir en serias falencias, irregularidades y en el desvío</w:t>
      </w:r>
      <w:r w:rsidR="00495DB1" w:rsidRPr="00386E47">
        <w:rPr>
          <w:rFonts w:asciiTheme="majorHAnsi" w:eastAsia="Calibri" w:hAnsiTheme="majorHAnsi"/>
          <w:sz w:val="20"/>
          <w:szCs w:val="20"/>
          <w:lang w:val="es-ES_tradnl"/>
        </w:rPr>
        <w:t xml:space="preserve"> deliberado</w:t>
      </w:r>
      <w:r w:rsidRPr="00386E47">
        <w:rPr>
          <w:rFonts w:asciiTheme="majorHAnsi" w:eastAsia="Calibri" w:hAnsiTheme="majorHAnsi"/>
          <w:sz w:val="20"/>
          <w:szCs w:val="20"/>
          <w:lang w:val="es-ES_tradnl"/>
        </w:rPr>
        <w:t xml:space="preserve"> de la investigación por más de</w:t>
      </w:r>
      <w:r w:rsidR="00495DB1" w:rsidRPr="00386E47">
        <w:rPr>
          <w:rFonts w:asciiTheme="majorHAnsi" w:eastAsia="Calibri" w:hAnsiTheme="majorHAnsi"/>
          <w:sz w:val="20"/>
          <w:szCs w:val="20"/>
          <w:lang w:val="es-ES_tradnl"/>
        </w:rPr>
        <w:t xml:space="preserve"> 8</w:t>
      </w:r>
      <w:r w:rsidRPr="00386E47">
        <w:rPr>
          <w:rFonts w:asciiTheme="majorHAnsi" w:eastAsia="Calibri" w:hAnsiTheme="majorHAnsi"/>
          <w:sz w:val="20"/>
          <w:szCs w:val="20"/>
          <w:lang w:val="es-ES_tradnl"/>
        </w:rPr>
        <w:t xml:space="preserve"> años</w:t>
      </w:r>
      <w:r w:rsidR="00495DB1" w:rsidRPr="00386E47">
        <w:rPr>
          <w:rFonts w:asciiTheme="majorHAnsi" w:eastAsia="Calibri" w:hAnsiTheme="majorHAnsi"/>
          <w:sz w:val="20"/>
          <w:szCs w:val="20"/>
          <w:lang w:val="es-ES_tradnl"/>
        </w:rPr>
        <w:t>. La prosecución de una hipótesis acusatoria fabricada por funcionarios estatales solo fue posible a partir de una actuación carente de imparcialidad por parte del juez a cargo de la instrucción y se convirtió en un factor que ocasionó que no se investigaran las verdaderas causas del atentado y todas las responsabilidades involucradas</w:t>
      </w:r>
      <w:r w:rsidR="00D72113" w:rsidRPr="00386E47">
        <w:rPr>
          <w:rFonts w:asciiTheme="majorHAnsi" w:eastAsia="Calibri" w:hAnsiTheme="majorHAnsi"/>
          <w:sz w:val="20"/>
          <w:szCs w:val="20"/>
          <w:lang w:val="es-ES_tradnl"/>
        </w:rPr>
        <w:t>.</w:t>
      </w:r>
    </w:p>
    <w:p w14:paraId="5F3794B9" w14:textId="77777777" w:rsidR="00495DB1" w:rsidRPr="00386E47" w:rsidRDefault="00495DB1" w:rsidP="00495DB1">
      <w:pPr>
        <w:pStyle w:val="ListParagraph"/>
        <w:rPr>
          <w:rFonts w:asciiTheme="majorHAnsi" w:eastAsia="Calibri" w:hAnsiTheme="majorHAnsi"/>
          <w:sz w:val="20"/>
          <w:szCs w:val="20"/>
          <w:lang w:val="es-ES_tradnl"/>
        </w:rPr>
      </w:pPr>
    </w:p>
    <w:p w14:paraId="725174A4" w14:textId="77777777" w:rsidR="00FF067D" w:rsidRPr="00386E47" w:rsidRDefault="006463F9" w:rsidP="003A5860">
      <w:pPr>
        <w:numPr>
          <w:ilvl w:val="0"/>
          <w:numId w:val="55"/>
        </w:numPr>
        <w:tabs>
          <w:tab w:val="left" w:pos="567"/>
        </w:tabs>
        <w:ind w:left="0" w:firstLine="0"/>
        <w:contextualSpacing/>
        <w:jc w:val="both"/>
        <w:rPr>
          <w:rFonts w:asciiTheme="majorHAnsi" w:eastAsia="Calibri" w:hAnsiTheme="majorHAnsi"/>
          <w:sz w:val="20"/>
          <w:szCs w:val="20"/>
          <w:lang w:val="es-ES"/>
        </w:rPr>
      </w:pPr>
      <w:r w:rsidRPr="00386E47">
        <w:rPr>
          <w:rFonts w:asciiTheme="majorHAnsi" w:eastAsia="Calibri" w:hAnsiTheme="majorHAnsi"/>
          <w:sz w:val="20"/>
          <w:szCs w:val="20"/>
          <w:lang w:val="es-ES_tradnl"/>
        </w:rPr>
        <w:t>Como se ha indicado, la investigación realizada por parte de la UFI</w:t>
      </w:r>
      <w:r w:rsidR="00495DB1" w:rsidRPr="00386E47">
        <w:rPr>
          <w:rFonts w:asciiTheme="majorHAnsi" w:eastAsia="Calibri" w:hAnsiTheme="majorHAnsi"/>
          <w:sz w:val="20"/>
          <w:szCs w:val="20"/>
          <w:lang w:val="es-ES_tradnl"/>
        </w:rPr>
        <w:t xml:space="preserve"> </w:t>
      </w:r>
      <w:r w:rsidRPr="00386E47">
        <w:rPr>
          <w:rFonts w:asciiTheme="majorHAnsi" w:eastAsia="Calibri" w:hAnsiTheme="majorHAnsi"/>
          <w:sz w:val="20"/>
          <w:szCs w:val="20"/>
          <w:lang w:val="es-ES_tradnl"/>
        </w:rPr>
        <w:t>AMIA</w:t>
      </w:r>
      <w:r w:rsidR="004C42C7" w:rsidRPr="00386E47">
        <w:rPr>
          <w:rFonts w:asciiTheme="majorHAnsi" w:eastAsia="Calibri" w:hAnsiTheme="majorHAnsi"/>
          <w:sz w:val="20"/>
          <w:szCs w:val="20"/>
          <w:lang w:val="es-ES_tradnl"/>
        </w:rPr>
        <w:t xml:space="preserve">, en particular desde el año </w:t>
      </w:r>
      <w:r w:rsidR="00495DB1" w:rsidRPr="00386E47">
        <w:rPr>
          <w:rFonts w:asciiTheme="majorHAnsi" w:eastAsia="Calibri" w:hAnsiTheme="majorHAnsi"/>
          <w:sz w:val="20"/>
          <w:szCs w:val="20"/>
          <w:lang w:val="es-ES_tradnl"/>
        </w:rPr>
        <w:t>2015</w:t>
      </w:r>
      <w:r w:rsidR="004C42C7" w:rsidRPr="00386E47">
        <w:rPr>
          <w:rFonts w:asciiTheme="majorHAnsi" w:eastAsia="Calibri" w:hAnsiTheme="majorHAnsi"/>
          <w:sz w:val="20"/>
          <w:szCs w:val="20"/>
          <w:lang w:val="es-ES_tradnl"/>
        </w:rPr>
        <w:t>,</w:t>
      </w:r>
      <w:r w:rsidRPr="00386E47">
        <w:rPr>
          <w:rFonts w:asciiTheme="majorHAnsi" w:eastAsia="Calibri" w:hAnsiTheme="majorHAnsi"/>
          <w:sz w:val="20"/>
          <w:szCs w:val="20"/>
          <w:lang w:val="es-ES_tradnl"/>
        </w:rPr>
        <w:t xml:space="preserve"> ha </w:t>
      </w:r>
      <w:r w:rsidR="00C95355" w:rsidRPr="00386E47">
        <w:rPr>
          <w:rFonts w:asciiTheme="majorHAnsi" w:eastAsia="Calibri" w:hAnsiTheme="majorHAnsi"/>
          <w:sz w:val="20"/>
          <w:szCs w:val="20"/>
          <w:lang w:val="es-ES_tradnl"/>
        </w:rPr>
        <w:t xml:space="preserve">contribuido a subsanar algunas </w:t>
      </w:r>
      <w:r w:rsidR="00495DB1" w:rsidRPr="00386E47">
        <w:rPr>
          <w:rFonts w:asciiTheme="majorHAnsi" w:eastAsia="Calibri" w:hAnsiTheme="majorHAnsi"/>
          <w:sz w:val="20"/>
          <w:szCs w:val="20"/>
          <w:lang w:val="es-ES_tradnl"/>
        </w:rPr>
        <w:t>falencias de la investigación,</w:t>
      </w:r>
      <w:r w:rsidR="00C95355" w:rsidRPr="00386E47">
        <w:rPr>
          <w:rFonts w:asciiTheme="majorHAnsi" w:eastAsia="Calibri" w:hAnsiTheme="majorHAnsi"/>
          <w:sz w:val="20"/>
          <w:szCs w:val="20"/>
          <w:lang w:val="es-ES_tradnl"/>
        </w:rPr>
        <w:t xml:space="preserve"> como </w:t>
      </w:r>
      <w:r w:rsidR="00FF067D" w:rsidRPr="00386E47">
        <w:rPr>
          <w:rFonts w:asciiTheme="majorHAnsi" w:eastAsia="Calibri" w:hAnsiTheme="majorHAnsi"/>
          <w:sz w:val="20"/>
          <w:szCs w:val="20"/>
          <w:lang w:val="es-ES_tradnl"/>
        </w:rPr>
        <w:t xml:space="preserve">por ejemplo </w:t>
      </w:r>
      <w:r w:rsidR="00C95355" w:rsidRPr="00386E47">
        <w:rPr>
          <w:rFonts w:asciiTheme="majorHAnsi" w:eastAsia="Calibri" w:hAnsiTheme="majorHAnsi"/>
          <w:sz w:val="20"/>
          <w:szCs w:val="20"/>
          <w:lang w:val="es-ES_tradnl"/>
        </w:rPr>
        <w:t xml:space="preserve">la referente a la identificación de la </w:t>
      </w:r>
      <w:r w:rsidR="004C42C7" w:rsidRPr="00386E47">
        <w:rPr>
          <w:rFonts w:asciiTheme="majorHAnsi" w:eastAsia="Calibri" w:hAnsiTheme="majorHAnsi"/>
          <w:sz w:val="20"/>
          <w:szCs w:val="20"/>
          <w:lang w:val="es-ES_tradnl"/>
        </w:rPr>
        <w:t>denominada</w:t>
      </w:r>
      <w:r w:rsidR="00C95355" w:rsidRPr="00386E47">
        <w:rPr>
          <w:rFonts w:asciiTheme="majorHAnsi" w:eastAsia="Calibri" w:hAnsiTheme="majorHAnsi"/>
          <w:sz w:val="20"/>
          <w:szCs w:val="20"/>
          <w:lang w:val="es-ES_tradnl"/>
        </w:rPr>
        <w:t xml:space="preserve"> víctima </w:t>
      </w:r>
      <w:r w:rsidR="00EE68C8" w:rsidRPr="00386E47">
        <w:rPr>
          <w:rFonts w:asciiTheme="majorHAnsi" w:eastAsia="Calibri" w:hAnsiTheme="majorHAnsi"/>
          <w:sz w:val="20"/>
          <w:szCs w:val="20"/>
          <w:lang w:val="es-ES_tradnl"/>
        </w:rPr>
        <w:t>85 y</w:t>
      </w:r>
      <w:r w:rsidR="00C95355" w:rsidRPr="00386E47">
        <w:rPr>
          <w:rFonts w:asciiTheme="majorHAnsi" w:eastAsia="Calibri" w:hAnsiTheme="majorHAnsi"/>
          <w:sz w:val="20"/>
          <w:szCs w:val="20"/>
          <w:lang w:val="es-ES_tradnl"/>
        </w:rPr>
        <w:t xml:space="preserve"> el análisis </w:t>
      </w:r>
      <w:r w:rsidR="00EE68C8" w:rsidRPr="00386E47">
        <w:rPr>
          <w:rFonts w:asciiTheme="majorHAnsi" w:eastAsia="Calibri" w:hAnsiTheme="majorHAnsi"/>
          <w:sz w:val="20"/>
          <w:szCs w:val="20"/>
          <w:lang w:val="es-ES_tradnl"/>
        </w:rPr>
        <w:t>de material</w:t>
      </w:r>
      <w:r w:rsidR="00E92433" w:rsidRPr="00386E47">
        <w:rPr>
          <w:rFonts w:asciiTheme="majorHAnsi" w:eastAsia="Calibri" w:hAnsiTheme="majorHAnsi"/>
          <w:sz w:val="20"/>
          <w:szCs w:val="20"/>
          <w:lang w:val="es-ES_tradnl"/>
        </w:rPr>
        <w:t xml:space="preserve"> biológico </w:t>
      </w:r>
      <w:r w:rsidR="00EE68C8" w:rsidRPr="00386E47">
        <w:rPr>
          <w:rFonts w:asciiTheme="majorHAnsi" w:eastAsia="Calibri" w:hAnsiTheme="majorHAnsi"/>
          <w:sz w:val="20"/>
          <w:szCs w:val="20"/>
          <w:lang w:val="es-ES_tradnl"/>
        </w:rPr>
        <w:t>relevante para la pesquisa</w:t>
      </w:r>
      <w:r w:rsidR="00FF067D" w:rsidRPr="00386E47">
        <w:rPr>
          <w:rFonts w:asciiTheme="majorHAnsi" w:eastAsia="Calibri" w:hAnsiTheme="majorHAnsi"/>
          <w:sz w:val="20"/>
          <w:szCs w:val="20"/>
          <w:lang w:val="es-ES_tradnl"/>
        </w:rPr>
        <w:t>. Sin embargo, la principal</w:t>
      </w:r>
      <w:r w:rsidR="004C42C7" w:rsidRPr="00386E47">
        <w:rPr>
          <w:rFonts w:asciiTheme="majorHAnsi" w:eastAsia="Calibri" w:hAnsiTheme="majorHAnsi"/>
          <w:sz w:val="20"/>
          <w:szCs w:val="20"/>
          <w:lang w:val="es-ES_tradnl"/>
        </w:rPr>
        <w:t xml:space="preserve"> </w:t>
      </w:r>
      <w:r w:rsidR="00E92433" w:rsidRPr="00386E47">
        <w:rPr>
          <w:rFonts w:asciiTheme="majorHAnsi" w:eastAsia="Calibri" w:hAnsiTheme="majorHAnsi"/>
          <w:sz w:val="20"/>
          <w:szCs w:val="20"/>
          <w:lang w:val="es-ES_tradnl"/>
        </w:rPr>
        <w:t>línea de investigación</w:t>
      </w:r>
      <w:r w:rsidR="00FF067D" w:rsidRPr="00386E47">
        <w:rPr>
          <w:rFonts w:asciiTheme="majorHAnsi" w:eastAsia="Calibri" w:hAnsiTheme="majorHAnsi"/>
          <w:sz w:val="20"/>
          <w:szCs w:val="20"/>
          <w:lang w:val="es-ES_tradnl"/>
        </w:rPr>
        <w:t xml:space="preserve"> impulsada por los </w:t>
      </w:r>
      <w:r w:rsidR="00D72113" w:rsidRPr="00386E47">
        <w:rPr>
          <w:rFonts w:asciiTheme="majorHAnsi" w:eastAsia="Calibri" w:hAnsiTheme="majorHAnsi"/>
          <w:sz w:val="20"/>
          <w:szCs w:val="20"/>
          <w:lang w:val="es-ES_tradnl"/>
        </w:rPr>
        <w:t xml:space="preserve">fiscales </w:t>
      </w:r>
      <w:r w:rsidR="00EE68C8" w:rsidRPr="00386E47">
        <w:rPr>
          <w:rFonts w:asciiTheme="majorHAnsi" w:eastAsia="Calibri" w:hAnsiTheme="majorHAnsi"/>
          <w:sz w:val="20"/>
          <w:szCs w:val="20"/>
          <w:lang w:val="es-ES_tradnl"/>
        </w:rPr>
        <w:t>se ha</w:t>
      </w:r>
      <w:r w:rsidR="004C42C7" w:rsidRPr="00386E47">
        <w:rPr>
          <w:rFonts w:asciiTheme="majorHAnsi" w:eastAsia="Calibri" w:hAnsiTheme="majorHAnsi"/>
          <w:sz w:val="20"/>
          <w:szCs w:val="20"/>
          <w:lang w:val="es-ES_tradnl"/>
        </w:rPr>
        <w:t xml:space="preserve"> sustentado </w:t>
      </w:r>
      <w:r w:rsidR="00804DA9" w:rsidRPr="00386E47">
        <w:rPr>
          <w:rFonts w:asciiTheme="majorHAnsi" w:eastAsia="Calibri" w:hAnsiTheme="majorHAnsi"/>
          <w:sz w:val="20"/>
          <w:szCs w:val="20"/>
          <w:lang w:val="es-ES_tradnl"/>
        </w:rPr>
        <w:t>especialmente</w:t>
      </w:r>
      <w:r w:rsidR="00E92433" w:rsidRPr="00386E47">
        <w:rPr>
          <w:rFonts w:asciiTheme="majorHAnsi" w:eastAsia="Calibri" w:hAnsiTheme="majorHAnsi"/>
          <w:sz w:val="20"/>
          <w:szCs w:val="20"/>
          <w:lang w:val="es-ES_tradnl"/>
        </w:rPr>
        <w:t xml:space="preserve"> en informes de inteligencia,</w:t>
      </w:r>
      <w:r w:rsidR="00FF067D" w:rsidRPr="00386E47">
        <w:rPr>
          <w:rFonts w:asciiTheme="majorHAnsi" w:eastAsia="Calibri" w:hAnsiTheme="majorHAnsi"/>
          <w:sz w:val="20"/>
          <w:szCs w:val="20"/>
          <w:lang w:val="es-ES_tradnl"/>
        </w:rPr>
        <w:t xml:space="preserve"> y no han sido el</w:t>
      </w:r>
      <w:r w:rsidR="004C42C7" w:rsidRPr="00386E47">
        <w:rPr>
          <w:rFonts w:asciiTheme="majorHAnsi" w:eastAsia="Calibri" w:hAnsiTheme="majorHAnsi"/>
          <w:sz w:val="20"/>
          <w:szCs w:val="20"/>
          <w:lang w:val="es-ES_tradnl"/>
        </w:rPr>
        <w:t xml:space="preserve"> </w:t>
      </w:r>
      <w:r w:rsidR="00E92433" w:rsidRPr="00386E47">
        <w:rPr>
          <w:rFonts w:asciiTheme="majorHAnsi" w:eastAsia="Calibri" w:hAnsiTheme="majorHAnsi"/>
          <w:sz w:val="20"/>
          <w:szCs w:val="20"/>
          <w:lang w:val="es-ES_tradnl"/>
        </w:rPr>
        <w:t>resultado de una investigación diligente y exhaustiva</w:t>
      </w:r>
      <w:r w:rsidR="00FF067D" w:rsidRPr="00386E47">
        <w:rPr>
          <w:rFonts w:asciiTheme="majorHAnsi" w:eastAsia="Calibri" w:hAnsiTheme="majorHAnsi"/>
          <w:sz w:val="20"/>
          <w:szCs w:val="20"/>
          <w:lang w:val="es-ES_tradnl"/>
        </w:rPr>
        <w:t xml:space="preserve">. En este </w:t>
      </w:r>
      <w:r w:rsidR="00EE68C8" w:rsidRPr="00386E47">
        <w:rPr>
          <w:rFonts w:asciiTheme="majorHAnsi" w:eastAsia="Calibri" w:hAnsiTheme="majorHAnsi"/>
          <w:sz w:val="20"/>
          <w:szCs w:val="20"/>
          <w:lang w:val="es-ES_tradnl"/>
        </w:rPr>
        <w:t>sentido, resulta</w:t>
      </w:r>
      <w:r w:rsidR="00FF067D" w:rsidRPr="00386E47">
        <w:rPr>
          <w:rFonts w:asciiTheme="majorHAnsi" w:eastAsia="Calibri" w:hAnsiTheme="majorHAnsi"/>
          <w:sz w:val="20"/>
          <w:szCs w:val="20"/>
          <w:lang w:val="es-ES_tradnl"/>
        </w:rPr>
        <w:t xml:space="preserve"> necesario realizar</w:t>
      </w:r>
      <w:r w:rsidR="00E92433" w:rsidRPr="00386E47">
        <w:rPr>
          <w:rFonts w:asciiTheme="majorHAnsi" w:eastAsia="Calibri" w:hAnsiTheme="majorHAnsi"/>
          <w:sz w:val="20"/>
          <w:szCs w:val="20"/>
          <w:lang w:val="es-ES_tradnl"/>
        </w:rPr>
        <w:t xml:space="preserve"> diligencias adicionales</w:t>
      </w:r>
      <w:r w:rsidR="00FF067D" w:rsidRPr="00386E47">
        <w:rPr>
          <w:rFonts w:asciiTheme="majorHAnsi" w:eastAsia="Calibri" w:hAnsiTheme="majorHAnsi"/>
          <w:sz w:val="20"/>
          <w:szCs w:val="20"/>
          <w:lang w:val="es-ES_tradnl"/>
        </w:rPr>
        <w:t xml:space="preserve"> encaminadas</w:t>
      </w:r>
      <w:r w:rsidR="0041144C" w:rsidRPr="00386E47">
        <w:rPr>
          <w:rFonts w:asciiTheme="majorHAnsi" w:eastAsia="Calibri" w:hAnsiTheme="majorHAnsi"/>
          <w:sz w:val="20"/>
          <w:szCs w:val="20"/>
          <w:lang w:val="es-ES_tradnl"/>
        </w:rPr>
        <w:t xml:space="preserve"> </w:t>
      </w:r>
      <w:r w:rsidR="00FF067D" w:rsidRPr="00386E47">
        <w:rPr>
          <w:rFonts w:asciiTheme="majorHAnsi" w:eastAsia="Calibri" w:hAnsiTheme="majorHAnsi"/>
          <w:sz w:val="20"/>
          <w:szCs w:val="20"/>
          <w:lang w:val="es-ES_tradnl"/>
        </w:rPr>
        <w:t xml:space="preserve">tanto </w:t>
      </w:r>
      <w:r w:rsidR="004C42C7" w:rsidRPr="00386E47">
        <w:rPr>
          <w:rFonts w:asciiTheme="majorHAnsi" w:eastAsia="Calibri" w:hAnsiTheme="majorHAnsi"/>
          <w:sz w:val="20"/>
          <w:szCs w:val="20"/>
          <w:lang w:val="es-ES_tradnl"/>
        </w:rPr>
        <w:t>a fortalecer dicha hipótesis de investigación o bien</w:t>
      </w:r>
      <w:r w:rsidR="00FF067D" w:rsidRPr="00386E47">
        <w:rPr>
          <w:rFonts w:asciiTheme="majorHAnsi" w:eastAsia="Calibri" w:hAnsiTheme="majorHAnsi"/>
          <w:sz w:val="20"/>
          <w:szCs w:val="20"/>
          <w:lang w:val="es-ES_tradnl"/>
        </w:rPr>
        <w:t xml:space="preserve"> cualquier otra hipótesis</w:t>
      </w:r>
      <w:r w:rsidR="004C42C7" w:rsidRPr="00386E47">
        <w:rPr>
          <w:rFonts w:asciiTheme="majorHAnsi" w:eastAsia="Calibri" w:hAnsiTheme="majorHAnsi"/>
          <w:sz w:val="20"/>
          <w:szCs w:val="20"/>
          <w:lang w:val="es-ES_tradnl"/>
        </w:rPr>
        <w:t xml:space="preserve"> </w:t>
      </w:r>
      <w:r w:rsidR="00FF067D" w:rsidRPr="00386E47">
        <w:rPr>
          <w:rFonts w:asciiTheme="majorHAnsi" w:eastAsia="Calibri" w:hAnsiTheme="majorHAnsi"/>
          <w:sz w:val="20"/>
          <w:szCs w:val="20"/>
          <w:lang w:val="es-ES_tradnl"/>
        </w:rPr>
        <w:t xml:space="preserve">adicional o complementaria que resulte útil para el </w:t>
      </w:r>
      <w:r w:rsidR="00E92433" w:rsidRPr="00386E47">
        <w:rPr>
          <w:rFonts w:asciiTheme="majorHAnsi" w:eastAsia="Calibri" w:hAnsiTheme="majorHAnsi"/>
          <w:sz w:val="20"/>
          <w:szCs w:val="20"/>
          <w:lang w:val="es-ES_tradnl"/>
        </w:rPr>
        <w:t xml:space="preserve">esclarecimiento de la verdad.  </w:t>
      </w:r>
    </w:p>
    <w:p w14:paraId="39F4A5F3" w14:textId="77777777" w:rsidR="00FF067D" w:rsidRPr="00386E47" w:rsidRDefault="00FF067D" w:rsidP="00FF067D">
      <w:pPr>
        <w:pStyle w:val="ListParagraph"/>
        <w:rPr>
          <w:rFonts w:asciiTheme="majorHAnsi" w:eastAsia="Calibri" w:hAnsiTheme="majorHAnsi"/>
          <w:sz w:val="20"/>
          <w:szCs w:val="20"/>
          <w:lang w:val="es-ES_tradnl"/>
        </w:rPr>
      </w:pPr>
    </w:p>
    <w:p w14:paraId="798F242E" w14:textId="77777777" w:rsidR="00397A09" w:rsidRPr="00386E47" w:rsidRDefault="00E92433" w:rsidP="003A5860">
      <w:pPr>
        <w:numPr>
          <w:ilvl w:val="0"/>
          <w:numId w:val="55"/>
        </w:numPr>
        <w:tabs>
          <w:tab w:val="left" w:pos="567"/>
        </w:tabs>
        <w:ind w:left="0" w:firstLine="0"/>
        <w:contextualSpacing/>
        <w:jc w:val="both"/>
        <w:rPr>
          <w:rFonts w:asciiTheme="majorHAnsi" w:eastAsia="Calibri" w:hAnsiTheme="majorHAnsi"/>
          <w:sz w:val="20"/>
          <w:szCs w:val="20"/>
          <w:lang w:val="es-ES"/>
        </w:rPr>
      </w:pPr>
      <w:r w:rsidRPr="00386E47">
        <w:rPr>
          <w:rFonts w:asciiTheme="majorHAnsi" w:eastAsia="Calibri" w:hAnsiTheme="majorHAnsi"/>
          <w:sz w:val="20"/>
          <w:szCs w:val="20"/>
          <w:lang w:val="es-ES_tradnl"/>
        </w:rPr>
        <w:t>Finalmente, y a pesar de que existe un deber acentuado del Estado de identificar las acciones u omisiones que constituyeran irregularidades en la investigación y determinar las responsabilidades correspondientes, los procesos que se han seguido a ese respecto no han constituido un recurso efectivo y se han extendido por un plazo irrazonable.</w:t>
      </w:r>
      <w:r w:rsidR="004C42C7" w:rsidRPr="00386E47">
        <w:rPr>
          <w:rFonts w:asciiTheme="majorHAnsi" w:eastAsia="Calibri" w:hAnsiTheme="majorHAnsi"/>
          <w:sz w:val="20"/>
          <w:szCs w:val="20"/>
          <w:lang w:val="es-ES_tradnl"/>
        </w:rPr>
        <w:t xml:space="preserve"> La Comisión observa asimismo que en todos estos años los familiares de las víctimas han participado activamente en búsqueda de justicia, sin obstaculizar en modo alguno las investigaciones.</w:t>
      </w:r>
    </w:p>
    <w:p w14:paraId="036BEECD" w14:textId="77777777" w:rsidR="004C42C7" w:rsidRPr="00386E47" w:rsidRDefault="004C42C7" w:rsidP="004C42C7">
      <w:pPr>
        <w:tabs>
          <w:tab w:val="left" w:pos="567"/>
        </w:tabs>
        <w:contextualSpacing/>
        <w:jc w:val="both"/>
        <w:rPr>
          <w:rFonts w:asciiTheme="majorHAnsi" w:eastAsia="Calibri" w:hAnsiTheme="majorHAnsi"/>
          <w:sz w:val="20"/>
          <w:szCs w:val="20"/>
          <w:lang w:val="es-ES"/>
        </w:rPr>
      </w:pPr>
    </w:p>
    <w:p w14:paraId="5EB4EC23" w14:textId="77777777" w:rsidR="006A1FC1" w:rsidRPr="00386E47" w:rsidRDefault="00804DA9" w:rsidP="003A5860">
      <w:pPr>
        <w:numPr>
          <w:ilvl w:val="0"/>
          <w:numId w:val="55"/>
        </w:numPr>
        <w:tabs>
          <w:tab w:val="left" w:pos="567"/>
        </w:tabs>
        <w:ind w:left="0" w:firstLine="0"/>
        <w:contextualSpacing/>
        <w:jc w:val="both"/>
        <w:rPr>
          <w:rFonts w:asciiTheme="majorHAnsi" w:eastAsia="Calibri" w:hAnsiTheme="majorHAnsi"/>
          <w:sz w:val="20"/>
          <w:szCs w:val="20"/>
          <w:lang w:val="es-ES"/>
        </w:rPr>
      </w:pPr>
      <w:r w:rsidRPr="00386E47">
        <w:rPr>
          <w:rFonts w:asciiTheme="majorHAnsi" w:eastAsia="Calibri" w:hAnsiTheme="majorHAnsi"/>
          <w:sz w:val="20"/>
          <w:szCs w:val="20"/>
          <w:lang w:val="es-ES"/>
        </w:rPr>
        <w:t>La</w:t>
      </w:r>
      <w:r w:rsidR="004C42C7" w:rsidRPr="00386E47">
        <w:rPr>
          <w:rFonts w:asciiTheme="majorHAnsi" w:eastAsia="Calibri" w:hAnsiTheme="majorHAnsi"/>
          <w:sz w:val="20"/>
          <w:szCs w:val="20"/>
          <w:lang w:val="es-ES"/>
        </w:rPr>
        <w:t xml:space="preserve"> Comisión subraya que la investigación materia del presente caso se ha extendido por un período irrazonable, </w:t>
      </w:r>
      <w:r w:rsidR="00414369" w:rsidRPr="00386E47">
        <w:rPr>
          <w:rFonts w:asciiTheme="majorHAnsi" w:eastAsia="Calibri" w:hAnsiTheme="majorHAnsi"/>
          <w:sz w:val="20"/>
          <w:szCs w:val="20"/>
          <w:lang w:val="es-ES"/>
        </w:rPr>
        <w:t>y</w:t>
      </w:r>
      <w:r w:rsidR="004C42C7" w:rsidRPr="00386E47">
        <w:rPr>
          <w:rFonts w:asciiTheme="majorHAnsi" w:eastAsia="Calibri" w:hAnsiTheme="majorHAnsi"/>
          <w:sz w:val="20"/>
          <w:szCs w:val="20"/>
          <w:lang w:val="es-ES"/>
        </w:rPr>
        <w:t xml:space="preserve"> sus muy exiguos avances</w:t>
      </w:r>
      <w:r w:rsidR="00414369" w:rsidRPr="00386E47">
        <w:rPr>
          <w:rFonts w:asciiTheme="majorHAnsi" w:eastAsia="Calibri" w:hAnsiTheme="majorHAnsi"/>
          <w:sz w:val="20"/>
          <w:szCs w:val="20"/>
          <w:lang w:val="es-ES"/>
        </w:rPr>
        <w:t xml:space="preserve"> son</w:t>
      </w:r>
      <w:r w:rsidR="004C42C7" w:rsidRPr="00386E47">
        <w:rPr>
          <w:rFonts w:asciiTheme="majorHAnsi" w:eastAsia="Calibri" w:hAnsiTheme="majorHAnsi"/>
          <w:sz w:val="20"/>
          <w:szCs w:val="20"/>
          <w:lang w:val="es-ES"/>
        </w:rPr>
        <w:t xml:space="preserve"> resultado </w:t>
      </w:r>
      <w:r w:rsidR="00D72113" w:rsidRPr="00386E47">
        <w:rPr>
          <w:rFonts w:asciiTheme="majorHAnsi" w:eastAsia="Calibri" w:hAnsiTheme="majorHAnsi"/>
          <w:sz w:val="20"/>
          <w:szCs w:val="20"/>
          <w:lang w:val="es-ES"/>
        </w:rPr>
        <w:t>no solo de la</w:t>
      </w:r>
      <w:r w:rsidR="004C42C7" w:rsidRPr="00386E47">
        <w:rPr>
          <w:rFonts w:asciiTheme="majorHAnsi" w:eastAsia="Calibri" w:hAnsiTheme="majorHAnsi"/>
          <w:sz w:val="20"/>
          <w:szCs w:val="20"/>
          <w:lang w:val="es-ES"/>
        </w:rPr>
        <w:t xml:space="preserve"> negligencia </w:t>
      </w:r>
      <w:r w:rsidR="00C939A3" w:rsidRPr="00386E47">
        <w:rPr>
          <w:rFonts w:asciiTheme="majorHAnsi" w:eastAsia="Calibri" w:hAnsiTheme="majorHAnsi"/>
          <w:sz w:val="20"/>
          <w:szCs w:val="20"/>
          <w:lang w:val="es-ES"/>
        </w:rPr>
        <w:t>estatal</w:t>
      </w:r>
      <w:r w:rsidR="00D72113" w:rsidRPr="00386E47">
        <w:rPr>
          <w:rFonts w:asciiTheme="majorHAnsi" w:eastAsia="Calibri" w:hAnsiTheme="majorHAnsi"/>
          <w:sz w:val="20"/>
          <w:szCs w:val="20"/>
          <w:lang w:val="es-ES"/>
        </w:rPr>
        <w:t xml:space="preserve"> sino de maniobras dirigidas a ocultar la verdad</w:t>
      </w:r>
      <w:r w:rsidR="004C42C7" w:rsidRPr="00386E47">
        <w:rPr>
          <w:rFonts w:asciiTheme="majorHAnsi" w:eastAsia="Calibri" w:hAnsiTheme="majorHAnsi"/>
          <w:sz w:val="20"/>
          <w:szCs w:val="20"/>
          <w:lang w:val="es-ES"/>
        </w:rPr>
        <w:t>.</w:t>
      </w:r>
      <w:r w:rsidR="00414369" w:rsidRPr="00386E47">
        <w:rPr>
          <w:rFonts w:asciiTheme="majorHAnsi" w:eastAsia="Calibri" w:hAnsiTheme="majorHAnsi"/>
          <w:sz w:val="20"/>
          <w:szCs w:val="20"/>
          <w:lang w:val="es-ES"/>
        </w:rPr>
        <w:t xml:space="preserve"> </w:t>
      </w:r>
      <w:r w:rsidRPr="00386E47">
        <w:rPr>
          <w:rFonts w:asciiTheme="majorHAnsi" w:eastAsia="Calibri" w:hAnsiTheme="majorHAnsi"/>
          <w:sz w:val="20"/>
          <w:szCs w:val="20"/>
          <w:lang w:val="es-ES"/>
        </w:rPr>
        <w:t>En estas circunstancias, y teniendo en cuenta que el derecho a la verdad se encuentra subsumido en el derecho de la víctima o de sus familiares a obtener de los órganos competentes del Estado el esclarecimiento de los hechos violatorios y las responsabilidades correspondientes, ”</w:t>
      </w:r>
      <w:r w:rsidRPr="00386E47">
        <w:rPr>
          <w:rStyle w:val="FootnoteReference"/>
          <w:rFonts w:asciiTheme="majorHAnsi" w:eastAsia="Calibri" w:hAnsiTheme="majorHAnsi"/>
          <w:sz w:val="20"/>
          <w:szCs w:val="20"/>
          <w:lang w:val="es-ES"/>
        </w:rPr>
        <w:footnoteReference w:id="274"/>
      </w:r>
      <w:r w:rsidRPr="00386E47">
        <w:rPr>
          <w:rFonts w:asciiTheme="majorHAnsi" w:eastAsia="Calibri" w:hAnsiTheme="majorHAnsi"/>
          <w:sz w:val="20"/>
          <w:szCs w:val="20"/>
          <w:lang w:val="es-ES"/>
        </w:rPr>
        <w:t>, la Comisión concluye que ha sido la propia actuación</w:t>
      </w:r>
      <w:r w:rsidR="00C939A3" w:rsidRPr="00386E47">
        <w:rPr>
          <w:rFonts w:asciiTheme="majorHAnsi" w:eastAsia="Calibri" w:hAnsiTheme="majorHAnsi"/>
          <w:sz w:val="20"/>
          <w:szCs w:val="20"/>
          <w:lang w:val="es-ES"/>
        </w:rPr>
        <w:t xml:space="preserve"> estatal</w:t>
      </w:r>
      <w:r w:rsidRPr="00386E47">
        <w:rPr>
          <w:rFonts w:asciiTheme="majorHAnsi" w:eastAsia="Calibri" w:hAnsiTheme="majorHAnsi"/>
          <w:sz w:val="20"/>
          <w:szCs w:val="20"/>
          <w:lang w:val="es-ES"/>
        </w:rPr>
        <w:t xml:space="preserve"> la que ha impedido a las víctimas y familiares ver satisfecho su derecho al establecimiento de la verdad a través de la investigación y proceso penal. En consecuencia, el Estado argentino ha violado sus obligaciones establecidas en los artículos 8 y 25 de la Convención Americana. </w:t>
      </w:r>
    </w:p>
    <w:p w14:paraId="5DD3E75C" w14:textId="77777777" w:rsidR="006A1FC1" w:rsidRPr="00386E47" w:rsidRDefault="006A1FC1" w:rsidP="00A311A0">
      <w:pPr>
        <w:pStyle w:val="ListParagraph"/>
        <w:ind w:left="1080"/>
        <w:rPr>
          <w:rFonts w:asciiTheme="majorHAnsi" w:eastAsia="Calibri" w:hAnsiTheme="majorHAnsi"/>
          <w:sz w:val="20"/>
          <w:szCs w:val="20"/>
          <w:lang w:val="es-ES"/>
        </w:rPr>
      </w:pPr>
    </w:p>
    <w:p w14:paraId="255F9CCD" w14:textId="77777777" w:rsidR="009F70EA" w:rsidRPr="00386E47" w:rsidRDefault="009017AE" w:rsidP="009146F2">
      <w:pPr>
        <w:pStyle w:val="Heading2"/>
        <w:numPr>
          <w:ilvl w:val="0"/>
          <w:numId w:val="68"/>
        </w:numPr>
        <w:rPr>
          <w:rFonts w:asciiTheme="majorHAnsi" w:hAnsiTheme="majorHAnsi"/>
        </w:rPr>
      </w:pPr>
      <w:bookmarkStart w:id="31" w:name="_Toc51252202"/>
      <w:r w:rsidRPr="00386E47">
        <w:rPr>
          <w:rFonts w:asciiTheme="majorHAnsi" w:hAnsiTheme="majorHAnsi"/>
        </w:rPr>
        <w:t>D</w:t>
      </w:r>
      <w:r w:rsidR="009F70EA" w:rsidRPr="00386E47">
        <w:rPr>
          <w:rFonts w:asciiTheme="majorHAnsi" w:hAnsiTheme="majorHAnsi"/>
        </w:rPr>
        <w:t>erechos de Acceso a la Información (artículos 13, 1.1 y 2 de la Convención) y</w:t>
      </w:r>
      <w:r w:rsidR="00764BCB" w:rsidRPr="00386E47">
        <w:rPr>
          <w:rFonts w:asciiTheme="majorHAnsi" w:hAnsiTheme="majorHAnsi"/>
        </w:rPr>
        <w:t xml:space="preserve"> a la</w:t>
      </w:r>
      <w:r w:rsidR="009F70EA" w:rsidRPr="00386E47">
        <w:rPr>
          <w:rFonts w:asciiTheme="majorHAnsi" w:hAnsiTheme="majorHAnsi"/>
        </w:rPr>
        <w:t xml:space="preserve"> Protección Judicial (artículo 25 de la Convención Americana)</w:t>
      </w:r>
      <w:bookmarkEnd w:id="31"/>
      <w:r w:rsidR="009F70EA" w:rsidRPr="00386E47">
        <w:rPr>
          <w:rFonts w:asciiTheme="majorHAnsi" w:hAnsiTheme="majorHAnsi"/>
        </w:rPr>
        <w:t xml:space="preserve"> </w:t>
      </w:r>
    </w:p>
    <w:p w14:paraId="600F18EC" w14:textId="77777777" w:rsidR="00D85E80" w:rsidRPr="00386E47" w:rsidRDefault="00D85E80" w:rsidP="00D85E80">
      <w:pPr>
        <w:rPr>
          <w:rFonts w:asciiTheme="majorHAnsi" w:hAnsiTheme="majorHAnsi"/>
          <w:lang w:val="es-US"/>
        </w:rPr>
      </w:pPr>
    </w:p>
    <w:p w14:paraId="3E3BF545" w14:textId="77777777" w:rsidR="008264BE" w:rsidRPr="00386E47" w:rsidRDefault="009017AE" w:rsidP="003A5860">
      <w:pPr>
        <w:numPr>
          <w:ilvl w:val="0"/>
          <w:numId w:val="55"/>
        </w:numPr>
        <w:tabs>
          <w:tab w:val="left" w:pos="567"/>
        </w:tabs>
        <w:ind w:left="0" w:firstLine="0"/>
        <w:contextualSpacing/>
        <w:jc w:val="both"/>
        <w:rPr>
          <w:rFonts w:asciiTheme="majorHAnsi" w:eastAsia="Calibri" w:hAnsiTheme="majorHAnsi"/>
          <w:sz w:val="20"/>
          <w:szCs w:val="20"/>
          <w:lang w:val="es-AR"/>
        </w:rPr>
      </w:pPr>
      <w:r w:rsidRPr="00386E47">
        <w:rPr>
          <w:rFonts w:asciiTheme="majorHAnsi" w:eastAsia="Calibri" w:hAnsiTheme="majorHAnsi"/>
          <w:sz w:val="20"/>
          <w:szCs w:val="20"/>
          <w:lang w:val="es-AR"/>
        </w:rPr>
        <w:t>E</w:t>
      </w:r>
      <w:r w:rsidR="009F70EA" w:rsidRPr="00386E47">
        <w:rPr>
          <w:rFonts w:asciiTheme="majorHAnsi" w:eastAsia="Calibri" w:hAnsiTheme="majorHAnsi"/>
          <w:sz w:val="20"/>
          <w:szCs w:val="20"/>
          <w:lang w:val="es-AR"/>
        </w:rPr>
        <w:t>l derecho de acceso a la información es u</w:t>
      </w:r>
      <w:r w:rsidR="0014695A" w:rsidRPr="00386E47">
        <w:rPr>
          <w:rFonts w:asciiTheme="majorHAnsi" w:eastAsia="Calibri" w:hAnsiTheme="majorHAnsi"/>
          <w:sz w:val="20"/>
          <w:szCs w:val="20"/>
          <w:lang w:val="es-AR"/>
        </w:rPr>
        <w:t>n derecho fundamental contemplado de manera expresa en</w:t>
      </w:r>
      <w:r w:rsidR="009F70EA" w:rsidRPr="00386E47">
        <w:rPr>
          <w:rFonts w:asciiTheme="majorHAnsi" w:eastAsia="Calibri" w:hAnsiTheme="majorHAnsi"/>
          <w:sz w:val="20"/>
          <w:szCs w:val="20"/>
          <w:lang w:val="es-AR"/>
        </w:rPr>
        <w:t xml:space="preserve"> el artículo 13 de la Convención Americana</w:t>
      </w:r>
      <w:r w:rsidR="009F70EA" w:rsidRPr="00386E47">
        <w:rPr>
          <w:rFonts w:asciiTheme="majorHAnsi" w:eastAsia="Calibri" w:hAnsiTheme="majorHAnsi"/>
          <w:sz w:val="20"/>
          <w:szCs w:val="20"/>
          <w:vertAlign w:val="superscript"/>
          <w:lang w:val="es-AR"/>
        </w:rPr>
        <w:footnoteReference w:id="275"/>
      </w:r>
      <w:r w:rsidR="00540E60" w:rsidRPr="00386E47">
        <w:rPr>
          <w:rFonts w:asciiTheme="majorHAnsi" w:eastAsia="Calibri" w:hAnsiTheme="majorHAnsi"/>
          <w:sz w:val="20"/>
          <w:szCs w:val="20"/>
          <w:lang w:val="es-AR"/>
        </w:rPr>
        <w:t xml:space="preserve"> y </w:t>
      </w:r>
      <w:r w:rsidR="00D82ADC" w:rsidRPr="00386E47">
        <w:rPr>
          <w:rFonts w:asciiTheme="majorHAnsi" w:eastAsia="Calibri" w:hAnsiTheme="majorHAnsi"/>
          <w:sz w:val="20"/>
          <w:szCs w:val="20"/>
          <w:lang w:val="es-AR"/>
        </w:rPr>
        <w:t xml:space="preserve">su ejercicio </w:t>
      </w:r>
      <w:r w:rsidR="009F70EA" w:rsidRPr="00386E47">
        <w:rPr>
          <w:rFonts w:asciiTheme="majorHAnsi" w:eastAsia="Calibri" w:hAnsiTheme="majorHAnsi"/>
          <w:sz w:val="20"/>
          <w:szCs w:val="20"/>
          <w:lang w:val="es-AR"/>
        </w:rPr>
        <w:t>resulta part</w:t>
      </w:r>
      <w:r w:rsidR="00D82ADC" w:rsidRPr="00386E47">
        <w:rPr>
          <w:rFonts w:asciiTheme="majorHAnsi" w:eastAsia="Calibri" w:hAnsiTheme="majorHAnsi"/>
          <w:sz w:val="20"/>
          <w:szCs w:val="20"/>
          <w:lang w:val="es-AR"/>
        </w:rPr>
        <w:t xml:space="preserve">icularmente importante no solo </w:t>
      </w:r>
      <w:r w:rsidR="0014695A" w:rsidRPr="00386E47">
        <w:rPr>
          <w:rFonts w:asciiTheme="majorHAnsi" w:eastAsia="Calibri" w:hAnsiTheme="majorHAnsi"/>
          <w:sz w:val="20"/>
          <w:szCs w:val="20"/>
          <w:lang w:val="es-AR"/>
        </w:rPr>
        <w:t xml:space="preserve">para el </w:t>
      </w:r>
      <w:r w:rsidR="0025385C" w:rsidRPr="00386E47">
        <w:rPr>
          <w:rFonts w:asciiTheme="majorHAnsi" w:eastAsia="Calibri" w:hAnsiTheme="majorHAnsi"/>
          <w:sz w:val="20"/>
          <w:szCs w:val="20"/>
          <w:lang w:val="es-AR"/>
        </w:rPr>
        <w:t xml:space="preserve">pleno </w:t>
      </w:r>
      <w:r w:rsidR="009F70EA" w:rsidRPr="00386E47">
        <w:rPr>
          <w:rFonts w:asciiTheme="majorHAnsi" w:eastAsia="Calibri" w:hAnsiTheme="majorHAnsi"/>
          <w:sz w:val="20"/>
          <w:szCs w:val="20"/>
          <w:lang w:val="es-AR"/>
        </w:rPr>
        <w:t>funcionamie</w:t>
      </w:r>
      <w:r w:rsidR="004B1571" w:rsidRPr="00386E47">
        <w:rPr>
          <w:rFonts w:asciiTheme="majorHAnsi" w:eastAsia="Calibri" w:hAnsiTheme="majorHAnsi"/>
          <w:sz w:val="20"/>
          <w:szCs w:val="20"/>
          <w:lang w:val="es-AR"/>
        </w:rPr>
        <w:t xml:space="preserve">nto </w:t>
      </w:r>
      <w:r w:rsidR="00281918" w:rsidRPr="00386E47">
        <w:rPr>
          <w:rFonts w:asciiTheme="majorHAnsi" w:eastAsia="Calibri" w:hAnsiTheme="majorHAnsi"/>
          <w:sz w:val="20"/>
          <w:szCs w:val="20"/>
          <w:lang w:val="es-AR"/>
        </w:rPr>
        <w:t>del sistema</w:t>
      </w:r>
      <w:r w:rsidR="004B1571" w:rsidRPr="00386E47">
        <w:rPr>
          <w:rFonts w:asciiTheme="majorHAnsi" w:eastAsia="Calibri" w:hAnsiTheme="majorHAnsi"/>
          <w:sz w:val="20"/>
          <w:szCs w:val="20"/>
          <w:lang w:val="es-AR"/>
        </w:rPr>
        <w:t xml:space="preserve"> democrático </w:t>
      </w:r>
      <w:r w:rsidR="00D82ADC" w:rsidRPr="00386E47">
        <w:rPr>
          <w:rFonts w:asciiTheme="majorHAnsi" w:eastAsia="Calibri" w:hAnsiTheme="majorHAnsi"/>
          <w:sz w:val="20"/>
          <w:szCs w:val="20"/>
          <w:lang w:val="es-AR"/>
        </w:rPr>
        <w:t>sino que</w:t>
      </w:r>
      <w:r w:rsidR="0025385C" w:rsidRPr="00386E47">
        <w:rPr>
          <w:rFonts w:asciiTheme="majorHAnsi" w:eastAsia="Calibri" w:hAnsiTheme="majorHAnsi"/>
          <w:sz w:val="20"/>
          <w:szCs w:val="20"/>
          <w:lang w:val="es-AR"/>
        </w:rPr>
        <w:t xml:space="preserve"> </w:t>
      </w:r>
      <w:r w:rsidR="002457E7" w:rsidRPr="00386E47">
        <w:rPr>
          <w:rFonts w:asciiTheme="majorHAnsi" w:eastAsia="Calibri" w:hAnsiTheme="majorHAnsi"/>
          <w:sz w:val="20"/>
          <w:szCs w:val="20"/>
          <w:lang w:val="es-AR"/>
        </w:rPr>
        <w:t>también</w:t>
      </w:r>
      <w:r w:rsidR="00D82ADC" w:rsidRPr="00386E47">
        <w:rPr>
          <w:rFonts w:asciiTheme="majorHAnsi" w:eastAsia="Calibri" w:hAnsiTheme="majorHAnsi"/>
          <w:sz w:val="20"/>
          <w:szCs w:val="20"/>
          <w:lang w:val="es-AR"/>
        </w:rPr>
        <w:t xml:space="preserve"> resulta una</w:t>
      </w:r>
      <w:r w:rsidR="009F70EA" w:rsidRPr="00386E47">
        <w:rPr>
          <w:rFonts w:asciiTheme="majorHAnsi" w:eastAsia="Calibri" w:hAnsiTheme="majorHAnsi"/>
          <w:sz w:val="20"/>
          <w:szCs w:val="20"/>
          <w:lang w:val="es-AR"/>
        </w:rPr>
        <w:t xml:space="preserve"> precondición para el disfrute de otros derechos humanos</w:t>
      </w:r>
      <w:r w:rsidR="009F70EA" w:rsidRPr="00386E47">
        <w:rPr>
          <w:rFonts w:asciiTheme="majorHAnsi" w:eastAsia="Calibri" w:hAnsiTheme="majorHAnsi"/>
          <w:sz w:val="20"/>
          <w:szCs w:val="20"/>
          <w:vertAlign w:val="superscript"/>
          <w:lang w:val="es-AR"/>
        </w:rPr>
        <w:footnoteReference w:id="276"/>
      </w:r>
      <w:r w:rsidR="008A03A7" w:rsidRPr="00386E47">
        <w:rPr>
          <w:rFonts w:asciiTheme="majorHAnsi" w:eastAsia="Calibri" w:hAnsiTheme="majorHAnsi"/>
          <w:sz w:val="20"/>
          <w:szCs w:val="20"/>
          <w:lang w:val="es-AR"/>
        </w:rPr>
        <w:t>.</w:t>
      </w:r>
      <w:r w:rsidR="009F70EA" w:rsidRPr="00386E47">
        <w:rPr>
          <w:rFonts w:asciiTheme="majorHAnsi" w:eastAsia="Calibri" w:hAnsiTheme="majorHAnsi"/>
          <w:sz w:val="20"/>
          <w:szCs w:val="20"/>
          <w:lang w:val="es-AR"/>
        </w:rPr>
        <w:t xml:space="preserve"> </w:t>
      </w:r>
    </w:p>
    <w:p w14:paraId="1D3D223F" w14:textId="77777777" w:rsidR="008264BE" w:rsidRPr="00386E47" w:rsidRDefault="008264BE" w:rsidP="00CE774A">
      <w:pPr>
        <w:tabs>
          <w:tab w:val="left" w:pos="567"/>
        </w:tabs>
        <w:contextualSpacing/>
        <w:jc w:val="both"/>
        <w:rPr>
          <w:rFonts w:asciiTheme="majorHAnsi" w:eastAsia="Calibri" w:hAnsiTheme="majorHAnsi"/>
          <w:sz w:val="20"/>
          <w:szCs w:val="20"/>
          <w:lang w:val="es-AR"/>
        </w:rPr>
      </w:pPr>
    </w:p>
    <w:p w14:paraId="4D579DFB" w14:textId="77777777" w:rsidR="00601936" w:rsidRPr="00386E47" w:rsidRDefault="00601936" w:rsidP="003A5860">
      <w:pPr>
        <w:numPr>
          <w:ilvl w:val="0"/>
          <w:numId w:val="55"/>
        </w:numPr>
        <w:tabs>
          <w:tab w:val="left" w:pos="567"/>
        </w:tabs>
        <w:ind w:left="0" w:firstLine="0"/>
        <w:contextualSpacing/>
        <w:jc w:val="both"/>
        <w:rPr>
          <w:rFonts w:asciiTheme="majorHAnsi" w:eastAsia="Calibri" w:hAnsiTheme="majorHAnsi"/>
          <w:sz w:val="20"/>
          <w:szCs w:val="20"/>
          <w:lang w:val="es-AR"/>
        </w:rPr>
      </w:pPr>
      <w:r w:rsidRPr="00386E47">
        <w:rPr>
          <w:rFonts w:asciiTheme="majorHAnsi" w:eastAsia="Calibri" w:hAnsiTheme="majorHAnsi"/>
          <w:sz w:val="20"/>
          <w:szCs w:val="20"/>
          <w:lang w:val="es-AR"/>
        </w:rPr>
        <w:t xml:space="preserve">En este sentido, la Corte IDH ha determinado que en una sociedad democrática es indispensable que las autoridades estatales se rijan por el principio de </w:t>
      </w:r>
      <w:r w:rsidR="002457E7" w:rsidRPr="00386E47">
        <w:rPr>
          <w:rFonts w:asciiTheme="majorHAnsi" w:eastAsia="Calibri" w:hAnsiTheme="majorHAnsi"/>
          <w:sz w:val="20"/>
          <w:szCs w:val="20"/>
          <w:lang w:val="es-AR"/>
        </w:rPr>
        <w:t>máxima</w:t>
      </w:r>
      <w:r w:rsidRPr="00386E47">
        <w:rPr>
          <w:rFonts w:asciiTheme="majorHAnsi" w:eastAsia="Calibri" w:hAnsiTheme="majorHAnsi"/>
          <w:sz w:val="20"/>
          <w:szCs w:val="20"/>
          <w:lang w:val="es-AR"/>
        </w:rPr>
        <w:t xml:space="preserve"> </w:t>
      </w:r>
      <w:r w:rsidR="002457E7" w:rsidRPr="00386E47">
        <w:rPr>
          <w:rFonts w:asciiTheme="majorHAnsi" w:eastAsia="Calibri" w:hAnsiTheme="majorHAnsi"/>
          <w:sz w:val="20"/>
          <w:szCs w:val="20"/>
          <w:lang w:val="es-AR"/>
        </w:rPr>
        <w:t>divulgación</w:t>
      </w:r>
      <w:r w:rsidRPr="00386E47">
        <w:rPr>
          <w:rFonts w:asciiTheme="majorHAnsi" w:eastAsia="Calibri" w:hAnsiTheme="majorHAnsi"/>
          <w:sz w:val="20"/>
          <w:szCs w:val="20"/>
          <w:lang w:val="es-AR"/>
        </w:rPr>
        <w:t xml:space="preserve">, el cual establece la presunción de que toda </w:t>
      </w:r>
      <w:r w:rsidR="002457E7" w:rsidRPr="00386E47">
        <w:rPr>
          <w:rFonts w:asciiTheme="majorHAnsi" w:eastAsia="Calibri" w:hAnsiTheme="majorHAnsi"/>
          <w:sz w:val="20"/>
          <w:szCs w:val="20"/>
          <w:lang w:val="es-AR"/>
        </w:rPr>
        <w:t>información</w:t>
      </w:r>
      <w:r w:rsidRPr="00386E47">
        <w:rPr>
          <w:rFonts w:asciiTheme="majorHAnsi" w:eastAsia="Calibri" w:hAnsiTheme="majorHAnsi"/>
          <w:sz w:val="20"/>
          <w:szCs w:val="20"/>
          <w:lang w:val="es-AR"/>
        </w:rPr>
        <w:t xml:space="preserve"> es accesible, </w:t>
      </w:r>
      <w:r w:rsidR="0025385C" w:rsidRPr="00386E47">
        <w:rPr>
          <w:rFonts w:asciiTheme="majorHAnsi" w:eastAsia="Calibri" w:hAnsiTheme="majorHAnsi"/>
          <w:sz w:val="20"/>
          <w:szCs w:val="20"/>
          <w:lang w:val="es-AR"/>
        </w:rPr>
        <w:t xml:space="preserve">y que el acceso a dicha </w:t>
      </w:r>
      <w:r w:rsidR="002457E7" w:rsidRPr="00386E47">
        <w:rPr>
          <w:rFonts w:asciiTheme="majorHAnsi" w:eastAsia="Calibri" w:hAnsiTheme="majorHAnsi"/>
          <w:sz w:val="20"/>
          <w:szCs w:val="20"/>
          <w:lang w:val="es-AR"/>
        </w:rPr>
        <w:t>información</w:t>
      </w:r>
      <w:r w:rsidR="0025385C" w:rsidRPr="00386E47">
        <w:rPr>
          <w:rFonts w:asciiTheme="majorHAnsi" w:eastAsia="Calibri" w:hAnsiTheme="majorHAnsi"/>
          <w:sz w:val="20"/>
          <w:szCs w:val="20"/>
          <w:lang w:val="es-AR"/>
        </w:rPr>
        <w:t xml:space="preserve"> solo puede ser negado conforme</w:t>
      </w:r>
      <w:r w:rsidRPr="00386E47">
        <w:rPr>
          <w:rFonts w:asciiTheme="majorHAnsi" w:eastAsia="Calibri" w:hAnsiTheme="majorHAnsi"/>
          <w:sz w:val="20"/>
          <w:szCs w:val="20"/>
          <w:lang w:val="es-AR"/>
        </w:rPr>
        <w:t xml:space="preserve"> a un sistema restringido de excepciones</w:t>
      </w:r>
      <w:r w:rsidRPr="00386E47">
        <w:rPr>
          <w:rStyle w:val="FootnoteReference"/>
          <w:rFonts w:asciiTheme="majorHAnsi" w:eastAsia="Calibri" w:hAnsiTheme="majorHAnsi"/>
          <w:sz w:val="20"/>
          <w:szCs w:val="20"/>
          <w:lang w:val="es-AR"/>
        </w:rPr>
        <w:footnoteReference w:id="277"/>
      </w:r>
      <w:r w:rsidRPr="00386E47">
        <w:rPr>
          <w:rFonts w:asciiTheme="majorHAnsi" w:eastAsia="Calibri" w:hAnsiTheme="majorHAnsi"/>
          <w:sz w:val="20"/>
          <w:szCs w:val="20"/>
          <w:lang w:val="es-AR"/>
        </w:rPr>
        <w:t>.</w:t>
      </w:r>
    </w:p>
    <w:p w14:paraId="355490E2" w14:textId="77777777" w:rsidR="00601936" w:rsidRPr="00386E47" w:rsidRDefault="00601936" w:rsidP="00CE774A">
      <w:pPr>
        <w:tabs>
          <w:tab w:val="left" w:pos="567"/>
        </w:tabs>
        <w:contextualSpacing/>
        <w:jc w:val="both"/>
        <w:rPr>
          <w:rFonts w:asciiTheme="majorHAnsi" w:eastAsia="Calibri" w:hAnsiTheme="majorHAnsi"/>
          <w:sz w:val="20"/>
          <w:szCs w:val="20"/>
          <w:lang w:val="es-AR"/>
        </w:rPr>
      </w:pPr>
    </w:p>
    <w:p w14:paraId="0846FAC2" w14:textId="77777777" w:rsidR="008264BE" w:rsidRPr="00386E47" w:rsidRDefault="00601936" w:rsidP="003A5860">
      <w:pPr>
        <w:numPr>
          <w:ilvl w:val="0"/>
          <w:numId w:val="55"/>
        </w:numPr>
        <w:tabs>
          <w:tab w:val="left" w:pos="567"/>
        </w:tabs>
        <w:ind w:left="0" w:firstLine="0"/>
        <w:contextualSpacing/>
        <w:jc w:val="both"/>
        <w:rPr>
          <w:rFonts w:asciiTheme="majorHAnsi" w:eastAsia="Calibri" w:hAnsiTheme="majorHAnsi"/>
          <w:sz w:val="20"/>
          <w:szCs w:val="20"/>
          <w:lang w:val="es-AR"/>
        </w:rPr>
      </w:pPr>
      <w:r w:rsidRPr="00386E47">
        <w:rPr>
          <w:rFonts w:asciiTheme="majorHAnsi" w:eastAsia="Calibri" w:hAnsiTheme="majorHAnsi"/>
          <w:sz w:val="20"/>
          <w:szCs w:val="20"/>
          <w:lang w:val="es-AR"/>
        </w:rPr>
        <w:t xml:space="preserve"> Por su parte, la CIDH </w:t>
      </w:r>
      <w:r w:rsidR="009F70EA" w:rsidRPr="00386E47">
        <w:rPr>
          <w:rFonts w:asciiTheme="majorHAnsi" w:eastAsia="Calibri" w:hAnsiTheme="majorHAnsi"/>
          <w:sz w:val="20"/>
          <w:szCs w:val="20"/>
          <w:lang w:val="es-AR"/>
        </w:rPr>
        <w:t xml:space="preserve">ha señalado que el derecho de acceso a la información </w:t>
      </w:r>
      <w:r w:rsidRPr="00386E47">
        <w:rPr>
          <w:rFonts w:asciiTheme="majorHAnsi" w:eastAsia="Calibri" w:hAnsiTheme="majorHAnsi"/>
          <w:sz w:val="20"/>
          <w:szCs w:val="20"/>
          <w:lang w:val="es-AR"/>
        </w:rPr>
        <w:t>comprende</w:t>
      </w:r>
      <w:r w:rsidR="009F70EA" w:rsidRPr="00386E47">
        <w:rPr>
          <w:rFonts w:asciiTheme="majorHAnsi" w:eastAsia="Calibri" w:hAnsiTheme="majorHAnsi"/>
          <w:sz w:val="20"/>
          <w:szCs w:val="20"/>
          <w:lang w:val="es-AR"/>
        </w:rPr>
        <w:t xml:space="preserve"> el interés de las víctimas y sus familiares, así como la sociedad en su conjunto, a buscar y obtener información sobre graves violaciones de derechos humanos que pueda hallase almacenad</w:t>
      </w:r>
      <w:r w:rsidR="00D549B0" w:rsidRPr="00386E47">
        <w:rPr>
          <w:rFonts w:asciiTheme="majorHAnsi" w:eastAsia="Calibri" w:hAnsiTheme="majorHAnsi"/>
          <w:sz w:val="20"/>
          <w:szCs w:val="20"/>
          <w:lang w:val="es-AR"/>
        </w:rPr>
        <w:t>a en los archivos del Estado, aú</w:t>
      </w:r>
      <w:r w:rsidR="009F70EA" w:rsidRPr="00386E47">
        <w:rPr>
          <w:rFonts w:asciiTheme="majorHAnsi" w:eastAsia="Calibri" w:hAnsiTheme="majorHAnsi"/>
          <w:sz w:val="20"/>
          <w:szCs w:val="20"/>
          <w:lang w:val="es-AR"/>
        </w:rPr>
        <w:t xml:space="preserve">n en los casos en </w:t>
      </w:r>
      <w:r w:rsidR="009F70EA" w:rsidRPr="00386E47">
        <w:rPr>
          <w:rFonts w:asciiTheme="majorHAnsi" w:eastAsia="Calibri" w:hAnsiTheme="majorHAnsi"/>
          <w:sz w:val="20"/>
          <w:szCs w:val="20"/>
          <w:lang w:val="es-AR"/>
        </w:rPr>
        <w:lastRenderedPageBreak/>
        <w:t>que dichos  archivos se encuentran bajo la custodia de agencias de seguridad, en dependencias militares o de la policía</w:t>
      </w:r>
      <w:r w:rsidR="009F70EA" w:rsidRPr="00386E47">
        <w:rPr>
          <w:rFonts w:asciiTheme="majorHAnsi" w:eastAsia="Calibri" w:hAnsiTheme="majorHAnsi"/>
          <w:sz w:val="20"/>
          <w:szCs w:val="20"/>
          <w:vertAlign w:val="superscript"/>
          <w:lang w:val="es-AR"/>
        </w:rPr>
        <w:footnoteReference w:id="278"/>
      </w:r>
      <w:r w:rsidR="009F70EA" w:rsidRPr="00386E47">
        <w:rPr>
          <w:rFonts w:asciiTheme="majorHAnsi" w:eastAsia="Calibri" w:hAnsiTheme="majorHAnsi"/>
          <w:sz w:val="20"/>
          <w:szCs w:val="20"/>
          <w:lang w:val="es-AR"/>
        </w:rPr>
        <w:t xml:space="preserve">. </w:t>
      </w:r>
    </w:p>
    <w:p w14:paraId="260E90FC" w14:textId="77777777" w:rsidR="008264BE" w:rsidRPr="00386E47" w:rsidRDefault="008264BE" w:rsidP="00CE774A">
      <w:pPr>
        <w:tabs>
          <w:tab w:val="left" w:pos="567"/>
        </w:tabs>
        <w:contextualSpacing/>
        <w:jc w:val="both"/>
        <w:rPr>
          <w:rFonts w:asciiTheme="majorHAnsi" w:eastAsia="Calibri" w:hAnsiTheme="majorHAnsi"/>
          <w:sz w:val="20"/>
          <w:szCs w:val="20"/>
          <w:lang w:val="es-AR"/>
        </w:rPr>
      </w:pPr>
    </w:p>
    <w:p w14:paraId="17DCE958" w14:textId="77777777" w:rsidR="00D549B0" w:rsidRPr="00386E47" w:rsidRDefault="009F70EA" w:rsidP="003A5860">
      <w:pPr>
        <w:numPr>
          <w:ilvl w:val="0"/>
          <w:numId w:val="55"/>
        </w:numPr>
        <w:tabs>
          <w:tab w:val="left" w:pos="567"/>
        </w:tabs>
        <w:ind w:left="0" w:firstLine="0"/>
        <w:contextualSpacing/>
        <w:jc w:val="both"/>
        <w:rPr>
          <w:rFonts w:asciiTheme="majorHAnsi" w:eastAsia="Calibri" w:hAnsiTheme="majorHAnsi"/>
          <w:sz w:val="20"/>
          <w:szCs w:val="20"/>
          <w:lang w:val="es-AR"/>
        </w:rPr>
      </w:pPr>
      <w:r w:rsidRPr="00386E47">
        <w:rPr>
          <w:rFonts w:asciiTheme="majorHAnsi" w:eastAsia="Calibri" w:hAnsiTheme="majorHAnsi"/>
          <w:sz w:val="20"/>
          <w:szCs w:val="20"/>
          <w:lang w:val="es-AR"/>
        </w:rPr>
        <w:t>Garantizar el derecho de acceso a la información vinculada con hechos de graves violaciones a los derechos humanos impone al Estado el cumplimiento de una serie de obligaciones positivas. En lo que resulta relevante a este caso, la Comisión destaca, e</w:t>
      </w:r>
      <w:r w:rsidR="0025385C" w:rsidRPr="00386E47">
        <w:rPr>
          <w:rFonts w:asciiTheme="majorHAnsi" w:eastAsia="Calibri" w:hAnsiTheme="majorHAnsi"/>
          <w:sz w:val="20"/>
          <w:szCs w:val="20"/>
          <w:lang w:val="es-AR"/>
        </w:rPr>
        <w:t>ntre otras medidas</w:t>
      </w:r>
      <w:r w:rsidRPr="00386E47">
        <w:rPr>
          <w:rFonts w:asciiTheme="majorHAnsi" w:eastAsia="Calibri" w:hAnsiTheme="majorHAnsi"/>
          <w:sz w:val="20"/>
          <w:szCs w:val="20"/>
          <w:lang w:val="es-AR"/>
        </w:rPr>
        <w:t>, la</w:t>
      </w:r>
      <w:r w:rsidR="008264BE" w:rsidRPr="00386E47">
        <w:rPr>
          <w:rFonts w:asciiTheme="majorHAnsi" w:eastAsia="Calibri" w:hAnsiTheme="majorHAnsi"/>
          <w:sz w:val="20"/>
          <w:szCs w:val="20"/>
          <w:lang w:val="es-AR"/>
        </w:rPr>
        <w:t xml:space="preserve"> </w:t>
      </w:r>
      <w:r w:rsidR="00B05379" w:rsidRPr="00386E47">
        <w:rPr>
          <w:rFonts w:asciiTheme="majorHAnsi" w:eastAsia="Calibri" w:hAnsiTheme="majorHAnsi"/>
          <w:sz w:val="20"/>
          <w:szCs w:val="20"/>
          <w:lang w:val="es-AR"/>
        </w:rPr>
        <w:t>desclasificación</w:t>
      </w:r>
      <w:r w:rsidR="008264BE" w:rsidRPr="00386E47">
        <w:rPr>
          <w:rFonts w:asciiTheme="majorHAnsi" w:eastAsia="Calibri" w:hAnsiTheme="majorHAnsi"/>
          <w:sz w:val="20"/>
          <w:szCs w:val="20"/>
          <w:lang w:val="es-AR"/>
        </w:rPr>
        <w:t xml:space="preserve"> y</w:t>
      </w:r>
      <w:r w:rsidRPr="00386E47">
        <w:rPr>
          <w:rFonts w:asciiTheme="majorHAnsi" w:eastAsia="Calibri" w:hAnsiTheme="majorHAnsi"/>
          <w:sz w:val="20"/>
          <w:szCs w:val="20"/>
          <w:lang w:val="es-AR"/>
        </w:rPr>
        <w:t xml:space="preserve"> apertura de los archivos a efectos de que las instituciones que investigan los hechos puedan hacer inspecciones directas; la realización de inventarios y rastreos en las instalaciones oficiales; el impulso de operativos de búsqueda que incluyan allanamientos a los lugares en los cuales la información puede reposar; la realización de audiencias e interrogatorios a quienes pueden saber dónde se encuentra</w:t>
      </w:r>
      <w:r w:rsidR="008264BE" w:rsidRPr="00386E47">
        <w:rPr>
          <w:rFonts w:asciiTheme="majorHAnsi" w:eastAsia="Calibri" w:hAnsiTheme="majorHAnsi"/>
          <w:sz w:val="20"/>
          <w:szCs w:val="20"/>
          <w:lang w:val="es-AR"/>
        </w:rPr>
        <w:t>n documentos relevantes</w:t>
      </w:r>
      <w:r w:rsidRPr="00386E47">
        <w:rPr>
          <w:rFonts w:asciiTheme="majorHAnsi" w:eastAsia="Calibri" w:hAnsiTheme="majorHAnsi"/>
          <w:sz w:val="20"/>
          <w:szCs w:val="20"/>
          <w:lang w:val="es-AR"/>
        </w:rPr>
        <w:t xml:space="preserve"> o a quienes pueden reconstruir lo sucedido</w:t>
      </w:r>
      <w:r w:rsidR="008264BE" w:rsidRPr="00386E47">
        <w:rPr>
          <w:rFonts w:asciiTheme="majorHAnsi" w:eastAsia="Calibri" w:hAnsiTheme="majorHAnsi"/>
          <w:sz w:val="20"/>
          <w:szCs w:val="20"/>
          <w:lang w:val="es-AR"/>
        </w:rPr>
        <w:t xml:space="preserve"> con ellos,</w:t>
      </w:r>
      <w:r w:rsidRPr="00386E47">
        <w:rPr>
          <w:rFonts w:asciiTheme="majorHAnsi" w:eastAsia="Calibri" w:hAnsiTheme="majorHAnsi"/>
          <w:sz w:val="20"/>
          <w:szCs w:val="20"/>
          <w:lang w:val="es-AR"/>
        </w:rPr>
        <w:t xml:space="preserve"> entre otras cosas. Resulta necesario, asimismo, que los familiares de las víctimas y sus representantes legales puedan participar en estas acciones y tener acceso directo a la documentación </w:t>
      </w:r>
      <w:r w:rsidR="008264BE" w:rsidRPr="00386E47">
        <w:rPr>
          <w:rFonts w:asciiTheme="majorHAnsi" w:eastAsia="Calibri" w:hAnsiTheme="majorHAnsi"/>
          <w:sz w:val="20"/>
          <w:szCs w:val="20"/>
          <w:lang w:val="es-AR"/>
        </w:rPr>
        <w:t>existente</w:t>
      </w:r>
      <w:r w:rsidRPr="00386E47">
        <w:rPr>
          <w:rFonts w:asciiTheme="majorHAnsi" w:eastAsia="Calibri" w:hAnsiTheme="majorHAnsi"/>
          <w:sz w:val="20"/>
          <w:szCs w:val="20"/>
          <w:vertAlign w:val="superscript"/>
          <w:lang w:val="es-AR"/>
        </w:rPr>
        <w:footnoteReference w:id="279"/>
      </w:r>
      <w:r w:rsidR="002F50D7" w:rsidRPr="00386E47">
        <w:rPr>
          <w:rFonts w:asciiTheme="majorHAnsi" w:eastAsia="Calibri" w:hAnsiTheme="majorHAnsi"/>
          <w:sz w:val="20"/>
          <w:szCs w:val="20"/>
          <w:lang w:val="es-AR"/>
        </w:rPr>
        <w:t>.</w:t>
      </w:r>
    </w:p>
    <w:p w14:paraId="10F087A0" w14:textId="77777777" w:rsidR="00D549B0" w:rsidRPr="00386E47" w:rsidRDefault="00D549B0" w:rsidP="00D85E80">
      <w:pPr>
        <w:tabs>
          <w:tab w:val="left" w:pos="567"/>
        </w:tabs>
        <w:contextualSpacing/>
        <w:jc w:val="both"/>
        <w:rPr>
          <w:rFonts w:asciiTheme="majorHAnsi" w:eastAsia="Calibri" w:hAnsiTheme="majorHAnsi"/>
          <w:sz w:val="20"/>
          <w:szCs w:val="20"/>
          <w:lang w:val="es-AR"/>
        </w:rPr>
      </w:pPr>
    </w:p>
    <w:p w14:paraId="768FB081" w14:textId="77777777" w:rsidR="00D549B0" w:rsidRPr="00386E47" w:rsidRDefault="009F70EA" w:rsidP="003A5860">
      <w:pPr>
        <w:numPr>
          <w:ilvl w:val="0"/>
          <w:numId w:val="55"/>
        </w:numPr>
        <w:tabs>
          <w:tab w:val="left" w:pos="567"/>
        </w:tabs>
        <w:ind w:left="0" w:firstLine="0"/>
        <w:contextualSpacing/>
        <w:jc w:val="both"/>
        <w:rPr>
          <w:rFonts w:asciiTheme="majorHAnsi" w:eastAsia="Calibri" w:hAnsiTheme="majorHAnsi"/>
          <w:sz w:val="20"/>
          <w:szCs w:val="20"/>
          <w:lang w:val="es-AR"/>
        </w:rPr>
      </w:pPr>
      <w:r w:rsidRPr="00386E47">
        <w:rPr>
          <w:rFonts w:asciiTheme="majorHAnsi" w:eastAsia="Calibri" w:hAnsiTheme="majorHAnsi"/>
          <w:sz w:val="20"/>
          <w:szCs w:val="20"/>
          <w:lang w:val="es-AR"/>
        </w:rPr>
        <w:t xml:space="preserve">En segundo término, la Comisión resalta que </w:t>
      </w:r>
      <w:r w:rsidR="002778A1" w:rsidRPr="00386E47">
        <w:rPr>
          <w:rFonts w:asciiTheme="majorHAnsi" w:eastAsia="Calibri" w:hAnsiTheme="majorHAnsi"/>
          <w:sz w:val="20"/>
          <w:szCs w:val="20"/>
          <w:lang w:val="es-AR"/>
        </w:rPr>
        <w:t>los Estados poseen</w:t>
      </w:r>
      <w:r w:rsidRPr="00386E47">
        <w:rPr>
          <w:rFonts w:asciiTheme="majorHAnsi" w:eastAsia="Calibri" w:hAnsiTheme="majorHAnsi"/>
          <w:sz w:val="20"/>
          <w:szCs w:val="20"/>
          <w:lang w:val="es-AR"/>
        </w:rPr>
        <w:t xml:space="preserve"> el deber de preservar y facilitar el acceso a los archivos est</w:t>
      </w:r>
      <w:r w:rsidR="00D549B0" w:rsidRPr="00386E47">
        <w:rPr>
          <w:rFonts w:asciiTheme="majorHAnsi" w:eastAsia="Calibri" w:hAnsiTheme="majorHAnsi"/>
          <w:sz w:val="20"/>
          <w:szCs w:val="20"/>
          <w:lang w:val="es-AR"/>
        </w:rPr>
        <w:t>atales, cuando éstos existieran</w:t>
      </w:r>
      <w:r w:rsidRPr="00386E47">
        <w:rPr>
          <w:rFonts w:asciiTheme="majorHAnsi" w:eastAsia="Calibri" w:hAnsiTheme="majorHAnsi"/>
          <w:sz w:val="20"/>
          <w:szCs w:val="20"/>
          <w:lang w:val="es-AR"/>
        </w:rPr>
        <w:t xml:space="preserve"> y de crearlos y </w:t>
      </w:r>
      <w:r w:rsidR="008264BE" w:rsidRPr="00386E47">
        <w:rPr>
          <w:rFonts w:asciiTheme="majorHAnsi" w:eastAsia="Calibri" w:hAnsiTheme="majorHAnsi"/>
          <w:sz w:val="20"/>
          <w:szCs w:val="20"/>
          <w:lang w:val="es-AR"/>
        </w:rPr>
        <w:t>gestionarlos</w:t>
      </w:r>
      <w:r w:rsidRPr="00386E47">
        <w:rPr>
          <w:rFonts w:asciiTheme="majorHAnsi" w:eastAsia="Calibri" w:hAnsiTheme="majorHAnsi"/>
          <w:sz w:val="20"/>
          <w:szCs w:val="20"/>
          <w:lang w:val="es-AR"/>
        </w:rPr>
        <w:t xml:space="preserve"> cuando no estuvieran recopilados u organizados como tales. </w:t>
      </w:r>
      <w:r w:rsidR="002409D9" w:rsidRPr="00386E47">
        <w:rPr>
          <w:rFonts w:asciiTheme="majorHAnsi" w:eastAsia="Calibri" w:hAnsiTheme="majorHAnsi"/>
          <w:sz w:val="20"/>
          <w:szCs w:val="20"/>
          <w:lang w:val="es-AR"/>
        </w:rPr>
        <w:t>En efecto, c</w:t>
      </w:r>
      <w:r w:rsidRPr="00386E47">
        <w:rPr>
          <w:rFonts w:asciiTheme="majorHAnsi" w:eastAsia="Calibri" w:hAnsiTheme="majorHAnsi"/>
          <w:sz w:val="20"/>
          <w:szCs w:val="20"/>
          <w:lang w:val="es-AR"/>
        </w:rPr>
        <w:t>uando se trata de graves violaciones de derechos h</w:t>
      </w:r>
      <w:r w:rsidR="008264BE" w:rsidRPr="00386E47">
        <w:rPr>
          <w:rFonts w:asciiTheme="majorHAnsi" w:eastAsia="Calibri" w:hAnsiTheme="majorHAnsi"/>
          <w:sz w:val="20"/>
          <w:szCs w:val="20"/>
          <w:lang w:val="es-AR"/>
        </w:rPr>
        <w:t>umanos, la información que pueda</w:t>
      </w:r>
      <w:r w:rsidRPr="00386E47">
        <w:rPr>
          <w:rFonts w:asciiTheme="majorHAnsi" w:eastAsia="Calibri" w:hAnsiTheme="majorHAnsi"/>
          <w:sz w:val="20"/>
          <w:szCs w:val="20"/>
          <w:lang w:val="es-AR"/>
        </w:rPr>
        <w:t>n reunir estos archiv</w:t>
      </w:r>
      <w:r w:rsidR="008264BE" w:rsidRPr="00386E47">
        <w:rPr>
          <w:rFonts w:asciiTheme="majorHAnsi" w:eastAsia="Calibri" w:hAnsiTheme="majorHAnsi"/>
          <w:sz w:val="20"/>
          <w:szCs w:val="20"/>
          <w:lang w:val="es-AR"/>
        </w:rPr>
        <w:t>os posee un valor innegable y resultan</w:t>
      </w:r>
      <w:r w:rsidRPr="00386E47">
        <w:rPr>
          <w:rFonts w:asciiTheme="majorHAnsi" w:eastAsia="Calibri" w:hAnsiTheme="majorHAnsi"/>
          <w:sz w:val="20"/>
          <w:szCs w:val="20"/>
          <w:lang w:val="es-AR"/>
        </w:rPr>
        <w:t xml:space="preserve"> indispensable</w:t>
      </w:r>
      <w:r w:rsidR="008264BE" w:rsidRPr="00386E47">
        <w:rPr>
          <w:rFonts w:asciiTheme="majorHAnsi" w:eastAsia="Calibri" w:hAnsiTheme="majorHAnsi"/>
          <w:sz w:val="20"/>
          <w:szCs w:val="20"/>
          <w:lang w:val="es-AR"/>
        </w:rPr>
        <w:t>s</w:t>
      </w:r>
      <w:r w:rsidRPr="00386E47">
        <w:rPr>
          <w:rFonts w:asciiTheme="majorHAnsi" w:eastAsia="Calibri" w:hAnsiTheme="majorHAnsi"/>
          <w:sz w:val="20"/>
          <w:szCs w:val="20"/>
          <w:lang w:val="es-AR"/>
        </w:rPr>
        <w:t xml:space="preserve"> no sólo para impulsar las investigacion</w:t>
      </w:r>
      <w:r w:rsidR="008264BE" w:rsidRPr="00386E47">
        <w:rPr>
          <w:rFonts w:asciiTheme="majorHAnsi" w:eastAsia="Calibri" w:hAnsiTheme="majorHAnsi"/>
          <w:sz w:val="20"/>
          <w:szCs w:val="20"/>
          <w:lang w:val="es-AR"/>
        </w:rPr>
        <w:t xml:space="preserve">es, </w:t>
      </w:r>
      <w:r w:rsidRPr="00386E47">
        <w:rPr>
          <w:rFonts w:asciiTheme="majorHAnsi" w:eastAsia="Calibri" w:hAnsiTheme="majorHAnsi"/>
          <w:sz w:val="20"/>
          <w:szCs w:val="20"/>
          <w:lang w:val="es-AR"/>
        </w:rPr>
        <w:t xml:space="preserve">sino </w:t>
      </w:r>
      <w:r w:rsidR="00B05379" w:rsidRPr="00386E47">
        <w:rPr>
          <w:rFonts w:asciiTheme="majorHAnsi" w:eastAsia="Calibri" w:hAnsiTheme="majorHAnsi"/>
          <w:sz w:val="20"/>
          <w:szCs w:val="20"/>
          <w:lang w:val="es-AR"/>
        </w:rPr>
        <w:t>también</w:t>
      </w:r>
      <w:r w:rsidR="008264BE" w:rsidRPr="00386E47">
        <w:rPr>
          <w:rFonts w:asciiTheme="majorHAnsi" w:eastAsia="Calibri" w:hAnsiTheme="majorHAnsi"/>
          <w:sz w:val="20"/>
          <w:szCs w:val="20"/>
          <w:lang w:val="es-AR"/>
        </w:rPr>
        <w:t xml:space="preserve"> </w:t>
      </w:r>
      <w:r w:rsidRPr="00386E47">
        <w:rPr>
          <w:rFonts w:asciiTheme="majorHAnsi" w:eastAsia="Calibri" w:hAnsiTheme="majorHAnsi"/>
          <w:sz w:val="20"/>
          <w:szCs w:val="20"/>
          <w:lang w:val="es-AR"/>
        </w:rPr>
        <w:t>para</w:t>
      </w:r>
      <w:r w:rsidR="008264BE" w:rsidRPr="00386E47">
        <w:rPr>
          <w:rFonts w:asciiTheme="majorHAnsi" w:eastAsia="Calibri" w:hAnsiTheme="majorHAnsi"/>
          <w:sz w:val="20"/>
          <w:szCs w:val="20"/>
          <w:lang w:val="es-AR"/>
        </w:rPr>
        <w:t xml:space="preserve"> estudiar el pasado </w:t>
      </w:r>
      <w:r w:rsidR="00B05379" w:rsidRPr="00386E47">
        <w:rPr>
          <w:rFonts w:asciiTheme="majorHAnsi" w:eastAsia="Calibri" w:hAnsiTheme="majorHAnsi"/>
          <w:sz w:val="20"/>
          <w:szCs w:val="20"/>
          <w:lang w:val="es-AR"/>
        </w:rPr>
        <w:t>a fin de</w:t>
      </w:r>
      <w:r w:rsidR="00D549B0" w:rsidRPr="00386E47">
        <w:rPr>
          <w:rFonts w:asciiTheme="majorHAnsi" w:eastAsia="Calibri" w:hAnsiTheme="majorHAnsi"/>
          <w:sz w:val="20"/>
          <w:szCs w:val="20"/>
          <w:lang w:val="es-AR"/>
        </w:rPr>
        <w:t xml:space="preserve"> prevenir</w:t>
      </w:r>
      <w:r w:rsidR="008264BE" w:rsidRPr="00386E47">
        <w:rPr>
          <w:rFonts w:asciiTheme="majorHAnsi" w:eastAsia="Calibri" w:hAnsiTheme="majorHAnsi"/>
          <w:sz w:val="20"/>
          <w:szCs w:val="20"/>
          <w:lang w:val="es-AR"/>
        </w:rPr>
        <w:t xml:space="preserve"> </w:t>
      </w:r>
      <w:r w:rsidR="00D549B0" w:rsidRPr="00386E47">
        <w:rPr>
          <w:rFonts w:asciiTheme="majorHAnsi" w:eastAsia="Calibri" w:hAnsiTheme="majorHAnsi"/>
          <w:sz w:val="20"/>
          <w:szCs w:val="20"/>
          <w:lang w:val="es-AR"/>
        </w:rPr>
        <w:t>su repetici</w:t>
      </w:r>
      <w:r w:rsidR="002F3E4D" w:rsidRPr="00386E47">
        <w:rPr>
          <w:rFonts w:asciiTheme="majorHAnsi" w:eastAsia="Calibri" w:hAnsiTheme="majorHAnsi"/>
          <w:sz w:val="20"/>
          <w:szCs w:val="20"/>
          <w:lang w:val="es-AR"/>
        </w:rPr>
        <w:t>ó</w:t>
      </w:r>
      <w:r w:rsidR="008A03A7" w:rsidRPr="00386E47">
        <w:rPr>
          <w:rFonts w:asciiTheme="majorHAnsi" w:eastAsia="Calibri" w:hAnsiTheme="majorHAnsi"/>
          <w:sz w:val="20"/>
          <w:szCs w:val="20"/>
          <w:lang w:val="es-AR"/>
        </w:rPr>
        <w:t>n</w:t>
      </w:r>
      <w:r w:rsidRPr="00386E47">
        <w:rPr>
          <w:rFonts w:asciiTheme="majorHAnsi" w:eastAsia="Calibri" w:hAnsiTheme="majorHAnsi"/>
          <w:sz w:val="20"/>
          <w:szCs w:val="20"/>
          <w:vertAlign w:val="superscript"/>
          <w:lang w:val="es-AR"/>
        </w:rPr>
        <w:footnoteReference w:id="280"/>
      </w:r>
      <w:r w:rsidR="008A03A7" w:rsidRPr="00386E47">
        <w:rPr>
          <w:rFonts w:asciiTheme="majorHAnsi" w:eastAsia="Calibri" w:hAnsiTheme="majorHAnsi"/>
          <w:sz w:val="20"/>
          <w:szCs w:val="20"/>
          <w:lang w:val="es-AR"/>
        </w:rPr>
        <w:t>.</w:t>
      </w:r>
    </w:p>
    <w:p w14:paraId="01734B97" w14:textId="77777777" w:rsidR="002778A1" w:rsidRPr="00386E47" w:rsidRDefault="002778A1" w:rsidP="002778A1">
      <w:pPr>
        <w:tabs>
          <w:tab w:val="left" w:pos="567"/>
        </w:tabs>
        <w:contextualSpacing/>
        <w:jc w:val="both"/>
        <w:rPr>
          <w:rFonts w:asciiTheme="majorHAnsi" w:eastAsia="Calibri" w:hAnsiTheme="majorHAnsi"/>
          <w:sz w:val="20"/>
          <w:szCs w:val="20"/>
          <w:lang w:val="es-AR"/>
        </w:rPr>
      </w:pPr>
    </w:p>
    <w:p w14:paraId="3F2783BF" w14:textId="77777777" w:rsidR="00D549B0" w:rsidRPr="00386E47" w:rsidRDefault="00540E60" w:rsidP="00540E60">
      <w:pPr>
        <w:numPr>
          <w:ilvl w:val="0"/>
          <w:numId w:val="55"/>
        </w:numPr>
        <w:tabs>
          <w:tab w:val="left" w:pos="567"/>
        </w:tabs>
        <w:ind w:left="0" w:firstLine="0"/>
        <w:contextualSpacing/>
        <w:jc w:val="both"/>
        <w:rPr>
          <w:rFonts w:asciiTheme="majorHAnsi" w:eastAsia="Calibri" w:hAnsiTheme="majorHAnsi"/>
          <w:sz w:val="20"/>
          <w:szCs w:val="20"/>
          <w:lang w:val="es-AR"/>
        </w:rPr>
      </w:pPr>
      <w:r w:rsidRPr="00386E47">
        <w:rPr>
          <w:rFonts w:asciiTheme="majorHAnsi" w:eastAsia="Calibri" w:hAnsiTheme="majorHAnsi"/>
          <w:sz w:val="20"/>
          <w:szCs w:val="20"/>
          <w:lang w:val="es-AR"/>
        </w:rPr>
        <w:t xml:space="preserve">A </w:t>
      </w:r>
      <w:r w:rsidR="002778A1" w:rsidRPr="00386E47">
        <w:rPr>
          <w:rFonts w:asciiTheme="majorHAnsi" w:eastAsia="Calibri" w:hAnsiTheme="majorHAnsi"/>
          <w:sz w:val="20"/>
          <w:szCs w:val="20"/>
          <w:lang w:val="es-AR"/>
        </w:rPr>
        <w:t xml:space="preserve">nivel internacional se han </w:t>
      </w:r>
      <w:r w:rsidRPr="00386E47">
        <w:rPr>
          <w:rFonts w:asciiTheme="majorHAnsi" w:eastAsia="Calibri" w:hAnsiTheme="majorHAnsi"/>
          <w:sz w:val="20"/>
          <w:szCs w:val="20"/>
          <w:lang w:val="es-AR"/>
        </w:rPr>
        <w:t>realizado diversos pronunciamientos</w:t>
      </w:r>
      <w:r w:rsidR="002778A1" w:rsidRPr="00386E47">
        <w:rPr>
          <w:rFonts w:asciiTheme="majorHAnsi" w:eastAsia="Calibri" w:hAnsiTheme="majorHAnsi"/>
          <w:sz w:val="20"/>
          <w:szCs w:val="20"/>
          <w:lang w:val="es-AR"/>
        </w:rPr>
        <w:t xml:space="preserve"> sobre la materia que resultan de especial inter</w:t>
      </w:r>
      <w:r w:rsidR="002F3E4D" w:rsidRPr="00386E47">
        <w:rPr>
          <w:rFonts w:asciiTheme="majorHAnsi" w:eastAsia="Calibri" w:hAnsiTheme="majorHAnsi"/>
          <w:sz w:val="20"/>
          <w:szCs w:val="20"/>
          <w:lang w:val="es-AR"/>
        </w:rPr>
        <w:t>é</w:t>
      </w:r>
      <w:r w:rsidR="002778A1" w:rsidRPr="00386E47">
        <w:rPr>
          <w:rFonts w:asciiTheme="majorHAnsi" w:eastAsia="Calibri" w:hAnsiTheme="majorHAnsi"/>
          <w:sz w:val="20"/>
          <w:szCs w:val="20"/>
          <w:lang w:val="es-AR"/>
        </w:rPr>
        <w:t>s para el presente caso</w:t>
      </w:r>
      <w:r w:rsidRPr="00386E47">
        <w:rPr>
          <w:rFonts w:asciiTheme="majorHAnsi" w:eastAsia="Calibri" w:hAnsiTheme="majorHAnsi"/>
          <w:sz w:val="20"/>
          <w:szCs w:val="20"/>
          <w:lang w:val="es-AR"/>
        </w:rPr>
        <w:t xml:space="preserve"> por parte de diversas conferencias especializadas</w:t>
      </w:r>
      <w:r w:rsidR="002778A1" w:rsidRPr="00386E47">
        <w:rPr>
          <w:rFonts w:asciiTheme="majorHAnsi" w:eastAsia="Calibri" w:hAnsiTheme="majorHAnsi"/>
          <w:sz w:val="20"/>
          <w:szCs w:val="20"/>
          <w:lang w:val="es-AR"/>
        </w:rPr>
        <w:t>. Por ejemplo, en los denominados “Principios de Tshwane” se consagra, entre otros, la obligaci</w:t>
      </w:r>
      <w:r w:rsidR="002F3E4D" w:rsidRPr="00386E47">
        <w:rPr>
          <w:rFonts w:asciiTheme="majorHAnsi" w:eastAsia="Calibri" w:hAnsiTheme="majorHAnsi"/>
          <w:sz w:val="20"/>
          <w:szCs w:val="20"/>
          <w:lang w:val="es-AR"/>
        </w:rPr>
        <w:t>ó</w:t>
      </w:r>
      <w:r w:rsidR="002778A1" w:rsidRPr="00386E47">
        <w:rPr>
          <w:rFonts w:asciiTheme="majorHAnsi" w:eastAsia="Calibri" w:hAnsiTheme="majorHAnsi"/>
          <w:sz w:val="20"/>
          <w:szCs w:val="20"/>
          <w:lang w:val="es-AR"/>
        </w:rPr>
        <w:t>n de</w:t>
      </w:r>
      <w:r w:rsidR="002F3E4D" w:rsidRPr="00386E47">
        <w:rPr>
          <w:rFonts w:asciiTheme="majorHAnsi" w:eastAsia="Calibri" w:hAnsiTheme="majorHAnsi"/>
          <w:sz w:val="20"/>
          <w:szCs w:val="20"/>
          <w:lang w:val="es-AR"/>
        </w:rPr>
        <w:t xml:space="preserve"> los Estados de asegurar</w:t>
      </w:r>
      <w:r w:rsidR="002778A1" w:rsidRPr="00386E47">
        <w:rPr>
          <w:rFonts w:asciiTheme="majorHAnsi" w:eastAsia="Calibri" w:hAnsiTheme="majorHAnsi"/>
          <w:sz w:val="20"/>
          <w:szCs w:val="20"/>
          <w:lang w:val="es-AR"/>
        </w:rPr>
        <w:t xml:space="preserve"> que “todos los organismos de </w:t>
      </w:r>
      <w:r w:rsidR="00B05379" w:rsidRPr="00386E47">
        <w:rPr>
          <w:rFonts w:asciiTheme="majorHAnsi" w:eastAsia="Calibri" w:hAnsiTheme="majorHAnsi"/>
          <w:sz w:val="20"/>
          <w:szCs w:val="20"/>
          <w:lang w:val="es-AR"/>
        </w:rPr>
        <w:t>supervisión</w:t>
      </w:r>
      <w:r w:rsidR="002778A1" w:rsidRPr="00386E47">
        <w:rPr>
          <w:rFonts w:asciiTheme="majorHAnsi" w:eastAsia="Calibri" w:hAnsiTheme="majorHAnsi"/>
          <w:sz w:val="20"/>
          <w:szCs w:val="20"/>
          <w:lang w:val="es-AR"/>
        </w:rPr>
        <w:t xml:space="preserve"> </w:t>
      </w:r>
      <w:r w:rsidR="00FA506E" w:rsidRPr="00386E47">
        <w:rPr>
          <w:rFonts w:asciiTheme="majorHAnsi" w:hAnsiTheme="majorHAnsi"/>
          <w:sz w:val="20"/>
          <w:szCs w:val="20"/>
          <w:lang w:val="es-AR"/>
        </w:rPr>
        <w:t xml:space="preserve">[…] </w:t>
      </w:r>
      <w:r w:rsidR="002778A1" w:rsidRPr="00386E47">
        <w:rPr>
          <w:rFonts w:asciiTheme="majorHAnsi" w:eastAsia="Calibri" w:hAnsiTheme="majorHAnsi"/>
          <w:sz w:val="20"/>
          <w:szCs w:val="20"/>
          <w:lang w:val="es-AR"/>
        </w:rPr>
        <w:t>incluidos los tribunales de justicia deben tener acceso a todo tipo de informaci</w:t>
      </w:r>
      <w:r w:rsidR="002F3E4D" w:rsidRPr="00386E47">
        <w:rPr>
          <w:rFonts w:asciiTheme="majorHAnsi" w:eastAsia="Calibri" w:hAnsiTheme="majorHAnsi"/>
          <w:sz w:val="20"/>
          <w:szCs w:val="20"/>
          <w:lang w:val="es-AR"/>
        </w:rPr>
        <w:t>ó</w:t>
      </w:r>
      <w:r w:rsidR="002778A1" w:rsidRPr="00386E47">
        <w:rPr>
          <w:rFonts w:asciiTheme="majorHAnsi" w:eastAsia="Calibri" w:hAnsiTheme="majorHAnsi"/>
          <w:sz w:val="20"/>
          <w:szCs w:val="20"/>
          <w:lang w:val="es-AR"/>
        </w:rPr>
        <w:t>n - incluso la informaci</w:t>
      </w:r>
      <w:r w:rsidR="002F3E4D" w:rsidRPr="00386E47">
        <w:rPr>
          <w:rFonts w:asciiTheme="majorHAnsi" w:eastAsia="Calibri" w:hAnsiTheme="majorHAnsi"/>
          <w:sz w:val="20"/>
          <w:szCs w:val="20"/>
          <w:lang w:val="es-AR"/>
        </w:rPr>
        <w:t>ó</w:t>
      </w:r>
      <w:r w:rsidR="00B05379" w:rsidRPr="00386E47">
        <w:rPr>
          <w:rFonts w:asciiTheme="majorHAnsi" w:eastAsia="Calibri" w:hAnsiTheme="majorHAnsi"/>
          <w:sz w:val="20"/>
          <w:szCs w:val="20"/>
          <w:lang w:val="es-AR"/>
        </w:rPr>
        <w:t xml:space="preserve">n sobre seguridad nacional </w:t>
      </w:r>
      <w:r w:rsidR="002778A1" w:rsidRPr="00386E47">
        <w:rPr>
          <w:rFonts w:asciiTheme="majorHAnsi" w:eastAsia="Calibri" w:hAnsiTheme="majorHAnsi"/>
          <w:sz w:val="20"/>
          <w:szCs w:val="20"/>
          <w:lang w:val="es-AR"/>
        </w:rPr>
        <w:t xml:space="preserve">y con independencia de su nivel de confidencialidad </w:t>
      </w:r>
      <w:r w:rsidR="002F3E4D" w:rsidRPr="00386E47">
        <w:rPr>
          <w:rFonts w:asciiTheme="majorHAnsi" w:eastAsia="Calibri" w:hAnsiTheme="majorHAnsi"/>
          <w:sz w:val="20"/>
          <w:szCs w:val="20"/>
          <w:lang w:val="es-AR"/>
        </w:rPr>
        <w:t>-</w:t>
      </w:r>
      <w:r w:rsidR="002778A1" w:rsidRPr="00386E47">
        <w:rPr>
          <w:rFonts w:asciiTheme="majorHAnsi" w:eastAsia="Calibri" w:hAnsiTheme="majorHAnsi"/>
          <w:sz w:val="20"/>
          <w:szCs w:val="20"/>
          <w:lang w:val="es-AR"/>
        </w:rPr>
        <w:t xml:space="preserve"> que resulte relevante para el desempeño de sus funciones” (principio 6). Asimismo, se reconoce que “existe un inter</w:t>
      </w:r>
      <w:r w:rsidR="002F3E4D" w:rsidRPr="00386E47">
        <w:rPr>
          <w:rFonts w:asciiTheme="majorHAnsi" w:eastAsia="Calibri" w:hAnsiTheme="majorHAnsi"/>
          <w:sz w:val="20"/>
          <w:szCs w:val="20"/>
          <w:lang w:val="es-AR"/>
        </w:rPr>
        <w:t>é</w:t>
      </w:r>
      <w:r w:rsidR="002778A1" w:rsidRPr="00386E47">
        <w:rPr>
          <w:rFonts w:asciiTheme="majorHAnsi" w:eastAsia="Calibri" w:hAnsiTheme="majorHAnsi"/>
          <w:sz w:val="20"/>
          <w:szCs w:val="20"/>
          <w:lang w:val="es-AR"/>
        </w:rPr>
        <w:t>s p</w:t>
      </w:r>
      <w:r w:rsidR="002F3E4D" w:rsidRPr="00386E47">
        <w:rPr>
          <w:rFonts w:asciiTheme="majorHAnsi" w:eastAsia="Calibri" w:hAnsiTheme="majorHAnsi"/>
          <w:sz w:val="20"/>
          <w:szCs w:val="20"/>
          <w:lang w:val="es-AR"/>
        </w:rPr>
        <w:t>ú</w:t>
      </w:r>
      <w:r w:rsidR="002778A1" w:rsidRPr="00386E47">
        <w:rPr>
          <w:rFonts w:asciiTheme="majorHAnsi" w:eastAsia="Calibri" w:hAnsiTheme="majorHAnsi"/>
          <w:sz w:val="20"/>
          <w:szCs w:val="20"/>
          <w:lang w:val="es-AR"/>
        </w:rPr>
        <w:t>blico preponderante en la divulgaci</w:t>
      </w:r>
      <w:r w:rsidR="002F3E4D" w:rsidRPr="00386E47">
        <w:rPr>
          <w:rFonts w:asciiTheme="majorHAnsi" w:eastAsia="Calibri" w:hAnsiTheme="majorHAnsi"/>
          <w:sz w:val="20"/>
          <w:szCs w:val="20"/>
          <w:lang w:val="es-AR"/>
        </w:rPr>
        <w:t>ó</w:t>
      </w:r>
      <w:r w:rsidR="002778A1" w:rsidRPr="00386E47">
        <w:rPr>
          <w:rFonts w:asciiTheme="majorHAnsi" w:eastAsia="Calibri" w:hAnsiTheme="majorHAnsi"/>
          <w:sz w:val="20"/>
          <w:szCs w:val="20"/>
          <w:lang w:val="es-AR"/>
        </w:rPr>
        <w:t>n de informaci</w:t>
      </w:r>
      <w:r w:rsidR="002F3E4D" w:rsidRPr="00386E47">
        <w:rPr>
          <w:rFonts w:asciiTheme="majorHAnsi" w:eastAsia="Calibri" w:hAnsiTheme="majorHAnsi"/>
          <w:sz w:val="20"/>
          <w:szCs w:val="20"/>
          <w:lang w:val="es-AR"/>
        </w:rPr>
        <w:t>ó</w:t>
      </w:r>
      <w:r w:rsidR="002778A1" w:rsidRPr="00386E47">
        <w:rPr>
          <w:rFonts w:asciiTheme="majorHAnsi" w:eastAsia="Calibri" w:hAnsiTheme="majorHAnsi"/>
          <w:sz w:val="20"/>
          <w:szCs w:val="20"/>
          <w:lang w:val="es-AR"/>
        </w:rPr>
        <w:t>n s</w:t>
      </w:r>
      <w:r w:rsidR="00B05379" w:rsidRPr="00386E47">
        <w:rPr>
          <w:rFonts w:asciiTheme="majorHAnsi" w:eastAsia="Calibri" w:hAnsiTheme="majorHAnsi"/>
          <w:sz w:val="20"/>
          <w:szCs w:val="20"/>
          <w:lang w:val="es-AR"/>
        </w:rPr>
        <w:t>o</w:t>
      </w:r>
      <w:r w:rsidR="002778A1" w:rsidRPr="00386E47">
        <w:rPr>
          <w:rFonts w:asciiTheme="majorHAnsi" w:eastAsia="Calibri" w:hAnsiTheme="majorHAnsi"/>
          <w:sz w:val="20"/>
          <w:szCs w:val="20"/>
          <w:lang w:val="es-AR"/>
        </w:rPr>
        <w:t xml:space="preserve">bre violaciones graves de derechos humanos </w:t>
      </w:r>
      <w:r w:rsidR="00FA506E" w:rsidRPr="00386E47">
        <w:rPr>
          <w:rFonts w:asciiTheme="majorHAnsi" w:hAnsiTheme="majorHAnsi"/>
          <w:sz w:val="20"/>
          <w:szCs w:val="20"/>
          <w:lang w:val="es-AR"/>
        </w:rPr>
        <w:t xml:space="preserve">[…] </w:t>
      </w:r>
      <w:r w:rsidR="002778A1" w:rsidRPr="00386E47">
        <w:rPr>
          <w:rFonts w:asciiTheme="majorHAnsi" w:eastAsia="Calibri" w:hAnsiTheme="majorHAnsi"/>
          <w:sz w:val="20"/>
          <w:szCs w:val="20"/>
          <w:lang w:val="es-AR"/>
        </w:rPr>
        <w:t xml:space="preserve">Dicha </w:t>
      </w:r>
      <w:r w:rsidR="00B05379" w:rsidRPr="00386E47">
        <w:rPr>
          <w:rFonts w:asciiTheme="majorHAnsi" w:eastAsia="Calibri" w:hAnsiTheme="majorHAnsi"/>
          <w:sz w:val="20"/>
          <w:szCs w:val="20"/>
          <w:lang w:val="es-AR"/>
        </w:rPr>
        <w:t>información</w:t>
      </w:r>
      <w:r w:rsidR="002778A1" w:rsidRPr="00386E47">
        <w:rPr>
          <w:rFonts w:asciiTheme="majorHAnsi" w:eastAsia="Calibri" w:hAnsiTheme="majorHAnsi"/>
          <w:sz w:val="20"/>
          <w:szCs w:val="20"/>
          <w:lang w:val="es-AR"/>
        </w:rPr>
        <w:t xml:space="preserve"> no </w:t>
      </w:r>
      <w:r w:rsidR="00B05379" w:rsidRPr="00386E47">
        <w:rPr>
          <w:rFonts w:asciiTheme="majorHAnsi" w:eastAsia="Calibri" w:hAnsiTheme="majorHAnsi"/>
          <w:sz w:val="20"/>
          <w:szCs w:val="20"/>
          <w:lang w:val="es-AR"/>
        </w:rPr>
        <w:t>podrá</w:t>
      </w:r>
      <w:r w:rsidR="002778A1" w:rsidRPr="00386E47">
        <w:rPr>
          <w:rFonts w:asciiTheme="majorHAnsi" w:eastAsia="Calibri" w:hAnsiTheme="majorHAnsi"/>
          <w:sz w:val="20"/>
          <w:szCs w:val="20"/>
          <w:lang w:val="es-AR"/>
        </w:rPr>
        <w:t xml:space="preserve"> ser clasificada por razones de seguridad nacional bajo ninguna circunstancia”</w:t>
      </w:r>
      <w:r w:rsidR="00FA506E" w:rsidRPr="00386E47">
        <w:rPr>
          <w:rFonts w:asciiTheme="majorHAnsi" w:eastAsia="Calibri" w:hAnsiTheme="majorHAnsi"/>
          <w:sz w:val="20"/>
          <w:szCs w:val="20"/>
          <w:lang w:val="es-AR"/>
        </w:rPr>
        <w:t xml:space="preserve"> (principio 10.a)</w:t>
      </w:r>
      <w:r w:rsidR="00FA506E" w:rsidRPr="00386E47">
        <w:rPr>
          <w:rStyle w:val="FootnoteReference"/>
          <w:rFonts w:asciiTheme="majorHAnsi" w:eastAsia="Calibri" w:hAnsiTheme="majorHAnsi"/>
          <w:sz w:val="20"/>
          <w:szCs w:val="20"/>
          <w:lang w:val="es-AR"/>
        </w:rPr>
        <w:footnoteReference w:id="281"/>
      </w:r>
      <w:r w:rsidR="002778A1" w:rsidRPr="00386E47">
        <w:rPr>
          <w:rFonts w:asciiTheme="majorHAnsi" w:eastAsia="Calibri" w:hAnsiTheme="majorHAnsi"/>
          <w:sz w:val="20"/>
          <w:szCs w:val="20"/>
          <w:lang w:val="es-AR"/>
        </w:rPr>
        <w:t>.</w:t>
      </w:r>
      <w:r w:rsidR="00FA506E" w:rsidRPr="00386E47">
        <w:rPr>
          <w:rFonts w:asciiTheme="majorHAnsi" w:eastAsia="Calibri" w:hAnsiTheme="majorHAnsi"/>
          <w:sz w:val="20"/>
          <w:szCs w:val="20"/>
          <w:lang w:val="es-AR"/>
        </w:rPr>
        <w:t xml:space="preserve"> </w:t>
      </w:r>
    </w:p>
    <w:p w14:paraId="69F61073" w14:textId="77777777" w:rsidR="00FA506E" w:rsidRPr="00386E47" w:rsidRDefault="00FA506E" w:rsidP="00FA506E">
      <w:pPr>
        <w:tabs>
          <w:tab w:val="left" w:pos="567"/>
        </w:tabs>
        <w:contextualSpacing/>
        <w:jc w:val="both"/>
        <w:rPr>
          <w:rFonts w:asciiTheme="majorHAnsi" w:eastAsia="Calibri" w:hAnsiTheme="majorHAnsi"/>
          <w:sz w:val="20"/>
          <w:szCs w:val="20"/>
          <w:lang w:val="es-AR"/>
        </w:rPr>
      </w:pPr>
    </w:p>
    <w:p w14:paraId="1FE1FDD2" w14:textId="77777777" w:rsidR="009F70EA" w:rsidRPr="00386E47" w:rsidRDefault="009F70EA" w:rsidP="003A5860">
      <w:pPr>
        <w:numPr>
          <w:ilvl w:val="0"/>
          <w:numId w:val="55"/>
        </w:numPr>
        <w:tabs>
          <w:tab w:val="left" w:pos="567"/>
        </w:tabs>
        <w:ind w:left="0" w:firstLine="0"/>
        <w:contextualSpacing/>
        <w:jc w:val="both"/>
        <w:rPr>
          <w:rFonts w:asciiTheme="majorHAnsi" w:eastAsia="Calibri" w:hAnsiTheme="majorHAnsi"/>
          <w:sz w:val="20"/>
          <w:szCs w:val="20"/>
          <w:lang w:val="es-AR"/>
        </w:rPr>
      </w:pPr>
      <w:r w:rsidRPr="00386E47">
        <w:rPr>
          <w:rFonts w:asciiTheme="majorHAnsi" w:eastAsia="Calibri" w:hAnsiTheme="majorHAnsi"/>
          <w:sz w:val="20"/>
          <w:szCs w:val="20"/>
          <w:lang w:val="es-AR"/>
        </w:rPr>
        <w:t xml:space="preserve">En </w:t>
      </w:r>
      <w:r w:rsidR="00B05379" w:rsidRPr="00386E47">
        <w:rPr>
          <w:rFonts w:asciiTheme="majorHAnsi" w:eastAsia="Calibri" w:hAnsiTheme="majorHAnsi"/>
          <w:sz w:val="20"/>
          <w:szCs w:val="20"/>
          <w:lang w:val="es-AR"/>
        </w:rPr>
        <w:t>conclusión</w:t>
      </w:r>
      <w:r w:rsidRPr="00386E47">
        <w:rPr>
          <w:rFonts w:asciiTheme="majorHAnsi" w:eastAsia="Calibri" w:hAnsiTheme="majorHAnsi"/>
          <w:sz w:val="20"/>
          <w:szCs w:val="20"/>
          <w:lang w:val="es-AR"/>
        </w:rPr>
        <w:t>, la Comisión ratifica que la obligación de garantizar y respetar el derecho de acceso a la información trae aparejado el deber de realizar, de buena fe, esfuerzos significativos para garantizar que las víctimas de graves violaciones de derechos humanos y sus familiares, los encargados de la investigación de estos crímenes y la sociedad en su conjunto puedan tener acceso a toda la información en poder del Estado necesaria para conocer la verdad de lo sucedido.</w:t>
      </w:r>
    </w:p>
    <w:p w14:paraId="3BD3264C" w14:textId="77777777" w:rsidR="009F70EA" w:rsidRPr="00386E47" w:rsidRDefault="009F70EA" w:rsidP="009F70EA">
      <w:pPr>
        <w:tabs>
          <w:tab w:val="left" w:pos="426"/>
        </w:tabs>
        <w:contextualSpacing/>
        <w:jc w:val="both"/>
        <w:rPr>
          <w:rFonts w:asciiTheme="majorHAnsi" w:eastAsia="Calibri" w:hAnsiTheme="majorHAnsi"/>
          <w:sz w:val="20"/>
          <w:szCs w:val="20"/>
          <w:lang w:val="es-AR"/>
        </w:rPr>
      </w:pPr>
    </w:p>
    <w:p w14:paraId="2E71169D" w14:textId="77777777" w:rsidR="009F70EA" w:rsidRPr="00386E47" w:rsidRDefault="00171D37" w:rsidP="00CE50A8">
      <w:pPr>
        <w:pStyle w:val="parrafos"/>
        <w:numPr>
          <w:ilvl w:val="0"/>
          <w:numId w:val="58"/>
        </w:numPr>
        <w:rPr>
          <w:b/>
        </w:rPr>
      </w:pPr>
      <w:r w:rsidRPr="00386E47">
        <w:rPr>
          <w:b/>
        </w:rPr>
        <w:t>Consideraciones de la Comisión</w:t>
      </w:r>
      <w:r w:rsidR="009F70EA" w:rsidRPr="00386E47">
        <w:rPr>
          <w:b/>
        </w:rPr>
        <w:t xml:space="preserve"> </w:t>
      </w:r>
    </w:p>
    <w:p w14:paraId="437D592E" w14:textId="77777777" w:rsidR="00E05F14" w:rsidRPr="00386E47" w:rsidRDefault="00E05F14" w:rsidP="00E05F14">
      <w:pPr>
        <w:pStyle w:val="parrafos"/>
        <w:ind w:left="720"/>
      </w:pPr>
    </w:p>
    <w:p w14:paraId="3AD312E0" w14:textId="77777777" w:rsidR="00776266" w:rsidRPr="00386E47" w:rsidRDefault="009F70EA" w:rsidP="003A5860">
      <w:pPr>
        <w:numPr>
          <w:ilvl w:val="0"/>
          <w:numId w:val="55"/>
        </w:numPr>
        <w:tabs>
          <w:tab w:val="left" w:pos="567"/>
        </w:tabs>
        <w:ind w:left="0" w:firstLine="0"/>
        <w:contextualSpacing/>
        <w:jc w:val="both"/>
        <w:rPr>
          <w:rFonts w:asciiTheme="majorHAnsi" w:eastAsia="Calibri" w:hAnsiTheme="majorHAnsi"/>
          <w:sz w:val="20"/>
          <w:szCs w:val="20"/>
          <w:lang w:val="es-AR"/>
        </w:rPr>
      </w:pPr>
      <w:r w:rsidRPr="00386E47">
        <w:rPr>
          <w:rFonts w:asciiTheme="majorHAnsi" w:eastAsia="Calibri" w:hAnsiTheme="majorHAnsi"/>
          <w:sz w:val="20"/>
          <w:szCs w:val="20"/>
          <w:lang w:val="es-AR"/>
        </w:rPr>
        <w:t xml:space="preserve">La CIDH observa que, desde </w:t>
      </w:r>
      <w:r w:rsidR="00540E60" w:rsidRPr="00386E47">
        <w:rPr>
          <w:rFonts w:asciiTheme="majorHAnsi" w:eastAsia="Calibri" w:hAnsiTheme="majorHAnsi"/>
          <w:sz w:val="20"/>
          <w:szCs w:val="20"/>
          <w:lang w:val="es-AR"/>
        </w:rPr>
        <w:t>los inicios</w:t>
      </w:r>
      <w:r w:rsidRPr="00386E47">
        <w:rPr>
          <w:rFonts w:asciiTheme="majorHAnsi" w:eastAsia="Calibri" w:hAnsiTheme="majorHAnsi"/>
          <w:sz w:val="20"/>
          <w:szCs w:val="20"/>
          <w:lang w:val="es-AR"/>
        </w:rPr>
        <w:t xml:space="preserve"> de la investigación por el atentado a la AMIA, las autoridades judiciales </w:t>
      </w:r>
      <w:r w:rsidR="00776266" w:rsidRPr="00386E47">
        <w:rPr>
          <w:rFonts w:asciiTheme="majorHAnsi" w:eastAsia="Calibri" w:hAnsiTheme="majorHAnsi"/>
          <w:sz w:val="20"/>
          <w:szCs w:val="20"/>
          <w:lang w:val="es-AR"/>
        </w:rPr>
        <w:t xml:space="preserve">solicitaron la </w:t>
      </w:r>
      <w:r w:rsidR="00397A09" w:rsidRPr="00386E47">
        <w:rPr>
          <w:rFonts w:asciiTheme="majorHAnsi" w:eastAsia="Calibri" w:hAnsiTheme="majorHAnsi"/>
          <w:sz w:val="20"/>
          <w:szCs w:val="20"/>
          <w:lang w:val="es-AR"/>
        </w:rPr>
        <w:t>colaboración</w:t>
      </w:r>
      <w:r w:rsidR="00776266" w:rsidRPr="00386E47">
        <w:rPr>
          <w:rFonts w:asciiTheme="majorHAnsi" w:eastAsia="Calibri" w:hAnsiTheme="majorHAnsi"/>
          <w:sz w:val="20"/>
          <w:szCs w:val="20"/>
          <w:lang w:val="es-AR"/>
        </w:rPr>
        <w:t xml:space="preserve"> de </w:t>
      </w:r>
      <w:r w:rsidRPr="00386E47">
        <w:rPr>
          <w:rFonts w:asciiTheme="majorHAnsi" w:eastAsia="Calibri" w:hAnsiTheme="majorHAnsi"/>
          <w:sz w:val="20"/>
          <w:szCs w:val="20"/>
          <w:lang w:val="es-AR"/>
        </w:rPr>
        <w:t xml:space="preserve">la entonces Secretaria de Inteligencia del Estado (SIDE) a efectos de que sus agentes se desempeñen como auxiliares de la justicia. </w:t>
      </w:r>
      <w:r w:rsidR="00776266" w:rsidRPr="00386E47">
        <w:rPr>
          <w:rFonts w:asciiTheme="majorHAnsi" w:eastAsia="Calibri" w:hAnsiTheme="majorHAnsi"/>
          <w:sz w:val="20"/>
          <w:szCs w:val="20"/>
          <w:lang w:val="es-AR"/>
        </w:rPr>
        <w:t>A lo largo de los años</w:t>
      </w:r>
      <w:r w:rsidR="0025385C" w:rsidRPr="00386E47">
        <w:rPr>
          <w:rFonts w:asciiTheme="majorHAnsi" w:eastAsia="Calibri" w:hAnsiTheme="majorHAnsi"/>
          <w:sz w:val="20"/>
          <w:szCs w:val="20"/>
          <w:lang w:val="es-AR"/>
        </w:rPr>
        <w:t>,</w:t>
      </w:r>
      <w:r w:rsidR="00776266" w:rsidRPr="00386E47">
        <w:rPr>
          <w:rFonts w:asciiTheme="majorHAnsi" w:eastAsia="Calibri" w:hAnsiTheme="majorHAnsi"/>
          <w:sz w:val="20"/>
          <w:szCs w:val="20"/>
          <w:lang w:val="es-AR"/>
        </w:rPr>
        <w:t xml:space="preserve"> y c</w:t>
      </w:r>
      <w:r w:rsidRPr="00386E47">
        <w:rPr>
          <w:rFonts w:asciiTheme="majorHAnsi" w:eastAsia="Calibri" w:hAnsiTheme="majorHAnsi"/>
          <w:sz w:val="20"/>
          <w:szCs w:val="20"/>
          <w:lang w:val="es-AR"/>
        </w:rPr>
        <w:t>omo resultado de las diversas actividades de reu</w:t>
      </w:r>
      <w:r w:rsidR="00776266" w:rsidRPr="00386E47">
        <w:rPr>
          <w:rFonts w:asciiTheme="majorHAnsi" w:eastAsia="Calibri" w:hAnsiTheme="majorHAnsi"/>
          <w:sz w:val="20"/>
          <w:szCs w:val="20"/>
          <w:lang w:val="es-AR"/>
        </w:rPr>
        <w:t>nión y análisis de información, la SIDE</w:t>
      </w:r>
      <w:r w:rsidRPr="00386E47">
        <w:rPr>
          <w:rFonts w:asciiTheme="majorHAnsi" w:eastAsia="Calibri" w:hAnsiTheme="majorHAnsi"/>
          <w:sz w:val="20"/>
          <w:szCs w:val="20"/>
          <w:lang w:val="es-AR"/>
        </w:rPr>
        <w:t xml:space="preserve"> fue produciendo numerosas piezas documentales, </w:t>
      </w:r>
      <w:r w:rsidR="0025385C" w:rsidRPr="00386E47">
        <w:rPr>
          <w:rFonts w:asciiTheme="majorHAnsi" w:eastAsia="Calibri" w:hAnsiTheme="majorHAnsi"/>
          <w:sz w:val="20"/>
          <w:szCs w:val="20"/>
          <w:lang w:val="es-AR"/>
        </w:rPr>
        <w:t xml:space="preserve">las </w:t>
      </w:r>
      <w:r w:rsidR="0025385C" w:rsidRPr="00386E47">
        <w:rPr>
          <w:rFonts w:asciiTheme="majorHAnsi" w:eastAsia="Calibri" w:hAnsiTheme="majorHAnsi"/>
          <w:sz w:val="20"/>
          <w:szCs w:val="20"/>
          <w:lang w:val="es-AR"/>
        </w:rPr>
        <w:lastRenderedPageBreak/>
        <w:t>cuales fueron incorporadas</w:t>
      </w:r>
      <w:r w:rsidR="00776266" w:rsidRPr="00386E47">
        <w:rPr>
          <w:rFonts w:asciiTheme="majorHAnsi" w:eastAsia="Calibri" w:hAnsiTheme="majorHAnsi"/>
          <w:sz w:val="20"/>
          <w:szCs w:val="20"/>
          <w:lang w:val="es-AR"/>
        </w:rPr>
        <w:t xml:space="preserve"> tanto al tramo de la </w:t>
      </w:r>
      <w:r w:rsidR="008E716B" w:rsidRPr="00386E47">
        <w:rPr>
          <w:rFonts w:asciiTheme="majorHAnsi" w:eastAsia="Calibri" w:hAnsiTheme="majorHAnsi"/>
          <w:sz w:val="20"/>
          <w:szCs w:val="20"/>
          <w:lang w:val="es-AR"/>
        </w:rPr>
        <w:t>investigación</w:t>
      </w:r>
      <w:r w:rsidR="00540E60" w:rsidRPr="00386E47">
        <w:rPr>
          <w:rFonts w:asciiTheme="majorHAnsi" w:eastAsia="Calibri" w:hAnsiTheme="majorHAnsi"/>
          <w:sz w:val="20"/>
          <w:szCs w:val="20"/>
          <w:lang w:val="es-AR"/>
        </w:rPr>
        <w:t xml:space="preserve"> que intentó</w:t>
      </w:r>
      <w:r w:rsidR="00776266" w:rsidRPr="00386E47">
        <w:rPr>
          <w:rFonts w:asciiTheme="majorHAnsi" w:eastAsia="Calibri" w:hAnsiTheme="majorHAnsi"/>
          <w:sz w:val="20"/>
          <w:szCs w:val="20"/>
          <w:lang w:val="es-AR"/>
        </w:rPr>
        <w:t xml:space="preserve"> dilucidar</w:t>
      </w:r>
      <w:r w:rsidR="0025385C" w:rsidRPr="00386E47">
        <w:rPr>
          <w:rFonts w:asciiTheme="majorHAnsi" w:eastAsia="Calibri" w:hAnsiTheme="majorHAnsi"/>
          <w:sz w:val="20"/>
          <w:szCs w:val="20"/>
          <w:lang w:val="es-AR"/>
        </w:rPr>
        <w:t xml:space="preserve"> </w:t>
      </w:r>
      <w:r w:rsidRPr="00386E47">
        <w:rPr>
          <w:rFonts w:asciiTheme="majorHAnsi" w:eastAsia="Calibri" w:hAnsiTheme="majorHAnsi"/>
          <w:sz w:val="20"/>
          <w:szCs w:val="20"/>
          <w:lang w:val="es-AR"/>
        </w:rPr>
        <w:t xml:space="preserve">la llamada conexión local del atentado como </w:t>
      </w:r>
      <w:r w:rsidR="00776266" w:rsidRPr="00386E47">
        <w:rPr>
          <w:rFonts w:asciiTheme="majorHAnsi" w:eastAsia="Calibri" w:hAnsiTheme="majorHAnsi"/>
          <w:sz w:val="20"/>
          <w:szCs w:val="20"/>
          <w:lang w:val="es-AR"/>
        </w:rPr>
        <w:t xml:space="preserve">a </w:t>
      </w:r>
      <w:r w:rsidRPr="00386E47">
        <w:rPr>
          <w:rFonts w:asciiTheme="majorHAnsi" w:eastAsia="Calibri" w:hAnsiTheme="majorHAnsi"/>
          <w:sz w:val="20"/>
          <w:szCs w:val="20"/>
          <w:lang w:val="es-AR"/>
        </w:rPr>
        <w:t>la investigación por las eventuales responsabilidades de actores internacionales</w:t>
      </w:r>
      <w:r w:rsidRPr="00386E47">
        <w:rPr>
          <w:rFonts w:asciiTheme="majorHAnsi" w:eastAsia="Calibri" w:hAnsiTheme="majorHAnsi"/>
          <w:sz w:val="20"/>
          <w:szCs w:val="20"/>
          <w:vertAlign w:val="superscript"/>
          <w:lang w:val="es-AR"/>
        </w:rPr>
        <w:footnoteReference w:id="282"/>
      </w:r>
      <w:r w:rsidRPr="00386E47">
        <w:rPr>
          <w:rFonts w:asciiTheme="majorHAnsi" w:eastAsia="Calibri" w:hAnsiTheme="majorHAnsi"/>
          <w:sz w:val="20"/>
          <w:szCs w:val="20"/>
          <w:lang w:val="es-AR"/>
        </w:rPr>
        <w:t xml:space="preserve">. </w:t>
      </w:r>
    </w:p>
    <w:p w14:paraId="4E87FB0F" w14:textId="77777777" w:rsidR="00776266" w:rsidRPr="00386E47" w:rsidRDefault="00776266" w:rsidP="009E1D55">
      <w:pPr>
        <w:tabs>
          <w:tab w:val="left" w:pos="567"/>
        </w:tabs>
        <w:contextualSpacing/>
        <w:jc w:val="both"/>
        <w:rPr>
          <w:rFonts w:asciiTheme="majorHAnsi" w:eastAsia="Calibri" w:hAnsiTheme="majorHAnsi"/>
          <w:sz w:val="20"/>
          <w:szCs w:val="20"/>
          <w:lang w:val="es-AR"/>
        </w:rPr>
      </w:pPr>
    </w:p>
    <w:p w14:paraId="51B74690" w14:textId="77777777" w:rsidR="00776266" w:rsidRPr="00386E47" w:rsidRDefault="00776266" w:rsidP="003A5860">
      <w:pPr>
        <w:numPr>
          <w:ilvl w:val="0"/>
          <w:numId w:val="55"/>
        </w:numPr>
        <w:tabs>
          <w:tab w:val="left" w:pos="567"/>
        </w:tabs>
        <w:ind w:left="0" w:firstLine="0"/>
        <w:contextualSpacing/>
        <w:jc w:val="both"/>
        <w:rPr>
          <w:rFonts w:asciiTheme="majorHAnsi" w:eastAsia="Calibri" w:hAnsiTheme="majorHAnsi"/>
          <w:sz w:val="20"/>
          <w:szCs w:val="20"/>
          <w:lang w:val="es-AR"/>
        </w:rPr>
      </w:pPr>
      <w:r w:rsidRPr="00386E47">
        <w:rPr>
          <w:rFonts w:asciiTheme="majorHAnsi" w:eastAsia="Calibri" w:hAnsiTheme="majorHAnsi"/>
          <w:sz w:val="20"/>
          <w:szCs w:val="20"/>
          <w:lang w:val="es-AR"/>
        </w:rPr>
        <w:t>La Comisión ha tomado nota que</w:t>
      </w:r>
      <w:r w:rsidR="0025385C" w:rsidRPr="00386E47">
        <w:rPr>
          <w:rFonts w:asciiTheme="majorHAnsi" w:eastAsia="Calibri" w:hAnsiTheme="majorHAnsi"/>
          <w:sz w:val="20"/>
          <w:szCs w:val="20"/>
          <w:lang w:val="es-AR"/>
        </w:rPr>
        <w:t xml:space="preserve"> tanto</w:t>
      </w:r>
      <w:r w:rsidRPr="00386E47">
        <w:rPr>
          <w:rFonts w:asciiTheme="majorHAnsi" w:eastAsia="Calibri" w:hAnsiTheme="majorHAnsi"/>
          <w:sz w:val="20"/>
          <w:szCs w:val="20"/>
          <w:lang w:val="es-AR"/>
        </w:rPr>
        <w:t xml:space="preserve"> </w:t>
      </w:r>
      <w:r w:rsidR="009F70EA" w:rsidRPr="00386E47">
        <w:rPr>
          <w:rFonts w:asciiTheme="majorHAnsi" w:eastAsia="Calibri" w:hAnsiTheme="majorHAnsi"/>
          <w:sz w:val="20"/>
          <w:szCs w:val="20"/>
          <w:lang w:val="es-AR"/>
        </w:rPr>
        <w:t xml:space="preserve">los peticionarios </w:t>
      </w:r>
      <w:r w:rsidRPr="00386E47">
        <w:rPr>
          <w:rFonts w:asciiTheme="majorHAnsi" w:eastAsia="Calibri" w:hAnsiTheme="majorHAnsi"/>
          <w:sz w:val="20"/>
          <w:szCs w:val="20"/>
          <w:lang w:val="es-AR"/>
        </w:rPr>
        <w:t xml:space="preserve">en sus diversas comunicaciones </w:t>
      </w:r>
      <w:r w:rsidR="0025385C" w:rsidRPr="00386E47">
        <w:rPr>
          <w:rFonts w:asciiTheme="majorHAnsi" w:eastAsia="Calibri" w:hAnsiTheme="majorHAnsi"/>
          <w:sz w:val="20"/>
          <w:szCs w:val="20"/>
          <w:lang w:val="es-AR"/>
        </w:rPr>
        <w:t>como l</w:t>
      </w:r>
      <w:r w:rsidR="009F70EA" w:rsidRPr="00386E47">
        <w:rPr>
          <w:rFonts w:asciiTheme="majorHAnsi" w:eastAsia="Calibri" w:hAnsiTheme="majorHAnsi"/>
          <w:sz w:val="20"/>
          <w:szCs w:val="20"/>
          <w:lang w:val="es-AR"/>
        </w:rPr>
        <w:t xml:space="preserve">a UFI AMIA en </w:t>
      </w:r>
      <w:r w:rsidRPr="00386E47">
        <w:rPr>
          <w:rFonts w:asciiTheme="majorHAnsi" w:eastAsia="Calibri" w:hAnsiTheme="majorHAnsi"/>
          <w:sz w:val="20"/>
          <w:szCs w:val="20"/>
          <w:lang w:val="es-AR"/>
        </w:rPr>
        <w:t xml:space="preserve">sus </w:t>
      </w:r>
      <w:r w:rsidR="009F70EA" w:rsidRPr="00386E47">
        <w:rPr>
          <w:rFonts w:asciiTheme="majorHAnsi" w:eastAsia="Calibri" w:hAnsiTheme="majorHAnsi"/>
          <w:sz w:val="20"/>
          <w:szCs w:val="20"/>
          <w:lang w:val="es-AR"/>
        </w:rPr>
        <w:t xml:space="preserve">informes de acceso público, </w:t>
      </w:r>
      <w:r w:rsidRPr="00386E47">
        <w:rPr>
          <w:rFonts w:asciiTheme="majorHAnsi" w:eastAsia="Calibri" w:hAnsiTheme="majorHAnsi"/>
          <w:sz w:val="20"/>
          <w:szCs w:val="20"/>
          <w:lang w:val="es-AR"/>
        </w:rPr>
        <w:t>han señalado de manera coincidente</w:t>
      </w:r>
      <w:r w:rsidR="009F70EA" w:rsidRPr="00386E47">
        <w:rPr>
          <w:rFonts w:asciiTheme="majorHAnsi" w:eastAsia="Calibri" w:hAnsiTheme="majorHAnsi"/>
          <w:sz w:val="20"/>
          <w:szCs w:val="20"/>
          <w:lang w:val="es-AR"/>
        </w:rPr>
        <w:t xml:space="preserve"> que los fondos documentales reunidos o producidos por la SIDE </w:t>
      </w:r>
      <w:r w:rsidRPr="00386E47">
        <w:rPr>
          <w:rFonts w:asciiTheme="majorHAnsi" w:eastAsia="Calibri" w:hAnsiTheme="majorHAnsi"/>
          <w:sz w:val="20"/>
          <w:szCs w:val="20"/>
          <w:lang w:val="es-AR"/>
        </w:rPr>
        <w:t>se encuentran</w:t>
      </w:r>
      <w:r w:rsidR="009F70EA" w:rsidRPr="00386E47">
        <w:rPr>
          <w:rFonts w:asciiTheme="majorHAnsi" w:eastAsia="Calibri" w:hAnsiTheme="majorHAnsi"/>
          <w:sz w:val="20"/>
          <w:szCs w:val="20"/>
          <w:lang w:val="es-AR"/>
        </w:rPr>
        <w:t xml:space="preserve"> </w:t>
      </w:r>
      <w:r w:rsidRPr="00386E47">
        <w:rPr>
          <w:rFonts w:asciiTheme="majorHAnsi" w:eastAsia="Calibri" w:hAnsiTheme="majorHAnsi"/>
          <w:sz w:val="20"/>
          <w:szCs w:val="20"/>
          <w:lang w:val="es-AR"/>
        </w:rPr>
        <w:t xml:space="preserve">conformados por archivos de diversos formatos, todos los cuales </w:t>
      </w:r>
      <w:r w:rsidR="009F70EA" w:rsidRPr="00386E47">
        <w:rPr>
          <w:rFonts w:asciiTheme="majorHAnsi" w:eastAsia="Calibri" w:hAnsiTheme="majorHAnsi"/>
          <w:sz w:val="20"/>
          <w:szCs w:val="20"/>
          <w:lang w:val="es-AR"/>
        </w:rPr>
        <w:t>fueron oportunamente clasificados como secretos, de conformidad con el régimen legal que regula las funciones y actividades de los órganos que componen el sistema de inteligencia nacional argentino</w:t>
      </w:r>
      <w:r w:rsidR="009F70EA" w:rsidRPr="00386E47">
        <w:rPr>
          <w:rFonts w:asciiTheme="majorHAnsi" w:eastAsia="Calibri" w:hAnsiTheme="majorHAnsi"/>
          <w:sz w:val="20"/>
          <w:szCs w:val="20"/>
          <w:vertAlign w:val="superscript"/>
          <w:lang w:val="es-AR"/>
        </w:rPr>
        <w:footnoteReference w:id="283"/>
      </w:r>
      <w:r w:rsidR="009F70EA" w:rsidRPr="00386E47">
        <w:rPr>
          <w:rFonts w:asciiTheme="majorHAnsi" w:eastAsia="Calibri" w:hAnsiTheme="majorHAnsi"/>
          <w:sz w:val="20"/>
          <w:szCs w:val="20"/>
          <w:lang w:val="es-AR"/>
        </w:rPr>
        <w:t>.</w:t>
      </w:r>
    </w:p>
    <w:p w14:paraId="7F1AF387" w14:textId="77777777" w:rsidR="00776266" w:rsidRPr="00386E47" w:rsidRDefault="00776266" w:rsidP="009E1D55">
      <w:pPr>
        <w:tabs>
          <w:tab w:val="left" w:pos="567"/>
        </w:tabs>
        <w:contextualSpacing/>
        <w:jc w:val="both"/>
        <w:rPr>
          <w:rFonts w:asciiTheme="majorHAnsi" w:eastAsia="Calibri" w:hAnsiTheme="majorHAnsi"/>
          <w:sz w:val="20"/>
          <w:szCs w:val="20"/>
          <w:lang w:val="es-AR"/>
        </w:rPr>
      </w:pPr>
    </w:p>
    <w:p w14:paraId="47FD6D7D" w14:textId="77777777" w:rsidR="009F70EA" w:rsidRPr="00386E47" w:rsidRDefault="009F70EA" w:rsidP="003A5860">
      <w:pPr>
        <w:numPr>
          <w:ilvl w:val="0"/>
          <w:numId w:val="55"/>
        </w:numPr>
        <w:tabs>
          <w:tab w:val="left" w:pos="567"/>
        </w:tabs>
        <w:ind w:left="0" w:firstLine="0"/>
        <w:contextualSpacing/>
        <w:jc w:val="both"/>
        <w:rPr>
          <w:rFonts w:asciiTheme="majorHAnsi" w:eastAsia="Calibri" w:hAnsiTheme="majorHAnsi"/>
          <w:sz w:val="20"/>
          <w:szCs w:val="20"/>
          <w:lang w:val="es-AR"/>
        </w:rPr>
      </w:pPr>
      <w:r w:rsidRPr="00386E47">
        <w:rPr>
          <w:rFonts w:asciiTheme="majorHAnsi" w:eastAsia="Calibri" w:hAnsiTheme="majorHAnsi"/>
          <w:sz w:val="20"/>
          <w:szCs w:val="20"/>
          <w:lang w:val="es-AR"/>
        </w:rPr>
        <w:t xml:space="preserve">Asimismo, la Comisión ha sido informada de la existencia de una serie de decretos e iniciativas oficiales destinados a organizar, sistematizar, transferir la custodia y desclasificar información relevante producida o almacenada por diversas agencias del Estado y, en particular, de aquella documentación que </w:t>
      </w:r>
      <w:r w:rsidR="00776266" w:rsidRPr="00386E47">
        <w:rPr>
          <w:rFonts w:asciiTheme="majorHAnsi" w:eastAsia="Calibri" w:hAnsiTheme="majorHAnsi"/>
          <w:sz w:val="20"/>
          <w:szCs w:val="20"/>
          <w:lang w:val="es-AR"/>
        </w:rPr>
        <w:t xml:space="preserve">fue originada por la SIDE, o bien </w:t>
      </w:r>
      <w:r w:rsidRPr="00386E47">
        <w:rPr>
          <w:rFonts w:asciiTheme="majorHAnsi" w:eastAsia="Calibri" w:hAnsiTheme="majorHAnsi"/>
          <w:sz w:val="20"/>
          <w:szCs w:val="20"/>
          <w:lang w:val="es-AR"/>
        </w:rPr>
        <w:t xml:space="preserve">permaneció o continúa permaneciendo en </w:t>
      </w:r>
      <w:r w:rsidR="00776266" w:rsidRPr="00386E47">
        <w:rPr>
          <w:rFonts w:asciiTheme="majorHAnsi" w:eastAsia="Calibri" w:hAnsiTheme="majorHAnsi"/>
          <w:sz w:val="20"/>
          <w:szCs w:val="20"/>
          <w:lang w:val="es-AR"/>
        </w:rPr>
        <w:t xml:space="preserve">su poder. </w:t>
      </w:r>
      <w:r w:rsidRPr="00386E47">
        <w:rPr>
          <w:rFonts w:asciiTheme="majorHAnsi" w:eastAsia="Calibri" w:hAnsiTheme="majorHAnsi"/>
          <w:sz w:val="20"/>
          <w:szCs w:val="20"/>
          <w:lang w:val="es-AR"/>
        </w:rPr>
        <w:t xml:space="preserve"> </w:t>
      </w:r>
    </w:p>
    <w:p w14:paraId="605E4088" w14:textId="77777777" w:rsidR="009F70EA" w:rsidRPr="00386E47" w:rsidRDefault="009F70EA" w:rsidP="009E1D55">
      <w:pPr>
        <w:tabs>
          <w:tab w:val="left" w:pos="426"/>
        </w:tabs>
        <w:contextualSpacing/>
        <w:jc w:val="both"/>
        <w:rPr>
          <w:rFonts w:asciiTheme="majorHAnsi" w:eastAsia="Calibri" w:hAnsiTheme="majorHAnsi"/>
          <w:sz w:val="20"/>
          <w:szCs w:val="20"/>
          <w:lang w:val="es-AR"/>
        </w:rPr>
      </w:pPr>
    </w:p>
    <w:p w14:paraId="1ADE7F5E" w14:textId="77777777" w:rsidR="009F70EA" w:rsidRPr="00386E47" w:rsidRDefault="009F70EA" w:rsidP="003A5860">
      <w:pPr>
        <w:numPr>
          <w:ilvl w:val="0"/>
          <w:numId w:val="55"/>
        </w:numPr>
        <w:tabs>
          <w:tab w:val="left" w:pos="567"/>
        </w:tabs>
        <w:ind w:left="0" w:firstLine="0"/>
        <w:contextualSpacing/>
        <w:jc w:val="both"/>
        <w:rPr>
          <w:rFonts w:asciiTheme="majorHAnsi" w:eastAsia="Calibri" w:hAnsiTheme="majorHAnsi"/>
          <w:sz w:val="20"/>
          <w:szCs w:val="20"/>
          <w:lang w:val="es-AR"/>
        </w:rPr>
      </w:pPr>
      <w:r w:rsidRPr="00386E47">
        <w:rPr>
          <w:rFonts w:asciiTheme="majorHAnsi" w:eastAsia="Calibri" w:hAnsiTheme="majorHAnsi"/>
          <w:sz w:val="20"/>
          <w:szCs w:val="20"/>
          <w:lang w:val="es-AR"/>
        </w:rPr>
        <w:t xml:space="preserve">Al respecto, la Comisión reafirma que no </w:t>
      </w:r>
      <w:r w:rsidR="00540E60" w:rsidRPr="00386E47">
        <w:rPr>
          <w:rFonts w:asciiTheme="majorHAnsi" w:eastAsia="Calibri" w:hAnsiTheme="majorHAnsi"/>
          <w:sz w:val="20"/>
          <w:szCs w:val="20"/>
          <w:lang w:val="es-AR"/>
        </w:rPr>
        <w:t xml:space="preserve">considera necesario en el presente caso referirse a </w:t>
      </w:r>
      <w:r w:rsidR="003A5A1C" w:rsidRPr="00386E47">
        <w:rPr>
          <w:rFonts w:asciiTheme="majorHAnsi" w:eastAsia="Calibri" w:hAnsiTheme="majorHAnsi"/>
          <w:sz w:val="20"/>
          <w:szCs w:val="20"/>
          <w:lang w:val="es-AR"/>
        </w:rPr>
        <w:t xml:space="preserve">la </w:t>
      </w:r>
      <w:r w:rsidRPr="00386E47">
        <w:rPr>
          <w:rFonts w:asciiTheme="majorHAnsi" w:eastAsia="Calibri" w:hAnsiTheme="majorHAnsi"/>
          <w:sz w:val="20"/>
          <w:szCs w:val="20"/>
          <w:lang w:val="es-AR"/>
        </w:rPr>
        <w:t xml:space="preserve">decisión </w:t>
      </w:r>
      <w:r w:rsidR="003A5A1C" w:rsidRPr="00386E47">
        <w:rPr>
          <w:rFonts w:asciiTheme="majorHAnsi" w:eastAsia="Calibri" w:hAnsiTheme="majorHAnsi"/>
          <w:sz w:val="20"/>
          <w:szCs w:val="20"/>
          <w:lang w:val="es-AR"/>
        </w:rPr>
        <w:t xml:space="preserve">de los Estados </w:t>
      </w:r>
      <w:r w:rsidRPr="00386E47">
        <w:rPr>
          <w:rFonts w:asciiTheme="majorHAnsi" w:eastAsia="Calibri" w:hAnsiTheme="majorHAnsi"/>
          <w:sz w:val="20"/>
          <w:szCs w:val="20"/>
          <w:lang w:val="es-AR"/>
        </w:rPr>
        <w:t>de involucrar a las agencias de inteligencia y a sus funcionarios como colaboradores de la justicia en investigaciones criminales</w:t>
      </w:r>
      <w:r w:rsidR="00540E60" w:rsidRPr="00386E47">
        <w:rPr>
          <w:rFonts w:asciiTheme="majorHAnsi" w:eastAsia="Calibri" w:hAnsiTheme="majorHAnsi"/>
          <w:sz w:val="20"/>
          <w:szCs w:val="20"/>
          <w:lang w:val="es-AR"/>
        </w:rPr>
        <w:t>, sin embargo, como se ha indicado existen determinadas salvaguardas que considerar en virtud de las pruebas o conjeturas que se pretendan sustentar</w:t>
      </w:r>
      <w:r w:rsidRPr="00386E47">
        <w:rPr>
          <w:rFonts w:asciiTheme="majorHAnsi" w:eastAsia="Calibri" w:hAnsiTheme="majorHAnsi"/>
          <w:sz w:val="20"/>
          <w:szCs w:val="20"/>
          <w:lang w:val="es-AR"/>
        </w:rPr>
        <w:t xml:space="preserve">. La Comisión tiene presente asimismo la necesidad de </w:t>
      </w:r>
      <w:r w:rsidR="003A5A1C" w:rsidRPr="00386E47">
        <w:rPr>
          <w:rFonts w:asciiTheme="majorHAnsi" w:eastAsia="Calibri" w:hAnsiTheme="majorHAnsi"/>
          <w:sz w:val="20"/>
          <w:szCs w:val="20"/>
          <w:lang w:val="es-AR"/>
        </w:rPr>
        <w:t>que exista</w:t>
      </w:r>
      <w:r w:rsidRPr="00386E47">
        <w:rPr>
          <w:rFonts w:asciiTheme="majorHAnsi" w:eastAsia="Calibri" w:hAnsiTheme="majorHAnsi"/>
          <w:sz w:val="20"/>
          <w:szCs w:val="20"/>
          <w:lang w:val="es-AR"/>
        </w:rPr>
        <w:t xml:space="preserve"> un régimen de clasificación de la información</w:t>
      </w:r>
      <w:r w:rsidR="003A5A1C" w:rsidRPr="00386E47">
        <w:rPr>
          <w:rFonts w:asciiTheme="majorHAnsi" w:eastAsia="Calibri" w:hAnsiTheme="majorHAnsi"/>
          <w:sz w:val="20"/>
          <w:szCs w:val="20"/>
          <w:lang w:val="es-AR"/>
        </w:rPr>
        <w:t xml:space="preserve"> que se encuentre</w:t>
      </w:r>
      <w:r w:rsidRPr="00386E47">
        <w:rPr>
          <w:rFonts w:asciiTheme="majorHAnsi" w:eastAsia="Calibri" w:hAnsiTheme="majorHAnsi"/>
          <w:sz w:val="20"/>
          <w:szCs w:val="20"/>
          <w:lang w:val="es-AR"/>
        </w:rPr>
        <w:t xml:space="preserve"> </w:t>
      </w:r>
      <w:r w:rsidR="003A5A1C" w:rsidRPr="00386E47">
        <w:rPr>
          <w:rFonts w:asciiTheme="majorHAnsi" w:eastAsia="Calibri" w:hAnsiTheme="majorHAnsi"/>
          <w:sz w:val="20"/>
          <w:szCs w:val="20"/>
          <w:lang w:val="es-AR"/>
        </w:rPr>
        <w:t>en poder de dichos organismos, a efectos de</w:t>
      </w:r>
      <w:r w:rsidRPr="00386E47">
        <w:rPr>
          <w:rFonts w:asciiTheme="majorHAnsi" w:eastAsia="Calibri" w:hAnsiTheme="majorHAnsi"/>
          <w:sz w:val="20"/>
          <w:szCs w:val="20"/>
          <w:lang w:val="es-AR"/>
        </w:rPr>
        <w:t xml:space="preserve"> salvaguardar la integridad personal de los agentes que participen en las operaciones de reunión de información y </w:t>
      </w:r>
      <w:r w:rsidR="003A5A1C" w:rsidRPr="00386E47">
        <w:rPr>
          <w:rFonts w:asciiTheme="majorHAnsi" w:eastAsia="Calibri" w:hAnsiTheme="majorHAnsi"/>
          <w:sz w:val="20"/>
          <w:szCs w:val="20"/>
          <w:lang w:val="es-AR"/>
        </w:rPr>
        <w:t xml:space="preserve">la protección de </w:t>
      </w:r>
      <w:r w:rsidRPr="00386E47">
        <w:rPr>
          <w:rFonts w:asciiTheme="majorHAnsi" w:eastAsia="Calibri" w:hAnsiTheme="majorHAnsi"/>
          <w:sz w:val="20"/>
          <w:szCs w:val="20"/>
          <w:lang w:val="es-AR"/>
        </w:rPr>
        <w:t>la seguridad nacional.</w:t>
      </w:r>
    </w:p>
    <w:p w14:paraId="64C90A72" w14:textId="77777777" w:rsidR="009F70EA" w:rsidRPr="00386E47" w:rsidRDefault="009F70EA" w:rsidP="009E1D55">
      <w:pPr>
        <w:tabs>
          <w:tab w:val="left" w:pos="426"/>
        </w:tabs>
        <w:contextualSpacing/>
        <w:jc w:val="both"/>
        <w:rPr>
          <w:rFonts w:asciiTheme="majorHAnsi" w:eastAsia="Calibri" w:hAnsiTheme="majorHAnsi"/>
          <w:sz w:val="20"/>
          <w:szCs w:val="20"/>
          <w:lang w:val="es-AR"/>
        </w:rPr>
      </w:pPr>
    </w:p>
    <w:p w14:paraId="0FA29454" w14:textId="77777777" w:rsidR="009F70EA" w:rsidRPr="00386E47" w:rsidRDefault="009F70EA" w:rsidP="003A5860">
      <w:pPr>
        <w:numPr>
          <w:ilvl w:val="0"/>
          <w:numId w:val="55"/>
        </w:numPr>
        <w:tabs>
          <w:tab w:val="left" w:pos="567"/>
        </w:tabs>
        <w:ind w:left="0" w:firstLine="0"/>
        <w:contextualSpacing/>
        <w:jc w:val="both"/>
        <w:rPr>
          <w:rFonts w:asciiTheme="majorHAnsi" w:eastAsia="Calibri" w:hAnsiTheme="majorHAnsi"/>
          <w:sz w:val="20"/>
          <w:szCs w:val="20"/>
          <w:lang w:val="es-AR"/>
        </w:rPr>
      </w:pPr>
      <w:r w:rsidRPr="00386E47">
        <w:rPr>
          <w:rFonts w:asciiTheme="majorHAnsi" w:eastAsia="Calibri" w:hAnsiTheme="majorHAnsi"/>
          <w:sz w:val="20"/>
          <w:szCs w:val="20"/>
          <w:lang w:val="es-AR"/>
        </w:rPr>
        <w:t xml:space="preserve"> Sin </w:t>
      </w:r>
      <w:r w:rsidR="00540E60" w:rsidRPr="00386E47">
        <w:rPr>
          <w:rFonts w:asciiTheme="majorHAnsi" w:eastAsia="Calibri" w:hAnsiTheme="majorHAnsi"/>
          <w:sz w:val="20"/>
          <w:szCs w:val="20"/>
          <w:lang w:val="es-AR"/>
        </w:rPr>
        <w:t>perjuicio de lo anterior</w:t>
      </w:r>
      <w:r w:rsidR="00947BAE" w:rsidRPr="00386E47">
        <w:rPr>
          <w:rFonts w:asciiTheme="majorHAnsi" w:eastAsia="Calibri" w:hAnsiTheme="majorHAnsi"/>
          <w:sz w:val="20"/>
          <w:szCs w:val="20"/>
          <w:lang w:val="es-AR"/>
        </w:rPr>
        <w:t>, la Comisión</w:t>
      </w:r>
      <w:r w:rsidRPr="00386E47">
        <w:rPr>
          <w:rFonts w:asciiTheme="majorHAnsi" w:eastAsia="Calibri" w:hAnsiTheme="majorHAnsi"/>
          <w:sz w:val="20"/>
          <w:szCs w:val="20"/>
          <w:lang w:val="es-AR"/>
        </w:rPr>
        <w:t xml:space="preserve"> subraya una vez más que los Estados tienen la obligación </w:t>
      </w:r>
      <w:r w:rsidR="003A5A1C" w:rsidRPr="00386E47">
        <w:rPr>
          <w:rFonts w:asciiTheme="majorHAnsi" w:eastAsia="Calibri" w:hAnsiTheme="majorHAnsi"/>
          <w:sz w:val="20"/>
          <w:szCs w:val="20"/>
          <w:lang w:val="es-AR"/>
        </w:rPr>
        <w:t xml:space="preserve">de asegurar que la </w:t>
      </w:r>
      <w:r w:rsidR="00B05379" w:rsidRPr="00386E47">
        <w:rPr>
          <w:rFonts w:asciiTheme="majorHAnsi" w:eastAsia="Calibri" w:hAnsiTheme="majorHAnsi"/>
          <w:sz w:val="20"/>
          <w:szCs w:val="20"/>
          <w:lang w:val="es-AR"/>
        </w:rPr>
        <w:t>regulación</w:t>
      </w:r>
      <w:r w:rsidR="003A5A1C" w:rsidRPr="00386E47">
        <w:rPr>
          <w:rFonts w:asciiTheme="majorHAnsi" w:eastAsia="Calibri" w:hAnsiTheme="majorHAnsi"/>
          <w:sz w:val="20"/>
          <w:szCs w:val="20"/>
          <w:lang w:val="es-AR"/>
        </w:rPr>
        <w:t xml:space="preserve"> normativa y la </w:t>
      </w:r>
      <w:r w:rsidR="00B05379" w:rsidRPr="00386E47">
        <w:rPr>
          <w:rFonts w:asciiTheme="majorHAnsi" w:eastAsia="Calibri" w:hAnsiTheme="majorHAnsi"/>
          <w:sz w:val="20"/>
          <w:szCs w:val="20"/>
          <w:lang w:val="es-AR"/>
        </w:rPr>
        <w:t>gestión</w:t>
      </w:r>
      <w:r w:rsidR="003A5A1C" w:rsidRPr="00386E47">
        <w:rPr>
          <w:rFonts w:asciiTheme="majorHAnsi" w:eastAsia="Calibri" w:hAnsiTheme="majorHAnsi"/>
          <w:sz w:val="20"/>
          <w:szCs w:val="20"/>
          <w:lang w:val="es-AR"/>
        </w:rPr>
        <w:t xml:space="preserve"> cotidiana de los </w:t>
      </w:r>
      <w:r w:rsidRPr="00386E47">
        <w:rPr>
          <w:rFonts w:asciiTheme="majorHAnsi" w:eastAsia="Calibri" w:hAnsiTheme="majorHAnsi"/>
          <w:sz w:val="20"/>
          <w:szCs w:val="20"/>
          <w:lang w:val="es-AR"/>
        </w:rPr>
        <w:t xml:space="preserve">servicios de inteligencia </w:t>
      </w:r>
      <w:r w:rsidR="003A5A1C" w:rsidRPr="00386E47">
        <w:rPr>
          <w:rFonts w:asciiTheme="majorHAnsi" w:eastAsia="Calibri" w:hAnsiTheme="majorHAnsi"/>
          <w:sz w:val="20"/>
          <w:szCs w:val="20"/>
          <w:lang w:val="es-AR"/>
        </w:rPr>
        <w:t>sea compatible</w:t>
      </w:r>
      <w:r w:rsidRPr="00386E47">
        <w:rPr>
          <w:rFonts w:asciiTheme="majorHAnsi" w:eastAsia="Calibri" w:hAnsiTheme="majorHAnsi"/>
          <w:sz w:val="20"/>
          <w:szCs w:val="20"/>
          <w:lang w:val="es-AR"/>
        </w:rPr>
        <w:t xml:space="preserve"> con los principios fundamentales del estado de derecho y los estándares internacionales en materia de derechos humanos</w:t>
      </w:r>
      <w:r w:rsidRPr="00386E47">
        <w:rPr>
          <w:rFonts w:asciiTheme="majorHAnsi" w:eastAsia="Calibri" w:hAnsiTheme="majorHAnsi"/>
          <w:sz w:val="20"/>
          <w:szCs w:val="20"/>
          <w:vertAlign w:val="superscript"/>
          <w:lang w:val="es-AR"/>
        </w:rPr>
        <w:footnoteReference w:id="284"/>
      </w:r>
      <w:r w:rsidRPr="00386E47">
        <w:rPr>
          <w:rFonts w:asciiTheme="majorHAnsi" w:eastAsia="Calibri" w:hAnsiTheme="majorHAnsi"/>
          <w:sz w:val="20"/>
          <w:szCs w:val="20"/>
          <w:lang w:val="es-AR"/>
        </w:rPr>
        <w:t xml:space="preserve">. En especial, la Comisión entiende que el fin legítimo que los Estados puedan llegar a perseguir con la puesta en funcionamiento de un régimen de clasificación de las actividades de inteligencia no implica una carta blanca para que los organismos de inteligencia operen en la total clandestinidad. </w:t>
      </w:r>
    </w:p>
    <w:p w14:paraId="6B2116FB" w14:textId="77777777" w:rsidR="009F70EA" w:rsidRPr="00386E47" w:rsidRDefault="009F70EA" w:rsidP="009E1D55">
      <w:pPr>
        <w:tabs>
          <w:tab w:val="left" w:pos="426"/>
        </w:tabs>
        <w:contextualSpacing/>
        <w:jc w:val="both"/>
        <w:rPr>
          <w:rFonts w:asciiTheme="majorHAnsi" w:eastAsia="Calibri" w:hAnsiTheme="majorHAnsi"/>
          <w:sz w:val="20"/>
          <w:szCs w:val="20"/>
          <w:lang w:val="es-AR"/>
        </w:rPr>
      </w:pPr>
    </w:p>
    <w:p w14:paraId="6F7B8B6C" w14:textId="77777777" w:rsidR="009F70EA" w:rsidRPr="00386E47" w:rsidRDefault="009F70EA" w:rsidP="00540E60">
      <w:pPr>
        <w:numPr>
          <w:ilvl w:val="0"/>
          <w:numId w:val="55"/>
        </w:numPr>
        <w:tabs>
          <w:tab w:val="left" w:pos="567"/>
        </w:tabs>
        <w:ind w:left="0" w:firstLine="0"/>
        <w:contextualSpacing/>
        <w:jc w:val="both"/>
        <w:rPr>
          <w:rFonts w:asciiTheme="majorHAnsi" w:eastAsia="Calibri" w:hAnsiTheme="majorHAnsi"/>
          <w:sz w:val="20"/>
          <w:szCs w:val="20"/>
          <w:lang w:val="es-AR"/>
        </w:rPr>
      </w:pPr>
      <w:r w:rsidRPr="00386E47">
        <w:rPr>
          <w:rFonts w:asciiTheme="majorHAnsi" w:eastAsia="Calibri" w:hAnsiTheme="majorHAnsi"/>
          <w:sz w:val="20"/>
          <w:szCs w:val="20"/>
          <w:lang w:val="es-AR"/>
        </w:rPr>
        <w:t xml:space="preserve">En este sentido, la Comisión considera que la necesidad de resolver el conflicto que se presenta entre la necesidad de mantener el secreto de ciertas actividades de inteligencia y el derecho de acceso a la información resulta </w:t>
      </w:r>
      <w:r w:rsidR="00540E60" w:rsidRPr="00386E47">
        <w:rPr>
          <w:rFonts w:asciiTheme="majorHAnsi" w:eastAsia="Calibri" w:hAnsiTheme="majorHAnsi"/>
          <w:sz w:val="20"/>
          <w:szCs w:val="20"/>
          <w:lang w:val="es-AR"/>
        </w:rPr>
        <w:t>de suma importancia en</w:t>
      </w:r>
      <w:r w:rsidRPr="00386E47">
        <w:rPr>
          <w:rFonts w:asciiTheme="majorHAnsi" w:eastAsia="Calibri" w:hAnsiTheme="majorHAnsi"/>
          <w:sz w:val="20"/>
          <w:szCs w:val="20"/>
          <w:lang w:val="es-AR"/>
        </w:rPr>
        <w:t xml:space="preserve"> aquellos casos en los que las agencias de inteligencia son llamadas a actuar como auxiliares de justicia en una investigación criminal</w:t>
      </w:r>
      <w:r w:rsidR="00540E60" w:rsidRPr="00386E47">
        <w:rPr>
          <w:rFonts w:asciiTheme="majorHAnsi" w:eastAsia="Calibri" w:hAnsiTheme="majorHAnsi"/>
          <w:sz w:val="20"/>
          <w:szCs w:val="20"/>
          <w:lang w:val="es-AR"/>
        </w:rPr>
        <w:t xml:space="preserve"> relacionada con graves violaciones a derechos humanos</w:t>
      </w:r>
      <w:r w:rsidRPr="00386E47">
        <w:rPr>
          <w:rFonts w:asciiTheme="majorHAnsi" w:eastAsia="Calibri" w:hAnsiTheme="majorHAnsi"/>
          <w:sz w:val="20"/>
          <w:szCs w:val="20"/>
          <w:lang w:val="es-AR"/>
        </w:rPr>
        <w:t xml:space="preserve">. </w:t>
      </w:r>
      <w:r w:rsidR="00540E60" w:rsidRPr="00386E47">
        <w:rPr>
          <w:rFonts w:asciiTheme="majorHAnsi" w:eastAsia="Calibri" w:hAnsiTheme="majorHAnsi"/>
          <w:sz w:val="20"/>
          <w:szCs w:val="20"/>
          <w:lang w:val="es-AR"/>
        </w:rPr>
        <w:t>L</w:t>
      </w:r>
      <w:r w:rsidRPr="00386E47">
        <w:rPr>
          <w:rFonts w:asciiTheme="majorHAnsi" w:eastAsia="Calibri" w:hAnsiTheme="majorHAnsi"/>
          <w:sz w:val="20"/>
          <w:szCs w:val="20"/>
          <w:lang w:val="es-AR"/>
        </w:rPr>
        <w:t xml:space="preserve">a Comisión considera que existen numerosas razones por las cuales </w:t>
      </w:r>
      <w:r w:rsidR="00540E60" w:rsidRPr="00386E47">
        <w:rPr>
          <w:rFonts w:asciiTheme="majorHAnsi" w:eastAsia="Calibri" w:hAnsiTheme="majorHAnsi"/>
          <w:sz w:val="20"/>
          <w:szCs w:val="20"/>
          <w:lang w:val="es-AR"/>
        </w:rPr>
        <w:t>la</w:t>
      </w:r>
      <w:r w:rsidRPr="00386E47">
        <w:rPr>
          <w:rFonts w:asciiTheme="majorHAnsi" w:eastAsia="Calibri" w:hAnsiTheme="majorHAnsi"/>
          <w:sz w:val="20"/>
          <w:szCs w:val="20"/>
          <w:lang w:val="es-AR"/>
        </w:rPr>
        <w:t xml:space="preserve"> restricción al derecho de acceso a la información pude ser </w:t>
      </w:r>
      <w:r w:rsidR="00540E60" w:rsidRPr="00386E47">
        <w:rPr>
          <w:rFonts w:asciiTheme="majorHAnsi" w:eastAsia="Calibri" w:hAnsiTheme="majorHAnsi"/>
          <w:sz w:val="20"/>
          <w:szCs w:val="20"/>
          <w:lang w:val="es-AR"/>
        </w:rPr>
        <w:t>oponible</w:t>
      </w:r>
      <w:r w:rsidRPr="00386E47">
        <w:rPr>
          <w:rFonts w:asciiTheme="majorHAnsi" w:eastAsia="Calibri" w:hAnsiTheme="majorHAnsi"/>
          <w:sz w:val="20"/>
          <w:szCs w:val="20"/>
          <w:lang w:val="es-AR"/>
        </w:rPr>
        <w:t xml:space="preserve">, más aún </w:t>
      </w:r>
      <w:r w:rsidR="00540E60" w:rsidRPr="00386E47">
        <w:rPr>
          <w:rFonts w:asciiTheme="majorHAnsi" w:eastAsia="Calibri" w:hAnsiTheme="majorHAnsi"/>
          <w:sz w:val="20"/>
          <w:szCs w:val="20"/>
          <w:lang w:val="es-AR"/>
        </w:rPr>
        <w:t>es requerida por las partes quienes</w:t>
      </w:r>
      <w:r w:rsidRPr="00386E47">
        <w:rPr>
          <w:rFonts w:asciiTheme="majorHAnsi" w:eastAsia="Calibri" w:hAnsiTheme="majorHAnsi"/>
          <w:sz w:val="20"/>
          <w:szCs w:val="20"/>
          <w:lang w:val="es-AR"/>
        </w:rPr>
        <w:t xml:space="preserve"> se encuentran constituidas como parte querellante en los procesos judiciales. </w:t>
      </w:r>
    </w:p>
    <w:p w14:paraId="71A0B255" w14:textId="77777777" w:rsidR="009F70EA" w:rsidRPr="00386E47" w:rsidRDefault="009F70EA" w:rsidP="009E1D55">
      <w:pPr>
        <w:tabs>
          <w:tab w:val="left" w:pos="426"/>
        </w:tabs>
        <w:contextualSpacing/>
        <w:jc w:val="both"/>
        <w:rPr>
          <w:rFonts w:asciiTheme="majorHAnsi" w:eastAsia="Calibri" w:hAnsiTheme="majorHAnsi"/>
          <w:sz w:val="20"/>
          <w:szCs w:val="20"/>
          <w:lang w:val="es-AR"/>
        </w:rPr>
      </w:pPr>
    </w:p>
    <w:p w14:paraId="3CE649B6" w14:textId="77777777" w:rsidR="009F70EA" w:rsidRPr="00386E47" w:rsidRDefault="00540E60" w:rsidP="003A5860">
      <w:pPr>
        <w:numPr>
          <w:ilvl w:val="0"/>
          <w:numId w:val="55"/>
        </w:numPr>
        <w:tabs>
          <w:tab w:val="left" w:pos="567"/>
        </w:tabs>
        <w:ind w:left="0" w:firstLine="0"/>
        <w:contextualSpacing/>
        <w:jc w:val="both"/>
        <w:rPr>
          <w:rFonts w:asciiTheme="majorHAnsi" w:eastAsia="Calibri" w:hAnsiTheme="majorHAnsi"/>
          <w:sz w:val="20"/>
          <w:szCs w:val="20"/>
          <w:lang w:val="es-AR"/>
        </w:rPr>
      </w:pPr>
      <w:r w:rsidRPr="00386E47">
        <w:rPr>
          <w:rFonts w:asciiTheme="majorHAnsi" w:eastAsia="Calibri" w:hAnsiTheme="majorHAnsi"/>
          <w:sz w:val="20"/>
          <w:szCs w:val="20"/>
          <w:lang w:val="es-AR"/>
        </w:rPr>
        <w:t>A ese respecto</w:t>
      </w:r>
      <w:r w:rsidR="009F70EA" w:rsidRPr="00386E47">
        <w:rPr>
          <w:rFonts w:asciiTheme="majorHAnsi" w:eastAsia="Calibri" w:hAnsiTheme="majorHAnsi"/>
          <w:sz w:val="20"/>
          <w:szCs w:val="20"/>
          <w:lang w:val="es-AR"/>
        </w:rPr>
        <w:t xml:space="preserve">, la Corte </w:t>
      </w:r>
      <w:r w:rsidRPr="00386E47">
        <w:rPr>
          <w:rFonts w:asciiTheme="majorHAnsi" w:eastAsia="Calibri" w:hAnsiTheme="majorHAnsi"/>
          <w:sz w:val="20"/>
          <w:szCs w:val="20"/>
          <w:lang w:val="es-AR"/>
        </w:rPr>
        <w:t>Interamericana</w:t>
      </w:r>
      <w:r w:rsidR="009F70EA" w:rsidRPr="00386E47">
        <w:rPr>
          <w:rFonts w:asciiTheme="majorHAnsi" w:eastAsia="Calibri" w:hAnsiTheme="majorHAnsi"/>
          <w:sz w:val="20"/>
          <w:szCs w:val="20"/>
          <w:lang w:val="es-AR"/>
        </w:rPr>
        <w:t xml:space="preserve"> ha señalado que toda persona, incluyendo los familiares de las víctimas de graves violaciones a derechos humanes tiene el derecho a conocer la verdad y a ser informados de todo lo sucedido con relación a dichas violaciones. Asimismo, y desde la óptica de las garantías del debido proceso consagradas de manera general en el artículo 8.1 de la Convención, en relación con el art 1.1, los Estados tienen la obligación de garantizar el derecho de las víctimas y de sus familiares de participar en todas las etapas de los procesos judiciales a efectos de hacer valer sus derechos. La Comisión entiende, de manera general, que los </w:t>
      </w:r>
      <w:r w:rsidR="009F70EA" w:rsidRPr="00386E47">
        <w:rPr>
          <w:rFonts w:asciiTheme="majorHAnsi" w:eastAsia="Calibri" w:hAnsiTheme="majorHAnsi"/>
          <w:sz w:val="20"/>
          <w:szCs w:val="20"/>
          <w:lang w:val="es-AR"/>
        </w:rPr>
        <w:lastRenderedPageBreak/>
        <w:t xml:space="preserve">derechos mencionados precedentemente se encuentran severamente amenazados cuando la investigación judicial se compone, esencialmente, de piezas documentales que son clasificadas como secretas en </w:t>
      </w:r>
      <w:r w:rsidR="00804A4B" w:rsidRPr="00386E47">
        <w:rPr>
          <w:rFonts w:asciiTheme="majorHAnsi" w:eastAsia="Calibri" w:hAnsiTheme="majorHAnsi"/>
          <w:sz w:val="20"/>
          <w:szCs w:val="20"/>
          <w:lang w:val="es-AR"/>
        </w:rPr>
        <w:t xml:space="preserve">razón </w:t>
      </w:r>
      <w:r w:rsidR="009F70EA" w:rsidRPr="00386E47">
        <w:rPr>
          <w:rFonts w:asciiTheme="majorHAnsi" w:eastAsia="Calibri" w:hAnsiTheme="majorHAnsi"/>
          <w:sz w:val="20"/>
          <w:szCs w:val="20"/>
          <w:lang w:val="es-AR"/>
        </w:rPr>
        <w:t xml:space="preserve">de haber sido producidas o reunidas por organismos de inteligencia. </w:t>
      </w:r>
    </w:p>
    <w:p w14:paraId="69A69512" w14:textId="77777777" w:rsidR="009F70EA" w:rsidRPr="00386E47" w:rsidRDefault="009F70EA" w:rsidP="009E1D55">
      <w:pPr>
        <w:tabs>
          <w:tab w:val="left" w:pos="426"/>
        </w:tabs>
        <w:contextualSpacing/>
        <w:jc w:val="both"/>
        <w:rPr>
          <w:rFonts w:asciiTheme="majorHAnsi" w:eastAsia="Calibri" w:hAnsiTheme="majorHAnsi"/>
          <w:sz w:val="20"/>
          <w:szCs w:val="20"/>
          <w:lang w:val="es-AR"/>
        </w:rPr>
      </w:pPr>
    </w:p>
    <w:p w14:paraId="36B1B818" w14:textId="77777777" w:rsidR="009F70EA" w:rsidRPr="00386E47" w:rsidRDefault="009F70EA" w:rsidP="003A5860">
      <w:pPr>
        <w:numPr>
          <w:ilvl w:val="0"/>
          <w:numId w:val="55"/>
        </w:numPr>
        <w:tabs>
          <w:tab w:val="left" w:pos="567"/>
        </w:tabs>
        <w:ind w:left="0" w:firstLine="0"/>
        <w:contextualSpacing/>
        <w:jc w:val="both"/>
        <w:rPr>
          <w:rFonts w:asciiTheme="majorHAnsi" w:eastAsia="Calibri" w:hAnsiTheme="majorHAnsi"/>
          <w:sz w:val="20"/>
          <w:szCs w:val="20"/>
          <w:lang w:val="es-AR"/>
        </w:rPr>
      </w:pPr>
      <w:r w:rsidRPr="00386E47">
        <w:rPr>
          <w:rFonts w:asciiTheme="majorHAnsi" w:eastAsia="Calibri" w:hAnsiTheme="majorHAnsi"/>
          <w:sz w:val="20"/>
          <w:szCs w:val="20"/>
          <w:lang w:val="es-AR"/>
        </w:rPr>
        <w:t xml:space="preserve">Corresponde a la CIDH, por lo tanto, definir si en el presente caso el Estado argentino cumplió con sus obligaciones internacionales derivadas del derecho de acceso a la información de los peticionarios, como un componente del derecho a conocer la verdad sobre lo sucedido. En particular, resulta necesario que la CIDH determine si el Estado </w:t>
      </w:r>
      <w:r w:rsidR="00D73730" w:rsidRPr="00386E47">
        <w:rPr>
          <w:rFonts w:asciiTheme="majorHAnsi" w:eastAsia="Calibri" w:hAnsiTheme="majorHAnsi"/>
          <w:sz w:val="20"/>
          <w:szCs w:val="20"/>
          <w:lang w:val="es-AR"/>
        </w:rPr>
        <w:t>cumplió con</w:t>
      </w:r>
      <w:r w:rsidRPr="00386E47">
        <w:rPr>
          <w:rFonts w:asciiTheme="majorHAnsi" w:eastAsia="Calibri" w:hAnsiTheme="majorHAnsi"/>
          <w:sz w:val="20"/>
          <w:szCs w:val="20"/>
          <w:lang w:val="es-AR"/>
        </w:rPr>
        <w:t xml:space="preserve"> sus obligaciones positivas de </w:t>
      </w:r>
      <w:r w:rsidR="00540E60" w:rsidRPr="00386E47">
        <w:rPr>
          <w:rFonts w:asciiTheme="majorHAnsi" w:eastAsia="Calibri" w:hAnsiTheme="majorHAnsi"/>
          <w:sz w:val="20"/>
          <w:szCs w:val="20"/>
          <w:lang w:val="es-AR"/>
        </w:rPr>
        <w:t>garantizar</w:t>
      </w:r>
      <w:r w:rsidR="00D73730" w:rsidRPr="00386E47">
        <w:rPr>
          <w:rFonts w:asciiTheme="majorHAnsi" w:eastAsia="Calibri" w:hAnsiTheme="majorHAnsi"/>
          <w:sz w:val="20"/>
          <w:szCs w:val="20"/>
          <w:lang w:val="es-AR"/>
        </w:rPr>
        <w:t xml:space="preserve"> el derecho a</w:t>
      </w:r>
      <w:r w:rsidRPr="00386E47">
        <w:rPr>
          <w:rFonts w:asciiTheme="majorHAnsi" w:eastAsia="Calibri" w:hAnsiTheme="majorHAnsi"/>
          <w:sz w:val="20"/>
          <w:szCs w:val="20"/>
          <w:lang w:val="es-AR"/>
        </w:rPr>
        <w:t xml:space="preserve"> </w:t>
      </w:r>
      <w:r w:rsidR="00D73730" w:rsidRPr="00386E47">
        <w:rPr>
          <w:rFonts w:asciiTheme="majorHAnsi" w:eastAsia="Calibri" w:hAnsiTheme="majorHAnsi"/>
          <w:sz w:val="20"/>
          <w:szCs w:val="20"/>
          <w:lang w:val="es-AR"/>
        </w:rPr>
        <w:t>acceder</w:t>
      </w:r>
      <w:r w:rsidRPr="00386E47">
        <w:rPr>
          <w:rFonts w:asciiTheme="majorHAnsi" w:eastAsia="Calibri" w:hAnsiTheme="majorHAnsi"/>
          <w:sz w:val="20"/>
          <w:szCs w:val="20"/>
          <w:lang w:val="es-AR"/>
        </w:rPr>
        <w:t xml:space="preserve"> a </w:t>
      </w:r>
      <w:r w:rsidR="00D73730" w:rsidRPr="00386E47">
        <w:rPr>
          <w:rFonts w:asciiTheme="majorHAnsi" w:eastAsia="Calibri" w:hAnsiTheme="majorHAnsi"/>
          <w:sz w:val="20"/>
          <w:szCs w:val="20"/>
          <w:lang w:val="es-AR"/>
        </w:rPr>
        <w:t xml:space="preserve">la </w:t>
      </w:r>
      <w:r w:rsidRPr="00386E47">
        <w:rPr>
          <w:rFonts w:asciiTheme="majorHAnsi" w:eastAsia="Calibri" w:hAnsiTheme="majorHAnsi"/>
          <w:sz w:val="20"/>
          <w:szCs w:val="20"/>
          <w:lang w:val="es-AR"/>
        </w:rPr>
        <w:t xml:space="preserve">información relacionada con el atentado a la AMIA contenida en archivos oficiales.  </w:t>
      </w:r>
    </w:p>
    <w:p w14:paraId="5AF0416A" w14:textId="77777777" w:rsidR="009F70EA" w:rsidRPr="00386E47" w:rsidRDefault="009F70EA" w:rsidP="009F70EA">
      <w:pPr>
        <w:rPr>
          <w:rFonts w:asciiTheme="majorHAnsi" w:eastAsia="Calibri" w:hAnsiTheme="majorHAnsi"/>
          <w:sz w:val="20"/>
          <w:szCs w:val="20"/>
          <w:lang w:val="es-AR"/>
        </w:rPr>
      </w:pPr>
    </w:p>
    <w:p w14:paraId="4E0A7166" w14:textId="77777777" w:rsidR="009F70EA" w:rsidRPr="00386E47" w:rsidRDefault="009F70EA" w:rsidP="00E05F14">
      <w:pPr>
        <w:pStyle w:val="Heading3"/>
        <w:numPr>
          <w:ilvl w:val="1"/>
          <w:numId w:val="68"/>
        </w:numPr>
        <w:ind w:left="284" w:firstLine="0"/>
      </w:pPr>
      <w:bookmarkStart w:id="32" w:name="_Toc51252203"/>
      <w:r w:rsidRPr="00386E47">
        <w:t xml:space="preserve">Sobre la cuestión de la información clasificada en poder de la Secretaria de Inteligencia del Estado, sus </w:t>
      </w:r>
      <w:r w:rsidR="00CA372A" w:rsidRPr="00386E47">
        <w:t>organismos</w:t>
      </w:r>
      <w:r w:rsidRPr="00386E47">
        <w:t xml:space="preserve"> sucesores y la UFI-AMIA</w:t>
      </w:r>
      <w:bookmarkEnd w:id="32"/>
      <w:r w:rsidRPr="00386E47">
        <w:t xml:space="preserve"> </w:t>
      </w:r>
    </w:p>
    <w:p w14:paraId="01AD337F" w14:textId="77777777" w:rsidR="00D73730" w:rsidRPr="00386E47" w:rsidRDefault="00D73730" w:rsidP="003A5860">
      <w:pPr>
        <w:pStyle w:val="ListParagraph"/>
        <w:numPr>
          <w:ilvl w:val="0"/>
          <w:numId w:val="55"/>
        </w:numPr>
        <w:tabs>
          <w:tab w:val="left" w:pos="567"/>
        </w:tabs>
        <w:ind w:left="0" w:firstLine="0"/>
        <w:contextualSpacing/>
        <w:jc w:val="both"/>
        <w:rPr>
          <w:rFonts w:asciiTheme="majorHAnsi" w:eastAsia="Calibri" w:hAnsiTheme="majorHAnsi"/>
          <w:sz w:val="20"/>
          <w:szCs w:val="20"/>
          <w:lang w:val="es-AR"/>
        </w:rPr>
      </w:pPr>
      <w:r w:rsidRPr="00386E47">
        <w:rPr>
          <w:rFonts w:asciiTheme="majorHAnsi" w:eastAsia="Calibri" w:hAnsiTheme="majorHAnsi"/>
          <w:sz w:val="20"/>
          <w:szCs w:val="20"/>
          <w:lang w:val="es-AR"/>
        </w:rPr>
        <w:t>En primer término, la Comisión recuerda que la Corte IDH señaló en el caso Myrna Mack Chang vs. Guatemala que, en caso de violaciones de derechos humanos, “las autoridades estatales no se pueden amparar en mecanismos como el secreto de Estado o la confidencialidad de la información, o en razones de interés público o seguridad nacional, para dejar de aportar la información requerida por las autoridades judiciales o administrativas encargadas de la investigación de procesos pendientes”</w:t>
      </w:r>
      <w:r w:rsidRPr="00386E47">
        <w:rPr>
          <w:rFonts w:asciiTheme="majorHAnsi" w:hAnsiTheme="majorHAnsi"/>
          <w:sz w:val="20"/>
          <w:szCs w:val="20"/>
          <w:vertAlign w:val="superscript"/>
        </w:rPr>
        <w:footnoteReference w:id="285"/>
      </w:r>
      <w:r w:rsidRPr="00386E47">
        <w:rPr>
          <w:rFonts w:asciiTheme="majorHAnsi" w:eastAsia="Calibri" w:hAnsiTheme="majorHAnsi"/>
          <w:sz w:val="20"/>
          <w:szCs w:val="20"/>
          <w:lang w:val="es-AR"/>
        </w:rPr>
        <w:t xml:space="preserve">. </w:t>
      </w:r>
    </w:p>
    <w:p w14:paraId="6C9D2FA7" w14:textId="77777777" w:rsidR="00D73730" w:rsidRPr="00386E47" w:rsidRDefault="00D73730" w:rsidP="00CE774A">
      <w:pPr>
        <w:pStyle w:val="ListParagraph"/>
        <w:rPr>
          <w:rFonts w:asciiTheme="majorHAnsi" w:eastAsia="Calibri" w:hAnsiTheme="majorHAnsi"/>
          <w:sz w:val="20"/>
          <w:szCs w:val="20"/>
          <w:lang w:val="es-AR"/>
        </w:rPr>
      </w:pPr>
    </w:p>
    <w:p w14:paraId="653A136D" w14:textId="77777777" w:rsidR="00D73730" w:rsidRPr="00386E47" w:rsidRDefault="00D73730" w:rsidP="003A5860">
      <w:pPr>
        <w:numPr>
          <w:ilvl w:val="0"/>
          <w:numId w:val="55"/>
        </w:numPr>
        <w:tabs>
          <w:tab w:val="left" w:pos="567"/>
        </w:tabs>
        <w:ind w:left="0" w:firstLine="0"/>
        <w:contextualSpacing/>
        <w:jc w:val="both"/>
        <w:rPr>
          <w:rFonts w:asciiTheme="majorHAnsi" w:eastAsia="Calibri" w:hAnsiTheme="majorHAnsi"/>
          <w:sz w:val="20"/>
          <w:szCs w:val="20"/>
          <w:lang w:val="es-AR"/>
        </w:rPr>
      </w:pPr>
      <w:r w:rsidRPr="00386E47">
        <w:rPr>
          <w:rFonts w:asciiTheme="majorHAnsi" w:eastAsia="Calibri" w:hAnsiTheme="majorHAnsi"/>
          <w:sz w:val="20"/>
          <w:szCs w:val="20"/>
          <w:lang w:val="es-AR"/>
        </w:rPr>
        <w:t xml:space="preserve">Asimismo, la </w:t>
      </w:r>
      <w:r w:rsidR="00E05F14" w:rsidRPr="00386E47">
        <w:rPr>
          <w:rFonts w:asciiTheme="majorHAnsi" w:eastAsia="Calibri" w:hAnsiTheme="majorHAnsi"/>
          <w:sz w:val="20"/>
          <w:szCs w:val="20"/>
          <w:lang w:val="es-AR"/>
        </w:rPr>
        <w:t>Comisión</w:t>
      </w:r>
      <w:r w:rsidRPr="00386E47">
        <w:rPr>
          <w:rFonts w:asciiTheme="majorHAnsi" w:eastAsia="Calibri" w:hAnsiTheme="majorHAnsi"/>
          <w:sz w:val="20"/>
          <w:szCs w:val="20"/>
          <w:lang w:val="es-AR"/>
        </w:rPr>
        <w:t xml:space="preserve"> resalta que conforme la jurisprudencia de la Corte IDH, las restricciones al derecho a acceder a la </w:t>
      </w:r>
      <w:r w:rsidR="00E05F14" w:rsidRPr="00386E47">
        <w:rPr>
          <w:rFonts w:asciiTheme="majorHAnsi" w:eastAsia="Calibri" w:hAnsiTheme="majorHAnsi"/>
          <w:sz w:val="20"/>
          <w:szCs w:val="20"/>
          <w:lang w:val="es-AR"/>
        </w:rPr>
        <w:t>información</w:t>
      </w:r>
      <w:r w:rsidRPr="00386E47">
        <w:rPr>
          <w:rFonts w:asciiTheme="majorHAnsi" w:eastAsia="Calibri" w:hAnsiTheme="majorHAnsi"/>
          <w:sz w:val="20"/>
          <w:szCs w:val="20"/>
          <w:lang w:val="es-AR"/>
        </w:rPr>
        <w:t xml:space="preserve"> deben estar previamente fijadas por ley y deben responder a uno de los objetivos permitidos por el </w:t>
      </w:r>
      <w:r w:rsidR="00E05F14" w:rsidRPr="00386E47">
        <w:rPr>
          <w:rFonts w:asciiTheme="majorHAnsi" w:eastAsia="Calibri" w:hAnsiTheme="majorHAnsi"/>
          <w:sz w:val="20"/>
          <w:szCs w:val="20"/>
          <w:lang w:val="es-AR"/>
        </w:rPr>
        <w:t>artículo</w:t>
      </w:r>
      <w:r w:rsidRPr="00386E47">
        <w:rPr>
          <w:rFonts w:asciiTheme="majorHAnsi" w:eastAsia="Calibri" w:hAnsiTheme="majorHAnsi"/>
          <w:sz w:val="20"/>
          <w:szCs w:val="20"/>
          <w:lang w:val="es-AR"/>
        </w:rPr>
        <w:t xml:space="preserve"> 13.2 de la </w:t>
      </w:r>
      <w:r w:rsidR="00E05F14" w:rsidRPr="00386E47">
        <w:rPr>
          <w:rFonts w:asciiTheme="majorHAnsi" w:eastAsia="Calibri" w:hAnsiTheme="majorHAnsi"/>
          <w:sz w:val="20"/>
          <w:szCs w:val="20"/>
          <w:lang w:val="es-AR"/>
        </w:rPr>
        <w:t>Convención</w:t>
      </w:r>
      <w:r w:rsidRPr="00386E47">
        <w:rPr>
          <w:rFonts w:asciiTheme="majorHAnsi" w:eastAsia="Calibri" w:hAnsiTheme="majorHAnsi"/>
          <w:sz w:val="20"/>
          <w:szCs w:val="20"/>
          <w:lang w:val="es-AR"/>
        </w:rPr>
        <w:t xml:space="preserve"> Americana. Adicionalmente, las limitaciones impuestas deben ser “necesarias en una sociedad democrática y orientadas a satisfacer un </w:t>
      </w:r>
      <w:r w:rsidR="00E05F14" w:rsidRPr="00386E47">
        <w:rPr>
          <w:rFonts w:asciiTheme="majorHAnsi" w:eastAsia="Calibri" w:hAnsiTheme="majorHAnsi"/>
          <w:sz w:val="20"/>
          <w:szCs w:val="20"/>
          <w:lang w:val="es-AR"/>
        </w:rPr>
        <w:t>interés</w:t>
      </w:r>
      <w:r w:rsidRPr="00386E47">
        <w:rPr>
          <w:rFonts w:asciiTheme="majorHAnsi" w:eastAsia="Calibri" w:hAnsiTheme="majorHAnsi"/>
          <w:sz w:val="20"/>
          <w:szCs w:val="20"/>
          <w:lang w:val="es-AR"/>
        </w:rPr>
        <w:t xml:space="preserve"> </w:t>
      </w:r>
      <w:r w:rsidR="00E05F14" w:rsidRPr="00386E47">
        <w:rPr>
          <w:rFonts w:asciiTheme="majorHAnsi" w:eastAsia="Calibri" w:hAnsiTheme="majorHAnsi"/>
          <w:sz w:val="20"/>
          <w:szCs w:val="20"/>
          <w:lang w:val="es-AR"/>
        </w:rPr>
        <w:t>público</w:t>
      </w:r>
      <w:r w:rsidRPr="00386E47">
        <w:rPr>
          <w:rFonts w:asciiTheme="majorHAnsi" w:eastAsia="Calibri" w:hAnsiTheme="majorHAnsi"/>
          <w:sz w:val="20"/>
          <w:szCs w:val="20"/>
          <w:lang w:val="es-AR"/>
        </w:rPr>
        <w:t xml:space="preserve"> imperativo”</w:t>
      </w:r>
      <w:r w:rsidRPr="00386E47">
        <w:rPr>
          <w:rStyle w:val="FootnoteReference"/>
          <w:rFonts w:asciiTheme="majorHAnsi" w:eastAsia="Calibri" w:hAnsiTheme="majorHAnsi"/>
          <w:sz w:val="20"/>
          <w:szCs w:val="20"/>
          <w:lang w:val="es-AR"/>
        </w:rPr>
        <w:footnoteReference w:id="286"/>
      </w:r>
      <w:r w:rsidRPr="00386E47">
        <w:rPr>
          <w:rFonts w:asciiTheme="majorHAnsi" w:eastAsia="Calibri" w:hAnsiTheme="majorHAnsi"/>
          <w:sz w:val="20"/>
          <w:szCs w:val="20"/>
          <w:lang w:val="es-AR"/>
        </w:rPr>
        <w:t>.</w:t>
      </w:r>
    </w:p>
    <w:p w14:paraId="000833D0" w14:textId="77777777" w:rsidR="00D73730" w:rsidRPr="00386E47" w:rsidRDefault="00D73730" w:rsidP="00CE774A">
      <w:pPr>
        <w:tabs>
          <w:tab w:val="left" w:pos="567"/>
        </w:tabs>
        <w:contextualSpacing/>
        <w:jc w:val="both"/>
        <w:rPr>
          <w:rFonts w:asciiTheme="majorHAnsi" w:eastAsia="Calibri" w:hAnsiTheme="majorHAnsi"/>
          <w:sz w:val="20"/>
          <w:szCs w:val="20"/>
          <w:lang w:val="es-AR"/>
        </w:rPr>
      </w:pPr>
    </w:p>
    <w:p w14:paraId="55B865AA" w14:textId="77777777" w:rsidR="009F70EA" w:rsidRPr="00386E47" w:rsidRDefault="009F70EA" w:rsidP="003A5860">
      <w:pPr>
        <w:numPr>
          <w:ilvl w:val="0"/>
          <w:numId w:val="55"/>
        </w:numPr>
        <w:tabs>
          <w:tab w:val="left" w:pos="567"/>
        </w:tabs>
        <w:ind w:left="0" w:firstLine="0"/>
        <w:contextualSpacing/>
        <w:jc w:val="both"/>
        <w:rPr>
          <w:rFonts w:asciiTheme="majorHAnsi" w:eastAsia="Calibri" w:hAnsiTheme="majorHAnsi"/>
          <w:sz w:val="20"/>
          <w:szCs w:val="20"/>
          <w:lang w:val="es-AR"/>
        </w:rPr>
      </w:pPr>
      <w:r w:rsidRPr="00386E47">
        <w:rPr>
          <w:rFonts w:asciiTheme="majorHAnsi" w:eastAsia="Calibri" w:hAnsiTheme="majorHAnsi"/>
          <w:sz w:val="20"/>
          <w:szCs w:val="20"/>
          <w:lang w:val="es-AR"/>
        </w:rPr>
        <w:t xml:space="preserve">En el </w:t>
      </w:r>
      <w:r w:rsidR="00D73730" w:rsidRPr="00386E47">
        <w:rPr>
          <w:rFonts w:asciiTheme="majorHAnsi" w:eastAsia="Calibri" w:hAnsiTheme="majorHAnsi"/>
          <w:sz w:val="20"/>
          <w:szCs w:val="20"/>
          <w:lang w:val="es-AR"/>
        </w:rPr>
        <w:t>presente caso</w:t>
      </w:r>
      <w:r w:rsidRPr="00386E47">
        <w:rPr>
          <w:rFonts w:asciiTheme="majorHAnsi" w:eastAsia="Calibri" w:hAnsiTheme="majorHAnsi"/>
          <w:sz w:val="20"/>
          <w:szCs w:val="20"/>
          <w:lang w:val="es-AR"/>
        </w:rPr>
        <w:t xml:space="preserve">, la Comisión resalta que, al momento de producirse el atentado </w:t>
      </w:r>
      <w:r w:rsidR="00D73730" w:rsidRPr="00386E47">
        <w:rPr>
          <w:rFonts w:asciiTheme="majorHAnsi" w:eastAsia="Calibri" w:hAnsiTheme="majorHAnsi"/>
          <w:sz w:val="20"/>
          <w:szCs w:val="20"/>
          <w:lang w:val="es-AR"/>
        </w:rPr>
        <w:t>a la AMIA</w:t>
      </w:r>
      <w:r w:rsidR="004662AF" w:rsidRPr="00386E47">
        <w:rPr>
          <w:rFonts w:asciiTheme="majorHAnsi" w:eastAsia="Calibri" w:hAnsiTheme="majorHAnsi"/>
          <w:sz w:val="20"/>
          <w:szCs w:val="20"/>
          <w:lang w:val="es-AR"/>
        </w:rPr>
        <w:t xml:space="preserve"> </w:t>
      </w:r>
      <w:r w:rsidRPr="00386E47">
        <w:rPr>
          <w:rFonts w:asciiTheme="majorHAnsi" w:eastAsia="Calibri" w:hAnsiTheme="majorHAnsi"/>
          <w:sz w:val="20"/>
          <w:szCs w:val="20"/>
          <w:lang w:val="es-AR"/>
        </w:rPr>
        <w:t>y hasta el año 2001, las acciones de la SIDE estaban reguladas por la ley 20.195, en cuyo artículo 10 se disponía que “todas las actividades que desarrolle la Secretaria de Informaciones del Estado, como asimismo su organización, funciones y documentación son calificadas en interés de la Seguridad Nacional,</w:t>
      </w:r>
      <w:r w:rsidR="005C5085" w:rsidRPr="00386E47">
        <w:rPr>
          <w:rFonts w:asciiTheme="majorHAnsi" w:eastAsia="Calibri" w:hAnsiTheme="majorHAnsi"/>
          <w:sz w:val="20"/>
          <w:szCs w:val="20"/>
          <w:lang w:val="es-AR"/>
        </w:rPr>
        <w:t xml:space="preserve"> </w:t>
      </w:r>
      <w:r w:rsidRPr="00386E47">
        <w:rPr>
          <w:rFonts w:asciiTheme="majorHAnsi" w:eastAsia="Calibri" w:hAnsiTheme="majorHAnsi"/>
          <w:sz w:val="20"/>
          <w:szCs w:val="20"/>
          <w:lang w:val="es-AR"/>
        </w:rPr>
        <w:t>de ‘Estrictamente Secreto y Confidencial…</w:t>
      </w:r>
      <w:r w:rsidR="004662AF" w:rsidRPr="00386E47">
        <w:rPr>
          <w:rFonts w:asciiTheme="majorHAnsi" w:eastAsia="Calibri" w:hAnsiTheme="majorHAnsi"/>
          <w:sz w:val="20"/>
          <w:szCs w:val="20"/>
          <w:lang w:val="es-AR"/>
        </w:rPr>
        <w:t xml:space="preserve">’ </w:t>
      </w:r>
      <w:r w:rsidRPr="00386E47">
        <w:rPr>
          <w:rFonts w:asciiTheme="majorHAnsi" w:eastAsia="Calibri" w:hAnsiTheme="majorHAnsi"/>
          <w:sz w:val="20"/>
          <w:szCs w:val="20"/>
          <w:vertAlign w:val="superscript"/>
          <w:lang w:val="es-AR"/>
        </w:rPr>
        <w:footnoteReference w:id="287"/>
      </w:r>
      <w:r w:rsidRPr="00386E47">
        <w:rPr>
          <w:rFonts w:asciiTheme="majorHAnsi" w:eastAsia="Calibri" w:hAnsiTheme="majorHAnsi"/>
          <w:sz w:val="20"/>
          <w:szCs w:val="20"/>
          <w:lang w:val="es-AR"/>
        </w:rPr>
        <w:t xml:space="preserve">. A partir de 2001, esta norma fue reemplazada por la ley 25.520 que disponía, entre otras cosas, que la información clasificada como secreta </w:t>
      </w:r>
      <w:r w:rsidR="00C5180C" w:rsidRPr="00386E47">
        <w:rPr>
          <w:rFonts w:asciiTheme="majorHAnsi" w:eastAsia="Calibri" w:hAnsiTheme="majorHAnsi"/>
          <w:sz w:val="20"/>
          <w:szCs w:val="20"/>
          <w:lang w:val="es-AR"/>
        </w:rPr>
        <w:t>solo podía ser consultada</w:t>
      </w:r>
      <w:r w:rsidRPr="00386E47">
        <w:rPr>
          <w:rFonts w:asciiTheme="majorHAnsi" w:eastAsia="Calibri" w:hAnsiTheme="majorHAnsi"/>
          <w:sz w:val="20"/>
          <w:szCs w:val="20"/>
          <w:lang w:val="es-AR"/>
        </w:rPr>
        <w:t xml:space="preserve"> por las autoridades judiciales, debiendo mantener ellas el más estricto secreto y confidencialidad</w:t>
      </w:r>
      <w:r w:rsidRPr="00386E47">
        <w:rPr>
          <w:rFonts w:asciiTheme="majorHAnsi" w:eastAsia="Calibri" w:hAnsiTheme="majorHAnsi"/>
          <w:sz w:val="20"/>
          <w:szCs w:val="20"/>
          <w:vertAlign w:val="superscript"/>
          <w:lang w:val="es-AR"/>
        </w:rPr>
        <w:footnoteReference w:id="288"/>
      </w:r>
      <w:r w:rsidRPr="00386E47">
        <w:rPr>
          <w:rFonts w:asciiTheme="majorHAnsi" w:eastAsia="Calibri" w:hAnsiTheme="majorHAnsi"/>
          <w:sz w:val="20"/>
          <w:szCs w:val="20"/>
          <w:lang w:val="es-AR"/>
        </w:rPr>
        <w:t xml:space="preserve">. </w:t>
      </w:r>
    </w:p>
    <w:p w14:paraId="1E20FFF4" w14:textId="77777777" w:rsidR="009F70EA" w:rsidRPr="00386E47" w:rsidRDefault="009F70EA" w:rsidP="00CE774A">
      <w:pPr>
        <w:tabs>
          <w:tab w:val="left" w:pos="567"/>
        </w:tabs>
        <w:contextualSpacing/>
        <w:jc w:val="both"/>
        <w:rPr>
          <w:rFonts w:asciiTheme="majorHAnsi" w:eastAsia="Calibri" w:hAnsiTheme="majorHAnsi"/>
          <w:sz w:val="20"/>
          <w:szCs w:val="20"/>
          <w:lang w:val="es-AR"/>
        </w:rPr>
      </w:pPr>
    </w:p>
    <w:p w14:paraId="730808E8" w14:textId="77777777" w:rsidR="004662AF" w:rsidRPr="00386E47" w:rsidRDefault="00D73730" w:rsidP="003A5860">
      <w:pPr>
        <w:numPr>
          <w:ilvl w:val="0"/>
          <w:numId w:val="55"/>
        </w:numPr>
        <w:tabs>
          <w:tab w:val="left" w:pos="567"/>
        </w:tabs>
        <w:ind w:left="0" w:firstLine="0"/>
        <w:contextualSpacing/>
        <w:jc w:val="both"/>
        <w:rPr>
          <w:rFonts w:asciiTheme="majorHAnsi" w:eastAsia="Calibri" w:hAnsiTheme="majorHAnsi"/>
          <w:sz w:val="20"/>
          <w:szCs w:val="20"/>
          <w:lang w:val="es-AR"/>
        </w:rPr>
      </w:pPr>
      <w:r w:rsidRPr="00386E47">
        <w:rPr>
          <w:rFonts w:asciiTheme="majorHAnsi" w:eastAsia="Calibri" w:hAnsiTheme="majorHAnsi"/>
          <w:sz w:val="20"/>
          <w:szCs w:val="20"/>
          <w:lang w:val="es-AR"/>
        </w:rPr>
        <w:t>Coincidentemente</w:t>
      </w:r>
      <w:r w:rsidR="009F70EA" w:rsidRPr="00386E47">
        <w:rPr>
          <w:rFonts w:asciiTheme="majorHAnsi" w:eastAsia="Calibri" w:hAnsiTheme="majorHAnsi"/>
          <w:sz w:val="20"/>
          <w:szCs w:val="20"/>
          <w:lang w:val="es-AR"/>
        </w:rPr>
        <w:t xml:space="preserve">, la CIDH ha verificado que la SIDE encabezó - durante la instrucción encabezada por el Juzgado Federal 9 </w:t>
      </w:r>
      <w:r w:rsidRPr="00386E47">
        <w:rPr>
          <w:rFonts w:asciiTheme="majorHAnsi" w:eastAsia="Calibri" w:hAnsiTheme="majorHAnsi"/>
          <w:sz w:val="20"/>
          <w:szCs w:val="20"/>
          <w:lang w:val="es-AR"/>
        </w:rPr>
        <w:t>-</w:t>
      </w:r>
      <w:r w:rsidR="009F70EA" w:rsidRPr="00386E47">
        <w:rPr>
          <w:rFonts w:asciiTheme="majorHAnsi" w:eastAsia="Calibri" w:hAnsiTheme="majorHAnsi"/>
          <w:sz w:val="20"/>
          <w:szCs w:val="20"/>
          <w:lang w:val="es-AR"/>
        </w:rPr>
        <w:t xml:space="preserve"> numerosos operativos y diligencias secretas que no fueron oportunamente conocidas por los peticionarios ni por los jueces que integraron los tribunales de alzada. La SIDE fue más allá e incluso negó taxativamente la existencia de algunas de estas actividades</w:t>
      </w:r>
      <w:r w:rsidR="00DC34AB" w:rsidRPr="00386E47">
        <w:rPr>
          <w:rFonts w:asciiTheme="majorHAnsi" w:eastAsia="Calibri" w:hAnsiTheme="majorHAnsi"/>
          <w:sz w:val="20"/>
          <w:szCs w:val="20"/>
          <w:lang w:val="es-AR"/>
        </w:rPr>
        <w:t xml:space="preserve">, </w:t>
      </w:r>
      <w:r w:rsidR="00E05F14" w:rsidRPr="00386E47">
        <w:rPr>
          <w:rFonts w:asciiTheme="majorHAnsi" w:eastAsia="Calibri" w:hAnsiTheme="majorHAnsi"/>
          <w:sz w:val="20"/>
          <w:szCs w:val="20"/>
          <w:lang w:val="es-AR"/>
        </w:rPr>
        <w:t>ocultándolas</w:t>
      </w:r>
      <w:r w:rsidR="00DC34AB" w:rsidRPr="00386E47">
        <w:rPr>
          <w:rFonts w:asciiTheme="majorHAnsi" w:eastAsia="Calibri" w:hAnsiTheme="majorHAnsi"/>
          <w:sz w:val="20"/>
          <w:szCs w:val="20"/>
          <w:lang w:val="es-AR"/>
        </w:rPr>
        <w:t xml:space="preserve"> de esa manera del escrutinio de los jueces, las partes del proceso y</w:t>
      </w:r>
      <w:r w:rsidR="00072B9D" w:rsidRPr="00386E47">
        <w:rPr>
          <w:rFonts w:asciiTheme="majorHAnsi" w:eastAsia="Calibri" w:hAnsiTheme="majorHAnsi"/>
          <w:sz w:val="20"/>
          <w:szCs w:val="20"/>
          <w:lang w:val="es-AR"/>
        </w:rPr>
        <w:t xml:space="preserve"> de la sociedad en su conjunto</w:t>
      </w:r>
      <w:r w:rsidR="009F70EA" w:rsidRPr="00386E47">
        <w:rPr>
          <w:rFonts w:asciiTheme="majorHAnsi" w:eastAsia="Calibri" w:hAnsiTheme="majorHAnsi"/>
          <w:sz w:val="20"/>
          <w:szCs w:val="20"/>
          <w:lang w:val="es-AR"/>
        </w:rPr>
        <w:t>.</w:t>
      </w:r>
    </w:p>
    <w:p w14:paraId="164AA13F" w14:textId="77777777" w:rsidR="004662AF" w:rsidRPr="00386E47" w:rsidRDefault="004662AF" w:rsidP="00CE774A">
      <w:pPr>
        <w:pStyle w:val="ListParagraph"/>
        <w:rPr>
          <w:rFonts w:asciiTheme="majorHAnsi" w:eastAsia="Calibri" w:hAnsiTheme="majorHAnsi"/>
          <w:sz w:val="20"/>
          <w:szCs w:val="20"/>
          <w:lang w:val="es-AR"/>
        </w:rPr>
      </w:pPr>
    </w:p>
    <w:p w14:paraId="4818B631" w14:textId="77777777" w:rsidR="009F70EA" w:rsidRPr="00386E47" w:rsidRDefault="009F70EA" w:rsidP="003A5860">
      <w:pPr>
        <w:numPr>
          <w:ilvl w:val="0"/>
          <w:numId w:val="55"/>
        </w:numPr>
        <w:tabs>
          <w:tab w:val="left" w:pos="567"/>
        </w:tabs>
        <w:ind w:left="0" w:firstLine="0"/>
        <w:contextualSpacing/>
        <w:jc w:val="both"/>
        <w:rPr>
          <w:rFonts w:asciiTheme="majorHAnsi" w:eastAsia="Calibri" w:hAnsiTheme="majorHAnsi"/>
          <w:sz w:val="20"/>
          <w:szCs w:val="20"/>
          <w:lang w:val="es-AR"/>
        </w:rPr>
      </w:pPr>
      <w:r w:rsidRPr="00386E47">
        <w:rPr>
          <w:rFonts w:asciiTheme="majorHAnsi" w:eastAsia="Calibri" w:hAnsiTheme="majorHAnsi"/>
          <w:sz w:val="20"/>
          <w:szCs w:val="20"/>
          <w:lang w:val="es-AR"/>
        </w:rPr>
        <w:t>A modo de ejemplo, la Comisión rescata que en septiembre de 2001 y ante el requerimiento del TOF 3 que entendía en el juicio oral contra los policías bonaerenses, el operativo de desembolso de una suma de dinero a Carlos Telleldin fue expresamente desconocido por las autoridades de la Secretaria de Inteligencia</w:t>
      </w:r>
      <w:r w:rsidRPr="00386E47">
        <w:rPr>
          <w:rFonts w:asciiTheme="majorHAnsi" w:eastAsia="Calibri" w:hAnsiTheme="majorHAnsi"/>
          <w:sz w:val="20"/>
          <w:szCs w:val="20"/>
          <w:vertAlign w:val="superscript"/>
          <w:lang w:val="es-AR"/>
        </w:rPr>
        <w:footnoteReference w:id="289"/>
      </w:r>
      <w:r w:rsidRPr="00386E47">
        <w:rPr>
          <w:rFonts w:asciiTheme="majorHAnsi" w:eastAsia="Calibri" w:hAnsiTheme="majorHAnsi"/>
          <w:sz w:val="20"/>
          <w:szCs w:val="20"/>
          <w:lang w:val="es-AR"/>
        </w:rPr>
        <w:t>. Solo dos años más tarde y luego del dictado de diversos decretos que relevaron a los agentes de la SIDE de sus</w:t>
      </w:r>
      <w:r w:rsidR="00072B9D" w:rsidRPr="00386E47">
        <w:rPr>
          <w:rFonts w:asciiTheme="majorHAnsi" w:eastAsia="Calibri" w:hAnsiTheme="majorHAnsi"/>
          <w:sz w:val="20"/>
          <w:szCs w:val="20"/>
          <w:lang w:val="es-AR"/>
        </w:rPr>
        <w:t xml:space="preserve"> respectivas</w:t>
      </w:r>
      <w:r w:rsidRPr="00386E47">
        <w:rPr>
          <w:rFonts w:asciiTheme="majorHAnsi" w:eastAsia="Calibri" w:hAnsiTheme="majorHAnsi"/>
          <w:sz w:val="20"/>
          <w:szCs w:val="20"/>
          <w:lang w:val="es-AR"/>
        </w:rPr>
        <w:t xml:space="preserve"> obligaciones de guardar secreto </w:t>
      </w:r>
      <w:r w:rsidR="00072B9D" w:rsidRPr="00386E47">
        <w:rPr>
          <w:rFonts w:asciiTheme="majorHAnsi" w:eastAsia="Calibri" w:hAnsiTheme="majorHAnsi"/>
          <w:sz w:val="20"/>
          <w:szCs w:val="20"/>
          <w:lang w:val="es-AR"/>
        </w:rPr>
        <w:t xml:space="preserve">operativo </w:t>
      </w:r>
      <w:r w:rsidRPr="00386E47">
        <w:rPr>
          <w:rFonts w:asciiTheme="majorHAnsi" w:eastAsia="Calibri" w:hAnsiTheme="majorHAnsi"/>
          <w:sz w:val="20"/>
          <w:szCs w:val="20"/>
          <w:lang w:val="es-AR"/>
        </w:rPr>
        <w:t xml:space="preserve">pudieron el TOF 3 y todas las partes querellantes conocer en su </w:t>
      </w:r>
      <w:r w:rsidRPr="00386E47">
        <w:rPr>
          <w:rFonts w:asciiTheme="majorHAnsi" w:eastAsia="Calibri" w:hAnsiTheme="majorHAnsi"/>
          <w:sz w:val="20"/>
          <w:szCs w:val="20"/>
          <w:lang w:val="es-AR"/>
        </w:rPr>
        <w:lastRenderedPageBreak/>
        <w:t xml:space="preserve">totalidad ese hecho y </w:t>
      </w:r>
      <w:r w:rsidR="00072B9D" w:rsidRPr="00386E47">
        <w:rPr>
          <w:rFonts w:asciiTheme="majorHAnsi" w:eastAsia="Calibri" w:hAnsiTheme="majorHAnsi"/>
          <w:sz w:val="20"/>
          <w:szCs w:val="20"/>
          <w:lang w:val="es-AR"/>
        </w:rPr>
        <w:t xml:space="preserve">dilucidar </w:t>
      </w:r>
      <w:r w:rsidRPr="00386E47">
        <w:rPr>
          <w:rFonts w:asciiTheme="majorHAnsi" w:eastAsia="Calibri" w:hAnsiTheme="majorHAnsi"/>
          <w:sz w:val="20"/>
          <w:szCs w:val="20"/>
          <w:lang w:val="es-AR"/>
        </w:rPr>
        <w:t>cuál había sido el origen de la acusación a los policías señalados como parte de la conexión local</w:t>
      </w:r>
      <w:r w:rsidRPr="00386E47">
        <w:rPr>
          <w:rFonts w:asciiTheme="majorHAnsi" w:eastAsia="Calibri" w:hAnsiTheme="majorHAnsi"/>
          <w:sz w:val="20"/>
          <w:szCs w:val="20"/>
          <w:vertAlign w:val="superscript"/>
          <w:lang w:val="es-AR"/>
        </w:rPr>
        <w:footnoteReference w:id="290"/>
      </w:r>
      <w:r w:rsidRPr="00386E47">
        <w:rPr>
          <w:rFonts w:asciiTheme="majorHAnsi" w:eastAsia="Calibri" w:hAnsiTheme="majorHAnsi"/>
          <w:sz w:val="20"/>
          <w:szCs w:val="20"/>
          <w:lang w:val="es-AR"/>
        </w:rPr>
        <w:t xml:space="preserve">. </w:t>
      </w:r>
      <w:r w:rsidR="00834681" w:rsidRPr="00386E47">
        <w:rPr>
          <w:rFonts w:asciiTheme="majorHAnsi" w:eastAsia="Calibri" w:hAnsiTheme="majorHAnsi"/>
          <w:sz w:val="20"/>
          <w:szCs w:val="20"/>
          <w:lang w:val="es-AR"/>
        </w:rPr>
        <w:t xml:space="preserve">(ver supra parr </w:t>
      </w:r>
      <w:r w:rsidR="00245A1A" w:rsidRPr="00386E47">
        <w:rPr>
          <w:rFonts w:asciiTheme="majorHAnsi" w:eastAsia="Calibri" w:hAnsiTheme="majorHAnsi"/>
          <w:sz w:val="20"/>
          <w:szCs w:val="20"/>
          <w:lang w:val="es-AR"/>
        </w:rPr>
        <w:t>196 a 203</w:t>
      </w:r>
      <w:r w:rsidR="00834681" w:rsidRPr="00386E47">
        <w:rPr>
          <w:rFonts w:asciiTheme="majorHAnsi" w:eastAsia="Calibri" w:hAnsiTheme="majorHAnsi"/>
          <w:sz w:val="20"/>
          <w:szCs w:val="20"/>
          <w:lang w:val="es-AR"/>
        </w:rPr>
        <w:t xml:space="preserve">) </w:t>
      </w:r>
    </w:p>
    <w:p w14:paraId="77125A80" w14:textId="77777777" w:rsidR="00D73730" w:rsidRPr="00386E47" w:rsidRDefault="00D73730" w:rsidP="00CE774A">
      <w:pPr>
        <w:rPr>
          <w:rFonts w:asciiTheme="majorHAnsi" w:eastAsia="Calibri" w:hAnsiTheme="majorHAnsi"/>
          <w:sz w:val="20"/>
          <w:szCs w:val="20"/>
          <w:lang w:val="es-AR"/>
        </w:rPr>
      </w:pPr>
    </w:p>
    <w:p w14:paraId="1626E580" w14:textId="77777777" w:rsidR="00834681" w:rsidRPr="00386E47" w:rsidRDefault="00EA15CB" w:rsidP="00C21134">
      <w:pPr>
        <w:numPr>
          <w:ilvl w:val="0"/>
          <w:numId w:val="55"/>
        </w:numPr>
        <w:tabs>
          <w:tab w:val="left" w:pos="567"/>
        </w:tabs>
        <w:ind w:left="0" w:firstLine="0"/>
        <w:contextualSpacing/>
        <w:jc w:val="both"/>
        <w:rPr>
          <w:rFonts w:asciiTheme="majorHAnsi" w:eastAsia="Calibri" w:hAnsiTheme="majorHAnsi"/>
          <w:sz w:val="20"/>
          <w:szCs w:val="20"/>
          <w:lang w:val="es-AR"/>
        </w:rPr>
      </w:pPr>
      <w:r w:rsidRPr="00386E47">
        <w:rPr>
          <w:rFonts w:asciiTheme="majorHAnsi" w:eastAsia="Calibri" w:hAnsiTheme="majorHAnsi"/>
          <w:sz w:val="20"/>
          <w:szCs w:val="20"/>
          <w:lang w:val="es-AR"/>
        </w:rPr>
        <w:t xml:space="preserve"> En </w:t>
      </w:r>
      <w:r w:rsidR="00D73730" w:rsidRPr="00386E47">
        <w:rPr>
          <w:rFonts w:asciiTheme="majorHAnsi" w:eastAsia="Calibri" w:hAnsiTheme="majorHAnsi"/>
          <w:sz w:val="20"/>
          <w:szCs w:val="20"/>
          <w:lang w:val="es-AR"/>
        </w:rPr>
        <w:t xml:space="preserve">consecuencia, la </w:t>
      </w:r>
      <w:r w:rsidR="00E05F14" w:rsidRPr="00386E47">
        <w:rPr>
          <w:rFonts w:asciiTheme="majorHAnsi" w:eastAsia="Calibri" w:hAnsiTheme="majorHAnsi"/>
          <w:sz w:val="20"/>
          <w:szCs w:val="20"/>
          <w:lang w:val="es-AR"/>
        </w:rPr>
        <w:t>Comisión</w:t>
      </w:r>
      <w:r w:rsidR="00D73730" w:rsidRPr="00386E47">
        <w:rPr>
          <w:rFonts w:asciiTheme="majorHAnsi" w:eastAsia="Calibri" w:hAnsiTheme="majorHAnsi"/>
          <w:sz w:val="20"/>
          <w:szCs w:val="20"/>
          <w:lang w:val="es-AR"/>
        </w:rPr>
        <w:t xml:space="preserve"> entiende que, si bien las restricciones al acceso a la </w:t>
      </w:r>
      <w:r w:rsidR="00E05F14" w:rsidRPr="00386E47">
        <w:rPr>
          <w:rFonts w:asciiTheme="majorHAnsi" w:eastAsia="Calibri" w:hAnsiTheme="majorHAnsi"/>
          <w:sz w:val="20"/>
          <w:szCs w:val="20"/>
          <w:lang w:val="es-AR"/>
        </w:rPr>
        <w:t>información</w:t>
      </w:r>
      <w:r w:rsidR="00D73730" w:rsidRPr="00386E47">
        <w:rPr>
          <w:rFonts w:asciiTheme="majorHAnsi" w:eastAsia="Calibri" w:hAnsiTheme="majorHAnsi"/>
          <w:sz w:val="20"/>
          <w:szCs w:val="20"/>
          <w:lang w:val="es-AR"/>
        </w:rPr>
        <w:t xml:space="preserve"> producida por la Secretaria de Inteligencia del Estado (SIDE) se encontraban previstas en una norma legal, </w:t>
      </w:r>
      <w:r w:rsidR="00072B9D" w:rsidRPr="00386E47">
        <w:rPr>
          <w:rFonts w:asciiTheme="majorHAnsi" w:eastAsia="Calibri" w:hAnsiTheme="majorHAnsi"/>
          <w:sz w:val="20"/>
          <w:szCs w:val="20"/>
          <w:lang w:val="es-AR"/>
        </w:rPr>
        <w:t xml:space="preserve">el Estado argentino no probó de que manera ellas resultaban necesarias, en este caso, para la </w:t>
      </w:r>
      <w:r w:rsidR="00E05F14" w:rsidRPr="00386E47">
        <w:rPr>
          <w:rFonts w:asciiTheme="majorHAnsi" w:eastAsia="Calibri" w:hAnsiTheme="majorHAnsi"/>
          <w:sz w:val="20"/>
          <w:szCs w:val="20"/>
          <w:lang w:val="es-AR"/>
        </w:rPr>
        <w:t>protección</w:t>
      </w:r>
      <w:r w:rsidR="00072B9D" w:rsidRPr="00386E47">
        <w:rPr>
          <w:rFonts w:asciiTheme="majorHAnsi" w:eastAsia="Calibri" w:hAnsiTheme="majorHAnsi"/>
          <w:sz w:val="20"/>
          <w:szCs w:val="20"/>
          <w:lang w:val="es-AR"/>
        </w:rPr>
        <w:t xml:space="preserve"> del orden público o la seguridad nacional. Por el contrario, la </w:t>
      </w:r>
      <w:r w:rsidR="00E05F14" w:rsidRPr="00386E47">
        <w:rPr>
          <w:rFonts w:asciiTheme="majorHAnsi" w:eastAsia="Calibri" w:hAnsiTheme="majorHAnsi"/>
          <w:sz w:val="20"/>
          <w:szCs w:val="20"/>
          <w:lang w:val="es-AR"/>
        </w:rPr>
        <w:t>Comisión</w:t>
      </w:r>
      <w:r w:rsidR="00072B9D" w:rsidRPr="00386E47">
        <w:rPr>
          <w:rFonts w:asciiTheme="majorHAnsi" w:eastAsia="Calibri" w:hAnsiTheme="majorHAnsi"/>
          <w:sz w:val="20"/>
          <w:szCs w:val="20"/>
          <w:lang w:val="es-AR"/>
        </w:rPr>
        <w:t xml:space="preserve"> considera que la existencia de un </w:t>
      </w:r>
      <w:r w:rsidR="00E05F14" w:rsidRPr="00386E47">
        <w:rPr>
          <w:rFonts w:asciiTheme="majorHAnsi" w:eastAsia="Calibri" w:hAnsiTheme="majorHAnsi"/>
          <w:sz w:val="20"/>
          <w:szCs w:val="20"/>
          <w:lang w:val="es-AR"/>
        </w:rPr>
        <w:t>régimen</w:t>
      </w:r>
      <w:r w:rsidR="00072B9D" w:rsidRPr="00386E47">
        <w:rPr>
          <w:rFonts w:asciiTheme="majorHAnsi" w:eastAsia="Calibri" w:hAnsiTheme="majorHAnsi"/>
          <w:sz w:val="20"/>
          <w:szCs w:val="20"/>
          <w:lang w:val="es-AR"/>
        </w:rPr>
        <w:t xml:space="preserve"> legal que consagr</w:t>
      </w:r>
      <w:r w:rsidR="004662AF" w:rsidRPr="00386E47">
        <w:rPr>
          <w:rFonts w:asciiTheme="majorHAnsi" w:eastAsia="Calibri" w:hAnsiTheme="majorHAnsi"/>
          <w:sz w:val="20"/>
          <w:szCs w:val="20"/>
          <w:lang w:val="es-AR"/>
        </w:rPr>
        <w:t>a</w:t>
      </w:r>
      <w:r w:rsidR="00072B9D" w:rsidRPr="00386E47">
        <w:rPr>
          <w:rFonts w:asciiTheme="majorHAnsi" w:eastAsia="Calibri" w:hAnsiTheme="majorHAnsi"/>
          <w:sz w:val="20"/>
          <w:szCs w:val="20"/>
          <w:lang w:val="es-AR"/>
        </w:rPr>
        <w:t xml:space="preserve"> el carácter clasificado de la totalidad de la </w:t>
      </w:r>
      <w:r w:rsidR="00E05F14" w:rsidRPr="00386E47">
        <w:rPr>
          <w:rFonts w:asciiTheme="majorHAnsi" w:eastAsia="Calibri" w:hAnsiTheme="majorHAnsi"/>
          <w:sz w:val="20"/>
          <w:szCs w:val="20"/>
          <w:lang w:val="es-AR"/>
        </w:rPr>
        <w:t>información</w:t>
      </w:r>
      <w:r w:rsidR="00072B9D" w:rsidRPr="00386E47">
        <w:rPr>
          <w:rFonts w:asciiTheme="majorHAnsi" w:eastAsia="Calibri" w:hAnsiTheme="majorHAnsi"/>
          <w:sz w:val="20"/>
          <w:szCs w:val="20"/>
          <w:lang w:val="es-AR"/>
        </w:rPr>
        <w:t xml:space="preserve"> que genere o almacene una entidad estatal,  sin establecer salvaguardas que permitan equilibrar eventuales valores u objetivos en pugna, no resulta compatible con el derecho a buscar y recibir informaciones reconocido en el </w:t>
      </w:r>
      <w:r w:rsidR="00E05F14" w:rsidRPr="00386E47">
        <w:rPr>
          <w:rFonts w:asciiTheme="majorHAnsi" w:eastAsia="Calibri" w:hAnsiTheme="majorHAnsi"/>
          <w:sz w:val="20"/>
          <w:szCs w:val="20"/>
          <w:lang w:val="es-AR"/>
        </w:rPr>
        <w:t>artículo</w:t>
      </w:r>
      <w:r w:rsidR="00072B9D" w:rsidRPr="00386E47">
        <w:rPr>
          <w:rFonts w:asciiTheme="majorHAnsi" w:eastAsia="Calibri" w:hAnsiTheme="majorHAnsi"/>
          <w:sz w:val="20"/>
          <w:szCs w:val="20"/>
          <w:lang w:val="es-AR"/>
        </w:rPr>
        <w:t xml:space="preserve"> 13.1 de la </w:t>
      </w:r>
      <w:r w:rsidR="00E05F14" w:rsidRPr="00386E47">
        <w:rPr>
          <w:rFonts w:asciiTheme="majorHAnsi" w:eastAsia="Calibri" w:hAnsiTheme="majorHAnsi"/>
          <w:sz w:val="20"/>
          <w:szCs w:val="20"/>
          <w:lang w:val="es-AR"/>
        </w:rPr>
        <w:t>Convención</w:t>
      </w:r>
      <w:r w:rsidR="00072B9D" w:rsidRPr="00386E47">
        <w:rPr>
          <w:rFonts w:asciiTheme="majorHAnsi" w:eastAsia="Calibri" w:hAnsiTheme="majorHAnsi"/>
          <w:sz w:val="20"/>
          <w:szCs w:val="20"/>
          <w:lang w:val="es-AR"/>
        </w:rPr>
        <w:t xml:space="preserve"> Americana</w:t>
      </w:r>
      <w:r w:rsidR="00EF4DB1" w:rsidRPr="00386E47">
        <w:rPr>
          <w:rStyle w:val="FootnoteReference"/>
          <w:rFonts w:asciiTheme="majorHAnsi" w:eastAsia="Calibri" w:hAnsiTheme="majorHAnsi"/>
          <w:sz w:val="20"/>
          <w:szCs w:val="20"/>
          <w:lang w:val="es-AR"/>
        </w:rPr>
        <w:footnoteReference w:id="291"/>
      </w:r>
      <w:r w:rsidR="00072B9D" w:rsidRPr="00386E47">
        <w:rPr>
          <w:rFonts w:asciiTheme="majorHAnsi" w:eastAsia="Calibri" w:hAnsiTheme="majorHAnsi"/>
          <w:sz w:val="20"/>
          <w:szCs w:val="20"/>
          <w:lang w:val="es-AR"/>
        </w:rPr>
        <w:t xml:space="preserve">. </w:t>
      </w:r>
    </w:p>
    <w:p w14:paraId="6D3F22DC" w14:textId="77777777" w:rsidR="009F70EA" w:rsidRPr="00386E47" w:rsidRDefault="009F70EA" w:rsidP="002D4E73">
      <w:pPr>
        <w:tabs>
          <w:tab w:val="left" w:pos="426"/>
        </w:tabs>
        <w:contextualSpacing/>
        <w:jc w:val="both"/>
        <w:rPr>
          <w:rFonts w:asciiTheme="majorHAnsi" w:eastAsia="Calibri" w:hAnsiTheme="majorHAnsi"/>
          <w:sz w:val="20"/>
          <w:szCs w:val="20"/>
          <w:lang w:val="es-AR"/>
        </w:rPr>
      </w:pPr>
    </w:p>
    <w:p w14:paraId="2A293714" w14:textId="77777777" w:rsidR="00D73730" w:rsidRPr="00386E47" w:rsidRDefault="00D73730" w:rsidP="003A5860">
      <w:pPr>
        <w:numPr>
          <w:ilvl w:val="0"/>
          <w:numId w:val="55"/>
        </w:numPr>
        <w:tabs>
          <w:tab w:val="left" w:pos="567"/>
        </w:tabs>
        <w:ind w:left="0" w:firstLine="0"/>
        <w:contextualSpacing/>
        <w:jc w:val="both"/>
        <w:rPr>
          <w:rFonts w:asciiTheme="majorHAnsi" w:eastAsia="Calibri" w:hAnsiTheme="majorHAnsi"/>
          <w:sz w:val="20"/>
          <w:szCs w:val="20"/>
          <w:lang w:val="es-AR"/>
        </w:rPr>
      </w:pPr>
      <w:r w:rsidRPr="00386E47">
        <w:rPr>
          <w:rFonts w:asciiTheme="majorHAnsi" w:eastAsia="Calibri" w:hAnsiTheme="majorHAnsi"/>
          <w:sz w:val="20"/>
          <w:szCs w:val="20"/>
          <w:lang w:val="es-AR"/>
        </w:rPr>
        <w:t xml:space="preserve">Asimismo, la CIDH </w:t>
      </w:r>
      <w:r w:rsidR="00540E60" w:rsidRPr="00386E47">
        <w:rPr>
          <w:rFonts w:asciiTheme="majorHAnsi" w:eastAsia="Calibri" w:hAnsiTheme="majorHAnsi"/>
          <w:sz w:val="20"/>
          <w:szCs w:val="20"/>
          <w:lang w:val="es-AR"/>
        </w:rPr>
        <w:t>nota</w:t>
      </w:r>
      <w:r w:rsidRPr="00386E47">
        <w:rPr>
          <w:rFonts w:asciiTheme="majorHAnsi" w:eastAsia="Calibri" w:hAnsiTheme="majorHAnsi"/>
          <w:sz w:val="20"/>
          <w:szCs w:val="20"/>
          <w:lang w:val="es-AR"/>
        </w:rPr>
        <w:t xml:space="preserve"> que los peticionarios no poseían ningún recurso judicial o administrativo destinado a </w:t>
      </w:r>
      <w:r w:rsidR="0090028B" w:rsidRPr="00386E47">
        <w:rPr>
          <w:rFonts w:asciiTheme="majorHAnsi" w:eastAsia="Calibri" w:hAnsiTheme="majorHAnsi"/>
          <w:sz w:val="20"/>
          <w:szCs w:val="20"/>
          <w:lang w:val="es-AR"/>
        </w:rPr>
        <w:t>controvertir</w:t>
      </w:r>
      <w:r w:rsidRPr="00386E47">
        <w:rPr>
          <w:rFonts w:asciiTheme="majorHAnsi" w:eastAsia="Calibri" w:hAnsiTheme="majorHAnsi"/>
          <w:sz w:val="20"/>
          <w:szCs w:val="20"/>
          <w:lang w:val="es-AR"/>
        </w:rPr>
        <w:t xml:space="preserve"> la decisión de clasificar como secreto la documentación que la SIDE y otras agencias de inteligencia estatales incorporaban a la investigación por el atentado a la AMIA. </w:t>
      </w:r>
      <w:r w:rsidR="00540E60" w:rsidRPr="00386E47">
        <w:rPr>
          <w:rFonts w:asciiTheme="majorHAnsi" w:eastAsia="Calibri" w:hAnsiTheme="majorHAnsi"/>
          <w:sz w:val="20"/>
          <w:szCs w:val="20"/>
          <w:lang w:val="es-AR"/>
        </w:rPr>
        <w:t xml:space="preserve">Lo anterior, no fue controvertido por el Estado. </w:t>
      </w:r>
      <w:r w:rsidR="00072B9D" w:rsidRPr="00386E47">
        <w:rPr>
          <w:rFonts w:asciiTheme="majorHAnsi" w:eastAsia="Calibri" w:hAnsiTheme="majorHAnsi"/>
          <w:sz w:val="20"/>
          <w:szCs w:val="20"/>
          <w:lang w:val="es-AR"/>
        </w:rPr>
        <w:t>En este sentido</w:t>
      </w:r>
      <w:r w:rsidRPr="00386E47">
        <w:rPr>
          <w:rFonts w:asciiTheme="majorHAnsi" w:eastAsia="Calibri" w:hAnsiTheme="majorHAnsi"/>
          <w:sz w:val="20"/>
          <w:szCs w:val="20"/>
          <w:lang w:val="es-AR"/>
        </w:rPr>
        <w:t>, la CIDH considera oportuno señalar que conforme la jurisprudencia de la Corte IDH, “lo que resulta incompatible con un Estado de Derecho y una tutela judicial efectiva no es que haya secretos, sino que estos secretos escapen de la ley, esto es, que el poder tenga ámbitos en los que no es responsable porque no están regulados jurídicamente y que por tanto están al margen de todo sistema de control”</w:t>
      </w:r>
      <w:r w:rsidRPr="00386E47">
        <w:rPr>
          <w:rFonts w:asciiTheme="majorHAnsi" w:eastAsia="Calibri" w:hAnsiTheme="majorHAnsi"/>
          <w:sz w:val="20"/>
          <w:szCs w:val="20"/>
          <w:vertAlign w:val="superscript"/>
          <w:lang w:val="es-AR"/>
        </w:rPr>
        <w:footnoteReference w:id="292"/>
      </w:r>
      <w:r w:rsidRPr="00386E47">
        <w:rPr>
          <w:rFonts w:asciiTheme="majorHAnsi" w:eastAsia="Calibri" w:hAnsiTheme="majorHAnsi"/>
          <w:sz w:val="20"/>
          <w:szCs w:val="20"/>
          <w:lang w:val="es-AR"/>
        </w:rPr>
        <w:t xml:space="preserve">. </w:t>
      </w:r>
    </w:p>
    <w:p w14:paraId="0A32B623" w14:textId="77777777" w:rsidR="00D73730" w:rsidRPr="00386E47" w:rsidRDefault="00D73730" w:rsidP="00CE774A">
      <w:pPr>
        <w:tabs>
          <w:tab w:val="left" w:pos="426"/>
        </w:tabs>
        <w:contextualSpacing/>
        <w:jc w:val="both"/>
        <w:rPr>
          <w:rFonts w:asciiTheme="majorHAnsi" w:eastAsia="Calibri" w:hAnsiTheme="majorHAnsi"/>
          <w:sz w:val="20"/>
          <w:szCs w:val="20"/>
          <w:lang w:val="es-AR"/>
        </w:rPr>
      </w:pPr>
    </w:p>
    <w:p w14:paraId="56821536" w14:textId="77777777" w:rsidR="009F70EA" w:rsidRPr="00386E47" w:rsidRDefault="009F70EA" w:rsidP="003A5860">
      <w:pPr>
        <w:numPr>
          <w:ilvl w:val="0"/>
          <w:numId w:val="55"/>
        </w:numPr>
        <w:tabs>
          <w:tab w:val="left" w:pos="567"/>
        </w:tabs>
        <w:ind w:left="0" w:firstLine="0"/>
        <w:contextualSpacing/>
        <w:jc w:val="both"/>
        <w:rPr>
          <w:rFonts w:asciiTheme="majorHAnsi" w:eastAsia="Calibri" w:hAnsiTheme="majorHAnsi"/>
          <w:sz w:val="20"/>
          <w:szCs w:val="20"/>
          <w:lang w:val="es-AR"/>
        </w:rPr>
      </w:pPr>
      <w:r w:rsidRPr="00386E47">
        <w:rPr>
          <w:rFonts w:asciiTheme="majorHAnsi" w:eastAsia="Calibri" w:hAnsiTheme="majorHAnsi"/>
          <w:sz w:val="20"/>
          <w:szCs w:val="20"/>
          <w:lang w:val="es-AR"/>
        </w:rPr>
        <w:t xml:space="preserve">La Comisión valora las medidas adoptadas a partir del año 2003 por el Poder Ejecutivo, el Ministerio de Justicia y la Secretaria de Inteligencia que relevaron a un número considerable de funcionarios y agentes de inteligencia de la obligación de guardar secreto a efectos de posibilitar sus respectivas comparecencias en el marco </w:t>
      </w:r>
      <w:r w:rsidR="00633B9B" w:rsidRPr="00386E47">
        <w:rPr>
          <w:rFonts w:asciiTheme="majorHAnsi" w:eastAsia="Calibri" w:hAnsiTheme="majorHAnsi"/>
          <w:sz w:val="20"/>
          <w:szCs w:val="20"/>
          <w:lang w:val="es-AR"/>
        </w:rPr>
        <w:t>del juicio</w:t>
      </w:r>
      <w:r w:rsidRPr="00386E47">
        <w:rPr>
          <w:rFonts w:asciiTheme="majorHAnsi" w:eastAsia="Calibri" w:hAnsiTheme="majorHAnsi"/>
          <w:sz w:val="20"/>
          <w:szCs w:val="20"/>
          <w:lang w:val="es-AR"/>
        </w:rPr>
        <w:t xml:space="preserve"> oral celebrado ante el TOF 3</w:t>
      </w:r>
      <w:r w:rsidR="00F231C5" w:rsidRPr="00386E47">
        <w:rPr>
          <w:rFonts w:asciiTheme="majorHAnsi" w:eastAsia="Calibri" w:hAnsiTheme="majorHAnsi"/>
          <w:sz w:val="20"/>
          <w:szCs w:val="20"/>
          <w:lang w:val="es-AR"/>
        </w:rPr>
        <w:t>.</w:t>
      </w:r>
      <w:r w:rsidRPr="00386E47">
        <w:rPr>
          <w:rFonts w:asciiTheme="majorHAnsi" w:eastAsia="Calibri" w:hAnsiTheme="majorHAnsi"/>
          <w:sz w:val="20"/>
          <w:szCs w:val="20"/>
          <w:lang w:val="es-AR"/>
        </w:rPr>
        <w:t xml:space="preserve"> Asimismo, la CIDH considera que la sanción de los decretos 786/03 y 787/03 que crearon en el seno de la Secretaria de Inteligencia y en cada una de las fuerzas de seguridad una Unidad de Relevación de Información (URI) destinada a buscar, compulsar y analizar la información existente y comunicar sus hallazgos a los magistrados competentes, constituyó una medida necesaria a efectos de garantizar el derecho de los peticionarios a acceder a la información, y de ellos y de la sociedad toda a conocer la verdad</w:t>
      </w:r>
      <w:r w:rsidR="00F231C5" w:rsidRPr="00386E47">
        <w:rPr>
          <w:rStyle w:val="FootnoteReference"/>
          <w:rFonts w:asciiTheme="majorHAnsi" w:eastAsia="Calibri" w:hAnsiTheme="majorHAnsi"/>
          <w:sz w:val="20"/>
          <w:szCs w:val="20"/>
          <w:lang w:val="es-AR"/>
        </w:rPr>
        <w:footnoteReference w:id="293"/>
      </w:r>
      <w:r w:rsidRPr="00386E47">
        <w:rPr>
          <w:rFonts w:asciiTheme="majorHAnsi" w:eastAsia="Calibri" w:hAnsiTheme="majorHAnsi"/>
          <w:sz w:val="20"/>
          <w:szCs w:val="20"/>
          <w:lang w:val="es-AR"/>
        </w:rPr>
        <w:t xml:space="preserve">.   </w:t>
      </w:r>
    </w:p>
    <w:p w14:paraId="577490CF" w14:textId="77777777" w:rsidR="009F70EA" w:rsidRPr="00386E47" w:rsidRDefault="009F70EA" w:rsidP="00CE774A">
      <w:pPr>
        <w:tabs>
          <w:tab w:val="left" w:pos="426"/>
        </w:tabs>
        <w:contextualSpacing/>
        <w:jc w:val="both"/>
        <w:rPr>
          <w:rFonts w:asciiTheme="majorHAnsi" w:eastAsia="Calibri" w:hAnsiTheme="majorHAnsi"/>
          <w:sz w:val="20"/>
          <w:szCs w:val="20"/>
          <w:lang w:val="es-AR"/>
        </w:rPr>
      </w:pPr>
    </w:p>
    <w:p w14:paraId="2DE42706" w14:textId="77777777" w:rsidR="009F70EA" w:rsidRPr="00386E47" w:rsidRDefault="009F70EA" w:rsidP="003A5860">
      <w:pPr>
        <w:numPr>
          <w:ilvl w:val="0"/>
          <w:numId w:val="55"/>
        </w:numPr>
        <w:tabs>
          <w:tab w:val="left" w:pos="567"/>
        </w:tabs>
        <w:ind w:left="0" w:firstLine="0"/>
        <w:contextualSpacing/>
        <w:jc w:val="both"/>
        <w:rPr>
          <w:rFonts w:asciiTheme="majorHAnsi" w:eastAsia="Calibri" w:hAnsiTheme="majorHAnsi"/>
          <w:sz w:val="20"/>
          <w:szCs w:val="20"/>
          <w:lang w:val="es-AR"/>
        </w:rPr>
      </w:pPr>
      <w:r w:rsidRPr="00386E47">
        <w:rPr>
          <w:rFonts w:asciiTheme="majorHAnsi" w:eastAsia="Calibri" w:hAnsiTheme="majorHAnsi"/>
          <w:sz w:val="20"/>
          <w:szCs w:val="20"/>
          <w:lang w:val="es-AR"/>
        </w:rPr>
        <w:t xml:space="preserve">Sin embargo, la CIDH advierte que la decisión de iniciar un relevamiento de la información en poder de la SIDE y de las fuerzas de seguridad federales y de entregar la custodia de los fondos documentales a la UFI AMIA, no </w:t>
      </w:r>
      <w:r w:rsidR="00F231C5" w:rsidRPr="00386E47">
        <w:rPr>
          <w:rFonts w:asciiTheme="majorHAnsi" w:eastAsia="Calibri" w:hAnsiTheme="majorHAnsi"/>
          <w:sz w:val="20"/>
          <w:szCs w:val="20"/>
          <w:lang w:val="es-AR"/>
        </w:rPr>
        <w:t xml:space="preserve">garantizó plenamente </w:t>
      </w:r>
      <w:r w:rsidRPr="00386E47">
        <w:rPr>
          <w:rFonts w:asciiTheme="majorHAnsi" w:eastAsia="Calibri" w:hAnsiTheme="majorHAnsi"/>
          <w:sz w:val="20"/>
          <w:szCs w:val="20"/>
          <w:lang w:val="es-AR"/>
        </w:rPr>
        <w:t>el derecho de acceso a la información en cabeza de los peticionarios. En este sentido, la Comisión seña</w:t>
      </w:r>
      <w:r w:rsidR="00F231C5" w:rsidRPr="00386E47">
        <w:rPr>
          <w:rFonts w:asciiTheme="majorHAnsi" w:eastAsia="Calibri" w:hAnsiTheme="majorHAnsi"/>
          <w:sz w:val="20"/>
          <w:szCs w:val="20"/>
          <w:lang w:val="es-AR"/>
        </w:rPr>
        <w:t>la que los decretos 786/03 y 787/03</w:t>
      </w:r>
      <w:r w:rsidRPr="00386E47">
        <w:rPr>
          <w:rFonts w:asciiTheme="majorHAnsi" w:eastAsia="Calibri" w:hAnsiTheme="majorHAnsi"/>
          <w:sz w:val="20"/>
          <w:szCs w:val="20"/>
          <w:lang w:val="es-AR"/>
        </w:rPr>
        <w:t xml:space="preserve"> solo tuvieron como efecto posibilitar que la información de inteligencia pudiera ser compartida con las autoridades estatales encargadas de investigar el atentado, pero no dispusieron la eliminación de la clasificación de seguridad que pesaba sobre esos documentos. En consecuencia, la información reunida en esas tareas continuó estando fuera del alcance de los peticionarios, a pesar de estar constituidos como partes en el proceso. </w:t>
      </w:r>
    </w:p>
    <w:p w14:paraId="24B9D225" w14:textId="77777777" w:rsidR="009F70EA" w:rsidRPr="00386E47" w:rsidRDefault="009F70EA" w:rsidP="00CE774A">
      <w:pPr>
        <w:tabs>
          <w:tab w:val="left" w:pos="426"/>
        </w:tabs>
        <w:contextualSpacing/>
        <w:jc w:val="both"/>
        <w:rPr>
          <w:rFonts w:asciiTheme="majorHAnsi" w:eastAsia="Calibri" w:hAnsiTheme="majorHAnsi"/>
          <w:sz w:val="20"/>
          <w:szCs w:val="20"/>
          <w:lang w:val="es-AR"/>
        </w:rPr>
      </w:pPr>
    </w:p>
    <w:p w14:paraId="07BF9B6E" w14:textId="77777777" w:rsidR="009F70EA" w:rsidRPr="00386E47" w:rsidRDefault="009F70EA" w:rsidP="00C21134">
      <w:pPr>
        <w:numPr>
          <w:ilvl w:val="0"/>
          <w:numId w:val="55"/>
        </w:numPr>
        <w:tabs>
          <w:tab w:val="left" w:pos="567"/>
        </w:tabs>
        <w:ind w:left="0" w:firstLine="0"/>
        <w:contextualSpacing/>
        <w:jc w:val="both"/>
        <w:rPr>
          <w:rFonts w:asciiTheme="majorHAnsi" w:eastAsia="Calibri" w:hAnsiTheme="majorHAnsi"/>
          <w:sz w:val="20"/>
          <w:szCs w:val="20"/>
          <w:lang w:val="es-AR"/>
        </w:rPr>
      </w:pPr>
      <w:r w:rsidRPr="00386E47">
        <w:rPr>
          <w:rFonts w:asciiTheme="majorHAnsi" w:eastAsia="Calibri" w:hAnsiTheme="majorHAnsi"/>
          <w:sz w:val="20"/>
          <w:szCs w:val="20"/>
          <w:lang w:val="es-AR"/>
        </w:rPr>
        <w:t xml:space="preserve">La Comisión entiende que la situación descripta en los párrafos precedentes se extendió desde el año 2004 hasta la sanción del Decreto 395/15 en marzo de 2015. Dicha norma dispuso la desclasificación de la totalidad de la documentación que fuera remitida en custodia por la Secretaria de Inteligencia a la UFI-AMIA (art 1), de la documentación adicional existente en los archivos de la ex SIDE (art 2) y de toda otra documentación que no hubiera sido aportada oportunamente a la causa que, a la fecha del dictado del decreto, se encuentre en poder de la Agencia Federal de Inteligencia (art 3) De esta manera, conforme lo puntualiza la UFI-AMIA, toda la información </w:t>
      </w:r>
      <w:r w:rsidRPr="00386E47">
        <w:rPr>
          <w:rFonts w:asciiTheme="majorHAnsi" w:eastAsia="Calibri" w:hAnsiTheme="majorHAnsi"/>
          <w:sz w:val="20"/>
          <w:szCs w:val="20"/>
          <w:lang w:val="es-AR"/>
        </w:rPr>
        <w:lastRenderedPageBreak/>
        <w:t>generada por la ex SIDE “dejó de tener carácter reservado para las partes y quedó estrictamente configurado como prueba documental en los términos del Código Procesal Penal de la Nación”</w:t>
      </w:r>
      <w:r w:rsidRPr="00386E47">
        <w:rPr>
          <w:rFonts w:asciiTheme="majorHAnsi" w:eastAsia="Calibri" w:hAnsiTheme="majorHAnsi"/>
          <w:sz w:val="20"/>
          <w:szCs w:val="20"/>
          <w:vertAlign w:val="superscript"/>
          <w:lang w:val="es-AR"/>
        </w:rPr>
        <w:footnoteReference w:id="294"/>
      </w:r>
      <w:r w:rsidRPr="00386E47">
        <w:rPr>
          <w:rFonts w:asciiTheme="majorHAnsi" w:eastAsia="Calibri" w:hAnsiTheme="majorHAnsi"/>
          <w:sz w:val="20"/>
          <w:szCs w:val="20"/>
          <w:lang w:val="es-AR"/>
        </w:rPr>
        <w:t xml:space="preserve">. </w:t>
      </w:r>
    </w:p>
    <w:p w14:paraId="5CBA7119" w14:textId="77777777" w:rsidR="009F70EA" w:rsidRPr="00386E47" w:rsidRDefault="009F70EA" w:rsidP="00C21134">
      <w:pPr>
        <w:tabs>
          <w:tab w:val="left" w:pos="567"/>
        </w:tabs>
        <w:contextualSpacing/>
        <w:jc w:val="both"/>
        <w:rPr>
          <w:rFonts w:asciiTheme="majorHAnsi" w:eastAsia="Calibri" w:hAnsiTheme="majorHAnsi"/>
          <w:sz w:val="20"/>
          <w:szCs w:val="20"/>
          <w:lang w:val="es-AR"/>
        </w:rPr>
      </w:pPr>
    </w:p>
    <w:p w14:paraId="7791B760" w14:textId="77777777" w:rsidR="009F70EA" w:rsidRPr="00386E47" w:rsidRDefault="009F70EA" w:rsidP="00C21134">
      <w:pPr>
        <w:numPr>
          <w:ilvl w:val="0"/>
          <w:numId w:val="55"/>
        </w:numPr>
        <w:tabs>
          <w:tab w:val="left" w:pos="567"/>
        </w:tabs>
        <w:ind w:left="0" w:firstLine="0"/>
        <w:contextualSpacing/>
        <w:jc w:val="both"/>
        <w:rPr>
          <w:rFonts w:asciiTheme="majorHAnsi" w:eastAsia="Calibri" w:hAnsiTheme="majorHAnsi"/>
          <w:sz w:val="20"/>
          <w:szCs w:val="20"/>
          <w:lang w:val="es-AR"/>
        </w:rPr>
      </w:pPr>
      <w:r w:rsidRPr="00386E47">
        <w:rPr>
          <w:rFonts w:asciiTheme="majorHAnsi" w:eastAsia="Calibri" w:hAnsiTheme="majorHAnsi"/>
          <w:sz w:val="20"/>
          <w:szCs w:val="20"/>
          <w:lang w:val="es-AR"/>
        </w:rPr>
        <w:t>A partir de este desarrollo, la Comisión concluye que el Estado argentino, desde el 18 de julio de 1994 y hasta marzo de 2015, violó el derecho de los peticionarios a acceder a información vinculada con el atentado, toda vez que mantuvo bajo secreto la documentación clasificada como secreto por los organismos de inteligencia que participaron en las investigaciones</w:t>
      </w:r>
      <w:r w:rsidRPr="00386E47">
        <w:rPr>
          <w:rFonts w:asciiTheme="majorHAnsi" w:eastAsia="Calibri" w:hAnsiTheme="majorHAnsi"/>
          <w:sz w:val="20"/>
          <w:szCs w:val="20"/>
          <w:vertAlign w:val="superscript"/>
          <w:lang w:val="es-AR"/>
        </w:rPr>
        <w:footnoteReference w:id="295"/>
      </w:r>
      <w:r w:rsidRPr="00386E47">
        <w:rPr>
          <w:rFonts w:asciiTheme="majorHAnsi" w:eastAsia="Calibri" w:hAnsiTheme="majorHAnsi"/>
          <w:sz w:val="20"/>
          <w:szCs w:val="20"/>
          <w:lang w:val="es-AR"/>
        </w:rPr>
        <w:t xml:space="preserve">. </w:t>
      </w:r>
    </w:p>
    <w:p w14:paraId="2C34E246" w14:textId="77777777" w:rsidR="009F70EA" w:rsidRPr="00386E47" w:rsidRDefault="009F70EA" w:rsidP="009F70EA">
      <w:pPr>
        <w:ind w:left="720"/>
        <w:contextualSpacing/>
        <w:rPr>
          <w:rFonts w:asciiTheme="majorHAnsi" w:eastAsia="Calibri" w:hAnsiTheme="majorHAnsi"/>
          <w:sz w:val="20"/>
          <w:szCs w:val="20"/>
          <w:lang w:val="es-AR"/>
        </w:rPr>
      </w:pPr>
    </w:p>
    <w:p w14:paraId="03D96FC6" w14:textId="77777777" w:rsidR="009F70EA" w:rsidRPr="00386E47" w:rsidRDefault="009F70EA" w:rsidP="00E05F14">
      <w:pPr>
        <w:pStyle w:val="Heading3"/>
        <w:numPr>
          <w:ilvl w:val="1"/>
          <w:numId w:val="68"/>
        </w:numPr>
        <w:ind w:left="284" w:firstLine="0"/>
      </w:pPr>
      <w:bookmarkStart w:id="33" w:name="_Toc51252204"/>
      <w:r w:rsidRPr="00386E47">
        <w:t>Sobre la cuestión de las condiciones de preservación de los fondos documentales y la accesibilidad de la información desclasificada</w:t>
      </w:r>
      <w:bookmarkEnd w:id="33"/>
      <w:r w:rsidRPr="00386E47">
        <w:t xml:space="preserve"> </w:t>
      </w:r>
    </w:p>
    <w:p w14:paraId="47A1B853" w14:textId="77777777" w:rsidR="009F70EA" w:rsidRPr="00386E47" w:rsidRDefault="009F70EA" w:rsidP="009F70EA">
      <w:pPr>
        <w:ind w:left="720"/>
        <w:contextualSpacing/>
        <w:rPr>
          <w:rFonts w:asciiTheme="majorHAnsi" w:eastAsia="Calibri" w:hAnsiTheme="majorHAnsi"/>
          <w:sz w:val="20"/>
          <w:szCs w:val="20"/>
          <w:lang w:val="es-AR"/>
        </w:rPr>
      </w:pPr>
    </w:p>
    <w:p w14:paraId="2229273D" w14:textId="77777777" w:rsidR="009F70EA" w:rsidRPr="00386E47" w:rsidRDefault="009F70EA" w:rsidP="003A5860">
      <w:pPr>
        <w:numPr>
          <w:ilvl w:val="0"/>
          <w:numId w:val="55"/>
        </w:numPr>
        <w:tabs>
          <w:tab w:val="left" w:pos="567"/>
        </w:tabs>
        <w:ind w:left="0" w:firstLine="0"/>
        <w:contextualSpacing/>
        <w:jc w:val="both"/>
        <w:rPr>
          <w:rFonts w:asciiTheme="majorHAnsi" w:eastAsia="Calibri" w:hAnsiTheme="majorHAnsi"/>
          <w:sz w:val="20"/>
          <w:szCs w:val="20"/>
          <w:lang w:val="es-AR"/>
        </w:rPr>
      </w:pPr>
      <w:r w:rsidRPr="00386E47">
        <w:rPr>
          <w:rFonts w:asciiTheme="majorHAnsi" w:eastAsia="Calibri" w:hAnsiTheme="majorHAnsi"/>
          <w:sz w:val="20"/>
          <w:szCs w:val="20"/>
          <w:lang w:val="es-AR"/>
        </w:rPr>
        <w:t>A modo de aproximación al asunto, la Comisión resalta que no resulta adecuado asimilar las nociones de desclasificación y accesibilidad. E</w:t>
      </w:r>
      <w:r w:rsidR="00D97F4B" w:rsidRPr="00386E47">
        <w:rPr>
          <w:rFonts w:asciiTheme="majorHAnsi" w:eastAsia="Calibri" w:hAnsiTheme="majorHAnsi"/>
          <w:sz w:val="20"/>
          <w:szCs w:val="20"/>
          <w:lang w:val="es-AR"/>
        </w:rPr>
        <w:t xml:space="preserve">l concepto de desclasificación </w:t>
      </w:r>
      <w:r w:rsidRPr="00386E47">
        <w:rPr>
          <w:rFonts w:asciiTheme="majorHAnsi" w:eastAsia="Calibri" w:hAnsiTheme="majorHAnsi"/>
          <w:sz w:val="20"/>
          <w:szCs w:val="20"/>
          <w:lang w:val="es-AR"/>
        </w:rPr>
        <w:t xml:space="preserve">denota el acto administrativo cuyo objeto es retirar o levantar el carácter de secreto de un documento o de una serie de documentos.  La accesibilidad, por </w:t>
      </w:r>
      <w:r w:rsidR="00D97F4B" w:rsidRPr="00386E47">
        <w:rPr>
          <w:rFonts w:asciiTheme="majorHAnsi" w:eastAsia="Calibri" w:hAnsiTheme="majorHAnsi"/>
          <w:sz w:val="20"/>
          <w:szCs w:val="20"/>
          <w:lang w:val="es-AR"/>
        </w:rPr>
        <w:t>su parte</w:t>
      </w:r>
      <w:r w:rsidRPr="00386E47">
        <w:rPr>
          <w:rFonts w:asciiTheme="majorHAnsi" w:eastAsia="Calibri" w:hAnsiTheme="majorHAnsi"/>
          <w:sz w:val="20"/>
          <w:szCs w:val="20"/>
          <w:lang w:val="es-AR"/>
        </w:rPr>
        <w:t>, tiene que ver con las condiciones materiales que hacen posible que terceras personas puedan consultar de manera eficiente los documentos o fondos documentales que fue</w:t>
      </w:r>
      <w:r w:rsidR="00584B30" w:rsidRPr="00386E47">
        <w:rPr>
          <w:rFonts w:asciiTheme="majorHAnsi" w:eastAsia="Calibri" w:hAnsiTheme="majorHAnsi"/>
          <w:sz w:val="20"/>
          <w:szCs w:val="20"/>
          <w:lang w:val="es-AR"/>
        </w:rPr>
        <w:t>ron previamente desclasificados</w:t>
      </w:r>
      <w:r w:rsidR="00D97F4B" w:rsidRPr="00386E47">
        <w:rPr>
          <w:rStyle w:val="FootnoteReference"/>
          <w:rFonts w:asciiTheme="majorHAnsi" w:eastAsia="Calibri" w:hAnsiTheme="majorHAnsi"/>
          <w:sz w:val="20"/>
          <w:szCs w:val="20"/>
          <w:lang w:val="es-AR"/>
        </w:rPr>
        <w:footnoteReference w:id="296"/>
      </w:r>
      <w:r w:rsidR="00584B30" w:rsidRPr="00386E47">
        <w:rPr>
          <w:rFonts w:asciiTheme="majorHAnsi" w:eastAsia="Calibri" w:hAnsiTheme="majorHAnsi"/>
          <w:sz w:val="20"/>
          <w:szCs w:val="20"/>
          <w:lang w:val="es-AR"/>
        </w:rPr>
        <w:t>.</w:t>
      </w:r>
      <w:r w:rsidRPr="00386E47">
        <w:rPr>
          <w:rFonts w:asciiTheme="majorHAnsi" w:eastAsia="Calibri" w:hAnsiTheme="majorHAnsi"/>
          <w:sz w:val="20"/>
          <w:szCs w:val="20"/>
          <w:lang w:val="es-AR"/>
        </w:rPr>
        <w:t xml:space="preserve"> </w:t>
      </w:r>
    </w:p>
    <w:p w14:paraId="1FD315E5" w14:textId="77777777" w:rsidR="009F70EA" w:rsidRPr="00386E47" w:rsidRDefault="009F70EA" w:rsidP="00D73730">
      <w:pPr>
        <w:tabs>
          <w:tab w:val="left" w:pos="567"/>
        </w:tabs>
        <w:contextualSpacing/>
        <w:jc w:val="both"/>
        <w:rPr>
          <w:rFonts w:asciiTheme="majorHAnsi" w:eastAsia="Calibri" w:hAnsiTheme="majorHAnsi"/>
          <w:sz w:val="20"/>
          <w:szCs w:val="20"/>
          <w:lang w:val="es-AR"/>
        </w:rPr>
      </w:pPr>
    </w:p>
    <w:p w14:paraId="7FFBB7A5" w14:textId="77777777" w:rsidR="009F70EA" w:rsidRPr="00386E47" w:rsidRDefault="009F70EA" w:rsidP="003A5860">
      <w:pPr>
        <w:numPr>
          <w:ilvl w:val="0"/>
          <w:numId w:val="55"/>
        </w:numPr>
        <w:tabs>
          <w:tab w:val="left" w:pos="567"/>
        </w:tabs>
        <w:ind w:left="0" w:firstLine="0"/>
        <w:contextualSpacing/>
        <w:jc w:val="both"/>
        <w:rPr>
          <w:rFonts w:asciiTheme="majorHAnsi" w:eastAsia="Calibri" w:hAnsiTheme="majorHAnsi"/>
          <w:sz w:val="20"/>
          <w:szCs w:val="20"/>
          <w:lang w:val="es-AR"/>
        </w:rPr>
      </w:pPr>
      <w:r w:rsidRPr="00386E47">
        <w:rPr>
          <w:rFonts w:asciiTheme="majorHAnsi" w:eastAsia="Calibri" w:hAnsiTheme="majorHAnsi"/>
          <w:sz w:val="20"/>
          <w:szCs w:val="20"/>
          <w:lang w:val="es-AR"/>
        </w:rPr>
        <w:t xml:space="preserve">Con el fin de garantizar la accesibilidad de la documentación y, en general, el ejercicio del derecho de acceso a la información, la decisión de desclasificación debe venir acompañada de </w:t>
      </w:r>
      <w:r w:rsidR="00D73730" w:rsidRPr="00386E47">
        <w:rPr>
          <w:rFonts w:asciiTheme="majorHAnsi" w:eastAsia="Calibri" w:hAnsiTheme="majorHAnsi"/>
          <w:sz w:val="20"/>
          <w:szCs w:val="20"/>
          <w:lang w:val="es-AR"/>
        </w:rPr>
        <w:t xml:space="preserve">la </w:t>
      </w:r>
      <w:r w:rsidR="00574033" w:rsidRPr="00386E47">
        <w:rPr>
          <w:rFonts w:asciiTheme="majorHAnsi" w:eastAsia="Calibri" w:hAnsiTheme="majorHAnsi"/>
          <w:sz w:val="20"/>
          <w:szCs w:val="20"/>
          <w:lang w:val="es-AR"/>
        </w:rPr>
        <w:t>ejecución</w:t>
      </w:r>
      <w:r w:rsidR="00D73730" w:rsidRPr="00386E47">
        <w:rPr>
          <w:rFonts w:asciiTheme="majorHAnsi" w:eastAsia="Calibri" w:hAnsiTheme="majorHAnsi"/>
          <w:sz w:val="20"/>
          <w:szCs w:val="20"/>
          <w:lang w:val="es-AR"/>
        </w:rPr>
        <w:t xml:space="preserve"> de políticas</w:t>
      </w:r>
      <w:r w:rsidRPr="00386E47">
        <w:rPr>
          <w:rFonts w:asciiTheme="majorHAnsi" w:eastAsia="Calibri" w:hAnsiTheme="majorHAnsi"/>
          <w:sz w:val="20"/>
          <w:szCs w:val="20"/>
          <w:lang w:val="es-AR"/>
        </w:rPr>
        <w:t xml:space="preserve"> proactivas de clasificación, organización y sistematización de los archivos. Estas acciones son de especial importancia cuando se está en presencia de fondos documentales de considerable volumen como los relacionados con el caso AMIA</w:t>
      </w:r>
      <w:r w:rsidRPr="00386E47">
        <w:rPr>
          <w:rFonts w:asciiTheme="majorHAnsi" w:eastAsia="Calibri" w:hAnsiTheme="majorHAnsi"/>
          <w:sz w:val="20"/>
          <w:szCs w:val="20"/>
          <w:vertAlign w:val="superscript"/>
          <w:lang w:val="es-AR"/>
        </w:rPr>
        <w:footnoteReference w:id="297"/>
      </w:r>
      <w:r w:rsidRPr="00386E47">
        <w:rPr>
          <w:rFonts w:asciiTheme="majorHAnsi" w:eastAsia="Calibri" w:hAnsiTheme="majorHAnsi"/>
          <w:sz w:val="20"/>
          <w:szCs w:val="20"/>
          <w:lang w:val="es-AR"/>
        </w:rPr>
        <w:t xml:space="preserve">. </w:t>
      </w:r>
    </w:p>
    <w:p w14:paraId="76C143C0" w14:textId="77777777" w:rsidR="009F70EA" w:rsidRPr="00386E47" w:rsidRDefault="009F70EA" w:rsidP="00D73730">
      <w:pPr>
        <w:tabs>
          <w:tab w:val="left" w:pos="567"/>
        </w:tabs>
        <w:contextualSpacing/>
        <w:jc w:val="both"/>
        <w:rPr>
          <w:rFonts w:asciiTheme="majorHAnsi" w:eastAsia="Calibri" w:hAnsiTheme="majorHAnsi"/>
          <w:sz w:val="20"/>
          <w:szCs w:val="20"/>
          <w:lang w:val="es-AR"/>
        </w:rPr>
      </w:pPr>
    </w:p>
    <w:p w14:paraId="6F51250B" w14:textId="77777777" w:rsidR="009F70EA" w:rsidRPr="00386E47" w:rsidRDefault="009F70EA" w:rsidP="003A5860">
      <w:pPr>
        <w:numPr>
          <w:ilvl w:val="0"/>
          <w:numId w:val="55"/>
        </w:numPr>
        <w:tabs>
          <w:tab w:val="left" w:pos="567"/>
        </w:tabs>
        <w:ind w:left="0" w:firstLine="0"/>
        <w:contextualSpacing/>
        <w:jc w:val="both"/>
        <w:rPr>
          <w:rFonts w:asciiTheme="majorHAnsi" w:eastAsia="Calibri" w:hAnsiTheme="majorHAnsi"/>
          <w:sz w:val="20"/>
          <w:szCs w:val="20"/>
          <w:lang w:val="es-AR"/>
        </w:rPr>
      </w:pPr>
      <w:r w:rsidRPr="00386E47">
        <w:rPr>
          <w:rFonts w:asciiTheme="majorHAnsi" w:eastAsia="Calibri" w:hAnsiTheme="majorHAnsi"/>
          <w:sz w:val="20"/>
          <w:szCs w:val="20"/>
          <w:lang w:val="es-AR"/>
        </w:rPr>
        <w:t xml:space="preserve">En este sentido, la Comisión destaca que uno de los ítems de la agenda de trabajo propuesta por el Estado argentino a los peticionarios en el marco de la firma del Acta Acuerdo </w:t>
      </w:r>
      <w:r w:rsidR="0095421C" w:rsidRPr="00386E47">
        <w:rPr>
          <w:rFonts w:asciiTheme="majorHAnsi" w:eastAsia="Calibri" w:hAnsiTheme="majorHAnsi"/>
          <w:sz w:val="20"/>
          <w:szCs w:val="20"/>
          <w:lang w:val="es-AR"/>
        </w:rPr>
        <w:t>de fecha</w:t>
      </w:r>
      <w:r w:rsidRPr="00386E47">
        <w:rPr>
          <w:rFonts w:asciiTheme="majorHAnsi" w:eastAsia="Calibri" w:hAnsiTheme="majorHAnsi"/>
          <w:sz w:val="20"/>
          <w:szCs w:val="20"/>
          <w:lang w:val="es-AR"/>
        </w:rPr>
        <w:t xml:space="preserve"> 4 de marzo de 2005 contemplaba la “profundización del proceso de relevamiento de archivos del Caso AMIA en poder de la Secretaria de Inteligencia del Estado y fuerzas de seguridad”</w:t>
      </w:r>
      <w:r w:rsidRPr="00386E47">
        <w:rPr>
          <w:rFonts w:asciiTheme="majorHAnsi" w:eastAsia="Calibri" w:hAnsiTheme="majorHAnsi"/>
          <w:sz w:val="20"/>
          <w:szCs w:val="20"/>
          <w:vertAlign w:val="superscript"/>
          <w:lang w:val="es-AR"/>
        </w:rPr>
        <w:footnoteReference w:id="298"/>
      </w:r>
      <w:r w:rsidRPr="00386E47">
        <w:rPr>
          <w:rFonts w:asciiTheme="majorHAnsi" w:eastAsia="Calibri" w:hAnsiTheme="majorHAnsi"/>
          <w:sz w:val="20"/>
          <w:szCs w:val="20"/>
          <w:lang w:val="es-AR"/>
        </w:rPr>
        <w:t xml:space="preserve">. </w:t>
      </w:r>
    </w:p>
    <w:p w14:paraId="1707006C" w14:textId="77777777" w:rsidR="009F70EA" w:rsidRPr="00386E47" w:rsidRDefault="009F70EA" w:rsidP="00D73730">
      <w:pPr>
        <w:tabs>
          <w:tab w:val="left" w:pos="567"/>
        </w:tabs>
        <w:contextualSpacing/>
        <w:jc w:val="both"/>
        <w:rPr>
          <w:rFonts w:asciiTheme="majorHAnsi" w:eastAsia="Calibri" w:hAnsiTheme="majorHAnsi"/>
          <w:sz w:val="20"/>
          <w:szCs w:val="20"/>
          <w:lang w:val="es-AR"/>
        </w:rPr>
      </w:pPr>
    </w:p>
    <w:p w14:paraId="02A7F898" w14:textId="77777777" w:rsidR="009F70EA" w:rsidRPr="00386E47" w:rsidRDefault="009F70EA" w:rsidP="003A5860">
      <w:pPr>
        <w:numPr>
          <w:ilvl w:val="0"/>
          <w:numId w:val="55"/>
        </w:numPr>
        <w:tabs>
          <w:tab w:val="left" w:pos="567"/>
        </w:tabs>
        <w:ind w:left="0" w:firstLine="0"/>
        <w:contextualSpacing/>
        <w:jc w:val="both"/>
        <w:rPr>
          <w:rFonts w:asciiTheme="majorHAnsi" w:eastAsia="Calibri" w:hAnsiTheme="majorHAnsi"/>
          <w:sz w:val="20"/>
          <w:szCs w:val="20"/>
          <w:lang w:val="es-AR"/>
        </w:rPr>
      </w:pPr>
      <w:r w:rsidRPr="00386E47">
        <w:rPr>
          <w:rFonts w:asciiTheme="majorHAnsi" w:eastAsia="Calibri" w:hAnsiTheme="majorHAnsi"/>
          <w:sz w:val="20"/>
          <w:szCs w:val="20"/>
          <w:lang w:val="es-AR"/>
        </w:rPr>
        <w:t>La CIDH advierte que una parte importante de los archivos con información vinculada a la causa AMIA se encontraban - hasta la sanción en marzo de 2015 del Decreto 395/15 - bajo la custodia de la Secretaria de Inteligencia del Estado y sus organismos sucesores, la Secretaria de Inteligencia y la Agencia Federal de Inteligencia. La Comisión resalta que, durante el mes de marzo de 2015 y en ocasión del proceso de transferencia de la custodia de dichos archivos a la UFI AMIA, los fiscales inspeccionaron la sede de la Dirección de Terrorismo de la AFI donde hallaron en un sótano documentación de la causa AMIA junto con otra que no tenía relación</w:t>
      </w:r>
      <w:r w:rsidR="00880A60" w:rsidRPr="00386E47">
        <w:rPr>
          <w:rFonts w:asciiTheme="majorHAnsi" w:eastAsia="Calibri" w:hAnsiTheme="majorHAnsi"/>
          <w:sz w:val="20"/>
          <w:szCs w:val="20"/>
          <w:lang w:val="es-AR"/>
        </w:rPr>
        <w:t xml:space="preserve"> con ella</w:t>
      </w:r>
      <w:r w:rsidRPr="00386E47">
        <w:rPr>
          <w:rFonts w:asciiTheme="majorHAnsi" w:eastAsia="Calibri" w:hAnsiTheme="majorHAnsi"/>
          <w:sz w:val="20"/>
          <w:szCs w:val="20"/>
          <w:vertAlign w:val="superscript"/>
          <w:lang w:val="es-AR"/>
        </w:rPr>
        <w:footnoteReference w:id="299"/>
      </w:r>
      <w:r w:rsidRPr="00386E47">
        <w:rPr>
          <w:rFonts w:asciiTheme="majorHAnsi" w:eastAsia="Calibri" w:hAnsiTheme="majorHAnsi"/>
          <w:sz w:val="20"/>
          <w:szCs w:val="20"/>
          <w:lang w:val="es-AR"/>
        </w:rPr>
        <w:t xml:space="preserve">. </w:t>
      </w:r>
    </w:p>
    <w:p w14:paraId="00F88C08" w14:textId="77777777" w:rsidR="009F70EA" w:rsidRPr="00386E47" w:rsidRDefault="009F70EA" w:rsidP="003B7C1C">
      <w:pPr>
        <w:tabs>
          <w:tab w:val="left" w:pos="426"/>
          <w:tab w:val="left" w:pos="567"/>
        </w:tabs>
        <w:contextualSpacing/>
        <w:jc w:val="both"/>
        <w:rPr>
          <w:rFonts w:asciiTheme="majorHAnsi" w:eastAsia="Calibri" w:hAnsiTheme="majorHAnsi"/>
          <w:sz w:val="20"/>
          <w:szCs w:val="20"/>
          <w:lang w:val="es-AR"/>
        </w:rPr>
      </w:pPr>
    </w:p>
    <w:p w14:paraId="5A20B3D9" w14:textId="77777777" w:rsidR="009F70EA" w:rsidRPr="00386E47" w:rsidRDefault="009F70EA" w:rsidP="003A5860">
      <w:pPr>
        <w:numPr>
          <w:ilvl w:val="0"/>
          <w:numId w:val="55"/>
        </w:numPr>
        <w:tabs>
          <w:tab w:val="left" w:pos="567"/>
        </w:tabs>
        <w:ind w:left="0" w:firstLine="0"/>
        <w:contextualSpacing/>
        <w:jc w:val="both"/>
        <w:rPr>
          <w:rFonts w:asciiTheme="majorHAnsi" w:eastAsia="Calibri" w:hAnsiTheme="majorHAnsi"/>
          <w:sz w:val="20"/>
          <w:szCs w:val="20"/>
          <w:lang w:val="es-AR"/>
        </w:rPr>
      </w:pPr>
      <w:r w:rsidRPr="00386E47">
        <w:rPr>
          <w:rFonts w:asciiTheme="majorHAnsi" w:eastAsia="Calibri" w:hAnsiTheme="majorHAnsi"/>
          <w:sz w:val="20"/>
          <w:szCs w:val="20"/>
          <w:lang w:val="es-AR"/>
        </w:rPr>
        <w:t xml:space="preserve">La Comisión considera las diversas acciones adoptadas a partir de la creación en julio de 2015 del Grupo Especial de Relevamiento y Análisis Documental (GERAD) en el ámbito de la UFI AMIA constituyen un avance en pos de garantizar tanto el deber del Estado de preservar todo tipo de documentación que se encuentre relacionada con el atentado como el derecho de las partes a acceder a dicha información.  </w:t>
      </w:r>
    </w:p>
    <w:p w14:paraId="33A06B5C" w14:textId="77777777" w:rsidR="009F70EA" w:rsidRPr="00386E47" w:rsidRDefault="009F70EA" w:rsidP="003B7C1C">
      <w:pPr>
        <w:tabs>
          <w:tab w:val="left" w:pos="567"/>
        </w:tabs>
        <w:contextualSpacing/>
        <w:jc w:val="both"/>
        <w:rPr>
          <w:rFonts w:asciiTheme="majorHAnsi" w:eastAsia="Calibri" w:hAnsiTheme="majorHAnsi"/>
          <w:sz w:val="20"/>
          <w:szCs w:val="20"/>
          <w:lang w:val="es-AR"/>
        </w:rPr>
      </w:pPr>
    </w:p>
    <w:p w14:paraId="2C4385DC" w14:textId="77777777" w:rsidR="009F70EA" w:rsidRPr="00386E47" w:rsidRDefault="009F70EA" w:rsidP="003A5860">
      <w:pPr>
        <w:numPr>
          <w:ilvl w:val="0"/>
          <w:numId w:val="55"/>
        </w:numPr>
        <w:tabs>
          <w:tab w:val="left" w:pos="567"/>
        </w:tabs>
        <w:ind w:left="0" w:firstLine="0"/>
        <w:contextualSpacing/>
        <w:jc w:val="both"/>
        <w:rPr>
          <w:rFonts w:asciiTheme="majorHAnsi" w:eastAsia="Calibri" w:hAnsiTheme="majorHAnsi"/>
          <w:sz w:val="20"/>
          <w:szCs w:val="20"/>
          <w:lang w:val="es-AR"/>
        </w:rPr>
      </w:pPr>
      <w:r w:rsidRPr="00386E47">
        <w:rPr>
          <w:rFonts w:asciiTheme="majorHAnsi" w:eastAsia="Calibri" w:hAnsiTheme="majorHAnsi"/>
          <w:sz w:val="20"/>
          <w:szCs w:val="20"/>
          <w:lang w:val="es-AR"/>
        </w:rPr>
        <w:t xml:space="preserve">Sin embargo, la Comisión se ve en la necesidad de rescatar que en el primer Informe de Gestión de la UFI AMIA publicado en julio de 2016, los fiscales describieron que, la documentación en poder de la AFI “en muchos </w:t>
      </w:r>
      <w:r w:rsidRPr="00386E47">
        <w:rPr>
          <w:rFonts w:asciiTheme="majorHAnsi" w:eastAsia="Calibri" w:hAnsiTheme="majorHAnsi"/>
          <w:sz w:val="20"/>
          <w:szCs w:val="20"/>
          <w:lang w:val="es-AR"/>
        </w:rPr>
        <w:lastRenderedPageBreak/>
        <w:t>casos […] se encontraba duplicada y mal compendiada, y en pésimo estado de conservación y cuidado. En algunos casos, con todo, se halló material hasta el momento desconocido”. Asimismo, aseguraron que los fondos documentales no se encontraban digitalizados y que en los depósitos de la AFI se verificaron “condiciones deficientes de espacio, higiene y condiciones de temperatura y humedad que perjudican la conservación de la documentación y contribuyen a su deterioro”</w:t>
      </w:r>
      <w:r w:rsidRPr="00386E47">
        <w:rPr>
          <w:rFonts w:asciiTheme="majorHAnsi" w:eastAsia="Calibri" w:hAnsiTheme="majorHAnsi"/>
          <w:sz w:val="20"/>
          <w:szCs w:val="20"/>
          <w:vertAlign w:val="superscript"/>
          <w:lang w:val="es-AR"/>
        </w:rPr>
        <w:footnoteReference w:id="300"/>
      </w:r>
      <w:r w:rsidRPr="00386E47">
        <w:rPr>
          <w:rFonts w:asciiTheme="majorHAnsi" w:eastAsia="Calibri" w:hAnsiTheme="majorHAnsi"/>
          <w:sz w:val="20"/>
          <w:szCs w:val="20"/>
          <w:lang w:val="es-AR"/>
        </w:rPr>
        <w:t xml:space="preserve">. </w:t>
      </w:r>
    </w:p>
    <w:p w14:paraId="35730FCE" w14:textId="77777777" w:rsidR="009F70EA" w:rsidRPr="00386E47" w:rsidRDefault="009F70EA" w:rsidP="003B7C1C">
      <w:pPr>
        <w:tabs>
          <w:tab w:val="left" w:pos="567"/>
        </w:tabs>
        <w:contextualSpacing/>
        <w:jc w:val="both"/>
        <w:rPr>
          <w:rFonts w:asciiTheme="majorHAnsi" w:eastAsia="Calibri" w:hAnsiTheme="majorHAnsi"/>
          <w:sz w:val="20"/>
          <w:szCs w:val="20"/>
          <w:lang w:val="es-AR"/>
        </w:rPr>
      </w:pPr>
    </w:p>
    <w:p w14:paraId="1A32253C" w14:textId="77777777" w:rsidR="00171D37" w:rsidRPr="00386E47" w:rsidRDefault="009F70EA" w:rsidP="003A5860">
      <w:pPr>
        <w:numPr>
          <w:ilvl w:val="0"/>
          <w:numId w:val="55"/>
        </w:numPr>
        <w:tabs>
          <w:tab w:val="left" w:pos="567"/>
        </w:tabs>
        <w:ind w:left="0" w:firstLine="0"/>
        <w:contextualSpacing/>
        <w:jc w:val="both"/>
        <w:rPr>
          <w:rFonts w:asciiTheme="majorHAnsi" w:eastAsia="Calibri" w:hAnsiTheme="majorHAnsi"/>
          <w:sz w:val="20"/>
          <w:szCs w:val="20"/>
          <w:lang w:val="es-AR"/>
        </w:rPr>
      </w:pPr>
      <w:r w:rsidRPr="00386E47">
        <w:rPr>
          <w:rFonts w:asciiTheme="majorHAnsi" w:eastAsia="Calibri" w:hAnsiTheme="majorHAnsi"/>
          <w:sz w:val="20"/>
          <w:szCs w:val="20"/>
          <w:lang w:val="es-AR"/>
        </w:rPr>
        <w:t>Asimismo, en su segundo informe de gestión de diciembre de 2016, la UFI AMIA alertó</w:t>
      </w:r>
      <w:r w:rsidRPr="00386E47">
        <w:rPr>
          <w:rFonts w:asciiTheme="majorHAnsi" w:eastAsia="Calibri" w:hAnsiTheme="majorHAnsi"/>
          <w:sz w:val="20"/>
          <w:szCs w:val="20"/>
          <w:lang w:val="es-US"/>
        </w:rPr>
        <w:t xml:space="preserve"> sobre “las dificultades resultantes del deficiente registro inicial de las pruebas, la desaparición de cintas y el mal estado de conservación de la evidencia” y también afirmó que “considerando la ausencia de inventarios y hojas de ruta u los problemas de resguardo detectados, nada de los registros hallados sugiere calidad y seriedad en la investigación desarrollada”</w:t>
      </w:r>
      <w:r w:rsidRPr="00386E47">
        <w:rPr>
          <w:rFonts w:asciiTheme="majorHAnsi" w:eastAsia="Calibri" w:hAnsiTheme="majorHAnsi"/>
          <w:sz w:val="20"/>
          <w:szCs w:val="20"/>
          <w:vertAlign w:val="superscript"/>
          <w:lang w:val="es-US"/>
        </w:rPr>
        <w:footnoteReference w:id="301"/>
      </w:r>
      <w:r w:rsidR="00171D37" w:rsidRPr="00386E47">
        <w:rPr>
          <w:rFonts w:asciiTheme="majorHAnsi" w:eastAsia="Calibri" w:hAnsiTheme="majorHAnsi"/>
          <w:sz w:val="20"/>
          <w:szCs w:val="20"/>
          <w:lang w:val="es-AR"/>
        </w:rPr>
        <w:t xml:space="preserve">. </w:t>
      </w:r>
    </w:p>
    <w:p w14:paraId="10CB28A5" w14:textId="77777777" w:rsidR="00171D37" w:rsidRPr="00386E47" w:rsidRDefault="00171D37" w:rsidP="002847DD">
      <w:pPr>
        <w:tabs>
          <w:tab w:val="left" w:pos="567"/>
        </w:tabs>
        <w:contextualSpacing/>
        <w:jc w:val="both"/>
        <w:rPr>
          <w:rFonts w:asciiTheme="majorHAnsi" w:eastAsia="Calibri" w:hAnsiTheme="majorHAnsi"/>
          <w:sz w:val="20"/>
          <w:szCs w:val="20"/>
          <w:lang w:val="es-AR"/>
        </w:rPr>
      </w:pPr>
    </w:p>
    <w:p w14:paraId="5CE2FE1B" w14:textId="77777777" w:rsidR="00171D37" w:rsidRPr="00386E47" w:rsidRDefault="009F70EA" w:rsidP="002409D9">
      <w:pPr>
        <w:numPr>
          <w:ilvl w:val="0"/>
          <w:numId w:val="55"/>
        </w:numPr>
        <w:tabs>
          <w:tab w:val="left" w:pos="567"/>
        </w:tabs>
        <w:ind w:left="0" w:firstLine="0"/>
        <w:contextualSpacing/>
        <w:jc w:val="both"/>
        <w:rPr>
          <w:rFonts w:asciiTheme="majorHAnsi" w:hAnsiTheme="majorHAnsi"/>
          <w:sz w:val="20"/>
          <w:szCs w:val="20"/>
          <w:lang w:val="es-US"/>
        </w:rPr>
      </w:pPr>
      <w:r w:rsidRPr="00386E47">
        <w:rPr>
          <w:rFonts w:asciiTheme="majorHAnsi" w:eastAsia="Calibri" w:hAnsiTheme="majorHAnsi"/>
          <w:sz w:val="20"/>
          <w:szCs w:val="20"/>
          <w:lang w:val="es-AR"/>
        </w:rPr>
        <w:t>En vista de señalado precedentemente, la Comisión subraya que una deficiente o nula preservación de los fondos documentales vinculados con un caso de graves violaciones a los derechos humanos durante extensos periodos de tiempo compromete seriamente la responsabilidad internacional del Estado. Ello es así toda vez que impide que las víctimas y sus familiares puedan acceder de manera eficiente a la información en poder del Estado, como así también analizar y valorar la documentación, proponer nuevas medidas de prueba y, en general, evaluar y controlar la actuación  de las autoridades encargadas de dirigir la investigación</w:t>
      </w:r>
      <w:r w:rsidRPr="00386E47">
        <w:rPr>
          <w:rFonts w:asciiTheme="majorHAnsi" w:hAnsiTheme="majorHAnsi"/>
          <w:sz w:val="20"/>
          <w:szCs w:val="20"/>
          <w:vertAlign w:val="superscript"/>
        </w:rPr>
        <w:footnoteReference w:id="302"/>
      </w:r>
      <w:r w:rsidRPr="00386E47">
        <w:rPr>
          <w:rFonts w:asciiTheme="majorHAnsi" w:eastAsia="Calibri" w:hAnsiTheme="majorHAnsi"/>
          <w:sz w:val="20"/>
          <w:szCs w:val="20"/>
          <w:lang w:val="es-AR"/>
        </w:rPr>
        <w:t xml:space="preserve">. </w:t>
      </w:r>
      <w:r w:rsidRPr="00386E47">
        <w:rPr>
          <w:rFonts w:asciiTheme="majorHAnsi" w:hAnsiTheme="majorHAnsi"/>
          <w:sz w:val="20"/>
          <w:szCs w:val="20"/>
          <w:lang w:val="es-AR"/>
        </w:rPr>
        <w:t xml:space="preserve">Por consiguiente, la Comisión concluye que el Estado argentino no ha cumplido hasta la fecha con su obligación de </w:t>
      </w:r>
      <w:r w:rsidR="00880A60" w:rsidRPr="00386E47">
        <w:rPr>
          <w:rFonts w:asciiTheme="majorHAnsi" w:hAnsiTheme="majorHAnsi"/>
          <w:sz w:val="20"/>
          <w:szCs w:val="20"/>
          <w:lang w:val="es-AR"/>
        </w:rPr>
        <w:t xml:space="preserve">garantizar </w:t>
      </w:r>
      <w:r w:rsidRPr="00386E47">
        <w:rPr>
          <w:rFonts w:asciiTheme="majorHAnsi" w:hAnsiTheme="majorHAnsi"/>
          <w:sz w:val="20"/>
          <w:szCs w:val="20"/>
          <w:lang w:val="es-AR"/>
        </w:rPr>
        <w:t xml:space="preserve">a los peticionarios el acceso a los archivos estatales donde se encuentra almacenada información relacionada con el atentado a la AMIA. </w:t>
      </w:r>
    </w:p>
    <w:p w14:paraId="0B3B4C8B" w14:textId="77777777" w:rsidR="00171D37" w:rsidRPr="00386E47" w:rsidRDefault="00171D37" w:rsidP="002409D9">
      <w:pPr>
        <w:tabs>
          <w:tab w:val="left" w:pos="567"/>
        </w:tabs>
        <w:contextualSpacing/>
        <w:jc w:val="both"/>
        <w:rPr>
          <w:rFonts w:asciiTheme="majorHAnsi" w:eastAsia="Calibri" w:hAnsiTheme="majorHAnsi"/>
          <w:sz w:val="20"/>
          <w:szCs w:val="20"/>
          <w:lang w:val="es-AR"/>
        </w:rPr>
      </w:pPr>
    </w:p>
    <w:p w14:paraId="7CF43833" w14:textId="77777777" w:rsidR="00D74092" w:rsidRPr="00386E47" w:rsidRDefault="009F70EA" w:rsidP="002409D9">
      <w:pPr>
        <w:pStyle w:val="ListParagraph"/>
        <w:numPr>
          <w:ilvl w:val="0"/>
          <w:numId w:val="55"/>
        </w:numPr>
        <w:ind w:left="0" w:firstLine="0"/>
        <w:jc w:val="both"/>
        <w:rPr>
          <w:lang w:val="es-US"/>
        </w:rPr>
      </w:pPr>
      <w:r w:rsidRPr="00386E47">
        <w:rPr>
          <w:rFonts w:asciiTheme="majorHAnsi" w:eastAsia="Calibri" w:hAnsiTheme="majorHAnsi"/>
          <w:sz w:val="20"/>
          <w:szCs w:val="20"/>
          <w:lang w:val="es-AR"/>
        </w:rPr>
        <w:t xml:space="preserve">En función de lo expuesto a lo largo de este apartado, la Comisión considera que el Estado argentino vulneró en perjuicio de los peticionarios el derecho de acceso a la información consagrado en el artículo 13 de la Convención Americana, en relación con los artículos 1.1 y 2 del mismo instrumento. </w:t>
      </w:r>
    </w:p>
    <w:p w14:paraId="401CF636" w14:textId="77777777" w:rsidR="009F70EA" w:rsidRPr="00386E47" w:rsidRDefault="009F70EA" w:rsidP="002847DD">
      <w:pPr>
        <w:tabs>
          <w:tab w:val="left" w:pos="567"/>
        </w:tabs>
        <w:contextualSpacing/>
        <w:jc w:val="both"/>
        <w:rPr>
          <w:rFonts w:asciiTheme="majorHAnsi" w:eastAsia="Calibri" w:hAnsiTheme="majorHAnsi"/>
          <w:sz w:val="20"/>
          <w:szCs w:val="20"/>
          <w:lang w:val="es-US"/>
        </w:rPr>
      </w:pPr>
    </w:p>
    <w:p w14:paraId="321E4EDC" w14:textId="77777777" w:rsidR="009F70EA" w:rsidRPr="00386E47" w:rsidRDefault="009F70EA" w:rsidP="009146F2">
      <w:pPr>
        <w:pStyle w:val="Heading2"/>
        <w:numPr>
          <w:ilvl w:val="0"/>
          <w:numId w:val="68"/>
        </w:numPr>
        <w:rPr>
          <w:rFonts w:asciiTheme="majorHAnsi" w:hAnsiTheme="majorHAnsi"/>
        </w:rPr>
      </w:pPr>
      <w:bookmarkStart w:id="34" w:name="_Toc25252216"/>
      <w:bookmarkStart w:id="35" w:name="_Toc535172806"/>
      <w:bookmarkStart w:id="36" w:name="_Toc5788722"/>
      <w:bookmarkStart w:id="37" w:name="_Toc51252205"/>
      <w:r w:rsidRPr="00386E47">
        <w:rPr>
          <w:rFonts w:asciiTheme="majorHAnsi" w:hAnsiTheme="majorHAnsi"/>
        </w:rPr>
        <w:t>Derecho a la integridad personal en cuanto a los familiares</w:t>
      </w:r>
      <w:bookmarkEnd w:id="34"/>
      <w:r w:rsidRPr="00386E47">
        <w:rPr>
          <w:rFonts w:asciiTheme="majorHAnsi" w:hAnsiTheme="majorHAnsi"/>
        </w:rPr>
        <w:t xml:space="preserve"> </w:t>
      </w:r>
      <w:bookmarkEnd w:id="35"/>
      <w:bookmarkEnd w:id="36"/>
      <w:r w:rsidR="00434A46" w:rsidRPr="00386E47">
        <w:rPr>
          <w:rFonts w:asciiTheme="majorHAnsi" w:hAnsiTheme="majorHAnsi"/>
        </w:rPr>
        <w:t xml:space="preserve">y determinación de victimas </w:t>
      </w:r>
      <w:r w:rsidRPr="00386E47">
        <w:rPr>
          <w:rFonts w:asciiTheme="majorHAnsi" w:hAnsiTheme="majorHAnsi"/>
        </w:rPr>
        <w:t>(Artículo 5 de la Convención Americana).</w:t>
      </w:r>
      <w:bookmarkEnd w:id="37"/>
      <w:r w:rsidRPr="00386E47">
        <w:rPr>
          <w:rFonts w:asciiTheme="majorHAnsi" w:hAnsiTheme="majorHAnsi"/>
        </w:rPr>
        <w:t xml:space="preserve"> </w:t>
      </w:r>
    </w:p>
    <w:p w14:paraId="4FC40E36" w14:textId="77777777" w:rsidR="00A444F8" w:rsidRPr="00386E47" w:rsidRDefault="00A444F8" w:rsidP="00A444F8">
      <w:pPr>
        <w:rPr>
          <w:rFonts w:asciiTheme="majorHAnsi" w:hAnsiTheme="majorHAnsi"/>
          <w:lang w:val="es-US"/>
        </w:rPr>
      </w:pPr>
      <w:bookmarkStart w:id="38" w:name="_Toc535172810"/>
      <w:bookmarkStart w:id="39" w:name="_Toc5788726"/>
      <w:bookmarkStart w:id="40" w:name="_Toc25252217"/>
    </w:p>
    <w:p w14:paraId="2F62019D" w14:textId="77777777" w:rsidR="00171D37" w:rsidRPr="00386E47" w:rsidRDefault="00A444F8" w:rsidP="003A5860">
      <w:pPr>
        <w:pStyle w:val="ListParagraph"/>
        <w:numPr>
          <w:ilvl w:val="0"/>
          <w:numId w:val="55"/>
        </w:numPr>
        <w:tabs>
          <w:tab w:val="left" w:pos="567"/>
        </w:tabs>
        <w:ind w:left="0" w:firstLine="0"/>
        <w:jc w:val="both"/>
        <w:rPr>
          <w:lang w:val="es-ES"/>
        </w:rPr>
      </w:pPr>
      <w:r w:rsidRPr="00386E47">
        <w:rPr>
          <w:rFonts w:asciiTheme="majorHAnsi" w:eastAsia="Calibri" w:hAnsiTheme="majorHAnsi"/>
          <w:sz w:val="20"/>
          <w:szCs w:val="20"/>
          <w:lang w:val="es-US"/>
        </w:rPr>
        <w:t xml:space="preserve">El derecho a la integridad personal, consagrado en el artículo 5(1) de la Convención Americana, establece que “toda persona tiene derecho a que se respete su integridad física, psíquica y moral”. </w:t>
      </w:r>
      <w:r w:rsidR="00D93236" w:rsidRPr="00386E47">
        <w:rPr>
          <w:lang w:val="es-ES"/>
        </w:rPr>
        <w:t xml:space="preserve"> </w:t>
      </w:r>
      <w:r w:rsidRPr="00386E47">
        <w:rPr>
          <w:rFonts w:asciiTheme="majorHAnsi" w:eastAsia="Calibri" w:hAnsiTheme="majorHAnsi"/>
          <w:sz w:val="20"/>
          <w:szCs w:val="20"/>
          <w:lang w:val="es-US"/>
        </w:rPr>
        <w:t>Los órganos del sistema interamericano han indicado en reiteradas oportunidades que los familiares de las víctimas de ciertas graves violaciones de derechos humanos, pueden, a su vez, resultar víctimas de violaciones de su integridad personal</w:t>
      </w:r>
      <w:r w:rsidRPr="00386E47">
        <w:rPr>
          <w:sz w:val="20"/>
          <w:szCs w:val="20"/>
          <w:vertAlign w:val="superscript"/>
          <w:lang w:val="es-ES"/>
        </w:rPr>
        <w:footnoteReference w:id="303"/>
      </w:r>
      <w:r w:rsidRPr="00386E47">
        <w:rPr>
          <w:rFonts w:asciiTheme="majorHAnsi" w:eastAsia="Calibri" w:hAnsiTheme="majorHAnsi"/>
          <w:sz w:val="20"/>
          <w:szCs w:val="20"/>
          <w:lang w:val="es-US"/>
        </w:rPr>
        <w:t>. En est</w:t>
      </w:r>
      <w:r w:rsidR="0056350A" w:rsidRPr="00386E47">
        <w:rPr>
          <w:rFonts w:asciiTheme="majorHAnsi" w:eastAsia="Calibri" w:hAnsiTheme="majorHAnsi"/>
          <w:sz w:val="20"/>
          <w:szCs w:val="20"/>
          <w:lang w:val="es-US"/>
        </w:rPr>
        <w:t>e</w:t>
      </w:r>
      <w:r w:rsidRPr="00386E47">
        <w:rPr>
          <w:rFonts w:asciiTheme="majorHAnsi" w:eastAsia="Calibri" w:hAnsiTheme="majorHAnsi"/>
          <w:sz w:val="20"/>
          <w:szCs w:val="20"/>
          <w:lang w:val="es-US"/>
        </w:rPr>
        <w:t xml:space="preserve"> sentido, la Corte ha determinado en múltiples oportunidades que se debe considerar “violado el derecho a la integridad psíquica y moral de los familiares de las víctimas con motivo del sufrimiento y angustia adicionales que éstos han padecido a causa de las actuaciones u omisiones posteriores de las autoridades estatales con respecto a esos hechos y debido a la ausencia de recursos efectivos”</w:t>
      </w:r>
      <w:r w:rsidRPr="00386E47">
        <w:rPr>
          <w:sz w:val="20"/>
          <w:szCs w:val="20"/>
          <w:vertAlign w:val="superscript"/>
          <w:lang w:val="es-ES"/>
        </w:rPr>
        <w:footnoteReference w:id="304"/>
      </w:r>
      <w:r w:rsidRPr="00386E47">
        <w:rPr>
          <w:rFonts w:asciiTheme="majorHAnsi" w:eastAsia="Calibri" w:hAnsiTheme="majorHAnsi"/>
          <w:sz w:val="20"/>
          <w:szCs w:val="20"/>
          <w:lang w:val="es-US"/>
        </w:rPr>
        <w:t>. En efecto, “la ausencia de una investigación completa y efectiva sobre los hechos constituye una fuente de sufrimiento y angustia adicional para las víctimas y sus familiares, quienes tienen el derecho de conocer la verdad de lo ocurrido. Dicho derecho a la verdad exige la determinación procesal de la más completa verdad histórica posible”</w:t>
      </w:r>
      <w:r w:rsidRPr="00386E47">
        <w:rPr>
          <w:sz w:val="20"/>
          <w:szCs w:val="20"/>
          <w:vertAlign w:val="superscript"/>
        </w:rPr>
        <w:footnoteReference w:id="305"/>
      </w:r>
      <w:r w:rsidRPr="00386E47">
        <w:rPr>
          <w:rFonts w:asciiTheme="majorHAnsi" w:eastAsia="Calibri" w:hAnsiTheme="majorHAnsi"/>
          <w:sz w:val="20"/>
          <w:szCs w:val="20"/>
          <w:lang w:val="es-US"/>
        </w:rPr>
        <w:t xml:space="preserve">. </w:t>
      </w:r>
    </w:p>
    <w:p w14:paraId="5DE4AF43" w14:textId="77777777" w:rsidR="00171D37" w:rsidRPr="00386E47" w:rsidRDefault="00171D37" w:rsidP="002847DD">
      <w:pPr>
        <w:rPr>
          <w:rFonts w:asciiTheme="majorHAnsi" w:eastAsia="Calibri" w:hAnsiTheme="majorHAnsi"/>
          <w:sz w:val="20"/>
          <w:szCs w:val="20"/>
          <w:lang w:val="es-US"/>
        </w:rPr>
      </w:pPr>
    </w:p>
    <w:p w14:paraId="29248544" w14:textId="77777777" w:rsidR="00A444F8" w:rsidRPr="00386E47" w:rsidRDefault="00D93236" w:rsidP="003A5860">
      <w:pPr>
        <w:pStyle w:val="ListParagraph"/>
        <w:numPr>
          <w:ilvl w:val="0"/>
          <w:numId w:val="55"/>
        </w:numPr>
        <w:ind w:left="0" w:firstLine="0"/>
        <w:jc w:val="both"/>
        <w:rPr>
          <w:sz w:val="20"/>
          <w:szCs w:val="20"/>
          <w:lang w:val="es-US"/>
        </w:rPr>
      </w:pPr>
      <w:r w:rsidRPr="00386E47">
        <w:rPr>
          <w:sz w:val="20"/>
          <w:szCs w:val="20"/>
          <w:lang w:val="es-US"/>
        </w:rPr>
        <w:t>Por su parte</w:t>
      </w:r>
      <w:r w:rsidR="00A444F8" w:rsidRPr="00386E47">
        <w:rPr>
          <w:sz w:val="20"/>
          <w:szCs w:val="20"/>
          <w:lang w:val="es-US"/>
        </w:rPr>
        <w:t>, la Comisión observa que en el Informe de 2012 de</w:t>
      </w:r>
      <w:r w:rsidR="00A444F8" w:rsidRPr="00386E47">
        <w:rPr>
          <w:sz w:val="20"/>
          <w:szCs w:val="20"/>
          <w:lang w:val="es-ES"/>
        </w:rPr>
        <w:t xml:space="preserve">l Relator Especial de Naciones Unidas sobre la promoción y la protección de los derechos humanos y las libertades fundamentales en la lucha contra el terrorismo se destaca la importancia de reconocer y reparar integralmente a las </w:t>
      </w:r>
      <w:r w:rsidR="0056350A" w:rsidRPr="00386E47">
        <w:rPr>
          <w:sz w:val="20"/>
          <w:szCs w:val="20"/>
          <w:lang w:val="es-ES"/>
        </w:rPr>
        <w:t>víctimas de</w:t>
      </w:r>
      <w:r w:rsidR="00A444F8" w:rsidRPr="00386E47">
        <w:rPr>
          <w:sz w:val="20"/>
          <w:szCs w:val="20"/>
          <w:lang w:val="es-ES"/>
        </w:rPr>
        <w:t xml:space="preserve"> terrorismo. También </w:t>
      </w:r>
      <w:r w:rsidR="00A444F8" w:rsidRPr="00386E47">
        <w:rPr>
          <w:sz w:val="20"/>
          <w:szCs w:val="20"/>
          <w:lang w:val="es-ES"/>
        </w:rPr>
        <w:lastRenderedPageBreak/>
        <w:t>reconoce que aquellas tienen derecho a constituir organizaciones representativas y que “[l]</w:t>
      </w:r>
      <w:r w:rsidR="00A444F8" w:rsidRPr="00386E47">
        <w:rPr>
          <w:sz w:val="20"/>
          <w:szCs w:val="20"/>
          <w:lang w:val="es-US"/>
        </w:rPr>
        <w:t>os Estados deben también asegurar los derechos de las organizaciones que representen a víctimas del terrorismo de no ser objeto de injerencia ilícita por parte de entidades no estatales”</w:t>
      </w:r>
      <w:r w:rsidR="00A444F8" w:rsidRPr="00386E47">
        <w:rPr>
          <w:rStyle w:val="FootnoteReference"/>
          <w:rFonts w:asciiTheme="majorHAnsi" w:hAnsiTheme="majorHAnsi"/>
          <w:sz w:val="20"/>
          <w:szCs w:val="20"/>
        </w:rPr>
        <w:footnoteReference w:id="306"/>
      </w:r>
      <w:r w:rsidR="00A444F8" w:rsidRPr="00386E47">
        <w:rPr>
          <w:sz w:val="20"/>
          <w:szCs w:val="20"/>
          <w:lang w:val="es-US"/>
        </w:rPr>
        <w:t xml:space="preserve">. Además, indica, que una reparación plena y efectiva debe incluir, en forma apropiada, la restitución, la indemnización, la rehabilitación, la satisfacción y las garantías de no repetición. </w:t>
      </w:r>
    </w:p>
    <w:p w14:paraId="79195911" w14:textId="77777777" w:rsidR="00A444F8" w:rsidRPr="00386E47" w:rsidRDefault="00A444F8" w:rsidP="00A444F8">
      <w:pPr>
        <w:tabs>
          <w:tab w:val="left" w:pos="567"/>
        </w:tabs>
        <w:jc w:val="both"/>
        <w:rPr>
          <w:rFonts w:asciiTheme="majorHAnsi" w:eastAsia="Calibri" w:hAnsiTheme="majorHAnsi"/>
          <w:sz w:val="20"/>
          <w:szCs w:val="20"/>
          <w:lang w:val="es-US"/>
        </w:rPr>
      </w:pPr>
    </w:p>
    <w:p w14:paraId="5C7AD96F" w14:textId="77777777" w:rsidR="00A444F8" w:rsidRPr="00386E47" w:rsidRDefault="00A444F8" w:rsidP="003A5860">
      <w:pPr>
        <w:pStyle w:val="ListParagraph"/>
        <w:numPr>
          <w:ilvl w:val="0"/>
          <w:numId w:val="55"/>
        </w:numPr>
        <w:ind w:left="0" w:firstLine="0"/>
        <w:jc w:val="both"/>
        <w:rPr>
          <w:rFonts w:asciiTheme="majorHAnsi" w:eastAsia="Calibri" w:hAnsiTheme="majorHAnsi"/>
          <w:sz w:val="20"/>
          <w:szCs w:val="20"/>
          <w:lang w:val="es-US"/>
        </w:rPr>
      </w:pPr>
      <w:r w:rsidRPr="00386E47">
        <w:rPr>
          <w:rFonts w:asciiTheme="majorHAnsi" w:eastAsia="Calibri" w:hAnsiTheme="majorHAnsi" w:cs="Arial"/>
          <w:sz w:val="20"/>
          <w:szCs w:val="20"/>
          <w:lang w:val="es-ES"/>
        </w:rPr>
        <w:t xml:space="preserve">La Comisión </w:t>
      </w:r>
      <w:r w:rsidR="00BD144A" w:rsidRPr="00386E47">
        <w:rPr>
          <w:rFonts w:asciiTheme="majorHAnsi" w:eastAsia="Calibri" w:hAnsiTheme="majorHAnsi" w:cs="Verdana"/>
          <w:sz w:val="20"/>
          <w:szCs w:val="20"/>
          <w:lang w:val="es-US" w:eastAsia="pt-BR"/>
        </w:rPr>
        <w:t xml:space="preserve">encuentra </w:t>
      </w:r>
      <w:r w:rsidR="00D93236" w:rsidRPr="00386E47">
        <w:rPr>
          <w:rFonts w:asciiTheme="majorHAnsi" w:eastAsia="Calibri" w:hAnsiTheme="majorHAnsi" w:cs="Verdana"/>
          <w:sz w:val="20"/>
          <w:szCs w:val="20"/>
          <w:lang w:val="es-US" w:eastAsia="pt-BR"/>
        </w:rPr>
        <w:t>que,</w:t>
      </w:r>
      <w:r w:rsidR="00BD144A" w:rsidRPr="00386E47">
        <w:rPr>
          <w:rFonts w:asciiTheme="majorHAnsi" w:eastAsia="Calibri" w:hAnsiTheme="majorHAnsi" w:cs="Verdana"/>
          <w:sz w:val="20"/>
          <w:szCs w:val="20"/>
          <w:lang w:val="es-US" w:eastAsia="pt-BR"/>
        </w:rPr>
        <w:t xml:space="preserve"> como consecuencia del atentado al edificio de la AMIA, </w:t>
      </w:r>
      <w:r w:rsidRPr="00386E47">
        <w:rPr>
          <w:rFonts w:asciiTheme="majorHAnsi" w:eastAsia="Calibri" w:hAnsiTheme="majorHAnsi" w:cs="Verdana"/>
          <w:sz w:val="20"/>
          <w:szCs w:val="20"/>
          <w:lang w:val="es-US" w:eastAsia="pt-BR"/>
        </w:rPr>
        <w:t xml:space="preserve">85 personas perdieron la vida y 151 resultaron heridas como consecuencia del atentado. </w:t>
      </w:r>
      <w:r w:rsidR="00BD144A" w:rsidRPr="00386E47">
        <w:rPr>
          <w:rFonts w:asciiTheme="majorHAnsi" w:eastAsia="Calibri" w:hAnsiTheme="majorHAnsi" w:cs="Verdana"/>
          <w:sz w:val="20"/>
          <w:szCs w:val="20"/>
          <w:lang w:val="es-US" w:eastAsia="pt-BR"/>
        </w:rPr>
        <w:t xml:space="preserve">La sentencia del TOF 3 contiene un listado de 84 personas fallecidas. La Comisión destaca que, </w:t>
      </w:r>
      <w:r w:rsidR="00BD144A" w:rsidRPr="00386E47">
        <w:rPr>
          <w:rFonts w:asciiTheme="majorHAnsi" w:eastAsia="Calibri" w:hAnsiTheme="majorHAnsi"/>
          <w:sz w:val="20"/>
          <w:szCs w:val="20"/>
          <w:lang w:val="es-US"/>
        </w:rPr>
        <w:t>en su escrito de 30 de diciembre de 2016, los peticionarios manifestaron que una de las víctimas que inicialmente fue presentada como NN, fue identificada recientemente por parte de las autoridades judiciales y hace parte del grupo de</w:t>
      </w:r>
      <w:r w:rsidR="00DE6775" w:rsidRPr="00386E47">
        <w:rPr>
          <w:rFonts w:asciiTheme="majorHAnsi" w:eastAsia="Calibri" w:hAnsiTheme="majorHAnsi"/>
          <w:sz w:val="20"/>
          <w:szCs w:val="20"/>
          <w:lang w:val="es-US"/>
        </w:rPr>
        <w:t xml:space="preserve"> personas que fueron asesinadas. En consecuencia, </w:t>
      </w:r>
      <w:r w:rsidR="00BD144A" w:rsidRPr="00386E47">
        <w:rPr>
          <w:rFonts w:asciiTheme="majorHAnsi" w:eastAsia="Calibri" w:hAnsiTheme="majorHAnsi"/>
          <w:sz w:val="20"/>
          <w:szCs w:val="20"/>
          <w:lang w:val="es-US"/>
        </w:rPr>
        <w:t>el listado total</w:t>
      </w:r>
      <w:r w:rsidR="00434A46" w:rsidRPr="00386E47">
        <w:rPr>
          <w:rFonts w:asciiTheme="majorHAnsi" w:eastAsia="Calibri" w:hAnsiTheme="majorHAnsi"/>
          <w:sz w:val="20"/>
          <w:szCs w:val="20"/>
          <w:lang w:val="es-US"/>
        </w:rPr>
        <w:t xml:space="preserve"> con el que cuenta la </w:t>
      </w:r>
      <w:r w:rsidR="00071CFE" w:rsidRPr="00386E47">
        <w:rPr>
          <w:rFonts w:asciiTheme="majorHAnsi" w:eastAsia="Calibri" w:hAnsiTheme="majorHAnsi"/>
          <w:sz w:val="20"/>
          <w:szCs w:val="20"/>
          <w:lang w:val="es-US"/>
        </w:rPr>
        <w:t>Comisión</w:t>
      </w:r>
      <w:r w:rsidR="00434A46" w:rsidRPr="00386E47">
        <w:rPr>
          <w:rFonts w:asciiTheme="majorHAnsi" w:eastAsia="Calibri" w:hAnsiTheme="majorHAnsi"/>
          <w:sz w:val="20"/>
          <w:szCs w:val="20"/>
          <w:lang w:val="es-US"/>
        </w:rPr>
        <w:t xml:space="preserve"> incluye</w:t>
      </w:r>
      <w:r w:rsidR="00BD144A" w:rsidRPr="00386E47">
        <w:rPr>
          <w:rFonts w:asciiTheme="majorHAnsi" w:eastAsia="Calibri" w:hAnsiTheme="majorHAnsi"/>
          <w:sz w:val="20"/>
          <w:szCs w:val="20"/>
          <w:lang w:val="es-US"/>
        </w:rPr>
        <w:t xml:space="preserve"> es de 85 personas</w:t>
      </w:r>
      <w:r w:rsidR="00434A46" w:rsidRPr="00386E47">
        <w:rPr>
          <w:rFonts w:asciiTheme="majorHAnsi" w:eastAsia="Calibri" w:hAnsiTheme="majorHAnsi"/>
          <w:sz w:val="20"/>
          <w:szCs w:val="20"/>
          <w:lang w:val="es-US"/>
        </w:rPr>
        <w:t xml:space="preserve"> fallecidas y 151 heridas </w:t>
      </w:r>
      <w:r w:rsidRPr="00386E47">
        <w:rPr>
          <w:rFonts w:asciiTheme="majorHAnsi" w:eastAsia="Calibri" w:hAnsiTheme="majorHAnsi"/>
          <w:sz w:val="20"/>
          <w:szCs w:val="20"/>
          <w:vertAlign w:val="superscript"/>
          <w:lang w:val="es-US"/>
        </w:rPr>
        <w:footnoteReference w:id="307"/>
      </w:r>
      <w:r w:rsidRPr="00386E47">
        <w:rPr>
          <w:rFonts w:asciiTheme="majorHAnsi" w:eastAsia="Calibri" w:hAnsiTheme="majorHAnsi"/>
          <w:sz w:val="20"/>
          <w:szCs w:val="20"/>
          <w:lang w:val="es-US"/>
        </w:rPr>
        <w:t>.</w:t>
      </w:r>
    </w:p>
    <w:p w14:paraId="6FF465B1" w14:textId="77777777" w:rsidR="00A444F8" w:rsidRPr="00386E47" w:rsidRDefault="00A444F8" w:rsidP="00A444F8">
      <w:pPr>
        <w:tabs>
          <w:tab w:val="left" w:pos="567"/>
        </w:tabs>
        <w:contextualSpacing/>
        <w:rPr>
          <w:rFonts w:asciiTheme="majorHAnsi" w:eastAsia="Calibri" w:hAnsiTheme="majorHAnsi"/>
          <w:sz w:val="20"/>
          <w:szCs w:val="20"/>
          <w:lang w:val="es-US"/>
        </w:rPr>
      </w:pPr>
    </w:p>
    <w:p w14:paraId="0DEE267F" w14:textId="77777777" w:rsidR="00A444F8" w:rsidRPr="00386E47" w:rsidRDefault="00A444F8" w:rsidP="008A03A7">
      <w:pPr>
        <w:pStyle w:val="ListParagraph"/>
        <w:numPr>
          <w:ilvl w:val="0"/>
          <w:numId w:val="55"/>
        </w:numPr>
        <w:ind w:left="0" w:firstLine="0"/>
        <w:jc w:val="both"/>
        <w:rPr>
          <w:rFonts w:asciiTheme="majorHAnsi" w:eastAsia="Calibri" w:hAnsiTheme="majorHAnsi"/>
          <w:sz w:val="20"/>
          <w:szCs w:val="20"/>
          <w:lang w:val="es-US"/>
        </w:rPr>
      </w:pPr>
      <w:r w:rsidRPr="00386E47">
        <w:rPr>
          <w:rFonts w:asciiTheme="majorHAnsi" w:eastAsia="Calibri" w:hAnsiTheme="majorHAnsi"/>
          <w:sz w:val="20"/>
          <w:szCs w:val="20"/>
          <w:lang w:val="es-US"/>
        </w:rPr>
        <w:t xml:space="preserve">En cuanto a la determinación de los familiares de las víctimas del atentado, la Comisión encuentra que </w:t>
      </w:r>
      <w:r w:rsidR="00DE6775" w:rsidRPr="00386E47">
        <w:rPr>
          <w:rFonts w:asciiTheme="majorHAnsi" w:eastAsia="Calibri" w:hAnsiTheme="majorHAnsi"/>
          <w:sz w:val="20"/>
          <w:szCs w:val="20"/>
          <w:lang w:val="es-US"/>
        </w:rPr>
        <w:t xml:space="preserve">los miembros de la Asociacion Civil Memoria Activa </w:t>
      </w:r>
      <w:r w:rsidRPr="00386E47">
        <w:rPr>
          <w:rFonts w:asciiTheme="majorHAnsi" w:eastAsia="Calibri" w:hAnsiTheme="majorHAnsi"/>
          <w:sz w:val="20"/>
          <w:szCs w:val="20"/>
          <w:lang w:val="es-US"/>
        </w:rPr>
        <w:t>que se indican a continuación son familiares de personas que perdieron la vida o res</w:t>
      </w:r>
      <w:r w:rsidR="00DE6775" w:rsidRPr="00386E47">
        <w:rPr>
          <w:rFonts w:asciiTheme="majorHAnsi" w:eastAsia="Calibri" w:hAnsiTheme="majorHAnsi"/>
          <w:sz w:val="20"/>
          <w:szCs w:val="20"/>
          <w:lang w:val="es-US"/>
        </w:rPr>
        <w:t>ultaron heridas en el atentado; a</w:t>
      </w:r>
      <w:r w:rsidRPr="00386E47">
        <w:rPr>
          <w:rFonts w:asciiTheme="majorHAnsi" w:eastAsia="Calibri" w:hAnsiTheme="majorHAnsi"/>
          <w:sz w:val="20"/>
          <w:szCs w:val="20"/>
          <w:lang w:val="es-US"/>
        </w:rPr>
        <w:t xml:space="preserve"> saber: Adriana Reisfeld, hermana de Noemí Reisfeld fallecida en el atentado; Diana Wassner, quien perdió a su marido Andrés Malamud</w:t>
      </w:r>
      <w:r w:rsidR="008A03A7" w:rsidRPr="00386E47">
        <w:rPr>
          <w:rFonts w:asciiTheme="majorHAnsi" w:eastAsia="Calibri" w:hAnsiTheme="majorHAnsi"/>
          <w:sz w:val="20"/>
          <w:szCs w:val="20"/>
          <w:lang w:val="es-US"/>
        </w:rPr>
        <w:t>;</w:t>
      </w:r>
      <w:r w:rsidRPr="00386E47">
        <w:rPr>
          <w:rFonts w:asciiTheme="majorHAnsi" w:eastAsia="Calibri" w:hAnsiTheme="majorHAnsi"/>
          <w:sz w:val="20"/>
          <w:szCs w:val="20"/>
          <w:lang w:val="es-US"/>
        </w:rPr>
        <w:t xml:space="preserve"> y Jorge Lew</w:t>
      </w:r>
      <w:r w:rsidRPr="00386E47">
        <w:rPr>
          <w:rFonts w:asciiTheme="majorHAnsi" w:eastAsia="Calibri" w:hAnsiTheme="majorHAnsi"/>
          <w:sz w:val="20"/>
          <w:szCs w:val="20"/>
          <w:vertAlign w:val="superscript"/>
          <w:lang w:val="es-US"/>
        </w:rPr>
        <w:footnoteReference w:id="308"/>
      </w:r>
      <w:r w:rsidRPr="00386E47">
        <w:rPr>
          <w:rFonts w:asciiTheme="majorHAnsi" w:eastAsia="Calibri" w:hAnsiTheme="majorHAnsi"/>
          <w:sz w:val="20"/>
          <w:szCs w:val="20"/>
          <w:lang w:val="es-US"/>
        </w:rPr>
        <w:t>, padre de Agustín Lew y esposo de Raquel Lew, quienes perdieron la vida y fueron heridas en el atentado, respectivamente</w:t>
      </w:r>
      <w:r w:rsidRPr="00386E47">
        <w:rPr>
          <w:rFonts w:asciiTheme="majorHAnsi" w:eastAsia="Calibri" w:hAnsiTheme="majorHAnsi"/>
          <w:sz w:val="20"/>
          <w:szCs w:val="20"/>
          <w:vertAlign w:val="superscript"/>
          <w:lang w:val="es-US"/>
        </w:rPr>
        <w:footnoteReference w:id="309"/>
      </w:r>
      <w:r w:rsidRPr="00386E47">
        <w:rPr>
          <w:rFonts w:asciiTheme="majorHAnsi" w:eastAsia="Calibri" w:hAnsiTheme="majorHAnsi"/>
          <w:sz w:val="20"/>
          <w:szCs w:val="20"/>
          <w:lang w:val="es-US"/>
        </w:rPr>
        <w:t>. Igualmente, se tienen como víctimas a los siguientes familiares identificados por los peticionarios: L</w:t>
      </w:r>
      <w:r w:rsidRPr="00386E47">
        <w:rPr>
          <w:rFonts w:asciiTheme="majorHAnsi" w:eastAsia="Calibri" w:hAnsiTheme="majorHAnsi" w:cs="ArialNarrow"/>
          <w:sz w:val="20"/>
          <w:szCs w:val="20"/>
          <w:lang w:val="es-US"/>
        </w:rPr>
        <w:t xml:space="preserve">ucía y Ana Clara Oroño Reisfeld, sobrinas de Adriana Reisfeld e hijas de Noemí Reisfeld; Débora y Astrid Malamud, hijas de Diana Wassner y Andrés Malamud </w:t>
      </w:r>
      <w:r w:rsidR="00574033" w:rsidRPr="00386E47">
        <w:rPr>
          <w:rFonts w:asciiTheme="majorHAnsi" w:eastAsia="Calibri" w:hAnsiTheme="majorHAnsi" w:cs="ArialNarrow"/>
          <w:sz w:val="20"/>
          <w:szCs w:val="20"/>
          <w:lang w:val="es-US"/>
        </w:rPr>
        <w:t>y Nicolás</w:t>
      </w:r>
      <w:r w:rsidRPr="00386E47">
        <w:rPr>
          <w:rFonts w:asciiTheme="majorHAnsi" w:eastAsia="Calibri" w:hAnsiTheme="majorHAnsi"/>
          <w:sz w:val="20"/>
          <w:szCs w:val="20"/>
          <w:lang w:val="es-US"/>
        </w:rPr>
        <w:t xml:space="preserve"> Lew - </w:t>
      </w:r>
      <w:r w:rsidR="00584B30" w:rsidRPr="00386E47">
        <w:rPr>
          <w:rFonts w:asciiTheme="majorHAnsi" w:eastAsia="Calibri" w:hAnsiTheme="majorHAnsi"/>
          <w:sz w:val="20"/>
          <w:szCs w:val="20"/>
          <w:lang w:val="es-US"/>
        </w:rPr>
        <w:t>hijo de Jorge Lew y Raquel Lew.</w:t>
      </w:r>
      <w:r w:rsidR="00D93236" w:rsidRPr="00386E47">
        <w:rPr>
          <w:rFonts w:asciiTheme="majorHAnsi" w:eastAsia="Calibri" w:hAnsiTheme="majorHAnsi"/>
          <w:sz w:val="20"/>
          <w:szCs w:val="20"/>
          <w:lang w:val="es-US"/>
        </w:rPr>
        <w:t xml:space="preserve"> </w:t>
      </w:r>
      <w:r w:rsidR="00434A46" w:rsidRPr="00386E47">
        <w:rPr>
          <w:rFonts w:asciiTheme="majorHAnsi" w:eastAsia="Calibri" w:hAnsiTheme="majorHAnsi"/>
          <w:sz w:val="20"/>
          <w:szCs w:val="20"/>
          <w:lang w:val="es-US"/>
        </w:rPr>
        <w:t xml:space="preserve">La </w:t>
      </w:r>
      <w:r w:rsidR="00071CFE" w:rsidRPr="00386E47">
        <w:rPr>
          <w:rFonts w:asciiTheme="majorHAnsi" w:eastAsia="Calibri" w:hAnsiTheme="majorHAnsi"/>
          <w:sz w:val="20"/>
          <w:szCs w:val="20"/>
          <w:lang w:val="es-US"/>
        </w:rPr>
        <w:t>Comisión</w:t>
      </w:r>
      <w:r w:rsidR="00434A46" w:rsidRPr="00386E47">
        <w:rPr>
          <w:rFonts w:asciiTheme="majorHAnsi" w:eastAsia="Calibri" w:hAnsiTheme="majorHAnsi"/>
          <w:sz w:val="20"/>
          <w:szCs w:val="20"/>
          <w:lang w:val="es-US"/>
        </w:rPr>
        <w:t xml:space="preserve"> no cuenta con </w:t>
      </w:r>
      <w:r w:rsidR="00071CFE" w:rsidRPr="00386E47">
        <w:rPr>
          <w:rFonts w:asciiTheme="majorHAnsi" w:eastAsia="Calibri" w:hAnsiTheme="majorHAnsi"/>
          <w:sz w:val="20"/>
          <w:szCs w:val="20"/>
          <w:lang w:val="es-US"/>
        </w:rPr>
        <w:t>información</w:t>
      </w:r>
      <w:r w:rsidR="00434A46" w:rsidRPr="00386E47">
        <w:rPr>
          <w:rFonts w:asciiTheme="majorHAnsi" w:eastAsia="Calibri" w:hAnsiTheme="majorHAnsi"/>
          <w:sz w:val="20"/>
          <w:szCs w:val="20"/>
          <w:lang w:val="es-US"/>
        </w:rPr>
        <w:t xml:space="preserve"> que le permita realizar un listado exhaustivo de</w:t>
      </w:r>
      <w:r w:rsidR="00071CFE" w:rsidRPr="00386E47">
        <w:rPr>
          <w:rFonts w:asciiTheme="majorHAnsi" w:eastAsia="Calibri" w:hAnsiTheme="majorHAnsi"/>
          <w:sz w:val="20"/>
          <w:szCs w:val="20"/>
          <w:lang w:val="es-US"/>
        </w:rPr>
        <w:t xml:space="preserve"> los familiares </w:t>
      </w:r>
      <w:r w:rsidR="008A03A7" w:rsidRPr="00386E47">
        <w:rPr>
          <w:rFonts w:asciiTheme="majorHAnsi" w:eastAsia="Calibri" w:hAnsiTheme="majorHAnsi"/>
          <w:sz w:val="20"/>
          <w:szCs w:val="20"/>
          <w:lang w:val="es-US"/>
        </w:rPr>
        <w:t>de las restantes</w:t>
      </w:r>
      <w:r w:rsidR="00071CFE" w:rsidRPr="00386E47">
        <w:rPr>
          <w:rFonts w:asciiTheme="majorHAnsi" w:eastAsia="Calibri" w:hAnsiTheme="majorHAnsi"/>
          <w:sz w:val="20"/>
          <w:szCs w:val="20"/>
          <w:lang w:val="es-US"/>
        </w:rPr>
        <w:t xml:space="preserve"> </w:t>
      </w:r>
      <w:r w:rsidR="00C80B58" w:rsidRPr="00386E47">
        <w:rPr>
          <w:rFonts w:asciiTheme="majorHAnsi" w:eastAsia="Calibri" w:hAnsiTheme="majorHAnsi"/>
          <w:sz w:val="20"/>
          <w:szCs w:val="20"/>
          <w:lang w:val="es-US"/>
        </w:rPr>
        <w:t xml:space="preserve">victimas fallecidas y heridas en el atentado. </w:t>
      </w:r>
      <w:r w:rsidR="00071CFE" w:rsidRPr="00386E47">
        <w:rPr>
          <w:rFonts w:asciiTheme="majorHAnsi" w:eastAsia="Calibri" w:hAnsiTheme="majorHAnsi"/>
          <w:sz w:val="20"/>
          <w:szCs w:val="20"/>
          <w:lang w:val="es-US"/>
        </w:rPr>
        <w:t xml:space="preserve"> </w:t>
      </w:r>
      <w:r w:rsidR="00434A46" w:rsidRPr="00386E47">
        <w:rPr>
          <w:rFonts w:asciiTheme="majorHAnsi" w:eastAsia="Calibri" w:hAnsiTheme="majorHAnsi"/>
          <w:sz w:val="20"/>
          <w:szCs w:val="20"/>
          <w:lang w:val="es-US"/>
        </w:rPr>
        <w:t xml:space="preserve"> </w:t>
      </w:r>
    </w:p>
    <w:p w14:paraId="04479EE5" w14:textId="77777777" w:rsidR="00D2232D" w:rsidRPr="00386E47" w:rsidRDefault="00D2232D" w:rsidP="00D559BA">
      <w:pPr>
        <w:rPr>
          <w:rFonts w:asciiTheme="majorHAnsi" w:eastAsia="Calibri" w:hAnsiTheme="majorHAnsi"/>
          <w:sz w:val="20"/>
          <w:szCs w:val="20"/>
          <w:lang w:val="es-US"/>
        </w:rPr>
      </w:pPr>
    </w:p>
    <w:p w14:paraId="4AA778FA" w14:textId="77777777" w:rsidR="00D2232D" w:rsidRPr="00386E47" w:rsidRDefault="00D2232D" w:rsidP="003A5860">
      <w:pPr>
        <w:pStyle w:val="ListParagraph"/>
        <w:numPr>
          <w:ilvl w:val="0"/>
          <w:numId w:val="55"/>
        </w:numPr>
        <w:ind w:left="0" w:firstLine="0"/>
        <w:jc w:val="both"/>
        <w:rPr>
          <w:rFonts w:asciiTheme="majorHAnsi" w:eastAsia="Calibri" w:hAnsiTheme="majorHAnsi"/>
          <w:sz w:val="20"/>
          <w:szCs w:val="20"/>
          <w:lang w:val="es-US"/>
        </w:rPr>
      </w:pPr>
      <w:r w:rsidRPr="00386E47">
        <w:rPr>
          <w:rFonts w:asciiTheme="majorHAnsi" w:eastAsia="Calibri" w:hAnsiTheme="majorHAnsi"/>
          <w:sz w:val="20"/>
          <w:szCs w:val="20"/>
          <w:lang w:val="es-US"/>
        </w:rPr>
        <w:t xml:space="preserve">En relación con </w:t>
      </w:r>
      <w:r w:rsidR="00DE6775" w:rsidRPr="00386E47">
        <w:rPr>
          <w:rFonts w:asciiTheme="majorHAnsi" w:eastAsia="Calibri" w:hAnsiTheme="majorHAnsi"/>
          <w:sz w:val="20"/>
          <w:szCs w:val="20"/>
          <w:lang w:val="es-US"/>
        </w:rPr>
        <w:t xml:space="preserve">las </w:t>
      </w:r>
      <w:r w:rsidRPr="00386E47">
        <w:rPr>
          <w:rFonts w:asciiTheme="majorHAnsi" w:eastAsia="Calibri" w:hAnsiTheme="majorHAnsi"/>
          <w:sz w:val="20"/>
          <w:szCs w:val="20"/>
          <w:lang w:val="es-US"/>
        </w:rPr>
        <w:t>afectaciones</w:t>
      </w:r>
      <w:r w:rsidR="00D559BA" w:rsidRPr="00386E47">
        <w:rPr>
          <w:rFonts w:asciiTheme="majorHAnsi" w:eastAsia="Calibri" w:hAnsiTheme="majorHAnsi"/>
          <w:sz w:val="20"/>
          <w:szCs w:val="20"/>
          <w:lang w:val="es-US"/>
        </w:rPr>
        <w:t xml:space="preserve"> que han sufrido los familiares de las víctimas del atentado</w:t>
      </w:r>
      <w:r w:rsidRPr="00386E47">
        <w:rPr>
          <w:rFonts w:asciiTheme="majorHAnsi" w:eastAsia="Calibri" w:hAnsiTheme="majorHAnsi"/>
          <w:sz w:val="20"/>
          <w:szCs w:val="20"/>
          <w:lang w:val="es-US"/>
        </w:rPr>
        <w:t>, la Comisión observa que Diana Wassner, quien perdió a su marido Andrés Malamud en el atentado</w:t>
      </w:r>
      <w:r w:rsidR="00D559BA" w:rsidRPr="00386E47">
        <w:rPr>
          <w:rFonts w:asciiTheme="majorHAnsi" w:eastAsia="Calibri" w:hAnsiTheme="majorHAnsi"/>
          <w:sz w:val="20"/>
          <w:szCs w:val="20"/>
          <w:lang w:val="es-US"/>
        </w:rPr>
        <w:t>,</w:t>
      </w:r>
      <w:r w:rsidRPr="00386E47">
        <w:rPr>
          <w:rFonts w:asciiTheme="majorHAnsi" w:eastAsia="Calibri" w:hAnsiTheme="majorHAnsi"/>
          <w:sz w:val="20"/>
          <w:szCs w:val="20"/>
          <w:lang w:val="es-US"/>
        </w:rPr>
        <w:t xml:space="preserve"> declaró </w:t>
      </w:r>
      <w:r w:rsidR="00DE6775" w:rsidRPr="00386E47">
        <w:rPr>
          <w:rFonts w:asciiTheme="majorHAnsi" w:eastAsia="Calibri" w:hAnsiTheme="majorHAnsi"/>
          <w:sz w:val="20"/>
          <w:szCs w:val="20"/>
          <w:lang w:val="es-US"/>
        </w:rPr>
        <w:t>en la audiencia pública convocada en el 174° Periodo de Sesiones</w:t>
      </w:r>
      <w:r w:rsidRPr="00386E47">
        <w:rPr>
          <w:rFonts w:asciiTheme="majorHAnsi" w:eastAsia="Calibri" w:hAnsiTheme="majorHAnsi"/>
          <w:sz w:val="20"/>
          <w:szCs w:val="20"/>
          <w:lang w:val="es-US"/>
        </w:rPr>
        <w:t xml:space="preserve"> </w:t>
      </w:r>
      <w:r w:rsidR="00D559BA" w:rsidRPr="00386E47">
        <w:rPr>
          <w:rFonts w:asciiTheme="majorHAnsi" w:eastAsia="Calibri" w:hAnsiTheme="majorHAnsi"/>
          <w:sz w:val="20"/>
          <w:szCs w:val="20"/>
          <w:lang w:val="es-US"/>
        </w:rPr>
        <w:t>que “esto ha partido a mi familia de un modo difícil de explicar, éramos muy jóvenes y pensábamos que teníamos una vida por delante y teníamos una hermosa familia por delante[,..] la verdad es que</w:t>
      </w:r>
      <w:r w:rsidR="00DE6775" w:rsidRPr="00386E47">
        <w:rPr>
          <w:rFonts w:asciiTheme="majorHAnsi" w:eastAsia="Calibri" w:hAnsiTheme="majorHAnsi"/>
          <w:sz w:val="20"/>
          <w:szCs w:val="20"/>
          <w:lang w:val="es-US"/>
        </w:rPr>
        <w:t xml:space="preserve"> el</w:t>
      </w:r>
      <w:r w:rsidR="00D559BA" w:rsidRPr="00386E47">
        <w:rPr>
          <w:rFonts w:asciiTheme="majorHAnsi" w:eastAsia="Calibri" w:hAnsiTheme="majorHAnsi"/>
          <w:sz w:val="20"/>
          <w:szCs w:val="20"/>
          <w:lang w:val="es-US"/>
        </w:rPr>
        <w:t xml:space="preserve"> atentado vino a cortarnos todas estas cosas y destruir</w:t>
      </w:r>
      <w:r w:rsidR="00DE6775" w:rsidRPr="00386E47">
        <w:rPr>
          <w:rFonts w:asciiTheme="majorHAnsi" w:eastAsia="Calibri" w:hAnsiTheme="majorHAnsi"/>
          <w:sz w:val="20"/>
          <w:szCs w:val="20"/>
          <w:lang w:val="es-US"/>
        </w:rPr>
        <w:t>nos o intentar destruirnos […]”</w:t>
      </w:r>
      <w:r w:rsidR="00D559BA" w:rsidRPr="00386E47">
        <w:rPr>
          <w:rFonts w:asciiTheme="majorHAnsi" w:eastAsia="Calibri" w:hAnsiTheme="majorHAnsi"/>
          <w:sz w:val="20"/>
          <w:szCs w:val="20"/>
          <w:lang w:val="es-US"/>
        </w:rPr>
        <w:t>. Asimismo, indicó que en relación con la actuación estatal que</w:t>
      </w:r>
      <w:r w:rsidRPr="00386E47">
        <w:rPr>
          <w:rFonts w:asciiTheme="majorHAnsi" w:eastAsia="Calibri" w:hAnsiTheme="majorHAnsi"/>
          <w:sz w:val="20"/>
          <w:szCs w:val="20"/>
          <w:lang w:val="es-US"/>
        </w:rPr>
        <w:t xml:space="preserve"> “lo que siento y pienso del Estado argentino es muy doloroso, </w:t>
      </w:r>
      <w:r w:rsidR="00D559BA" w:rsidRPr="00386E47">
        <w:rPr>
          <w:rFonts w:asciiTheme="majorHAnsi" w:eastAsia="Calibri" w:hAnsiTheme="majorHAnsi"/>
          <w:sz w:val="20"/>
          <w:szCs w:val="20"/>
          <w:lang w:val="es-US"/>
        </w:rPr>
        <w:t>fundamentalmente</w:t>
      </w:r>
      <w:r w:rsidRPr="00386E47">
        <w:rPr>
          <w:rFonts w:asciiTheme="majorHAnsi" w:eastAsia="Calibri" w:hAnsiTheme="majorHAnsi"/>
          <w:sz w:val="20"/>
          <w:szCs w:val="20"/>
          <w:lang w:val="es-US"/>
        </w:rPr>
        <w:t xml:space="preserve"> porque me duele que </w:t>
      </w:r>
      <w:r w:rsidR="00D559BA" w:rsidRPr="00386E47">
        <w:rPr>
          <w:rFonts w:asciiTheme="majorHAnsi" w:eastAsia="Calibri" w:hAnsiTheme="majorHAnsi"/>
          <w:sz w:val="20"/>
          <w:szCs w:val="20"/>
          <w:lang w:val="es-US"/>
        </w:rPr>
        <w:t>mis hijas</w:t>
      </w:r>
      <w:r w:rsidRPr="00386E47">
        <w:rPr>
          <w:rFonts w:asciiTheme="majorHAnsi" w:eastAsia="Calibri" w:hAnsiTheme="majorHAnsi"/>
          <w:sz w:val="20"/>
          <w:szCs w:val="20"/>
          <w:lang w:val="es-US"/>
        </w:rPr>
        <w:t xml:space="preserve"> hayan elegido irse a vivir a otros países porque no quieren estar en un lugar que no les ofreció una respuesta por la muerte de su papá. Es muy difícil pues hemos tenido que cargar en las espaldas de los familiares toda esta lucha y no es el lugar que les corresponde”. Por su </w:t>
      </w:r>
      <w:r w:rsidR="00D559BA" w:rsidRPr="00386E47">
        <w:rPr>
          <w:rFonts w:asciiTheme="majorHAnsi" w:eastAsia="Calibri" w:hAnsiTheme="majorHAnsi"/>
          <w:sz w:val="20"/>
          <w:szCs w:val="20"/>
          <w:lang w:val="es-US"/>
        </w:rPr>
        <w:t>parte, Adriana Reisfeld, hermana de Noemí Reisfeld quien trabajaba en el edificio de la AMIA y falle</w:t>
      </w:r>
      <w:r w:rsidR="00DE6775" w:rsidRPr="00386E47">
        <w:rPr>
          <w:rFonts w:asciiTheme="majorHAnsi" w:eastAsia="Calibri" w:hAnsiTheme="majorHAnsi"/>
          <w:sz w:val="20"/>
          <w:szCs w:val="20"/>
          <w:lang w:val="es-US"/>
        </w:rPr>
        <w:t>ció en el atentado declaró que</w:t>
      </w:r>
      <w:r w:rsidR="00D559BA" w:rsidRPr="00386E47">
        <w:rPr>
          <w:rFonts w:asciiTheme="majorHAnsi" w:eastAsia="Calibri" w:hAnsiTheme="majorHAnsi"/>
          <w:sz w:val="20"/>
          <w:szCs w:val="20"/>
          <w:lang w:val="es-US"/>
        </w:rPr>
        <w:t xml:space="preserve"> desde hace más de 20 años se encuentra en el proceso de obtención de justicia, siendo que los familiares fueron unidos “por el horror”. Asimismo, relató los esfuerzos que han realizado los familiares por denunciar las irregularidades en la investigación.</w:t>
      </w:r>
      <w:r w:rsidR="0038685F" w:rsidRPr="00386E47">
        <w:rPr>
          <w:rFonts w:asciiTheme="majorHAnsi" w:eastAsia="Calibri" w:hAnsiTheme="majorHAnsi"/>
          <w:sz w:val="20"/>
          <w:szCs w:val="20"/>
          <w:lang w:val="es-US"/>
        </w:rPr>
        <w:t xml:space="preserve"> Agregó que “siempre teníamos que dar las razones sobre por qué reclamábamos justicia [..]”. </w:t>
      </w:r>
    </w:p>
    <w:p w14:paraId="15D8FB18" w14:textId="77777777" w:rsidR="00D93236" w:rsidRPr="00386E47" w:rsidRDefault="00D93236" w:rsidP="00D93236">
      <w:pPr>
        <w:pStyle w:val="ListParagraph"/>
        <w:ind w:left="0"/>
        <w:jc w:val="both"/>
        <w:rPr>
          <w:rFonts w:asciiTheme="majorHAnsi" w:eastAsia="Calibri" w:hAnsiTheme="majorHAnsi"/>
          <w:sz w:val="20"/>
          <w:szCs w:val="20"/>
          <w:lang w:val="es-US"/>
        </w:rPr>
      </w:pPr>
    </w:p>
    <w:p w14:paraId="40258D41" w14:textId="77777777" w:rsidR="00D559BA" w:rsidRPr="00386E47" w:rsidRDefault="0038685F" w:rsidP="003A5860">
      <w:pPr>
        <w:pStyle w:val="ListParagraph"/>
        <w:numPr>
          <w:ilvl w:val="0"/>
          <w:numId w:val="55"/>
        </w:numPr>
        <w:ind w:left="0" w:firstLine="0"/>
        <w:jc w:val="both"/>
        <w:rPr>
          <w:rFonts w:asciiTheme="majorHAnsi" w:eastAsia="Calibri" w:hAnsiTheme="majorHAnsi"/>
          <w:sz w:val="20"/>
          <w:szCs w:val="20"/>
          <w:lang w:val="es-US"/>
        </w:rPr>
      </w:pPr>
      <w:r w:rsidRPr="00386E47">
        <w:rPr>
          <w:rFonts w:asciiTheme="majorHAnsi" w:eastAsia="Calibri" w:hAnsiTheme="majorHAnsi" w:cs="Verdana"/>
          <w:sz w:val="20"/>
          <w:szCs w:val="20"/>
          <w:lang w:val="es-US" w:eastAsia="pt-BR"/>
        </w:rPr>
        <w:t>La Comisión</w:t>
      </w:r>
      <w:r w:rsidR="00D559BA" w:rsidRPr="00386E47">
        <w:rPr>
          <w:rFonts w:asciiTheme="majorHAnsi" w:eastAsia="Calibri" w:hAnsiTheme="majorHAnsi" w:cs="Verdana"/>
          <w:sz w:val="20"/>
          <w:szCs w:val="20"/>
          <w:lang w:val="es-US" w:eastAsia="pt-BR"/>
        </w:rPr>
        <w:t xml:space="preserve"> </w:t>
      </w:r>
      <w:r w:rsidR="00D559BA" w:rsidRPr="00386E47">
        <w:rPr>
          <w:rFonts w:asciiTheme="majorHAnsi" w:eastAsia="Calibri" w:hAnsiTheme="majorHAnsi"/>
          <w:sz w:val="20"/>
          <w:szCs w:val="20"/>
          <w:lang w:val="es-ES"/>
        </w:rPr>
        <w:t xml:space="preserve">considera que las </w:t>
      </w:r>
      <w:r w:rsidRPr="00386E47">
        <w:rPr>
          <w:rFonts w:asciiTheme="majorHAnsi" w:eastAsia="Calibri" w:hAnsiTheme="majorHAnsi"/>
          <w:sz w:val="20"/>
          <w:szCs w:val="20"/>
          <w:lang w:val="es-ES"/>
        </w:rPr>
        <w:t xml:space="preserve">graves </w:t>
      </w:r>
      <w:r w:rsidR="00D559BA" w:rsidRPr="00386E47">
        <w:rPr>
          <w:rFonts w:asciiTheme="majorHAnsi" w:eastAsia="Calibri" w:hAnsiTheme="majorHAnsi"/>
          <w:sz w:val="20"/>
          <w:szCs w:val="20"/>
          <w:lang w:val="es-ES"/>
        </w:rPr>
        <w:t xml:space="preserve">violaciones a derechos humanos que sufrieron las víctimas del presente </w:t>
      </w:r>
      <w:r w:rsidRPr="00386E47">
        <w:rPr>
          <w:rFonts w:asciiTheme="majorHAnsi" w:eastAsia="Calibri" w:hAnsiTheme="majorHAnsi"/>
          <w:sz w:val="20"/>
          <w:szCs w:val="20"/>
          <w:lang w:val="es-ES"/>
        </w:rPr>
        <w:t xml:space="preserve">caso </w:t>
      </w:r>
      <w:r w:rsidR="00D559BA" w:rsidRPr="00386E47">
        <w:rPr>
          <w:rFonts w:asciiTheme="majorHAnsi" w:eastAsia="Calibri" w:hAnsiTheme="majorHAnsi"/>
          <w:sz w:val="20"/>
          <w:szCs w:val="20"/>
          <w:lang w:val="es-ES"/>
        </w:rPr>
        <w:t xml:space="preserve">afectaron la </w:t>
      </w:r>
      <w:r w:rsidR="00D559BA" w:rsidRPr="00386E47">
        <w:rPr>
          <w:rFonts w:asciiTheme="majorHAnsi" w:eastAsia="Calibri" w:hAnsiTheme="majorHAnsi" w:cs="Arial"/>
          <w:sz w:val="20"/>
          <w:szCs w:val="20"/>
          <w:lang w:val="es-ES"/>
        </w:rPr>
        <w:t xml:space="preserve">integridad psíquica y moral de </w:t>
      </w:r>
      <w:r w:rsidRPr="00386E47">
        <w:rPr>
          <w:rFonts w:asciiTheme="majorHAnsi" w:eastAsia="Calibri" w:hAnsiTheme="majorHAnsi" w:cs="Arial"/>
          <w:sz w:val="20"/>
          <w:szCs w:val="20"/>
          <w:lang w:val="es-ES"/>
        </w:rPr>
        <w:t>sus</w:t>
      </w:r>
      <w:r w:rsidR="00D559BA" w:rsidRPr="00386E47">
        <w:rPr>
          <w:rFonts w:asciiTheme="majorHAnsi" w:eastAsia="Calibri" w:hAnsiTheme="majorHAnsi" w:cs="Arial"/>
          <w:sz w:val="20"/>
          <w:szCs w:val="20"/>
          <w:lang w:val="es-ES"/>
        </w:rPr>
        <w:t xml:space="preserve"> familiares</w:t>
      </w:r>
      <w:r w:rsidRPr="00386E47">
        <w:rPr>
          <w:rFonts w:asciiTheme="majorHAnsi" w:eastAsia="Calibri" w:hAnsiTheme="majorHAnsi" w:cs="Arial"/>
          <w:sz w:val="20"/>
          <w:szCs w:val="20"/>
          <w:lang w:val="es-ES"/>
        </w:rPr>
        <w:t>.</w:t>
      </w:r>
      <w:r w:rsidR="00DE6775" w:rsidRPr="00386E47">
        <w:rPr>
          <w:rFonts w:asciiTheme="majorHAnsi" w:eastAsia="Calibri" w:hAnsiTheme="majorHAnsi" w:cs="Arial"/>
          <w:sz w:val="20"/>
          <w:szCs w:val="20"/>
          <w:lang w:val="es-ES"/>
        </w:rPr>
        <w:t xml:space="preserve"> La circunstancia de ser familiar de una víctima de un acto terrorista de la magnitud del atentado a la </w:t>
      </w:r>
      <w:r w:rsidR="00434A46" w:rsidRPr="00386E47">
        <w:rPr>
          <w:rFonts w:asciiTheme="majorHAnsi" w:eastAsia="Calibri" w:hAnsiTheme="majorHAnsi" w:cs="Arial"/>
          <w:sz w:val="20"/>
          <w:szCs w:val="20"/>
          <w:lang w:val="es-ES"/>
        </w:rPr>
        <w:t>AMIA genera</w:t>
      </w:r>
      <w:r w:rsidR="00DE6775" w:rsidRPr="00386E47">
        <w:rPr>
          <w:rFonts w:asciiTheme="majorHAnsi" w:eastAsia="Calibri" w:hAnsiTheme="majorHAnsi" w:cs="Arial"/>
          <w:sz w:val="20"/>
          <w:szCs w:val="20"/>
          <w:lang w:val="es-ES"/>
        </w:rPr>
        <w:t xml:space="preserve"> por sí </w:t>
      </w:r>
      <w:r w:rsidR="00434A46" w:rsidRPr="00386E47">
        <w:rPr>
          <w:rFonts w:asciiTheme="majorHAnsi" w:eastAsia="Calibri" w:hAnsiTheme="majorHAnsi" w:cs="Arial"/>
          <w:sz w:val="20"/>
          <w:szCs w:val="20"/>
          <w:lang w:val="es-ES"/>
        </w:rPr>
        <w:t>mismo un</w:t>
      </w:r>
      <w:r w:rsidR="00DE6775" w:rsidRPr="00386E47">
        <w:rPr>
          <w:rFonts w:asciiTheme="majorHAnsi" w:eastAsia="Calibri" w:hAnsiTheme="majorHAnsi" w:cs="Arial"/>
          <w:sz w:val="20"/>
          <w:szCs w:val="20"/>
          <w:lang w:val="es-ES"/>
        </w:rPr>
        <w:t xml:space="preserve"> severo sufrimiento. En el caso concreto este padecimiento </w:t>
      </w:r>
      <w:r w:rsidR="00D559BA" w:rsidRPr="00386E47">
        <w:rPr>
          <w:rFonts w:asciiTheme="majorHAnsi" w:eastAsia="Calibri" w:hAnsiTheme="majorHAnsi" w:cs="Arial"/>
          <w:sz w:val="20"/>
          <w:szCs w:val="20"/>
          <w:lang w:val="es-ES"/>
        </w:rPr>
        <w:t xml:space="preserve">se ve acrecentado por la situación de </w:t>
      </w:r>
      <w:r w:rsidR="00434A46" w:rsidRPr="00386E47">
        <w:rPr>
          <w:rFonts w:asciiTheme="majorHAnsi" w:eastAsia="Calibri" w:hAnsiTheme="majorHAnsi" w:cs="Arial"/>
          <w:sz w:val="20"/>
          <w:szCs w:val="20"/>
          <w:lang w:val="es-ES"/>
        </w:rPr>
        <w:t xml:space="preserve">impunidad en la que está sumido el caso, la cual </w:t>
      </w:r>
      <w:r w:rsidR="00D559BA" w:rsidRPr="00386E47">
        <w:rPr>
          <w:rFonts w:asciiTheme="majorHAnsi" w:eastAsia="Calibri" w:hAnsiTheme="majorHAnsi" w:cs="Arial"/>
          <w:sz w:val="20"/>
          <w:szCs w:val="20"/>
          <w:lang w:val="es-ES"/>
        </w:rPr>
        <w:t xml:space="preserve">resulta </w:t>
      </w:r>
      <w:r w:rsidRPr="00386E47">
        <w:rPr>
          <w:rFonts w:asciiTheme="majorHAnsi" w:eastAsia="Calibri" w:hAnsiTheme="majorHAnsi" w:cs="Arial"/>
          <w:sz w:val="20"/>
          <w:szCs w:val="20"/>
          <w:lang w:val="es-ES"/>
        </w:rPr>
        <w:t xml:space="preserve">directamente imputable al Estado por la </w:t>
      </w:r>
      <w:r w:rsidR="00D559BA" w:rsidRPr="00386E47">
        <w:rPr>
          <w:rFonts w:asciiTheme="majorHAnsi" w:eastAsia="Calibri" w:hAnsiTheme="majorHAnsi" w:cs="Arial"/>
          <w:sz w:val="20"/>
          <w:szCs w:val="20"/>
          <w:lang w:val="es-ES"/>
        </w:rPr>
        <w:t>actuaci</w:t>
      </w:r>
      <w:r w:rsidRPr="00386E47">
        <w:rPr>
          <w:rFonts w:asciiTheme="majorHAnsi" w:eastAsia="Calibri" w:hAnsiTheme="majorHAnsi" w:cs="Arial"/>
          <w:sz w:val="20"/>
          <w:szCs w:val="20"/>
          <w:lang w:val="es-ES"/>
        </w:rPr>
        <w:t>ón de sus agentes</w:t>
      </w:r>
      <w:r w:rsidR="00DE6775" w:rsidRPr="00386E47">
        <w:rPr>
          <w:rFonts w:asciiTheme="majorHAnsi" w:eastAsia="Calibri" w:hAnsiTheme="majorHAnsi" w:cs="Arial"/>
          <w:sz w:val="20"/>
          <w:szCs w:val="20"/>
          <w:lang w:val="es-ES"/>
        </w:rPr>
        <w:t>, quienes</w:t>
      </w:r>
      <w:r w:rsidR="00D559BA" w:rsidRPr="00386E47">
        <w:rPr>
          <w:rFonts w:asciiTheme="majorHAnsi" w:eastAsia="Calibri" w:hAnsiTheme="majorHAnsi" w:cs="Arial"/>
          <w:sz w:val="20"/>
          <w:szCs w:val="20"/>
          <w:lang w:val="es-ES"/>
        </w:rPr>
        <w:t xml:space="preserve"> incluso en algunos periodos </w:t>
      </w:r>
      <w:r w:rsidRPr="00386E47">
        <w:rPr>
          <w:rFonts w:asciiTheme="majorHAnsi" w:eastAsia="Calibri" w:hAnsiTheme="majorHAnsi" w:cs="Arial"/>
          <w:sz w:val="20"/>
          <w:szCs w:val="20"/>
          <w:lang w:val="es-ES"/>
        </w:rPr>
        <w:t>de forma</w:t>
      </w:r>
      <w:r w:rsidR="00D559BA" w:rsidRPr="00386E47">
        <w:rPr>
          <w:rFonts w:asciiTheme="majorHAnsi" w:eastAsia="Calibri" w:hAnsiTheme="majorHAnsi" w:cs="Arial"/>
          <w:sz w:val="20"/>
          <w:szCs w:val="20"/>
          <w:lang w:val="es-ES"/>
        </w:rPr>
        <w:t xml:space="preserve"> deliberada </w:t>
      </w:r>
      <w:r w:rsidRPr="00386E47">
        <w:rPr>
          <w:rFonts w:asciiTheme="majorHAnsi" w:eastAsia="Calibri" w:hAnsiTheme="majorHAnsi" w:cs="Arial"/>
          <w:sz w:val="20"/>
          <w:szCs w:val="20"/>
          <w:lang w:val="es-ES"/>
        </w:rPr>
        <w:t>desviaron</w:t>
      </w:r>
      <w:r w:rsidR="00D559BA" w:rsidRPr="00386E47">
        <w:rPr>
          <w:rFonts w:asciiTheme="majorHAnsi" w:eastAsia="Calibri" w:hAnsiTheme="majorHAnsi" w:cs="Arial"/>
          <w:sz w:val="20"/>
          <w:szCs w:val="20"/>
          <w:lang w:val="es-ES"/>
        </w:rPr>
        <w:t xml:space="preserve"> la investigación</w:t>
      </w:r>
      <w:r w:rsidR="00DE6775" w:rsidRPr="00386E47">
        <w:rPr>
          <w:rFonts w:asciiTheme="majorHAnsi" w:eastAsia="Calibri" w:hAnsiTheme="majorHAnsi" w:cs="Arial"/>
          <w:sz w:val="20"/>
          <w:szCs w:val="20"/>
          <w:lang w:val="es-ES"/>
        </w:rPr>
        <w:t>, favoreciendo el</w:t>
      </w:r>
      <w:r w:rsidRPr="00386E47">
        <w:rPr>
          <w:rFonts w:asciiTheme="majorHAnsi" w:eastAsia="Calibri" w:hAnsiTheme="majorHAnsi" w:cs="Arial"/>
          <w:sz w:val="20"/>
          <w:szCs w:val="20"/>
          <w:lang w:val="es-ES"/>
        </w:rPr>
        <w:t xml:space="preserve"> ocultamiento de la verdad y</w:t>
      </w:r>
      <w:r w:rsidR="00DE6775" w:rsidRPr="00386E47">
        <w:rPr>
          <w:rFonts w:asciiTheme="majorHAnsi" w:eastAsia="Calibri" w:hAnsiTheme="majorHAnsi" w:cs="Arial"/>
          <w:sz w:val="20"/>
          <w:szCs w:val="20"/>
          <w:lang w:val="es-ES"/>
        </w:rPr>
        <w:t xml:space="preserve"> la posibilidad de identificar y </w:t>
      </w:r>
      <w:r w:rsidR="00434A46" w:rsidRPr="00386E47">
        <w:rPr>
          <w:rFonts w:asciiTheme="majorHAnsi" w:eastAsia="Calibri" w:hAnsiTheme="majorHAnsi" w:cs="Arial"/>
          <w:sz w:val="20"/>
          <w:szCs w:val="20"/>
          <w:lang w:val="es-ES"/>
        </w:rPr>
        <w:t>sancionar a</w:t>
      </w:r>
      <w:r w:rsidRPr="00386E47">
        <w:rPr>
          <w:rFonts w:asciiTheme="majorHAnsi" w:eastAsia="Calibri" w:hAnsiTheme="majorHAnsi" w:cs="Arial"/>
          <w:sz w:val="20"/>
          <w:szCs w:val="20"/>
          <w:lang w:val="es-ES"/>
        </w:rPr>
        <w:t xml:space="preserve"> los responsables</w:t>
      </w:r>
      <w:r w:rsidR="00D559BA" w:rsidRPr="00386E47">
        <w:rPr>
          <w:rFonts w:asciiTheme="majorHAnsi" w:eastAsia="Calibri" w:hAnsiTheme="majorHAnsi" w:cs="Arial"/>
          <w:sz w:val="20"/>
          <w:szCs w:val="20"/>
          <w:lang w:val="es-ES"/>
        </w:rPr>
        <w:t xml:space="preserve">. </w:t>
      </w:r>
      <w:r w:rsidR="00434A46" w:rsidRPr="00386E47">
        <w:rPr>
          <w:rFonts w:asciiTheme="majorHAnsi" w:eastAsia="Calibri" w:hAnsiTheme="majorHAnsi" w:cs="Arial"/>
          <w:sz w:val="20"/>
          <w:szCs w:val="20"/>
          <w:lang w:val="es-ES"/>
        </w:rPr>
        <w:t>La Comisión desea resaltar que h</w:t>
      </w:r>
      <w:r w:rsidR="00D559BA" w:rsidRPr="00386E47">
        <w:rPr>
          <w:rFonts w:asciiTheme="majorHAnsi" w:eastAsia="Calibri" w:hAnsiTheme="majorHAnsi" w:cs="Arial"/>
          <w:sz w:val="20"/>
          <w:szCs w:val="20"/>
          <w:lang w:val="es-ES"/>
        </w:rPr>
        <w:t>a sido fundamentalmente gracias a</w:t>
      </w:r>
      <w:r w:rsidR="00434A46" w:rsidRPr="00386E47">
        <w:rPr>
          <w:rFonts w:asciiTheme="majorHAnsi" w:eastAsia="Calibri" w:hAnsiTheme="majorHAnsi" w:cs="Arial"/>
          <w:sz w:val="20"/>
          <w:szCs w:val="20"/>
          <w:lang w:val="es-ES"/>
        </w:rPr>
        <w:t xml:space="preserve">l activismo y a la participación procesal de </w:t>
      </w:r>
      <w:r w:rsidR="00D559BA" w:rsidRPr="00386E47">
        <w:rPr>
          <w:rFonts w:asciiTheme="majorHAnsi" w:eastAsia="Calibri" w:hAnsiTheme="majorHAnsi" w:cs="Arial"/>
          <w:sz w:val="20"/>
          <w:szCs w:val="20"/>
          <w:lang w:val="es-ES"/>
        </w:rPr>
        <w:t xml:space="preserve">los </w:t>
      </w:r>
      <w:r w:rsidR="00434A46" w:rsidRPr="00386E47">
        <w:rPr>
          <w:rFonts w:asciiTheme="majorHAnsi" w:eastAsia="Calibri" w:hAnsiTheme="majorHAnsi" w:cs="Arial"/>
          <w:sz w:val="20"/>
          <w:szCs w:val="20"/>
          <w:lang w:val="es-ES"/>
        </w:rPr>
        <w:t>peticionarios</w:t>
      </w:r>
      <w:r w:rsidR="00D559BA" w:rsidRPr="00386E47">
        <w:rPr>
          <w:rFonts w:asciiTheme="majorHAnsi" w:eastAsia="Calibri" w:hAnsiTheme="majorHAnsi" w:cs="Arial"/>
          <w:sz w:val="20"/>
          <w:szCs w:val="20"/>
          <w:lang w:val="es-ES"/>
        </w:rPr>
        <w:t xml:space="preserve"> </w:t>
      </w:r>
      <w:r w:rsidR="00434A46" w:rsidRPr="00386E47">
        <w:rPr>
          <w:rFonts w:asciiTheme="majorHAnsi" w:eastAsia="Calibri" w:hAnsiTheme="majorHAnsi" w:cs="Arial"/>
          <w:sz w:val="20"/>
          <w:szCs w:val="20"/>
          <w:lang w:val="es-ES"/>
        </w:rPr>
        <w:t xml:space="preserve">que se han conocido   las </w:t>
      </w:r>
      <w:r w:rsidRPr="00386E47">
        <w:rPr>
          <w:rFonts w:asciiTheme="majorHAnsi" w:eastAsia="Calibri" w:hAnsiTheme="majorHAnsi" w:cs="Arial"/>
          <w:sz w:val="20"/>
          <w:szCs w:val="20"/>
          <w:lang w:val="es-ES"/>
        </w:rPr>
        <w:t xml:space="preserve">irregularidades y </w:t>
      </w:r>
      <w:r w:rsidR="00434A46" w:rsidRPr="00386E47">
        <w:rPr>
          <w:rFonts w:asciiTheme="majorHAnsi" w:eastAsia="Calibri" w:hAnsiTheme="majorHAnsi" w:cs="Arial"/>
          <w:sz w:val="20"/>
          <w:szCs w:val="20"/>
          <w:lang w:val="es-ES"/>
        </w:rPr>
        <w:t xml:space="preserve">los </w:t>
      </w:r>
      <w:r w:rsidRPr="00386E47">
        <w:rPr>
          <w:rFonts w:asciiTheme="majorHAnsi" w:eastAsia="Calibri" w:hAnsiTheme="majorHAnsi" w:cs="Arial"/>
          <w:sz w:val="20"/>
          <w:szCs w:val="20"/>
          <w:lang w:val="es-ES"/>
        </w:rPr>
        <w:t xml:space="preserve">múltiples factores de impunidad </w:t>
      </w:r>
      <w:r w:rsidR="00434A46" w:rsidRPr="00386E47">
        <w:rPr>
          <w:rFonts w:asciiTheme="majorHAnsi" w:eastAsia="Calibri" w:hAnsiTheme="majorHAnsi" w:cs="Arial"/>
          <w:sz w:val="20"/>
          <w:szCs w:val="20"/>
          <w:lang w:val="es-ES"/>
        </w:rPr>
        <w:t>presentes en el caso</w:t>
      </w:r>
      <w:r w:rsidR="00D559BA" w:rsidRPr="00386E47">
        <w:rPr>
          <w:rFonts w:asciiTheme="majorHAnsi" w:eastAsia="Calibri" w:hAnsiTheme="majorHAnsi" w:cs="Arial"/>
          <w:sz w:val="20"/>
          <w:szCs w:val="20"/>
          <w:lang w:val="es-ES"/>
        </w:rPr>
        <w:t xml:space="preserve">. De esta forma, </w:t>
      </w:r>
      <w:r w:rsidRPr="00386E47">
        <w:rPr>
          <w:rFonts w:asciiTheme="majorHAnsi" w:eastAsia="Calibri" w:hAnsiTheme="majorHAnsi" w:cs="Arial"/>
          <w:sz w:val="20"/>
          <w:szCs w:val="20"/>
          <w:lang w:val="es-ES"/>
        </w:rPr>
        <w:t xml:space="preserve">la Comisión observa </w:t>
      </w:r>
      <w:r w:rsidRPr="00386E47">
        <w:rPr>
          <w:rFonts w:asciiTheme="majorHAnsi" w:eastAsia="Calibri" w:hAnsiTheme="majorHAnsi" w:cs="Arial"/>
          <w:sz w:val="20"/>
          <w:szCs w:val="20"/>
          <w:lang w:val="es-ES"/>
        </w:rPr>
        <w:lastRenderedPageBreak/>
        <w:t xml:space="preserve">que </w:t>
      </w:r>
      <w:r w:rsidR="00434A46" w:rsidRPr="00386E47">
        <w:rPr>
          <w:rFonts w:asciiTheme="majorHAnsi" w:eastAsia="Calibri" w:hAnsiTheme="majorHAnsi" w:cs="Arial"/>
          <w:sz w:val="20"/>
          <w:szCs w:val="20"/>
          <w:lang w:val="es-ES"/>
        </w:rPr>
        <w:t>la continua falta de esclarecimiento</w:t>
      </w:r>
      <w:r w:rsidR="00D559BA" w:rsidRPr="00386E47">
        <w:rPr>
          <w:rFonts w:asciiTheme="majorHAnsi" w:eastAsia="Calibri" w:hAnsiTheme="majorHAnsi" w:cs="Arial"/>
          <w:sz w:val="20"/>
          <w:szCs w:val="20"/>
          <w:lang w:val="es-ES"/>
        </w:rPr>
        <w:t>, y</w:t>
      </w:r>
      <w:r w:rsidR="00434A46" w:rsidRPr="00386E47">
        <w:rPr>
          <w:rFonts w:asciiTheme="majorHAnsi" w:eastAsia="Calibri" w:hAnsiTheme="majorHAnsi" w:cs="Arial"/>
          <w:sz w:val="20"/>
          <w:szCs w:val="20"/>
          <w:lang w:val="es-ES"/>
        </w:rPr>
        <w:t xml:space="preserve"> la</w:t>
      </w:r>
      <w:r w:rsidR="00D559BA" w:rsidRPr="00386E47">
        <w:rPr>
          <w:rFonts w:asciiTheme="majorHAnsi" w:eastAsia="Calibri" w:hAnsiTheme="majorHAnsi" w:cs="Arial"/>
          <w:sz w:val="20"/>
          <w:szCs w:val="20"/>
          <w:lang w:val="es-ES"/>
        </w:rPr>
        <w:t xml:space="preserve"> situación de impunidad</w:t>
      </w:r>
      <w:r w:rsidR="00434A46" w:rsidRPr="00386E47">
        <w:rPr>
          <w:rFonts w:asciiTheme="majorHAnsi" w:eastAsia="Calibri" w:hAnsiTheme="majorHAnsi" w:cs="Arial"/>
          <w:sz w:val="20"/>
          <w:szCs w:val="20"/>
          <w:lang w:val="es-ES"/>
        </w:rPr>
        <w:t xml:space="preserve"> del atentado ha provocado en los peticionarios </w:t>
      </w:r>
      <w:r w:rsidR="00D559BA" w:rsidRPr="00386E47">
        <w:rPr>
          <w:rFonts w:asciiTheme="majorHAnsi" w:eastAsia="Calibri" w:hAnsiTheme="majorHAnsi" w:cs="Arial"/>
          <w:sz w:val="20"/>
          <w:szCs w:val="20"/>
          <w:lang w:val="es-ES"/>
        </w:rPr>
        <w:t>sentimientos de angustia, tristeza, frustración e inclusive engaño</w:t>
      </w:r>
      <w:r w:rsidR="00434A46" w:rsidRPr="00386E47">
        <w:rPr>
          <w:rFonts w:asciiTheme="majorHAnsi" w:eastAsia="Calibri" w:hAnsiTheme="majorHAnsi" w:cs="Arial"/>
          <w:sz w:val="20"/>
          <w:szCs w:val="20"/>
          <w:lang w:val="es-ES"/>
        </w:rPr>
        <w:t xml:space="preserve">. </w:t>
      </w:r>
    </w:p>
    <w:p w14:paraId="7BA8BFAA" w14:textId="77777777" w:rsidR="00D93236" w:rsidRPr="00386E47" w:rsidRDefault="00D93236" w:rsidP="00D93236">
      <w:pPr>
        <w:pStyle w:val="ListParagraph"/>
        <w:ind w:left="0"/>
        <w:jc w:val="both"/>
        <w:rPr>
          <w:rFonts w:asciiTheme="majorHAnsi" w:eastAsia="Calibri" w:hAnsiTheme="majorHAnsi"/>
          <w:sz w:val="20"/>
          <w:szCs w:val="20"/>
          <w:lang w:val="es-US"/>
        </w:rPr>
      </w:pPr>
    </w:p>
    <w:p w14:paraId="13CDE0C9" w14:textId="77777777" w:rsidR="00A444F8" w:rsidRPr="00386E47" w:rsidRDefault="00A444F8" w:rsidP="003A5860">
      <w:pPr>
        <w:pStyle w:val="ListParagraph"/>
        <w:numPr>
          <w:ilvl w:val="0"/>
          <w:numId w:val="55"/>
        </w:numPr>
        <w:ind w:left="0" w:firstLine="0"/>
        <w:jc w:val="both"/>
        <w:rPr>
          <w:rFonts w:asciiTheme="majorHAnsi" w:eastAsia="Calibri" w:hAnsiTheme="majorHAnsi"/>
          <w:sz w:val="20"/>
          <w:szCs w:val="20"/>
          <w:lang w:val="es-ES"/>
        </w:rPr>
      </w:pPr>
      <w:r w:rsidRPr="00386E47">
        <w:rPr>
          <w:rFonts w:asciiTheme="majorHAnsi" w:eastAsia="Calibri" w:hAnsiTheme="majorHAnsi"/>
          <w:sz w:val="20"/>
          <w:szCs w:val="20"/>
          <w:lang w:val="es-ES"/>
        </w:rPr>
        <w:t xml:space="preserve">En virtud de las anteriores consideraciones, la Comisión concluye que el Estado violó el derecho a la integridad psíquica y moral consagrado en el artículo 5.1 de la Convención Americana en relación con el deber de respeto establecido en el artículo 1.1. de la misma en perjuicio de los familiares de las víctimas. </w:t>
      </w:r>
    </w:p>
    <w:p w14:paraId="5C353498" w14:textId="77777777" w:rsidR="002F417B" w:rsidRPr="00386E47" w:rsidRDefault="002F417B" w:rsidP="002F417B">
      <w:pPr>
        <w:jc w:val="both"/>
        <w:rPr>
          <w:rFonts w:asciiTheme="majorHAnsi" w:eastAsia="Calibri" w:hAnsiTheme="majorHAnsi"/>
          <w:sz w:val="20"/>
          <w:szCs w:val="20"/>
          <w:lang w:val="es-ES"/>
        </w:rPr>
      </w:pPr>
    </w:p>
    <w:p w14:paraId="002F8031" w14:textId="77777777" w:rsidR="009F70EA" w:rsidRPr="00386E47" w:rsidRDefault="009F70EA" w:rsidP="00574033">
      <w:pPr>
        <w:pStyle w:val="Heading1"/>
        <w:spacing w:line="240" w:lineRule="auto"/>
        <w:rPr>
          <w:rFonts w:asciiTheme="majorHAnsi" w:hAnsiTheme="majorHAnsi"/>
        </w:rPr>
      </w:pPr>
      <w:bookmarkStart w:id="41" w:name="_Toc51252206"/>
      <w:r w:rsidRPr="00386E47">
        <w:rPr>
          <w:rFonts w:asciiTheme="majorHAnsi" w:hAnsiTheme="majorHAnsi"/>
        </w:rPr>
        <w:t>CONCLUSIONES Y RECOMENDACIONES</w:t>
      </w:r>
      <w:bookmarkEnd w:id="38"/>
      <w:bookmarkEnd w:id="39"/>
      <w:bookmarkEnd w:id="40"/>
      <w:bookmarkEnd w:id="41"/>
    </w:p>
    <w:p w14:paraId="39558A87" w14:textId="77777777" w:rsidR="00615A1C" w:rsidRPr="00386E47" w:rsidRDefault="00615A1C" w:rsidP="003A5860">
      <w:pPr>
        <w:pStyle w:val="ListParagraph"/>
        <w:numPr>
          <w:ilvl w:val="0"/>
          <w:numId w:val="55"/>
        </w:numPr>
        <w:ind w:left="0" w:firstLine="0"/>
        <w:jc w:val="both"/>
        <w:rPr>
          <w:rFonts w:asciiTheme="majorHAnsi" w:eastAsia="Calibri" w:hAnsiTheme="majorHAnsi"/>
          <w:sz w:val="20"/>
          <w:szCs w:val="20"/>
          <w:lang w:val="es-VE"/>
        </w:rPr>
      </w:pPr>
      <w:r w:rsidRPr="00386E47">
        <w:rPr>
          <w:rFonts w:asciiTheme="majorHAnsi" w:eastAsia="Calibri" w:hAnsiTheme="majorHAnsi"/>
          <w:sz w:val="20"/>
          <w:szCs w:val="20"/>
          <w:lang w:val="es-VE"/>
        </w:rPr>
        <w:t xml:space="preserve">En función de las consideraciones de hecho y de derecho expuestas a lo largo del presente informe, la </w:t>
      </w:r>
      <w:r w:rsidR="00574033" w:rsidRPr="00386E47">
        <w:rPr>
          <w:rFonts w:asciiTheme="majorHAnsi" w:eastAsia="Calibri" w:hAnsiTheme="majorHAnsi"/>
          <w:sz w:val="20"/>
          <w:szCs w:val="20"/>
          <w:lang w:val="es-VE"/>
        </w:rPr>
        <w:t>Comisión</w:t>
      </w:r>
      <w:r w:rsidRPr="00386E47">
        <w:rPr>
          <w:rFonts w:asciiTheme="majorHAnsi" w:eastAsia="Calibri" w:hAnsiTheme="majorHAnsi"/>
          <w:sz w:val="20"/>
          <w:szCs w:val="20"/>
          <w:lang w:val="es-VE"/>
        </w:rPr>
        <w:t xml:space="preserve"> concluye </w:t>
      </w:r>
      <w:r w:rsidR="009F70EA" w:rsidRPr="00386E47">
        <w:rPr>
          <w:rFonts w:asciiTheme="majorHAnsi" w:eastAsia="Calibri" w:hAnsiTheme="majorHAnsi"/>
          <w:sz w:val="20"/>
          <w:szCs w:val="20"/>
          <w:lang w:val="es-US"/>
        </w:rPr>
        <w:t xml:space="preserve">que </w:t>
      </w:r>
      <w:r w:rsidRPr="00386E47">
        <w:rPr>
          <w:rFonts w:asciiTheme="majorHAnsi" w:eastAsia="Calibri" w:hAnsiTheme="majorHAnsi"/>
          <w:sz w:val="20"/>
          <w:szCs w:val="20"/>
          <w:lang w:val="es-US"/>
        </w:rPr>
        <w:t>el Estado argentino</w:t>
      </w:r>
      <w:r w:rsidR="009F70EA" w:rsidRPr="00386E47">
        <w:rPr>
          <w:rFonts w:asciiTheme="majorHAnsi" w:eastAsia="Calibri" w:hAnsiTheme="majorHAnsi"/>
          <w:sz w:val="20"/>
          <w:szCs w:val="20"/>
          <w:lang w:val="es-US"/>
        </w:rPr>
        <w:t xml:space="preserve"> es responsable por la violación de los derechos a la vida, a la integridad personal, </w:t>
      </w:r>
      <w:r w:rsidRPr="00386E47">
        <w:rPr>
          <w:rFonts w:asciiTheme="majorHAnsi" w:eastAsia="Calibri" w:hAnsiTheme="majorHAnsi"/>
          <w:sz w:val="20"/>
          <w:szCs w:val="20"/>
          <w:lang w:val="es-US"/>
        </w:rPr>
        <w:t>de acceso a la información</w:t>
      </w:r>
      <w:r w:rsidR="00F07144" w:rsidRPr="00386E47">
        <w:rPr>
          <w:rFonts w:asciiTheme="majorHAnsi" w:eastAsia="Calibri" w:hAnsiTheme="majorHAnsi"/>
          <w:sz w:val="20"/>
          <w:szCs w:val="20"/>
          <w:lang w:val="es-US"/>
        </w:rPr>
        <w:t xml:space="preserve">, </w:t>
      </w:r>
      <w:r w:rsidR="009F70EA" w:rsidRPr="00386E47">
        <w:rPr>
          <w:rFonts w:asciiTheme="majorHAnsi" w:eastAsia="Calibri" w:hAnsiTheme="majorHAnsi"/>
          <w:sz w:val="20"/>
          <w:szCs w:val="20"/>
          <w:lang w:val="es-ES_tradnl"/>
        </w:rPr>
        <w:t xml:space="preserve">a las </w:t>
      </w:r>
      <w:r w:rsidR="009F70EA" w:rsidRPr="00386E47">
        <w:rPr>
          <w:rFonts w:asciiTheme="majorHAnsi" w:eastAsia="Calibri" w:hAnsiTheme="majorHAnsi" w:cs="Garamond"/>
          <w:spacing w:val="-2"/>
          <w:sz w:val="20"/>
          <w:szCs w:val="20"/>
          <w:lang w:val="es-US"/>
        </w:rPr>
        <w:t>garantías judiciales</w:t>
      </w:r>
      <w:r w:rsidR="00950063" w:rsidRPr="00386E47">
        <w:rPr>
          <w:rFonts w:asciiTheme="majorHAnsi" w:eastAsia="Calibri" w:hAnsiTheme="majorHAnsi" w:cs="Garamond"/>
          <w:spacing w:val="-2"/>
          <w:sz w:val="20"/>
          <w:szCs w:val="20"/>
          <w:lang w:val="es-US"/>
        </w:rPr>
        <w:t>, a la igualdad</w:t>
      </w:r>
      <w:r w:rsidR="009F70EA" w:rsidRPr="00386E47">
        <w:rPr>
          <w:rFonts w:asciiTheme="majorHAnsi" w:eastAsia="Calibri" w:hAnsiTheme="majorHAnsi" w:cs="Garamond"/>
          <w:spacing w:val="-2"/>
          <w:sz w:val="20"/>
          <w:szCs w:val="20"/>
          <w:lang w:val="es-US"/>
        </w:rPr>
        <w:t xml:space="preserve"> y a la protección judicial.</w:t>
      </w:r>
      <w:r w:rsidR="009F70EA" w:rsidRPr="00386E47">
        <w:rPr>
          <w:rFonts w:asciiTheme="majorHAnsi" w:eastAsia="Calibri" w:hAnsiTheme="majorHAnsi"/>
          <w:sz w:val="20"/>
          <w:szCs w:val="20"/>
          <w:lang w:val="es-ES_tradnl"/>
        </w:rPr>
        <w:t xml:space="preserve"> Todo lo anterior, conforme a lo </w:t>
      </w:r>
      <w:r w:rsidR="009F70EA" w:rsidRPr="00386E47">
        <w:rPr>
          <w:rFonts w:asciiTheme="majorHAnsi" w:eastAsia="Calibri" w:hAnsiTheme="majorHAnsi"/>
          <w:sz w:val="20"/>
          <w:szCs w:val="20"/>
          <w:lang w:val="es-US"/>
        </w:rPr>
        <w:t>establecido en los artículos 4.1, 5.1</w:t>
      </w:r>
      <w:r w:rsidR="009F70EA" w:rsidRPr="00386E47">
        <w:rPr>
          <w:rFonts w:asciiTheme="majorHAnsi" w:eastAsia="Calibri" w:hAnsiTheme="majorHAnsi"/>
          <w:sz w:val="20"/>
          <w:szCs w:val="20"/>
          <w:lang w:val="es-ES_tradnl"/>
        </w:rPr>
        <w:t xml:space="preserve">, </w:t>
      </w:r>
      <w:r w:rsidR="00F07144" w:rsidRPr="00386E47">
        <w:rPr>
          <w:rFonts w:asciiTheme="majorHAnsi" w:eastAsia="Calibri" w:hAnsiTheme="majorHAnsi"/>
          <w:sz w:val="20"/>
          <w:szCs w:val="20"/>
          <w:lang w:val="es-US"/>
        </w:rPr>
        <w:t>8.1, 13</w:t>
      </w:r>
      <w:r w:rsidR="00171D37" w:rsidRPr="00386E47">
        <w:rPr>
          <w:rFonts w:asciiTheme="majorHAnsi" w:eastAsia="Calibri" w:hAnsiTheme="majorHAnsi"/>
          <w:sz w:val="20"/>
          <w:szCs w:val="20"/>
          <w:lang w:val="es-US"/>
        </w:rPr>
        <w:t>, 24</w:t>
      </w:r>
      <w:r w:rsidR="00F07144" w:rsidRPr="00386E47">
        <w:rPr>
          <w:rFonts w:asciiTheme="majorHAnsi" w:eastAsia="Calibri" w:hAnsiTheme="majorHAnsi"/>
          <w:sz w:val="20"/>
          <w:szCs w:val="20"/>
          <w:lang w:val="es-US"/>
        </w:rPr>
        <w:t xml:space="preserve"> </w:t>
      </w:r>
      <w:r w:rsidR="009F70EA" w:rsidRPr="00386E47">
        <w:rPr>
          <w:rFonts w:asciiTheme="majorHAnsi" w:eastAsia="Calibri" w:hAnsiTheme="majorHAnsi"/>
          <w:sz w:val="20"/>
          <w:szCs w:val="20"/>
          <w:lang w:val="es-US"/>
        </w:rPr>
        <w:t xml:space="preserve">y 25.1 de la Convención Americana en relación con el artículo 1.1 del mismo instrumento. </w:t>
      </w:r>
      <w:r w:rsidR="003E67F8" w:rsidRPr="00386E47">
        <w:rPr>
          <w:rFonts w:asciiTheme="majorHAnsi" w:eastAsia="Calibri" w:hAnsiTheme="majorHAnsi"/>
          <w:sz w:val="20"/>
          <w:szCs w:val="20"/>
          <w:lang w:val="es-US"/>
        </w:rPr>
        <w:t xml:space="preserve">Asimismo, </w:t>
      </w:r>
      <w:r w:rsidR="00DE6775" w:rsidRPr="00386E47">
        <w:rPr>
          <w:rFonts w:asciiTheme="majorHAnsi" w:eastAsia="Calibri" w:hAnsiTheme="majorHAnsi"/>
          <w:sz w:val="20"/>
          <w:szCs w:val="20"/>
          <w:lang w:val="es-US"/>
        </w:rPr>
        <w:t xml:space="preserve">la Comisión concluye que </w:t>
      </w:r>
      <w:r w:rsidR="003E67F8" w:rsidRPr="00386E47">
        <w:rPr>
          <w:rFonts w:asciiTheme="majorHAnsi" w:eastAsia="Calibri" w:hAnsiTheme="majorHAnsi"/>
          <w:sz w:val="20"/>
          <w:szCs w:val="20"/>
          <w:lang w:val="es-US"/>
        </w:rPr>
        <w:t>el Estado violó el artículo 13 de la Convención Americana en relación con el artículo 2 del mismo instrumento.</w:t>
      </w:r>
    </w:p>
    <w:p w14:paraId="21B035C3" w14:textId="77777777" w:rsidR="00171D37" w:rsidRPr="00386E47" w:rsidRDefault="00171D37" w:rsidP="002847DD">
      <w:pPr>
        <w:pStyle w:val="ListParagraph"/>
        <w:ind w:left="0"/>
        <w:jc w:val="both"/>
        <w:rPr>
          <w:rFonts w:asciiTheme="majorHAnsi" w:eastAsia="Calibri" w:hAnsiTheme="majorHAnsi"/>
          <w:sz w:val="20"/>
          <w:szCs w:val="20"/>
          <w:lang w:val="es-VE"/>
        </w:rPr>
      </w:pPr>
    </w:p>
    <w:p w14:paraId="000B3E1B" w14:textId="77777777" w:rsidR="00615A1C" w:rsidRPr="00386E47" w:rsidRDefault="00615A1C" w:rsidP="003A5860">
      <w:pPr>
        <w:pStyle w:val="ListParagraph"/>
        <w:numPr>
          <w:ilvl w:val="0"/>
          <w:numId w:val="55"/>
        </w:numPr>
        <w:ind w:left="0" w:firstLine="0"/>
        <w:jc w:val="both"/>
        <w:rPr>
          <w:rFonts w:asciiTheme="majorHAnsi" w:eastAsia="Calibri" w:hAnsiTheme="majorHAnsi"/>
          <w:sz w:val="20"/>
          <w:szCs w:val="20"/>
          <w:lang w:val="es-VE"/>
        </w:rPr>
      </w:pPr>
      <w:r w:rsidRPr="00386E47">
        <w:rPr>
          <w:rFonts w:asciiTheme="majorHAnsi" w:eastAsiaTheme="minorHAnsi" w:hAnsiTheme="majorHAnsi" w:cstheme="minorBidi"/>
          <w:sz w:val="20"/>
          <w:szCs w:val="20"/>
          <w:lang w:val="es-ES_tradnl"/>
        </w:rPr>
        <w:t xml:space="preserve">Con fundamento en el análisis y las conclusiones del presente informe: </w:t>
      </w:r>
    </w:p>
    <w:p w14:paraId="4A5A3121" w14:textId="77777777" w:rsidR="009F70EA" w:rsidRPr="00386E47" w:rsidRDefault="009F70EA" w:rsidP="009F70EA">
      <w:pPr>
        <w:spacing w:after="160" w:line="259" w:lineRule="auto"/>
        <w:ind w:left="720"/>
        <w:contextualSpacing/>
        <w:rPr>
          <w:rFonts w:asciiTheme="majorHAnsi" w:eastAsia="Calibri" w:hAnsiTheme="majorHAnsi"/>
          <w:b/>
          <w:sz w:val="20"/>
          <w:szCs w:val="20"/>
          <w:lang w:val="es-ES_tradnl"/>
        </w:rPr>
      </w:pPr>
    </w:p>
    <w:p w14:paraId="011B95FC" w14:textId="77777777" w:rsidR="009F70EA" w:rsidRPr="00386E47" w:rsidRDefault="009F70EA" w:rsidP="00574033">
      <w:pPr>
        <w:ind w:left="720"/>
        <w:contextualSpacing/>
        <w:jc w:val="both"/>
        <w:rPr>
          <w:rFonts w:asciiTheme="majorHAnsi" w:eastAsia="Calibri" w:hAnsiTheme="majorHAnsi"/>
          <w:sz w:val="20"/>
          <w:szCs w:val="20"/>
          <w:lang w:val="es-VE"/>
        </w:rPr>
      </w:pPr>
      <w:r w:rsidRPr="00386E47">
        <w:rPr>
          <w:rFonts w:asciiTheme="majorHAnsi" w:eastAsia="Calibri" w:hAnsiTheme="majorHAnsi"/>
          <w:b/>
          <w:sz w:val="20"/>
          <w:szCs w:val="20"/>
          <w:lang w:val="es-ES_tradnl"/>
        </w:rPr>
        <w:t>LA COMISIÓN INT</w:t>
      </w:r>
      <w:r w:rsidR="00615A1C" w:rsidRPr="00386E47">
        <w:rPr>
          <w:rFonts w:asciiTheme="majorHAnsi" w:eastAsia="Calibri" w:hAnsiTheme="majorHAnsi"/>
          <w:b/>
          <w:sz w:val="20"/>
          <w:szCs w:val="20"/>
          <w:lang w:val="es-ES_tradnl"/>
        </w:rPr>
        <w:t>ERAMERICANA DE DERECHOS HUMANOS</w:t>
      </w:r>
      <w:r w:rsidRPr="00386E47">
        <w:rPr>
          <w:rFonts w:asciiTheme="majorHAnsi" w:eastAsia="Calibri" w:hAnsiTheme="majorHAnsi"/>
          <w:b/>
          <w:sz w:val="20"/>
          <w:szCs w:val="20"/>
          <w:lang w:val="es-ES_tradnl"/>
        </w:rPr>
        <w:t xml:space="preserve"> RECOMIENDA A</w:t>
      </w:r>
      <w:r w:rsidR="00615A1C" w:rsidRPr="00386E47">
        <w:rPr>
          <w:rFonts w:asciiTheme="majorHAnsi" w:eastAsia="Calibri" w:hAnsiTheme="majorHAnsi"/>
          <w:b/>
          <w:sz w:val="20"/>
          <w:szCs w:val="20"/>
          <w:lang w:val="es-ES_tradnl"/>
        </w:rPr>
        <w:t xml:space="preserve">L ESTADO ARGENTINO: </w:t>
      </w:r>
    </w:p>
    <w:p w14:paraId="1A55A13E" w14:textId="77777777" w:rsidR="00574033" w:rsidRPr="00386E47" w:rsidRDefault="00574033" w:rsidP="00574033">
      <w:pPr>
        <w:ind w:left="720"/>
        <w:contextualSpacing/>
        <w:jc w:val="both"/>
        <w:rPr>
          <w:rFonts w:asciiTheme="majorHAnsi" w:eastAsia="Calibri" w:hAnsiTheme="majorHAnsi"/>
          <w:sz w:val="20"/>
          <w:szCs w:val="20"/>
          <w:lang w:val="es-VE"/>
        </w:rPr>
      </w:pPr>
    </w:p>
    <w:p w14:paraId="62177FF2" w14:textId="77777777" w:rsidR="00EB0900" w:rsidRPr="00386E47" w:rsidRDefault="00CC69DE" w:rsidP="003A5860">
      <w:pPr>
        <w:numPr>
          <w:ilvl w:val="0"/>
          <w:numId w:val="56"/>
        </w:numPr>
        <w:tabs>
          <w:tab w:val="left" w:pos="567"/>
        </w:tabs>
        <w:ind w:left="0" w:firstLine="0"/>
        <w:jc w:val="both"/>
        <w:rPr>
          <w:rFonts w:asciiTheme="majorHAnsi" w:eastAsia="Calibri" w:hAnsiTheme="majorHAnsi"/>
          <w:sz w:val="20"/>
          <w:szCs w:val="20"/>
          <w:lang w:val="es-ES_tradnl"/>
        </w:rPr>
      </w:pPr>
      <w:r w:rsidRPr="00386E47">
        <w:rPr>
          <w:rFonts w:asciiTheme="majorHAnsi" w:eastAsia="Calibri" w:hAnsiTheme="majorHAnsi"/>
          <w:sz w:val="20"/>
          <w:szCs w:val="20"/>
          <w:lang w:val="es-ES_tradnl"/>
        </w:rPr>
        <w:t xml:space="preserve">Conducir y llevar a término, de manera eficaz y dentro de un plazo razonable, la investigación </w:t>
      </w:r>
      <w:r w:rsidR="000C72F9" w:rsidRPr="00386E47">
        <w:rPr>
          <w:rFonts w:asciiTheme="majorHAnsi" w:eastAsia="Calibri" w:hAnsiTheme="majorHAnsi"/>
          <w:sz w:val="20"/>
          <w:szCs w:val="20"/>
          <w:lang w:val="es-ES_tradnl"/>
        </w:rPr>
        <w:t xml:space="preserve">de los hechos del </w:t>
      </w:r>
      <w:r w:rsidRPr="00386E47">
        <w:rPr>
          <w:rFonts w:asciiTheme="majorHAnsi" w:eastAsia="Calibri" w:hAnsiTheme="majorHAnsi"/>
          <w:sz w:val="20"/>
          <w:szCs w:val="20"/>
          <w:lang w:val="es-ES_tradnl"/>
        </w:rPr>
        <w:t xml:space="preserve">caso, con el fin de juzgar y sancionar a todos los responsables materiales e intelectuales de las </w:t>
      </w:r>
      <w:r w:rsidR="006F14A5" w:rsidRPr="00386E47">
        <w:rPr>
          <w:rFonts w:asciiTheme="majorHAnsi" w:eastAsia="Calibri" w:hAnsiTheme="majorHAnsi"/>
          <w:sz w:val="20"/>
          <w:szCs w:val="20"/>
          <w:lang w:val="es-ES_tradnl"/>
        </w:rPr>
        <w:t xml:space="preserve">graves </w:t>
      </w:r>
      <w:r w:rsidRPr="00386E47">
        <w:rPr>
          <w:rFonts w:asciiTheme="majorHAnsi" w:eastAsia="Calibri" w:hAnsiTheme="majorHAnsi"/>
          <w:sz w:val="20"/>
          <w:szCs w:val="20"/>
          <w:lang w:val="es-ES_tradnl"/>
        </w:rPr>
        <w:t xml:space="preserve">violaciones de derechos humanos declaradas en el presente informe. En particular, el Estado debe proseguir las investigaciones judiciales para esclarecer </w:t>
      </w:r>
      <w:r w:rsidR="005E09EA" w:rsidRPr="00386E47">
        <w:rPr>
          <w:rFonts w:asciiTheme="majorHAnsi" w:eastAsia="Calibri" w:hAnsiTheme="majorHAnsi"/>
          <w:sz w:val="20"/>
          <w:szCs w:val="20"/>
          <w:lang w:val="es-ES_tradnl"/>
        </w:rPr>
        <w:t>el atentado a la sede de la AMIA</w:t>
      </w:r>
      <w:r w:rsidRPr="00386E47">
        <w:rPr>
          <w:rFonts w:asciiTheme="majorHAnsi" w:eastAsia="Calibri" w:hAnsiTheme="majorHAnsi"/>
          <w:sz w:val="20"/>
          <w:szCs w:val="20"/>
          <w:lang w:val="es-ES_tradnl"/>
        </w:rPr>
        <w:t xml:space="preserve"> y </w:t>
      </w:r>
      <w:r w:rsidR="00E31B79" w:rsidRPr="00386E47">
        <w:rPr>
          <w:rFonts w:asciiTheme="majorHAnsi" w:eastAsia="Calibri" w:hAnsiTheme="majorHAnsi"/>
          <w:sz w:val="20"/>
          <w:szCs w:val="20"/>
          <w:lang w:val="es-ES_tradnl"/>
        </w:rPr>
        <w:t>sancionar</w:t>
      </w:r>
      <w:r w:rsidRPr="00386E47">
        <w:rPr>
          <w:rFonts w:asciiTheme="majorHAnsi" w:eastAsia="Calibri" w:hAnsiTheme="majorHAnsi"/>
          <w:sz w:val="20"/>
          <w:szCs w:val="20"/>
          <w:lang w:val="es-ES_tradnl"/>
        </w:rPr>
        <w:t xml:space="preserve"> a </w:t>
      </w:r>
      <w:r w:rsidR="005E09EA" w:rsidRPr="00386E47">
        <w:rPr>
          <w:rFonts w:asciiTheme="majorHAnsi" w:eastAsia="Calibri" w:hAnsiTheme="majorHAnsi"/>
          <w:sz w:val="20"/>
          <w:szCs w:val="20"/>
          <w:lang w:val="es-ES_tradnl"/>
        </w:rPr>
        <w:t>todos sus</w:t>
      </w:r>
      <w:r w:rsidRPr="00386E47">
        <w:rPr>
          <w:rFonts w:asciiTheme="majorHAnsi" w:eastAsia="Calibri" w:hAnsiTheme="majorHAnsi"/>
          <w:sz w:val="20"/>
          <w:szCs w:val="20"/>
          <w:lang w:val="es-ES_tradnl"/>
        </w:rPr>
        <w:t xml:space="preserve"> autores </w:t>
      </w:r>
      <w:r w:rsidR="005E09EA" w:rsidRPr="00386E47">
        <w:rPr>
          <w:rFonts w:asciiTheme="majorHAnsi" w:eastAsia="Calibri" w:hAnsiTheme="majorHAnsi"/>
          <w:sz w:val="20"/>
          <w:szCs w:val="20"/>
          <w:lang w:val="es-ES_tradnl"/>
        </w:rPr>
        <w:t>materiales e intelectuales,</w:t>
      </w:r>
      <w:r w:rsidRPr="00386E47">
        <w:rPr>
          <w:rFonts w:asciiTheme="majorHAnsi" w:eastAsia="Calibri" w:hAnsiTheme="majorHAnsi"/>
          <w:sz w:val="20"/>
          <w:szCs w:val="20"/>
          <w:lang w:val="es-ES_tradnl"/>
        </w:rPr>
        <w:t xml:space="preserve"> como así también a quienes hayan obstaculizado o encubierto </w:t>
      </w:r>
      <w:r w:rsidR="005E09EA" w:rsidRPr="00386E47">
        <w:rPr>
          <w:rFonts w:asciiTheme="majorHAnsi" w:eastAsia="Calibri" w:hAnsiTheme="majorHAnsi"/>
          <w:sz w:val="20"/>
          <w:szCs w:val="20"/>
          <w:lang w:val="es-ES_tradnl"/>
        </w:rPr>
        <w:t>las investigaciones</w:t>
      </w:r>
      <w:r w:rsidRPr="00386E47">
        <w:rPr>
          <w:rFonts w:asciiTheme="majorHAnsi" w:eastAsia="Calibri" w:hAnsiTheme="majorHAnsi"/>
          <w:sz w:val="20"/>
          <w:szCs w:val="20"/>
          <w:lang w:val="es-ES_tradnl"/>
        </w:rPr>
        <w:t xml:space="preserve">. </w:t>
      </w:r>
      <w:r w:rsidR="00D70180" w:rsidRPr="00386E47">
        <w:rPr>
          <w:rFonts w:asciiTheme="majorHAnsi" w:eastAsia="Calibri" w:hAnsiTheme="majorHAnsi"/>
          <w:sz w:val="20"/>
          <w:szCs w:val="20"/>
          <w:lang w:val="es-ES_tradnl"/>
        </w:rPr>
        <w:t>Con el objetivo de verificar los avances, e</w:t>
      </w:r>
      <w:r w:rsidR="00E31B79" w:rsidRPr="00386E47">
        <w:rPr>
          <w:rFonts w:asciiTheme="majorHAnsi" w:eastAsia="Calibri" w:hAnsiTheme="majorHAnsi"/>
          <w:sz w:val="20"/>
          <w:szCs w:val="20"/>
          <w:lang w:val="es-ES_tradnl"/>
        </w:rPr>
        <w:t xml:space="preserve">l Estado deberá de </w:t>
      </w:r>
      <w:r w:rsidR="00D70180" w:rsidRPr="00386E47">
        <w:rPr>
          <w:rFonts w:asciiTheme="majorHAnsi" w:eastAsia="Calibri" w:hAnsiTheme="majorHAnsi"/>
          <w:sz w:val="20"/>
          <w:szCs w:val="20"/>
          <w:lang w:val="es-ES_tradnl"/>
        </w:rPr>
        <w:t xml:space="preserve">retomar la práctica de publicar de forma periódica los informes de gestión de la UFI-AMIA.  Asimismo, deberá de mantener reuniones periódicas con los familiares a fin de brindarles información sobre </w:t>
      </w:r>
      <w:r w:rsidR="006F14A5" w:rsidRPr="00386E47">
        <w:rPr>
          <w:rFonts w:asciiTheme="majorHAnsi" w:eastAsia="Calibri" w:hAnsiTheme="majorHAnsi"/>
          <w:sz w:val="20"/>
          <w:szCs w:val="20"/>
          <w:lang w:val="es-ES_tradnl"/>
        </w:rPr>
        <w:t>los avances en las investigaciones.</w:t>
      </w:r>
    </w:p>
    <w:p w14:paraId="3A9443A3" w14:textId="77777777" w:rsidR="00CC69DE" w:rsidRPr="00386E47" w:rsidRDefault="00CC69DE" w:rsidP="00EB0900">
      <w:pPr>
        <w:jc w:val="both"/>
        <w:rPr>
          <w:rFonts w:asciiTheme="majorHAnsi" w:eastAsia="Calibri" w:hAnsiTheme="majorHAnsi"/>
          <w:sz w:val="20"/>
          <w:szCs w:val="20"/>
          <w:lang w:val="es-ES_tradnl"/>
        </w:rPr>
      </w:pPr>
      <w:r w:rsidRPr="00386E47">
        <w:rPr>
          <w:rFonts w:asciiTheme="majorHAnsi" w:eastAsia="Calibri" w:hAnsiTheme="majorHAnsi"/>
          <w:sz w:val="20"/>
          <w:szCs w:val="20"/>
          <w:lang w:val="es-ES_tradnl"/>
        </w:rPr>
        <w:t xml:space="preserve"> </w:t>
      </w:r>
    </w:p>
    <w:p w14:paraId="64F3A8C4" w14:textId="77777777" w:rsidR="00D70180" w:rsidRPr="00386E47" w:rsidRDefault="00A341A6" w:rsidP="00C3095B">
      <w:pPr>
        <w:numPr>
          <w:ilvl w:val="0"/>
          <w:numId w:val="56"/>
        </w:numPr>
        <w:tabs>
          <w:tab w:val="left" w:pos="567"/>
        </w:tabs>
        <w:ind w:left="0" w:firstLine="0"/>
        <w:jc w:val="both"/>
        <w:rPr>
          <w:rFonts w:asciiTheme="majorHAnsi" w:eastAsia="Calibri" w:hAnsiTheme="majorHAnsi"/>
          <w:sz w:val="20"/>
          <w:szCs w:val="20"/>
          <w:lang w:val="es-ES_tradnl"/>
        </w:rPr>
      </w:pPr>
      <w:r w:rsidRPr="00386E47">
        <w:rPr>
          <w:rFonts w:asciiTheme="majorHAnsi" w:eastAsia="Calibri" w:hAnsiTheme="majorHAnsi"/>
          <w:sz w:val="20"/>
          <w:szCs w:val="20"/>
          <w:lang w:val="es-ES_tradnl"/>
        </w:rPr>
        <w:t>Reparar adecuadamente todas las violaciones a los derechos humanos identifica</w:t>
      </w:r>
      <w:r w:rsidR="00E31B79" w:rsidRPr="00386E47">
        <w:rPr>
          <w:rFonts w:asciiTheme="majorHAnsi" w:eastAsia="Calibri" w:hAnsiTheme="majorHAnsi"/>
          <w:sz w:val="20"/>
          <w:szCs w:val="20"/>
          <w:lang w:val="es-ES_tradnl"/>
        </w:rPr>
        <w:t>da</w:t>
      </w:r>
      <w:r w:rsidRPr="00386E47">
        <w:rPr>
          <w:rFonts w:asciiTheme="majorHAnsi" w:eastAsia="Calibri" w:hAnsiTheme="majorHAnsi"/>
          <w:sz w:val="20"/>
          <w:szCs w:val="20"/>
          <w:lang w:val="es-ES_tradnl"/>
        </w:rPr>
        <w:t xml:space="preserve">s en perjuicio de las víctimas del presente informe, tanto en el aspecto material como inmaterial. Esta reparación debe incluir medidas de compensación pecuniaria y satisfacción para reparar tanto el daño material como moral. Dentro de las medidas de satisfacción </w:t>
      </w:r>
      <w:r w:rsidR="006F14A5" w:rsidRPr="00386E47">
        <w:rPr>
          <w:rFonts w:asciiTheme="majorHAnsi" w:eastAsia="Calibri" w:hAnsiTheme="majorHAnsi"/>
          <w:sz w:val="20"/>
          <w:szCs w:val="20"/>
          <w:lang w:val="es-ES_tradnl"/>
        </w:rPr>
        <w:t xml:space="preserve">que deberán de realizarse con la participación de las peticionarias, las víctimas y los familiares, </w:t>
      </w:r>
      <w:r w:rsidRPr="00386E47">
        <w:rPr>
          <w:rFonts w:asciiTheme="majorHAnsi" w:eastAsia="Calibri" w:hAnsiTheme="majorHAnsi"/>
          <w:sz w:val="20"/>
          <w:szCs w:val="20"/>
          <w:lang w:val="es-ES_tradnl"/>
        </w:rPr>
        <w:t>se encuentran: i)</w:t>
      </w:r>
      <w:r w:rsidR="00D70180" w:rsidRPr="00386E47">
        <w:rPr>
          <w:rFonts w:asciiTheme="majorHAnsi" w:eastAsia="Calibri" w:hAnsiTheme="majorHAnsi"/>
          <w:sz w:val="20"/>
          <w:szCs w:val="20"/>
          <w:lang w:val="es-ES_tradnl"/>
        </w:rPr>
        <w:t xml:space="preserve"> </w:t>
      </w:r>
      <w:r w:rsidR="006F14A5" w:rsidRPr="00386E47">
        <w:rPr>
          <w:rFonts w:asciiTheme="majorHAnsi" w:eastAsia="Calibri" w:hAnsiTheme="majorHAnsi"/>
          <w:sz w:val="20"/>
          <w:szCs w:val="20"/>
          <w:lang w:val="es-ES_tradnl"/>
        </w:rPr>
        <w:t xml:space="preserve">un acto de disculpas públicas </w:t>
      </w:r>
      <w:r w:rsidRPr="00386E47">
        <w:rPr>
          <w:rFonts w:asciiTheme="majorHAnsi" w:eastAsia="Calibri" w:hAnsiTheme="majorHAnsi"/>
          <w:sz w:val="20"/>
          <w:szCs w:val="20"/>
          <w:lang w:val="es-ES_tradnl"/>
        </w:rPr>
        <w:t>para todas las víctimas del atentado; ii) la realización, de actos conmemorativos que contribuyan a preservar la</w:t>
      </w:r>
      <w:r w:rsidR="00E31B79" w:rsidRPr="00386E47">
        <w:rPr>
          <w:rFonts w:asciiTheme="majorHAnsi" w:eastAsia="Calibri" w:hAnsiTheme="majorHAnsi"/>
          <w:sz w:val="20"/>
          <w:szCs w:val="20"/>
          <w:lang w:val="es-ES_tradnl"/>
        </w:rPr>
        <w:t xml:space="preserve"> verdad y la</w:t>
      </w:r>
      <w:r w:rsidRPr="00386E47">
        <w:rPr>
          <w:rFonts w:asciiTheme="majorHAnsi" w:eastAsia="Calibri" w:hAnsiTheme="majorHAnsi"/>
          <w:sz w:val="20"/>
          <w:szCs w:val="20"/>
          <w:lang w:val="es-ES_tradnl"/>
        </w:rPr>
        <w:t xml:space="preserve"> memoria </w:t>
      </w:r>
      <w:r w:rsidR="00E31B79" w:rsidRPr="00386E47">
        <w:rPr>
          <w:rFonts w:asciiTheme="majorHAnsi" w:eastAsia="Calibri" w:hAnsiTheme="majorHAnsi"/>
          <w:sz w:val="20"/>
          <w:szCs w:val="20"/>
          <w:lang w:val="es-ES_tradnl"/>
        </w:rPr>
        <w:t>en relación con el atentado de la AMIA como un paso fundamental a la dignificación de las víctimas mortales y sus familiares</w:t>
      </w:r>
      <w:r w:rsidR="00D70180" w:rsidRPr="00386E47">
        <w:rPr>
          <w:rFonts w:asciiTheme="majorHAnsi" w:eastAsia="Calibri" w:hAnsiTheme="majorHAnsi"/>
          <w:sz w:val="20"/>
          <w:szCs w:val="20"/>
          <w:lang w:val="es-ES_tradnl"/>
        </w:rPr>
        <w:t>;  iii) la realización de un documental audiovisual sobre los hechos del presente caso, sus víctimas y la búsque</w:t>
      </w:r>
      <w:r w:rsidR="006F14A5" w:rsidRPr="00386E47">
        <w:rPr>
          <w:rFonts w:asciiTheme="majorHAnsi" w:eastAsia="Calibri" w:hAnsiTheme="majorHAnsi"/>
          <w:sz w:val="20"/>
          <w:szCs w:val="20"/>
          <w:lang w:val="es-ES_tradnl"/>
        </w:rPr>
        <w:t>da de justicia de sus familiares.</w:t>
      </w:r>
    </w:p>
    <w:p w14:paraId="729E5E43" w14:textId="77777777" w:rsidR="00EB0900" w:rsidRPr="00386E47" w:rsidRDefault="00EB0900" w:rsidP="00EB0900">
      <w:pPr>
        <w:jc w:val="both"/>
        <w:rPr>
          <w:rFonts w:asciiTheme="majorHAnsi" w:eastAsia="Calibri" w:hAnsiTheme="majorHAnsi"/>
          <w:sz w:val="20"/>
          <w:szCs w:val="20"/>
          <w:lang w:val="es-ES_tradnl"/>
        </w:rPr>
      </w:pPr>
    </w:p>
    <w:p w14:paraId="4093223B" w14:textId="77777777" w:rsidR="00CC69DE" w:rsidRPr="00386E47" w:rsidRDefault="00CC69DE" w:rsidP="003A5860">
      <w:pPr>
        <w:numPr>
          <w:ilvl w:val="0"/>
          <w:numId w:val="56"/>
        </w:numPr>
        <w:tabs>
          <w:tab w:val="left" w:pos="567"/>
        </w:tabs>
        <w:ind w:left="0" w:firstLine="0"/>
        <w:jc w:val="both"/>
        <w:rPr>
          <w:rFonts w:asciiTheme="majorHAnsi" w:eastAsia="Calibri" w:hAnsiTheme="majorHAnsi"/>
          <w:sz w:val="20"/>
          <w:szCs w:val="20"/>
          <w:lang w:val="es-ES_tradnl"/>
        </w:rPr>
      </w:pPr>
      <w:r w:rsidRPr="00386E47">
        <w:rPr>
          <w:rFonts w:asciiTheme="majorHAnsi" w:eastAsia="Calibri" w:hAnsiTheme="majorHAnsi"/>
          <w:sz w:val="20"/>
          <w:szCs w:val="20"/>
          <w:lang w:val="es-ES_tradnl"/>
        </w:rPr>
        <w:t xml:space="preserve">Adoptar </w:t>
      </w:r>
      <w:r w:rsidR="00ED52FE" w:rsidRPr="00386E47">
        <w:rPr>
          <w:rFonts w:asciiTheme="majorHAnsi" w:eastAsia="Calibri" w:hAnsiTheme="majorHAnsi"/>
          <w:sz w:val="20"/>
          <w:szCs w:val="20"/>
          <w:lang w:val="es-ES_tradnl"/>
        </w:rPr>
        <w:t xml:space="preserve">e implementar las políticas y medidas necesarias para establecer un mecanismo de gestión y rendición de cuentas de las partidas presupuestarias secretas </w:t>
      </w:r>
      <w:r w:rsidR="000C72F9" w:rsidRPr="00386E47">
        <w:rPr>
          <w:rFonts w:asciiTheme="majorHAnsi" w:eastAsia="Calibri" w:hAnsiTheme="majorHAnsi"/>
          <w:sz w:val="20"/>
          <w:szCs w:val="20"/>
          <w:lang w:val="es-ES_tradnl"/>
        </w:rPr>
        <w:t>asignadas</w:t>
      </w:r>
      <w:r w:rsidR="00ED52FE" w:rsidRPr="00386E47">
        <w:rPr>
          <w:rFonts w:asciiTheme="majorHAnsi" w:eastAsia="Calibri" w:hAnsiTheme="majorHAnsi"/>
          <w:sz w:val="20"/>
          <w:szCs w:val="20"/>
          <w:lang w:val="es-ES_tradnl"/>
        </w:rPr>
        <w:t xml:space="preserve"> a los organismos de inteligencia del Estado argentino</w:t>
      </w:r>
      <w:r w:rsidR="000C72F9" w:rsidRPr="00386E47">
        <w:rPr>
          <w:rFonts w:asciiTheme="majorHAnsi" w:eastAsia="Calibri" w:hAnsiTheme="majorHAnsi"/>
          <w:sz w:val="20"/>
          <w:szCs w:val="20"/>
          <w:lang w:val="es-ES_tradnl"/>
        </w:rPr>
        <w:t xml:space="preserve">. </w:t>
      </w:r>
      <w:r w:rsidR="00117B28" w:rsidRPr="00386E47">
        <w:rPr>
          <w:rFonts w:asciiTheme="majorHAnsi" w:eastAsia="Calibri" w:hAnsiTheme="majorHAnsi"/>
          <w:sz w:val="20"/>
          <w:szCs w:val="20"/>
          <w:lang w:val="es-ES_tradnl"/>
        </w:rPr>
        <w:t>Dichas acciones deberán perseguir el objetivo de garantizar el</w:t>
      </w:r>
      <w:r w:rsidR="00ED52FE" w:rsidRPr="00386E47">
        <w:rPr>
          <w:rFonts w:asciiTheme="majorHAnsi" w:eastAsia="Calibri" w:hAnsiTheme="majorHAnsi"/>
          <w:sz w:val="20"/>
          <w:szCs w:val="20"/>
          <w:lang w:val="es-ES_tradnl"/>
        </w:rPr>
        <w:t xml:space="preserve"> adecuado registro</w:t>
      </w:r>
      <w:r w:rsidR="00117B28" w:rsidRPr="00386E47">
        <w:rPr>
          <w:rFonts w:asciiTheme="majorHAnsi" w:eastAsia="Calibri" w:hAnsiTheme="majorHAnsi"/>
          <w:sz w:val="20"/>
          <w:szCs w:val="20"/>
          <w:lang w:val="es-ES_tradnl"/>
        </w:rPr>
        <w:t xml:space="preserve"> de tales fondos</w:t>
      </w:r>
      <w:r w:rsidR="00ED52FE" w:rsidRPr="00386E47">
        <w:rPr>
          <w:rFonts w:asciiTheme="majorHAnsi" w:eastAsia="Calibri" w:hAnsiTheme="majorHAnsi"/>
          <w:sz w:val="20"/>
          <w:szCs w:val="20"/>
          <w:lang w:val="es-ES_tradnl"/>
        </w:rPr>
        <w:t xml:space="preserve">, la </w:t>
      </w:r>
      <w:r w:rsidR="00117B28" w:rsidRPr="00386E47">
        <w:rPr>
          <w:rFonts w:asciiTheme="majorHAnsi" w:eastAsia="Calibri" w:hAnsiTheme="majorHAnsi"/>
          <w:sz w:val="20"/>
          <w:szCs w:val="20"/>
          <w:lang w:val="es-ES_tradnl"/>
        </w:rPr>
        <w:t xml:space="preserve">legalidad </w:t>
      </w:r>
      <w:r w:rsidR="00ED52FE" w:rsidRPr="00386E47">
        <w:rPr>
          <w:rFonts w:asciiTheme="majorHAnsi" w:eastAsia="Calibri" w:hAnsiTheme="majorHAnsi"/>
          <w:sz w:val="20"/>
          <w:szCs w:val="20"/>
          <w:lang w:val="es-ES_tradnl"/>
        </w:rPr>
        <w:t xml:space="preserve">de su ejercicio y su control externo y oportuno.   </w:t>
      </w:r>
    </w:p>
    <w:p w14:paraId="67950EDE" w14:textId="77777777" w:rsidR="00EB0900" w:rsidRPr="00386E47" w:rsidRDefault="00EB0900" w:rsidP="00EB0900">
      <w:pPr>
        <w:jc w:val="both"/>
        <w:rPr>
          <w:rFonts w:asciiTheme="majorHAnsi" w:eastAsia="Calibri" w:hAnsiTheme="majorHAnsi"/>
          <w:sz w:val="20"/>
          <w:szCs w:val="20"/>
          <w:lang w:val="es-ES_tradnl"/>
        </w:rPr>
      </w:pPr>
    </w:p>
    <w:p w14:paraId="5C6847E4" w14:textId="77777777" w:rsidR="001D18A3" w:rsidRPr="00386E47" w:rsidRDefault="001D18A3" w:rsidP="003A5860">
      <w:pPr>
        <w:numPr>
          <w:ilvl w:val="0"/>
          <w:numId w:val="56"/>
        </w:numPr>
        <w:tabs>
          <w:tab w:val="left" w:pos="567"/>
        </w:tabs>
        <w:ind w:left="0" w:firstLine="0"/>
        <w:jc w:val="both"/>
        <w:rPr>
          <w:rFonts w:asciiTheme="majorHAnsi" w:eastAsia="Calibri" w:hAnsiTheme="majorHAnsi"/>
          <w:sz w:val="20"/>
          <w:szCs w:val="20"/>
          <w:lang w:val="es-ES_tradnl"/>
        </w:rPr>
      </w:pPr>
      <w:r w:rsidRPr="00386E47">
        <w:rPr>
          <w:rFonts w:asciiTheme="majorHAnsi" w:eastAsia="Calibri" w:hAnsiTheme="majorHAnsi"/>
          <w:sz w:val="20"/>
          <w:szCs w:val="20"/>
          <w:lang w:val="es-ES_tradnl"/>
        </w:rPr>
        <w:t xml:space="preserve">Diseñar e implementar </w:t>
      </w:r>
      <w:r w:rsidR="005E09EA" w:rsidRPr="00386E47">
        <w:rPr>
          <w:rFonts w:asciiTheme="majorHAnsi" w:eastAsia="Calibri" w:hAnsiTheme="majorHAnsi"/>
          <w:sz w:val="20"/>
          <w:szCs w:val="20"/>
          <w:lang w:val="es-ES_tradnl"/>
        </w:rPr>
        <w:t xml:space="preserve">programas de formación y </w:t>
      </w:r>
      <w:r w:rsidRPr="00386E47">
        <w:rPr>
          <w:rFonts w:asciiTheme="majorHAnsi" w:eastAsia="Calibri" w:hAnsiTheme="majorHAnsi"/>
          <w:sz w:val="20"/>
          <w:szCs w:val="20"/>
          <w:lang w:val="es-ES_tradnl"/>
        </w:rPr>
        <w:t>capacitación dirigidos a todos los miembros de los cuerpos de seguridad</w:t>
      </w:r>
      <w:r w:rsidR="000C72F9" w:rsidRPr="00386E47">
        <w:rPr>
          <w:rFonts w:asciiTheme="majorHAnsi" w:eastAsia="Calibri" w:hAnsiTheme="majorHAnsi"/>
          <w:sz w:val="20"/>
          <w:szCs w:val="20"/>
          <w:lang w:val="es-ES_tradnl"/>
        </w:rPr>
        <w:t xml:space="preserve"> e </w:t>
      </w:r>
      <w:r w:rsidRPr="00386E47">
        <w:rPr>
          <w:rFonts w:asciiTheme="majorHAnsi" w:eastAsia="Calibri" w:hAnsiTheme="majorHAnsi"/>
          <w:sz w:val="20"/>
          <w:szCs w:val="20"/>
          <w:lang w:val="es-ES_tradnl"/>
        </w:rPr>
        <w:t>inteligencia</w:t>
      </w:r>
      <w:r w:rsidR="000C72F9" w:rsidRPr="00386E47">
        <w:rPr>
          <w:rFonts w:asciiTheme="majorHAnsi" w:eastAsia="Calibri" w:hAnsiTheme="majorHAnsi"/>
          <w:sz w:val="20"/>
          <w:szCs w:val="20"/>
          <w:lang w:val="es-ES_tradnl"/>
        </w:rPr>
        <w:t xml:space="preserve"> federales, como </w:t>
      </w:r>
      <w:r w:rsidR="005E09EA" w:rsidRPr="00386E47">
        <w:rPr>
          <w:rFonts w:asciiTheme="majorHAnsi" w:eastAsia="Calibri" w:hAnsiTheme="majorHAnsi"/>
          <w:sz w:val="20"/>
          <w:szCs w:val="20"/>
          <w:lang w:val="es-ES_tradnl"/>
        </w:rPr>
        <w:t xml:space="preserve">así </w:t>
      </w:r>
      <w:r w:rsidR="000C72F9" w:rsidRPr="00386E47">
        <w:rPr>
          <w:rFonts w:asciiTheme="majorHAnsi" w:eastAsia="Calibri" w:hAnsiTheme="majorHAnsi"/>
          <w:sz w:val="20"/>
          <w:szCs w:val="20"/>
          <w:lang w:val="es-ES_tradnl"/>
        </w:rPr>
        <w:t>también a los</w:t>
      </w:r>
      <w:r w:rsidRPr="00386E47">
        <w:rPr>
          <w:rFonts w:asciiTheme="majorHAnsi" w:eastAsia="Calibri" w:hAnsiTheme="majorHAnsi"/>
          <w:sz w:val="20"/>
          <w:szCs w:val="20"/>
          <w:lang w:val="es-ES_tradnl"/>
        </w:rPr>
        <w:t xml:space="preserve"> integrantes del Poder Judicial </w:t>
      </w:r>
      <w:r w:rsidR="000C72F9" w:rsidRPr="00386E47">
        <w:rPr>
          <w:rFonts w:asciiTheme="majorHAnsi" w:eastAsia="Calibri" w:hAnsiTheme="majorHAnsi"/>
          <w:sz w:val="20"/>
          <w:szCs w:val="20"/>
          <w:lang w:val="es-ES_tradnl"/>
        </w:rPr>
        <w:t xml:space="preserve">de la Nación, </w:t>
      </w:r>
      <w:r w:rsidRPr="00386E47">
        <w:rPr>
          <w:rFonts w:asciiTheme="majorHAnsi" w:eastAsia="Calibri" w:hAnsiTheme="majorHAnsi"/>
          <w:sz w:val="20"/>
          <w:szCs w:val="20"/>
          <w:lang w:val="es-ES_tradnl"/>
        </w:rPr>
        <w:t>que apunten a</w:t>
      </w:r>
      <w:r w:rsidR="00A341A6" w:rsidRPr="00386E47">
        <w:rPr>
          <w:rFonts w:asciiTheme="majorHAnsi" w:eastAsia="Calibri" w:hAnsiTheme="majorHAnsi"/>
          <w:sz w:val="20"/>
          <w:szCs w:val="20"/>
          <w:lang w:val="es-ES_tradnl"/>
        </w:rPr>
        <w:t xml:space="preserve"> fortalecer sus capacidades para</w:t>
      </w:r>
      <w:r w:rsidR="00950063" w:rsidRPr="00386E47">
        <w:rPr>
          <w:rFonts w:asciiTheme="majorHAnsi" w:eastAsia="Calibri" w:hAnsiTheme="majorHAnsi"/>
          <w:sz w:val="20"/>
          <w:szCs w:val="20"/>
          <w:lang w:val="es-ES_tradnl"/>
        </w:rPr>
        <w:t xml:space="preserve"> prevenir</w:t>
      </w:r>
      <w:r w:rsidR="00A341A6" w:rsidRPr="00386E47">
        <w:rPr>
          <w:rFonts w:asciiTheme="majorHAnsi" w:eastAsia="Calibri" w:hAnsiTheme="majorHAnsi"/>
          <w:sz w:val="20"/>
          <w:szCs w:val="20"/>
          <w:lang w:val="es-ES_tradnl"/>
        </w:rPr>
        <w:t xml:space="preserve"> </w:t>
      </w:r>
      <w:r w:rsidR="00950063" w:rsidRPr="00386E47">
        <w:rPr>
          <w:rFonts w:asciiTheme="majorHAnsi" w:eastAsia="Calibri" w:hAnsiTheme="majorHAnsi"/>
          <w:sz w:val="20"/>
          <w:szCs w:val="20"/>
          <w:lang w:val="es-ES_tradnl"/>
        </w:rPr>
        <w:t xml:space="preserve">e </w:t>
      </w:r>
      <w:r w:rsidR="00A341A6" w:rsidRPr="00386E47">
        <w:rPr>
          <w:rFonts w:asciiTheme="majorHAnsi" w:eastAsia="Calibri" w:hAnsiTheme="majorHAnsi"/>
          <w:sz w:val="20"/>
          <w:szCs w:val="20"/>
          <w:lang w:val="es-ES_tradnl"/>
        </w:rPr>
        <w:t>investigar delitos complejos</w:t>
      </w:r>
      <w:r w:rsidR="007B3D41" w:rsidRPr="00386E47">
        <w:rPr>
          <w:rFonts w:asciiTheme="majorHAnsi" w:eastAsia="Calibri" w:hAnsiTheme="majorHAnsi"/>
          <w:sz w:val="20"/>
          <w:szCs w:val="20"/>
          <w:lang w:val="es-ES_tradnl"/>
        </w:rPr>
        <w:t xml:space="preserve"> vinculados con la lucha contra el terrorismo</w:t>
      </w:r>
      <w:r w:rsidR="00A341A6" w:rsidRPr="00386E47">
        <w:rPr>
          <w:rFonts w:asciiTheme="majorHAnsi" w:eastAsia="Calibri" w:hAnsiTheme="majorHAnsi"/>
          <w:sz w:val="20"/>
          <w:szCs w:val="20"/>
          <w:lang w:val="es-ES_tradnl"/>
        </w:rPr>
        <w:t xml:space="preserve">. Asimismo, </w:t>
      </w:r>
      <w:r w:rsidRPr="00386E47">
        <w:rPr>
          <w:rFonts w:asciiTheme="majorHAnsi" w:eastAsia="Calibri" w:hAnsiTheme="majorHAnsi"/>
          <w:sz w:val="20"/>
          <w:szCs w:val="20"/>
          <w:lang w:val="es-ES_tradnl"/>
        </w:rPr>
        <w:t xml:space="preserve">difundir los principios y normas básicas de protección de los derechos humanos, haciendo especial énfasis en la protección de las libertades fundamentales </w:t>
      </w:r>
      <w:r w:rsidR="00117B28" w:rsidRPr="00386E47">
        <w:rPr>
          <w:rFonts w:asciiTheme="majorHAnsi" w:eastAsia="Calibri" w:hAnsiTheme="majorHAnsi"/>
          <w:sz w:val="20"/>
          <w:szCs w:val="20"/>
          <w:lang w:val="es-ES_tradnl"/>
        </w:rPr>
        <w:t xml:space="preserve">y de las garantías del </w:t>
      </w:r>
      <w:r w:rsidR="000C72F9" w:rsidRPr="00386E47">
        <w:rPr>
          <w:rFonts w:asciiTheme="majorHAnsi" w:eastAsia="Calibri" w:hAnsiTheme="majorHAnsi"/>
          <w:sz w:val="20"/>
          <w:szCs w:val="20"/>
          <w:lang w:val="es-ES_tradnl"/>
        </w:rPr>
        <w:t xml:space="preserve">debido proceso </w:t>
      </w:r>
      <w:r w:rsidRPr="00386E47">
        <w:rPr>
          <w:rFonts w:asciiTheme="majorHAnsi" w:eastAsia="Calibri" w:hAnsiTheme="majorHAnsi"/>
          <w:sz w:val="20"/>
          <w:szCs w:val="20"/>
          <w:lang w:val="es-ES_tradnl"/>
        </w:rPr>
        <w:t xml:space="preserve">en el contexto de la </w:t>
      </w:r>
      <w:r w:rsidR="000C72F9" w:rsidRPr="00386E47">
        <w:rPr>
          <w:rFonts w:asciiTheme="majorHAnsi" w:eastAsia="Calibri" w:hAnsiTheme="majorHAnsi"/>
          <w:sz w:val="20"/>
          <w:szCs w:val="20"/>
          <w:lang w:val="es-ES_tradnl"/>
        </w:rPr>
        <w:t xml:space="preserve">lucha contra el terrorismo. </w:t>
      </w:r>
    </w:p>
    <w:p w14:paraId="279AEF97" w14:textId="77777777" w:rsidR="00EB0900" w:rsidRPr="00386E47" w:rsidRDefault="00EB0900" w:rsidP="00EB0900">
      <w:pPr>
        <w:jc w:val="both"/>
        <w:rPr>
          <w:rFonts w:asciiTheme="majorHAnsi" w:eastAsia="Calibri" w:hAnsiTheme="majorHAnsi"/>
          <w:sz w:val="20"/>
          <w:szCs w:val="20"/>
          <w:lang w:val="es-ES_tradnl"/>
        </w:rPr>
      </w:pPr>
    </w:p>
    <w:p w14:paraId="7DE62DB2" w14:textId="77777777" w:rsidR="009F70EA" w:rsidRPr="00386E47" w:rsidRDefault="000C72F9" w:rsidP="003A5860">
      <w:pPr>
        <w:numPr>
          <w:ilvl w:val="0"/>
          <w:numId w:val="56"/>
        </w:numPr>
        <w:tabs>
          <w:tab w:val="left" w:pos="567"/>
        </w:tabs>
        <w:ind w:left="0" w:firstLine="0"/>
        <w:jc w:val="both"/>
        <w:rPr>
          <w:rFonts w:asciiTheme="majorHAnsi" w:eastAsia="Calibri" w:hAnsiTheme="majorHAnsi"/>
          <w:sz w:val="20"/>
          <w:szCs w:val="20"/>
          <w:lang w:val="es-ES_tradnl"/>
        </w:rPr>
      </w:pPr>
      <w:r w:rsidRPr="00386E47">
        <w:rPr>
          <w:rFonts w:asciiTheme="majorHAnsi" w:eastAsia="Calibri" w:hAnsiTheme="majorHAnsi"/>
          <w:sz w:val="20"/>
          <w:szCs w:val="20"/>
          <w:lang w:val="es-VE"/>
        </w:rPr>
        <w:t xml:space="preserve">Adoptar medidas para que los jueces y fiscales a cargo de </w:t>
      </w:r>
      <w:r w:rsidR="00A341A6" w:rsidRPr="00386E47">
        <w:rPr>
          <w:rFonts w:asciiTheme="majorHAnsi" w:eastAsia="Calibri" w:hAnsiTheme="majorHAnsi"/>
          <w:sz w:val="20"/>
          <w:szCs w:val="20"/>
          <w:lang w:val="es-VE"/>
        </w:rPr>
        <w:t>las investigaciones vi</w:t>
      </w:r>
      <w:r w:rsidR="007B3D41" w:rsidRPr="00386E47">
        <w:rPr>
          <w:rFonts w:asciiTheme="majorHAnsi" w:eastAsia="Calibri" w:hAnsiTheme="majorHAnsi"/>
          <w:sz w:val="20"/>
          <w:szCs w:val="20"/>
          <w:lang w:val="es-VE"/>
        </w:rPr>
        <w:t>n</w:t>
      </w:r>
      <w:r w:rsidR="00A341A6" w:rsidRPr="00386E47">
        <w:rPr>
          <w:rFonts w:asciiTheme="majorHAnsi" w:eastAsia="Calibri" w:hAnsiTheme="majorHAnsi"/>
          <w:sz w:val="20"/>
          <w:szCs w:val="20"/>
          <w:lang w:val="es-VE"/>
        </w:rPr>
        <w:t>culadas con el atentado a la AMIA</w:t>
      </w:r>
      <w:r w:rsidRPr="00386E47">
        <w:rPr>
          <w:rFonts w:asciiTheme="majorHAnsi" w:eastAsia="Calibri" w:hAnsiTheme="majorHAnsi"/>
          <w:sz w:val="20"/>
          <w:szCs w:val="20"/>
          <w:lang w:val="es-VE"/>
        </w:rPr>
        <w:t xml:space="preserve"> puedan contar con toda la información relevante para conocer la verdad y juzgar y sancionar a los r</w:t>
      </w:r>
      <w:r w:rsidR="00A341A6" w:rsidRPr="00386E47">
        <w:rPr>
          <w:rFonts w:asciiTheme="majorHAnsi" w:eastAsia="Calibri" w:hAnsiTheme="majorHAnsi"/>
          <w:sz w:val="20"/>
          <w:szCs w:val="20"/>
          <w:lang w:val="es-VE"/>
        </w:rPr>
        <w:t>esponsables,</w:t>
      </w:r>
      <w:r w:rsidRPr="00386E47">
        <w:rPr>
          <w:rFonts w:asciiTheme="majorHAnsi" w:eastAsia="Calibri" w:hAnsiTheme="majorHAnsi"/>
          <w:sz w:val="20"/>
          <w:szCs w:val="20"/>
          <w:lang w:val="es-VE"/>
        </w:rPr>
        <w:t xml:space="preserve"> incluso si la </w:t>
      </w:r>
      <w:r w:rsidR="00574033" w:rsidRPr="00386E47">
        <w:rPr>
          <w:rFonts w:asciiTheme="majorHAnsi" w:eastAsia="Calibri" w:hAnsiTheme="majorHAnsi"/>
          <w:sz w:val="20"/>
          <w:szCs w:val="20"/>
          <w:lang w:val="es-VE"/>
        </w:rPr>
        <w:t>información</w:t>
      </w:r>
      <w:r w:rsidRPr="00386E47">
        <w:rPr>
          <w:rFonts w:asciiTheme="majorHAnsi" w:eastAsia="Calibri" w:hAnsiTheme="majorHAnsi"/>
          <w:sz w:val="20"/>
          <w:szCs w:val="20"/>
          <w:lang w:val="es-VE"/>
        </w:rPr>
        <w:t xml:space="preserve"> se encuentra sometida a </w:t>
      </w:r>
      <w:r w:rsidR="00574033" w:rsidRPr="00386E47">
        <w:rPr>
          <w:rFonts w:asciiTheme="majorHAnsi" w:eastAsia="Calibri" w:hAnsiTheme="majorHAnsi"/>
          <w:sz w:val="20"/>
          <w:szCs w:val="20"/>
          <w:lang w:val="es-VE"/>
        </w:rPr>
        <w:t>cualquier</w:t>
      </w:r>
      <w:r w:rsidRPr="00386E47">
        <w:rPr>
          <w:rFonts w:asciiTheme="majorHAnsi" w:eastAsia="Calibri" w:hAnsiTheme="majorHAnsi"/>
          <w:sz w:val="20"/>
          <w:szCs w:val="20"/>
          <w:lang w:val="es-VE"/>
        </w:rPr>
        <w:t xml:space="preserve"> tipo de reserva o secreto de estado</w:t>
      </w:r>
      <w:r w:rsidR="00A341A6" w:rsidRPr="00386E47">
        <w:rPr>
          <w:rFonts w:asciiTheme="majorHAnsi" w:eastAsia="Calibri" w:hAnsiTheme="majorHAnsi"/>
          <w:sz w:val="20"/>
          <w:szCs w:val="20"/>
          <w:lang w:val="es-VE"/>
        </w:rPr>
        <w:t xml:space="preserve">. </w:t>
      </w:r>
      <w:r w:rsidR="00EB0900" w:rsidRPr="00386E47">
        <w:rPr>
          <w:rFonts w:asciiTheme="majorHAnsi" w:eastAsia="Calibri" w:hAnsiTheme="majorHAnsi"/>
          <w:sz w:val="20"/>
          <w:szCs w:val="20"/>
          <w:lang w:val="es-VE"/>
        </w:rPr>
        <w:t xml:space="preserve">De igual manera, </w:t>
      </w:r>
      <w:r w:rsidRPr="00386E47">
        <w:rPr>
          <w:rFonts w:asciiTheme="majorHAnsi" w:eastAsia="Calibri" w:hAnsiTheme="majorHAnsi"/>
          <w:sz w:val="20"/>
          <w:szCs w:val="20"/>
          <w:lang w:val="es-VE"/>
        </w:rPr>
        <w:t xml:space="preserve">asegurar que </w:t>
      </w:r>
      <w:r w:rsidR="00EB0900" w:rsidRPr="00386E47">
        <w:rPr>
          <w:rFonts w:asciiTheme="majorHAnsi" w:eastAsia="Calibri" w:hAnsiTheme="majorHAnsi"/>
          <w:sz w:val="20"/>
          <w:szCs w:val="20"/>
          <w:lang w:val="es-VE"/>
        </w:rPr>
        <w:t xml:space="preserve">los peticionarios y las </w:t>
      </w:r>
      <w:r w:rsidR="00574033" w:rsidRPr="00386E47">
        <w:rPr>
          <w:rFonts w:asciiTheme="majorHAnsi" w:eastAsia="Calibri" w:hAnsiTheme="majorHAnsi"/>
          <w:sz w:val="20"/>
          <w:szCs w:val="20"/>
          <w:lang w:val="es-VE"/>
        </w:rPr>
        <w:t>víctimas</w:t>
      </w:r>
      <w:r w:rsidR="00EB0900" w:rsidRPr="00386E47">
        <w:rPr>
          <w:rFonts w:asciiTheme="majorHAnsi" w:eastAsia="Calibri" w:hAnsiTheme="majorHAnsi"/>
          <w:sz w:val="20"/>
          <w:szCs w:val="20"/>
          <w:lang w:val="es-VE"/>
        </w:rPr>
        <w:t xml:space="preserve"> del atentado </w:t>
      </w:r>
      <w:r w:rsidRPr="00386E47">
        <w:rPr>
          <w:rFonts w:asciiTheme="majorHAnsi" w:eastAsia="Calibri" w:hAnsiTheme="majorHAnsi"/>
          <w:sz w:val="20"/>
          <w:szCs w:val="20"/>
          <w:lang w:val="es-VE"/>
        </w:rPr>
        <w:t xml:space="preserve">puedan </w:t>
      </w:r>
      <w:r w:rsidR="00EB0900" w:rsidRPr="00386E47">
        <w:rPr>
          <w:rFonts w:asciiTheme="majorHAnsi" w:eastAsia="Calibri" w:hAnsiTheme="majorHAnsi"/>
          <w:sz w:val="20"/>
          <w:szCs w:val="20"/>
          <w:lang w:val="es-VE"/>
        </w:rPr>
        <w:t xml:space="preserve">acceder </w:t>
      </w:r>
      <w:r w:rsidR="006F14A5" w:rsidRPr="00386E47">
        <w:rPr>
          <w:rFonts w:asciiTheme="majorHAnsi" w:eastAsia="Calibri" w:hAnsiTheme="majorHAnsi"/>
          <w:sz w:val="20"/>
          <w:szCs w:val="20"/>
          <w:lang w:val="es-VE"/>
        </w:rPr>
        <w:t>a la</w:t>
      </w:r>
      <w:r w:rsidR="00EB0900" w:rsidRPr="00386E47">
        <w:rPr>
          <w:rFonts w:asciiTheme="majorHAnsi" w:eastAsia="Calibri" w:hAnsiTheme="majorHAnsi"/>
          <w:sz w:val="20"/>
          <w:szCs w:val="20"/>
          <w:lang w:val="es-VE"/>
        </w:rPr>
        <w:t xml:space="preserve"> </w:t>
      </w:r>
      <w:r w:rsidR="006F14A5" w:rsidRPr="00386E47">
        <w:rPr>
          <w:rFonts w:asciiTheme="majorHAnsi" w:eastAsia="Calibri" w:hAnsiTheme="majorHAnsi"/>
          <w:sz w:val="20"/>
          <w:szCs w:val="20"/>
          <w:lang w:val="es-VE"/>
        </w:rPr>
        <w:t>información</w:t>
      </w:r>
      <w:r w:rsidR="00EB0900" w:rsidRPr="00386E47">
        <w:rPr>
          <w:rFonts w:asciiTheme="majorHAnsi" w:eastAsia="Calibri" w:hAnsiTheme="majorHAnsi"/>
          <w:sz w:val="20"/>
          <w:szCs w:val="20"/>
          <w:lang w:val="es-VE"/>
        </w:rPr>
        <w:t xml:space="preserve"> que se encuentre vinculada con el </w:t>
      </w:r>
      <w:r w:rsidR="006F14A5" w:rsidRPr="00386E47">
        <w:rPr>
          <w:rFonts w:asciiTheme="majorHAnsi" w:eastAsia="Calibri" w:hAnsiTheme="majorHAnsi"/>
          <w:sz w:val="20"/>
          <w:szCs w:val="20"/>
          <w:lang w:val="es-VE"/>
        </w:rPr>
        <w:t>caso.</w:t>
      </w:r>
      <w:r w:rsidR="00EB0900" w:rsidRPr="00386E47">
        <w:rPr>
          <w:rFonts w:asciiTheme="majorHAnsi" w:eastAsia="Calibri" w:hAnsiTheme="majorHAnsi"/>
          <w:sz w:val="20"/>
          <w:szCs w:val="20"/>
          <w:lang w:val="es-VE"/>
        </w:rPr>
        <w:t xml:space="preserve"> </w:t>
      </w:r>
      <w:r w:rsidRPr="00386E47">
        <w:rPr>
          <w:rFonts w:asciiTheme="majorHAnsi" w:eastAsia="Calibri" w:hAnsiTheme="majorHAnsi"/>
          <w:sz w:val="20"/>
          <w:szCs w:val="20"/>
          <w:lang w:val="es-VE"/>
        </w:rPr>
        <w:t>En ambos casos, se debe implementar las medidas conducentes para</w:t>
      </w:r>
      <w:r w:rsidR="003678F0" w:rsidRPr="00386E47">
        <w:rPr>
          <w:rFonts w:asciiTheme="majorHAnsi" w:eastAsia="Calibri" w:hAnsiTheme="majorHAnsi"/>
          <w:sz w:val="20"/>
          <w:szCs w:val="20"/>
          <w:lang w:val="es-VE"/>
        </w:rPr>
        <w:t xml:space="preserve"> que la toda </w:t>
      </w:r>
      <w:r w:rsidR="003678F0" w:rsidRPr="00386E47">
        <w:rPr>
          <w:rFonts w:asciiTheme="majorHAnsi" w:eastAsia="Calibri" w:hAnsiTheme="majorHAnsi"/>
          <w:sz w:val="20"/>
          <w:szCs w:val="20"/>
          <w:lang w:val="es-VE"/>
        </w:rPr>
        <w:lastRenderedPageBreak/>
        <w:t>aque</w:t>
      </w:r>
      <w:r w:rsidR="00E31B79" w:rsidRPr="00386E47">
        <w:rPr>
          <w:rFonts w:asciiTheme="majorHAnsi" w:eastAsia="Calibri" w:hAnsiTheme="majorHAnsi"/>
          <w:sz w:val="20"/>
          <w:szCs w:val="20"/>
          <w:lang w:val="es-VE"/>
        </w:rPr>
        <w:t>l</w:t>
      </w:r>
      <w:r w:rsidR="003678F0" w:rsidRPr="00386E47">
        <w:rPr>
          <w:rFonts w:asciiTheme="majorHAnsi" w:eastAsia="Calibri" w:hAnsiTheme="majorHAnsi"/>
          <w:sz w:val="20"/>
          <w:szCs w:val="20"/>
          <w:lang w:val="es-VE"/>
        </w:rPr>
        <w:t xml:space="preserve">la </w:t>
      </w:r>
      <w:r w:rsidR="00574033" w:rsidRPr="00386E47">
        <w:rPr>
          <w:rFonts w:asciiTheme="majorHAnsi" w:eastAsia="Calibri" w:hAnsiTheme="majorHAnsi"/>
          <w:sz w:val="20"/>
          <w:szCs w:val="20"/>
          <w:lang w:val="es-VE"/>
        </w:rPr>
        <w:t>información</w:t>
      </w:r>
      <w:r w:rsidR="003678F0" w:rsidRPr="00386E47">
        <w:rPr>
          <w:rFonts w:asciiTheme="majorHAnsi" w:eastAsia="Calibri" w:hAnsiTheme="majorHAnsi"/>
          <w:sz w:val="20"/>
          <w:szCs w:val="20"/>
          <w:lang w:val="es-VE"/>
        </w:rPr>
        <w:t xml:space="preserve"> en poder del Estado relativa al ataque a la AMIA se encuentre debidamente resguardada</w:t>
      </w:r>
      <w:r w:rsidR="00E31B79" w:rsidRPr="00386E47">
        <w:rPr>
          <w:rFonts w:asciiTheme="majorHAnsi" w:eastAsia="Calibri" w:hAnsiTheme="majorHAnsi"/>
          <w:sz w:val="20"/>
          <w:szCs w:val="20"/>
          <w:lang w:val="es-VE"/>
        </w:rPr>
        <w:t xml:space="preserve"> y preservada</w:t>
      </w:r>
      <w:r w:rsidR="003678F0" w:rsidRPr="00386E47">
        <w:rPr>
          <w:rFonts w:asciiTheme="majorHAnsi" w:eastAsia="Calibri" w:hAnsiTheme="majorHAnsi"/>
          <w:sz w:val="20"/>
          <w:szCs w:val="20"/>
          <w:lang w:val="es-VE"/>
        </w:rPr>
        <w:t xml:space="preserve">. </w:t>
      </w:r>
    </w:p>
    <w:p w14:paraId="02740E90" w14:textId="77777777" w:rsidR="00950063" w:rsidRPr="00386E47" w:rsidRDefault="00950063" w:rsidP="00950063">
      <w:pPr>
        <w:pStyle w:val="ListParagraph"/>
        <w:rPr>
          <w:rFonts w:asciiTheme="majorHAnsi" w:eastAsia="Calibri" w:hAnsiTheme="majorHAnsi"/>
          <w:sz w:val="20"/>
          <w:szCs w:val="20"/>
          <w:lang w:val="es-ES_tradnl"/>
        </w:rPr>
      </w:pPr>
    </w:p>
    <w:p w14:paraId="395F5865" w14:textId="77777777" w:rsidR="00950063" w:rsidRPr="00386E47" w:rsidRDefault="00950063" w:rsidP="003A5860">
      <w:pPr>
        <w:numPr>
          <w:ilvl w:val="0"/>
          <w:numId w:val="56"/>
        </w:numPr>
        <w:tabs>
          <w:tab w:val="left" w:pos="567"/>
        </w:tabs>
        <w:ind w:left="0" w:firstLine="0"/>
        <w:jc w:val="both"/>
        <w:rPr>
          <w:rFonts w:asciiTheme="majorHAnsi" w:eastAsia="Calibri" w:hAnsiTheme="majorHAnsi"/>
          <w:sz w:val="20"/>
          <w:szCs w:val="20"/>
          <w:lang w:val="es-ES_tradnl"/>
        </w:rPr>
      </w:pPr>
      <w:r w:rsidRPr="00386E47">
        <w:rPr>
          <w:rFonts w:asciiTheme="majorHAnsi" w:eastAsia="Calibri" w:hAnsiTheme="majorHAnsi"/>
          <w:sz w:val="20"/>
          <w:szCs w:val="20"/>
          <w:lang w:val="es-VE"/>
        </w:rPr>
        <w:t xml:space="preserve">      </w:t>
      </w:r>
      <w:r w:rsidRPr="00386E47">
        <w:rPr>
          <w:rFonts w:asciiTheme="majorHAnsi" w:eastAsia="Calibri" w:hAnsiTheme="majorHAnsi"/>
          <w:sz w:val="20"/>
          <w:szCs w:val="20"/>
          <w:lang w:val="es-ES_tradnl"/>
        </w:rPr>
        <w:t>Adoptar e implementar medidas para fortalecer las capacidades del Estado en materia de prevención de ataques terroristas</w:t>
      </w:r>
      <w:r w:rsidR="00386E47" w:rsidRPr="00386E47">
        <w:rPr>
          <w:rFonts w:asciiTheme="majorHAnsi" w:eastAsia="Calibri" w:hAnsiTheme="majorHAnsi"/>
          <w:sz w:val="20"/>
          <w:szCs w:val="20"/>
          <w:lang w:val="es-ES_tradnl"/>
        </w:rPr>
        <w:t xml:space="preserve"> que constituyan actos discriminatorios. As</w:t>
      </w:r>
      <w:r w:rsidRPr="00386E47">
        <w:rPr>
          <w:rFonts w:asciiTheme="majorHAnsi" w:eastAsia="Calibri" w:hAnsiTheme="majorHAnsi"/>
          <w:sz w:val="20"/>
          <w:szCs w:val="20"/>
          <w:lang w:val="es-ES_tradnl"/>
        </w:rPr>
        <w:t>egurar que las disculpas públicas y los programas de formación a autoridades del Estado</w:t>
      </w:r>
      <w:r w:rsidR="00584B30" w:rsidRPr="00386E47">
        <w:rPr>
          <w:rFonts w:asciiTheme="majorHAnsi" w:eastAsia="Calibri" w:hAnsiTheme="majorHAnsi"/>
          <w:sz w:val="20"/>
          <w:szCs w:val="20"/>
          <w:lang w:val="es-ES_tradnl"/>
        </w:rPr>
        <w:t>, referidos en recomendaciones previas,</w:t>
      </w:r>
      <w:r w:rsidRPr="00386E47">
        <w:rPr>
          <w:rFonts w:asciiTheme="majorHAnsi" w:eastAsia="Calibri" w:hAnsiTheme="majorHAnsi"/>
          <w:sz w:val="20"/>
          <w:szCs w:val="20"/>
          <w:lang w:val="es-ES_tradnl"/>
        </w:rPr>
        <w:t xml:space="preserve"> incluyan el componente </w:t>
      </w:r>
      <w:r w:rsidR="001F5F81" w:rsidRPr="00386E47">
        <w:rPr>
          <w:rFonts w:asciiTheme="majorHAnsi" w:eastAsia="Calibri" w:hAnsiTheme="majorHAnsi"/>
          <w:sz w:val="20"/>
          <w:szCs w:val="20"/>
          <w:lang w:val="es-ES_tradnl"/>
        </w:rPr>
        <w:t xml:space="preserve">respecto de las violaciones al </w:t>
      </w:r>
      <w:r w:rsidRPr="00386E47">
        <w:rPr>
          <w:rFonts w:asciiTheme="majorHAnsi" w:eastAsia="Calibri" w:hAnsiTheme="majorHAnsi"/>
          <w:sz w:val="20"/>
          <w:szCs w:val="20"/>
          <w:lang w:val="es-ES_tradnl"/>
        </w:rPr>
        <w:t>derecho a la igualdad y no discriminación</w:t>
      </w:r>
      <w:r w:rsidR="00584B30" w:rsidRPr="00386E47">
        <w:rPr>
          <w:rFonts w:asciiTheme="majorHAnsi" w:eastAsia="Calibri" w:hAnsiTheme="majorHAnsi"/>
          <w:sz w:val="20"/>
          <w:szCs w:val="20"/>
          <w:lang w:val="es-ES_tradnl"/>
        </w:rPr>
        <w:t xml:space="preserve"> </w:t>
      </w:r>
      <w:r w:rsidR="00386E47" w:rsidRPr="00386E47">
        <w:rPr>
          <w:rFonts w:asciiTheme="majorHAnsi" w:eastAsia="Calibri" w:hAnsiTheme="majorHAnsi"/>
          <w:sz w:val="20"/>
          <w:szCs w:val="20"/>
          <w:lang w:val="es-ES_tradnl"/>
        </w:rPr>
        <w:t>conforme a los estándares interamericanos aplicables</w:t>
      </w:r>
      <w:r w:rsidRPr="00386E47">
        <w:rPr>
          <w:rFonts w:asciiTheme="majorHAnsi" w:eastAsia="Calibri" w:hAnsiTheme="majorHAnsi"/>
          <w:sz w:val="20"/>
          <w:szCs w:val="20"/>
          <w:lang w:val="es-ES_tradnl"/>
        </w:rPr>
        <w:t>.</w:t>
      </w:r>
    </w:p>
    <w:p w14:paraId="19CEE95F" w14:textId="77777777" w:rsidR="00DC183D" w:rsidRPr="00386E47" w:rsidRDefault="00DC183D" w:rsidP="009F70EA">
      <w:pPr>
        <w:spacing w:line="259" w:lineRule="auto"/>
        <w:rPr>
          <w:rFonts w:asciiTheme="majorHAnsi" w:eastAsia="Calibri" w:hAnsiTheme="majorHAnsi"/>
          <w:sz w:val="20"/>
          <w:szCs w:val="20"/>
          <w:lang w:val="es-VE"/>
        </w:rPr>
      </w:pPr>
    </w:p>
    <w:p w14:paraId="31DBA15A" w14:textId="77777777" w:rsidR="00D27EA6" w:rsidRDefault="00FF429D" w:rsidP="001A0C21">
      <w:pPr>
        <w:suppressAutoHyphens/>
        <w:ind w:firstLine="567"/>
        <w:jc w:val="both"/>
        <w:rPr>
          <w:rFonts w:asciiTheme="majorHAnsi" w:hAnsiTheme="majorHAnsi"/>
          <w:sz w:val="20"/>
          <w:szCs w:val="20"/>
          <w:lang w:val="es-AR"/>
        </w:rPr>
      </w:pPr>
      <w:r w:rsidRPr="00386E47">
        <w:rPr>
          <w:rFonts w:asciiTheme="majorHAnsi" w:hAnsiTheme="majorHAnsi"/>
          <w:sz w:val="20"/>
          <w:szCs w:val="20"/>
          <w:lang w:val="es-AR"/>
        </w:rPr>
        <w:t xml:space="preserve">Aprobado por la </w:t>
      </w:r>
      <w:r w:rsidR="001A0C21" w:rsidRPr="00386E47">
        <w:rPr>
          <w:rFonts w:asciiTheme="majorHAnsi" w:hAnsiTheme="majorHAnsi"/>
          <w:sz w:val="20"/>
          <w:szCs w:val="20"/>
          <w:lang w:val="es-AR"/>
        </w:rPr>
        <w:t>Comisión</w:t>
      </w:r>
      <w:r w:rsidRPr="00386E47">
        <w:rPr>
          <w:rFonts w:asciiTheme="majorHAnsi" w:hAnsiTheme="majorHAnsi"/>
          <w:sz w:val="20"/>
          <w:szCs w:val="20"/>
          <w:lang w:val="es-AR"/>
        </w:rPr>
        <w:t xml:space="preserve"> Interamericana de Derechos Humanos el 14 de julio de 2020. (Firmado) </w:t>
      </w:r>
      <w:r w:rsidR="001A0C21" w:rsidRPr="00386E47">
        <w:rPr>
          <w:rFonts w:asciiTheme="majorHAnsi" w:hAnsiTheme="majorHAnsi"/>
          <w:sz w:val="20"/>
          <w:szCs w:val="20"/>
          <w:lang w:val="es-AR"/>
        </w:rPr>
        <w:t>Joel Hernandez, Presidente; Antonia Urrejola, Primera Vicepresidenta; Flávia Piovesan, Segunda Vicepresidenta; Margarette May Macaulay; Esmeralda Arosemena de Troitiño, Edgar Stuardo Ralón Orell</w:t>
      </w:r>
      <w:r w:rsidR="000F00CB">
        <w:rPr>
          <w:rFonts w:asciiTheme="majorHAnsi" w:hAnsiTheme="majorHAnsi"/>
          <w:sz w:val="20"/>
          <w:szCs w:val="20"/>
          <w:lang w:val="es-AR"/>
        </w:rPr>
        <w:t>ana y Julissa Mantilla Falcón, M</w:t>
      </w:r>
      <w:r w:rsidR="001A0C21" w:rsidRPr="00386E47">
        <w:rPr>
          <w:rFonts w:asciiTheme="majorHAnsi" w:hAnsiTheme="majorHAnsi"/>
          <w:sz w:val="20"/>
          <w:szCs w:val="20"/>
          <w:lang w:val="es-AR"/>
        </w:rPr>
        <w:t>iembros de la CIDH.</w:t>
      </w:r>
      <w:r w:rsidR="001A0C21">
        <w:rPr>
          <w:rFonts w:asciiTheme="majorHAnsi" w:hAnsiTheme="majorHAnsi"/>
          <w:sz w:val="20"/>
          <w:szCs w:val="20"/>
          <w:lang w:val="es-AR"/>
        </w:rPr>
        <w:t xml:space="preserve"> </w:t>
      </w:r>
    </w:p>
    <w:p w14:paraId="51C9CA3E" w14:textId="77777777" w:rsidR="000F00CB" w:rsidRDefault="000F00CB" w:rsidP="000F00CB">
      <w:pPr>
        <w:suppressAutoHyphens/>
        <w:jc w:val="both"/>
        <w:rPr>
          <w:rFonts w:asciiTheme="majorHAnsi" w:hAnsiTheme="majorHAnsi"/>
          <w:sz w:val="20"/>
          <w:szCs w:val="20"/>
          <w:lang w:val="es-AR"/>
        </w:rPr>
      </w:pPr>
    </w:p>
    <w:p w14:paraId="4560907A" w14:textId="77777777" w:rsidR="000F00CB" w:rsidRDefault="000F00CB" w:rsidP="000F00CB">
      <w:pPr>
        <w:ind w:firstLine="720"/>
        <w:jc w:val="both"/>
        <w:rPr>
          <w:rFonts w:ascii="Cambria" w:hAnsi="Cambria"/>
          <w:sz w:val="20"/>
          <w:szCs w:val="20"/>
          <w:lang w:val="es-CL"/>
        </w:rPr>
      </w:pPr>
      <w:r>
        <w:rPr>
          <w:rFonts w:ascii="Cambria" w:hAnsi="Cambria"/>
          <w:sz w:val="20"/>
          <w:szCs w:val="20"/>
          <w:lang w:val="es-CL"/>
        </w:rPr>
        <w:t xml:space="preserve">La que suscribe, </w:t>
      </w:r>
      <w:r>
        <w:rPr>
          <w:rFonts w:ascii="Cambria" w:hAnsi="Cambria" w:cs="Arial"/>
          <w:sz w:val="20"/>
          <w:szCs w:val="20"/>
          <w:lang w:val="es-PE"/>
        </w:rPr>
        <w:t>Marisol Blanchard</w:t>
      </w:r>
      <w:r>
        <w:rPr>
          <w:rFonts w:ascii="Cambria" w:hAnsi="Cambria"/>
          <w:sz w:val="20"/>
          <w:szCs w:val="20"/>
          <w:lang w:val="es-CL"/>
        </w:rPr>
        <w:t>, Secretaria Ejecutiva Adjunta, de conformidad con el artículo 49 del Reglamento de la Comisión, certifica que es copia fiel del original depositado en los archivos de la Secretaría de la CIDH.</w:t>
      </w:r>
    </w:p>
    <w:p w14:paraId="24937E00" w14:textId="77777777" w:rsidR="000F00CB" w:rsidRPr="003D7C01" w:rsidRDefault="000F00CB" w:rsidP="000F00CB">
      <w:pPr>
        <w:jc w:val="center"/>
        <w:rPr>
          <w:rFonts w:ascii="Cambria" w:hAnsi="Cambria"/>
          <w:sz w:val="16"/>
          <w:szCs w:val="16"/>
        </w:rPr>
      </w:pPr>
      <w:r w:rsidRPr="002B105B">
        <w:rPr>
          <w:rFonts w:cs="Calibri"/>
          <w:noProof/>
        </w:rPr>
        <w:drawing>
          <wp:inline distT="0" distB="0" distL="0" distR="0" wp14:anchorId="688D3B73" wp14:editId="0D2E987A">
            <wp:extent cx="1371600" cy="80962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71600" cy="809625"/>
                    </a:xfrm>
                    <a:prstGeom prst="rect">
                      <a:avLst/>
                    </a:prstGeom>
                    <a:noFill/>
                    <a:ln>
                      <a:noFill/>
                    </a:ln>
                  </pic:spPr>
                </pic:pic>
              </a:graphicData>
            </a:graphic>
          </wp:inline>
        </w:drawing>
      </w:r>
    </w:p>
    <w:p w14:paraId="49558C22" w14:textId="77777777" w:rsidR="000F00CB" w:rsidRPr="00BE3E7A" w:rsidRDefault="000F00CB" w:rsidP="000F00CB">
      <w:pPr>
        <w:tabs>
          <w:tab w:val="left" w:pos="-720"/>
        </w:tabs>
        <w:jc w:val="center"/>
        <w:rPr>
          <w:rFonts w:ascii="Cambria" w:hAnsi="Cambria" w:cs="Arial"/>
          <w:sz w:val="20"/>
          <w:szCs w:val="20"/>
          <w:lang w:val="es-US"/>
        </w:rPr>
      </w:pPr>
      <w:r w:rsidRPr="00BE3E7A">
        <w:rPr>
          <w:rFonts w:ascii="Cambria" w:hAnsi="Cambria" w:cs="Arial"/>
          <w:sz w:val="20"/>
          <w:szCs w:val="20"/>
          <w:lang w:val="es-US"/>
        </w:rPr>
        <w:t>Marisol Blanchard</w:t>
      </w:r>
    </w:p>
    <w:p w14:paraId="71EDCECA" w14:textId="77777777" w:rsidR="000F00CB" w:rsidRPr="002B105B" w:rsidRDefault="000F00CB" w:rsidP="000F00CB">
      <w:pPr>
        <w:tabs>
          <w:tab w:val="left" w:pos="-720"/>
          <w:tab w:val="left" w:pos="5760"/>
        </w:tabs>
        <w:jc w:val="center"/>
        <w:rPr>
          <w:rFonts w:ascii="Calibri Light" w:hAnsi="Calibri Light"/>
          <w:sz w:val="20"/>
          <w:szCs w:val="20"/>
          <w:lang w:val="es-ES_tradnl"/>
        </w:rPr>
      </w:pPr>
      <w:r w:rsidRPr="00BE3E7A">
        <w:rPr>
          <w:rFonts w:ascii="Cambria" w:hAnsi="Cambria" w:cs="Arial"/>
          <w:sz w:val="20"/>
          <w:szCs w:val="20"/>
          <w:lang w:val="es-US"/>
        </w:rPr>
        <w:t>Secretaria Ejecutiva Adjunta</w:t>
      </w:r>
    </w:p>
    <w:p w14:paraId="4B22FE70" w14:textId="77777777" w:rsidR="000F00CB" w:rsidRDefault="000F00CB" w:rsidP="000F00CB">
      <w:pPr>
        <w:rPr>
          <w:b/>
          <w:lang w:val="es-ES_tradnl"/>
        </w:rPr>
      </w:pPr>
    </w:p>
    <w:p w14:paraId="1887EDA0" w14:textId="77777777" w:rsidR="000F00CB" w:rsidRPr="00FF429D" w:rsidRDefault="000F00CB" w:rsidP="000F00CB">
      <w:pPr>
        <w:suppressAutoHyphens/>
        <w:jc w:val="both"/>
        <w:rPr>
          <w:rFonts w:asciiTheme="majorHAnsi" w:hAnsiTheme="majorHAnsi"/>
          <w:sz w:val="20"/>
          <w:szCs w:val="20"/>
          <w:lang w:val="es-AR"/>
        </w:rPr>
      </w:pPr>
    </w:p>
    <w:sectPr w:rsidR="000F00CB" w:rsidRPr="00FF429D" w:rsidSect="002B61E0">
      <w:type w:val="oddPage"/>
      <w:pgSz w:w="12240" w:h="15840"/>
      <w:pgMar w:top="1440" w:right="1183" w:bottom="143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D301C" w14:textId="77777777" w:rsidR="005B3F8C" w:rsidRDefault="005B3F8C">
      <w:r>
        <w:separator/>
      </w:r>
    </w:p>
    <w:p w14:paraId="4A8B69CE" w14:textId="77777777" w:rsidR="005B3F8C" w:rsidRDefault="005B3F8C"/>
  </w:endnote>
  <w:endnote w:type="continuationSeparator" w:id="0">
    <w:p w14:paraId="404D9ECC" w14:textId="77777777" w:rsidR="005B3F8C" w:rsidRDefault="005B3F8C">
      <w:r>
        <w:continuationSeparator/>
      </w:r>
    </w:p>
    <w:p w14:paraId="7CD1DE62" w14:textId="77777777" w:rsidR="005B3F8C" w:rsidRDefault="005B3F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Verdana-Bold">
    <w:altName w:val="Verdana"/>
    <w:panose1 w:val="00000000000000000000"/>
    <w:charset w:val="4D"/>
    <w:family w:val="auto"/>
    <w:notTrueType/>
    <w:pitch w:val="default"/>
    <w:sig w:usb0="03000003" w:usb1="00000000" w:usb2="00000000" w:usb3="00000000" w:csb0="00000001" w:csb1="00000000"/>
  </w:font>
  <w:font w:name="Univers,Italic">
    <w:panose1 w:val="00000000000000000000"/>
    <w:charset w:val="00"/>
    <w:family w:val="auto"/>
    <w:notTrueType/>
    <w:pitch w:val="default"/>
    <w:sig w:usb0="00000003" w:usb1="00000000" w:usb2="00000000" w:usb3="00000000" w:csb0="00000001" w:csb1="00000000"/>
  </w:font>
  <w:font w:name="ArialNarrow">
    <w:altName w:val="Arial Narrow"/>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5294112"/>
      <w:docPartObj>
        <w:docPartGallery w:val="Page Numbers (Bottom of Page)"/>
        <w:docPartUnique/>
      </w:docPartObj>
    </w:sdtPr>
    <w:sdtEndPr>
      <w:rPr>
        <w:noProof/>
        <w:sz w:val="16"/>
        <w:szCs w:val="22"/>
      </w:rPr>
    </w:sdtEndPr>
    <w:sdtContent>
      <w:p w14:paraId="2DDCD8B1" w14:textId="77777777" w:rsidR="005B3F8C" w:rsidRPr="00934A2C" w:rsidRDefault="005B3F8C">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0F00CB">
          <w:rPr>
            <w:noProof/>
            <w:sz w:val="16"/>
            <w:szCs w:val="22"/>
          </w:rPr>
          <w:t>68</w:t>
        </w:r>
        <w:r w:rsidRPr="00934A2C">
          <w:rPr>
            <w:noProof/>
            <w:sz w:val="16"/>
            <w:szCs w:val="22"/>
          </w:rPr>
          <w:fldChar w:fldCharType="end"/>
        </w:r>
      </w:p>
    </w:sdtContent>
  </w:sdt>
  <w:p w14:paraId="0C71B740" w14:textId="77777777" w:rsidR="005B3F8C" w:rsidRDefault="005B3F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63F24" w14:textId="77777777" w:rsidR="005B3F8C" w:rsidRPr="00934A2C" w:rsidRDefault="005B3F8C">
    <w:pPr>
      <w:pStyle w:val="Footer"/>
      <w:jc w:val="center"/>
      <w:rPr>
        <w:sz w:val="16"/>
        <w:szCs w:val="22"/>
      </w:rPr>
    </w:pPr>
  </w:p>
  <w:p w14:paraId="33110B4B" w14:textId="77777777" w:rsidR="005B3F8C" w:rsidRDefault="005B3F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8EFF5" w14:textId="77777777" w:rsidR="005B3F8C" w:rsidRPr="000F35ED" w:rsidRDefault="005B3F8C">
      <w:pPr>
        <w:rPr>
          <w:rFonts w:asciiTheme="majorHAnsi" w:hAnsiTheme="majorHAnsi"/>
          <w:sz w:val="16"/>
          <w:szCs w:val="16"/>
        </w:rPr>
      </w:pPr>
      <w:r w:rsidRPr="000F35ED">
        <w:rPr>
          <w:rFonts w:asciiTheme="majorHAnsi" w:hAnsiTheme="majorHAnsi"/>
          <w:sz w:val="16"/>
          <w:szCs w:val="16"/>
        </w:rPr>
        <w:separator/>
      </w:r>
    </w:p>
    <w:p w14:paraId="0FEA486C" w14:textId="77777777" w:rsidR="005B3F8C" w:rsidRDefault="005B3F8C"/>
  </w:footnote>
  <w:footnote w:type="continuationSeparator" w:id="0">
    <w:p w14:paraId="6E10057B" w14:textId="77777777" w:rsidR="005B3F8C" w:rsidRPr="000F35ED" w:rsidRDefault="005B3F8C" w:rsidP="000F35ED">
      <w:pPr>
        <w:rPr>
          <w:rFonts w:asciiTheme="majorHAnsi" w:hAnsiTheme="majorHAnsi"/>
          <w:sz w:val="16"/>
          <w:szCs w:val="16"/>
        </w:rPr>
      </w:pPr>
      <w:r w:rsidRPr="000F35ED">
        <w:rPr>
          <w:rFonts w:asciiTheme="majorHAnsi" w:hAnsiTheme="majorHAnsi"/>
          <w:sz w:val="16"/>
          <w:szCs w:val="16"/>
        </w:rPr>
        <w:separator/>
      </w:r>
    </w:p>
    <w:p w14:paraId="77AF449A" w14:textId="77777777" w:rsidR="005B3F8C" w:rsidRPr="000F35ED" w:rsidRDefault="005B3F8C"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p w14:paraId="19E7D124" w14:textId="77777777" w:rsidR="005B3F8C" w:rsidRDefault="005B3F8C"/>
  </w:footnote>
  <w:footnote w:type="continuationNotice" w:id="1">
    <w:p w14:paraId="0EF34377" w14:textId="77777777" w:rsidR="005B3F8C" w:rsidRPr="000F35ED" w:rsidRDefault="005B3F8C"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p w14:paraId="256FD6B7" w14:textId="77777777" w:rsidR="005B3F8C" w:rsidRDefault="005B3F8C"/>
  </w:footnote>
  <w:footnote w:id="2">
    <w:p w14:paraId="1113F62F" w14:textId="77777777" w:rsidR="005B3F8C" w:rsidRPr="00D93236" w:rsidRDefault="005B3F8C" w:rsidP="00E27260">
      <w:pPr>
        <w:tabs>
          <w:tab w:val="left" w:pos="567"/>
        </w:tabs>
        <w:jc w:val="both"/>
        <w:rPr>
          <w:rFonts w:asciiTheme="majorHAnsi" w:eastAsia="Calibri" w:hAnsiTheme="majorHAnsi"/>
          <w:sz w:val="16"/>
          <w:szCs w:val="16"/>
          <w:lang w:val="es-VE"/>
        </w:rPr>
      </w:pPr>
      <w:r w:rsidRPr="00D93236">
        <w:rPr>
          <w:rStyle w:val="FootnoteReference"/>
          <w:rFonts w:asciiTheme="majorHAnsi" w:hAnsiTheme="majorHAnsi"/>
          <w:sz w:val="16"/>
          <w:szCs w:val="16"/>
        </w:rPr>
        <w:footnoteRef/>
      </w:r>
      <w:r w:rsidRPr="00D93236">
        <w:rPr>
          <w:rFonts w:asciiTheme="majorHAnsi" w:hAnsiTheme="majorHAnsi"/>
          <w:sz w:val="16"/>
          <w:szCs w:val="16"/>
          <w:lang w:val="es-US"/>
        </w:rPr>
        <w:t xml:space="preserve"> </w:t>
      </w:r>
      <w:r w:rsidRPr="00D93236">
        <w:rPr>
          <w:rFonts w:asciiTheme="majorHAnsi" w:hAnsiTheme="majorHAnsi"/>
          <w:sz w:val="16"/>
          <w:szCs w:val="16"/>
          <w:lang w:val="es-AR"/>
        </w:rPr>
        <w:t>El</w:t>
      </w:r>
      <w:r w:rsidRPr="00D93236">
        <w:rPr>
          <w:rFonts w:asciiTheme="majorHAnsi" w:hAnsiTheme="majorHAnsi"/>
          <w:sz w:val="16"/>
          <w:szCs w:val="16"/>
          <w:lang w:val="es-US"/>
        </w:rPr>
        <w:t xml:space="preserve"> 24 de agosto de 1999, la CIDH recibió una comunicación de la Asociación Madres de Plaza de Mayo – Línea Fundadora en la que manifestaban su adhesión a la denuncia de los peticionarios. En el mismo sentido, la Comisión recibió comunicaciones de la Fundación Servicio, Paz y Justicia el 31 de agosto de 1999, del International Human Righs Law Group el 16 de septiembre de 1999, de la organización de familiares de desaparecidos y detenidos por razones políticas, el 8 de septiembre de 1999, y de la Asamblea Permanente por los Derechos Humanos el 5 de octubre de 1999. </w:t>
      </w:r>
      <w:r w:rsidRPr="00D93236">
        <w:rPr>
          <w:rFonts w:asciiTheme="majorHAnsi" w:eastAsia="Calibri" w:hAnsiTheme="majorHAnsi"/>
          <w:sz w:val="16"/>
          <w:szCs w:val="16"/>
          <w:lang w:val="es-AR"/>
        </w:rPr>
        <w:t xml:space="preserve">El 18 de abril de 2019, a solicitud de Daniel Eduardo Joffe, la Comisión señaló que su petición será considerada en petición diferente. </w:t>
      </w:r>
    </w:p>
  </w:footnote>
  <w:footnote w:id="3">
    <w:p w14:paraId="45D812F6" w14:textId="77777777" w:rsidR="005B3F8C" w:rsidRPr="00D93236" w:rsidRDefault="005B3F8C" w:rsidP="00E27260">
      <w:pPr>
        <w:pStyle w:val="FootnoteText"/>
        <w:jc w:val="both"/>
        <w:rPr>
          <w:rFonts w:asciiTheme="majorHAnsi" w:hAnsiTheme="majorHAnsi"/>
          <w:sz w:val="16"/>
          <w:szCs w:val="16"/>
          <w:lang w:val="es-AR"/>
        </w:rPr>
      </w:pPr>
      <w:r w:rsidRPr="00D93236">
        <w:rPr>
          <w:rStyle w:val="FootnoteReference"/>
          <w:rFonts w:asciiTheme="majorHAnsi" w:hAnsiTheme="majorHAnsi"/>
          <w:sz w:val="16"/>
          <w:szCs w:val="16"/>
        </w:rPr>
        <w:footnoteRef/>
      </w:r>
      <w:r>
        <w:rPr>
          <w:rFonts w:asciiTheme="majorHAnsi" w:hAnsiTheme="majorHAnsi"/>
          <w:sz w:val="16"/>
          <w:szCs w:val="16"/>
          <w:lang w:val="es-AR"/>
        </w:rPr>
        <w:t xml:space="preserve">Anexo 1. Informe suscripto por el </w:t>
      </w:r>
      <w:r w:rsidRPr="00D93236">
        <w:rPr>
          <w:rFonts w:asciiTheme="majorHAnsi" w:hAnsiTheme="majorHAnsi"/>
          <w:sz w:val="16"/>
          <w:szCs w:val="16"/>
          <w:lang w:val="es-AR"/>
        </w:rPr>
        <w:t>Decano Claudio Grossman, Observador Internacional de la CIDH en el juicio de la Asociación Mutual Israelita Argentina (AMIA). 22 de febrero, 2005. En adelante: “Informe Grossman”. Anexo 5 a la comunicación de la parte peticionaria de fecha 11 de noviembre de 2019</w:t>
      </w:r>
    </w:p>
  </w:footnote>
  <w:footnote w:id="4">
    <w:p w14:paraId="0D5C2F74" w14:textId="77777777" w:rsidR="005B3F8C" w:rsidRPr="00D93236" w:rsidRDefault="005B3F8C" w:rsidP="00E27260">
      <w:pPr>
        <w:pStyle w:val="FootnoteText"/>
        <w:jc w:val="both"/>
        <w:rPr>
          <w:rFonts w:asciiTheme="majorHAnsi" w:hAnsiTheme="majorHAnsi"/>
          <w:sz w:val="16"/>
          <w:szCs w:val="16"/>
          <w:lang w:val="es-AR"/>
        </w:rPr>
      </w:pPr>
      <w:r w:rsidRPr="00D93236">
        <w:rPr>
          <w:rStyle w:val="FootnoteReference"/>
          <w:rFonts w:asciiTheme="majorHAnsi" w:hAnsiTheme="majorHAnsi"/>
          <w:sz w:val="16"/>
          <w:szCs w:val="16"/>
        </w:rPr>
        <w:footnoteRef/>
      </w:r>
      <w:r w:rsidRPr="00D93236">
        <w:rPr>
          <w:rFonts w:asciiTheme="majorHAnsi" w:hAnsiTheme="majorHAnsi"/>
          <w:sz w:val="16"/>
          <w:szCs w:val="16"/>
          <w:lang w:val="es-AR"/>
        </w:rPr>
        <w:t xml:space="preserve"> El registro audiovisual de la audiencia puede consultarse en: </w:t>
      </w:r>
      <w:hyperlink r:id="rId1" w:history="1">
        <w:r w:rsidRPr="00D93236">
          <w:rPr>
            <w:rFonts w:asciiTheme="majorHAnsi" w:eastAsia="Arial Unicode MS" w:hAnsiTheme="majorHAnsi" w:cs="Times New Roman"/>
            <w:color w:val="0000FF"/>
            <w:sz w:val="16"/>
            <w:szCs w:val="16"/>
            <w:u w:val="single"/>
            <w:lang w:val="es-AR" w:eastAsia="en-US"/>
          </w:rPr>
          <w:t>https://www.youtube.com/watch?v=EyTmlo6Anos</w:t>
        </w:r>
      </w:hyperlink>
    </w:p>
  </w:footnote>
  <w:footnote w:id="5">
    <w:p w14:paraId="24951E94" w14:textId="77777777" w:rsidR="005B3F8C" w:rsidRPr="009A0110" w:rsidRDefault="005B3F8C" w:rsidP="00E9249A">
      <w:pPr>
        <w:pStyle w:val="FootnoteText"/>
        <w:jc w:val="both"/>
        <w:rPr>
          <w:rFonts w:ascii="Cambria" w:hAnsi="Cambria"/>
          <w:sz w:val="16"/>
          <w:szCs w:val="16"/>
          <w:lang w:val="es-AR"/>
        </w:rPr>
      </w:pPr>
      <w:r w:rsidRPr="009A0110">
        <w:rPr>
          <w:rStyle w:val="FootnoteReference"/>
          <w:rFonts w:ascii="Cambria" w:hAnsi="Cambria"/>
          <w:sz w:val="16"/>
          <w:szCs w:val="16"/>
        </w:rPr>
        <w:footnoteRef/>
      </w:r>
      <w:r w:rsidRPr="009A0110">
        <w:rPr>
          <w:rFonts w:ascii="Cambria" w:hAnsi="Cambria"/>
          <w:sz w:val="16"/>
          <w:szCs w:val="16"/>
          <w:lang w:val="es-AR"/>
        </w:rPr>
        <w:t xml:space="preserve"> </w:t>
      </w:r>
      <w:r w:rsidRPr="009A0110">
        <w:rPr>
          <w:rFonts w:ascii="Cambria" w:hAnsi="Cambria"/>
          <w:sz w:val="16"/>
          <w:szCs w:val="16"/>
          <w:lang w:val="es-US"/>
        </w:rPr>
        <w:t xml:space="preserve">CIDH, Comunicado de Prensa No. 05/05. “Satisfacción de la CIDH por el reconocimiento de responsabilidad del Estado argentino en el caso de la AMIA”, 4 de marzo de 2005. Accesible en: </w:t>
      </w:r>
      <w:hyperlink r:id="rId2" w:history="1">
        <w:r w:rsidRPr="00065C62">
          <w:rPr>
            <w:rFonts w:ascii="Cambria" w:eastAsia="Arial Unicode MS" w:hAnsi="Cambria" w:cs="Times New Roman"/>
            <w:color w:val="0000FF"/>
            <w:sz w:val="16"/>
            <w:szCs w:val="16"/>
            <w:u w:val="single"/>
            <w:bdr w:val="none" w:sz="0" w:space="0" w:color="auto"/>
            <w:lang w:val="es-AR" w:eastAsia="en-GB"/>
          </w:rPr>
          <w:t>https://www.oas.org/es/centro_noticias/comunicado_prensa.asp?sCodigo=CIDH-5-S</w:t>
        </w:r>
      </w:hyperlink>
      <w:r w:rsidRPr="00065C62">
        <w:rPr>
          <w:rFonts w:ascii="Cambria" w:eastAsia="Arial Unicode MS" w:hAnsi="Cambria" w:cs="Times New Roman"/>
          <w:color w:val="auto"/>
          <w:sz w:val="16"/>
          <w:szCs w:val="16"/>
          <w:bdr w:val="none" w:sz="0" w:space="0" w:color="auto"/>
          <w:lang w:val="es-AR" w:eastAsia="en-GB"/>
        </w:rPr>
        <w:t xml:space="preserve"> </w:t>
      </w:r>
    </w:p>
  </w:footnote>
  <w:footnote w:id="6">
    <w:p w14:paraId="07C2D867" w14:textId="77777777" w:rsidR="005B3F8C" w:rsidRPr="00D93236" w:rsidRDefault="005B3F8C" w:rsidP="00E27260">
      <w:pPr>
        <w:jc w:val="both"/>
        <w:rPr>
          <w:rFonts w:asciiTheme="majorHAnsi" w:hAnsiTheme="majorHAnsi"/>
          <w:iCs/>
          <w:sz w:val="16"/>
          <w:szCs w:val="16"/>
          <w:lang w:val="es-AR"/>
        </w:rPr>
      </w:pPr>
      <w:r w:rsidRPr="009A0110">
        <w:rPr>
          <w:rStyle w:val="FootnoteReference"/>
          <w:rFonts w:ascii="Cambria" w:hAnsi="Cambria"/>
          <w:sz w:val="16"/>
          <w:szCs w:val="16"/>
        </w:rPr>
        <w:footnoteRef/>
      </w:r>
      <w:r w:rsidRPr="009A0110">
        <w:rPr>
          <w:rFonts w:ascii="Cambria" w:hAnsi="Cambria"/>
          <w:sz w:val="16"/>
          <w:szCs w:val="16"/>
          <w:lang w:val="es-ES"/>
        </w:rPr>
        <w:t xml:space="preserve"> CIDH, Informe </w:t>
      </w:r>
      <w:r w:rsidRPr="009A0110">
        <w:rPr>
          <w:rFonts w:ascii="Cambria" w:hAnsi="Cambria"/>
          <w:sz w:val="16"/>
          <w:szCs w:val="16"/>
          <w:lang w:val="es-AR"/>
        </w:rPr>
        <w:t>Nº</w:t>
      </w:r>
      <w:r w:rsidRPr="009A0110">
        <w:rPr>
          <w:rFonts w:ascii="Cambria" w:hAnsi="Cambria"/>
          <w:sz w:val="16"/>
          <w:szCs w:val="16"/>
          <w:lang w:val="es-ES"/>
        </w:rPr>
        <w:t xml:space="preserve"> 15/15, Admisibilidad. Petición 374-05. Trabajadores del Sindicato de Trabajadores de la Federación Nacional de Cafeteros de Colombia</w:t>
      </w:r>
      <w:r w:rsidRPr="009A0110">
        <w:rPr>
          <w:rFonts w:ascii="Cambria" w:hAnsi="Cambria"/>
          <w:iCs/>
          <w:sz w:val="16"/>
          <w:szCs w:val="16"/>
          <w:lang w:val="es-AR"/>
        </w:rPr>
        <w:t xml:space="preserve">. Colombia. 24 de marzo de 2015, párr. 39. Asimismo, véase: </w:t>
      </w:r>
      <w:r w:rsidRPr="009A0110">
        <w:rPr>
          <w:rFonts w:ascii="Cambria" w:hAnsi="Cambria"/>
          <w:color w:val="000000"/>
          <w:sz w:val="16"/>
          <w:szCs w:val="16"/>
          <w:lang w:val="es-MX"/>
        </w:rPr>
        <w:t xml:space="preserve">Corte IDH. </w:t>
      </w:r>
      <w:r w:rsidRPr="009A0110">
        <w:rPr>
          <w:rFonts w:ascii="Cambria" w:hAnsi="Cambria"/>
          <w:iCs/>
          <w:sz w:val="16"/>
          <w:szCs w:val="16"/>
          <w:lang w:val="es-AR"/>
        </w:rPr>
        <w:t>Caso Wong Ho Wing Vs. Perú. Excepción Preliminar, Fondo, Reparaciones y Costas. Sentencia de 30 de junio de 2015. Serie C No. 297, párr. 25.</w:t>
      </w:r>
    </w:p>
  </w:footnote>
  <w:footnote w:id="7">
    <w:p w14:paraId="58F4A994" w14:textId="77777777" w:rsidR="005B3F8C" w:rsidRPr="00D93236" w:rsidRDefault="005B3F8C" w:rsidP="00E27260">
      <w:pPr>
        <w:pStyle w:val="FootnoteText"/>
        <w:jc w:val="both"/>
        <w:rPr>
          <w:rFonts w:asciiTheme="majorHAnsi" w:hAnsiTheme="majorHAnsi"/>
          <w:sz w:val="16"/>
          <w:szCs w:val="16"/>
          <w:lang w:val="es-AR"/>
        </w:rPr>
      </w:pPr>
      <w:r w:rsidRPr="00D93236">
        <w:rPr>
          <w:rStyle w:val="FootnoteReference"/>
          <w:rFonts w:asciiTheme="majorHAnsi" w:hAnsiTheme="majorHAnsi"/>
          <w:sz w:val="16"/>
          <w:szCs w:val="16"/>
        </w:rPr>
        <w:footnoteRef/>
      </w:r>
      <w:r w:rsidRPr="00D93236">
        <w:rPr>
          <w:rFonts w:asciiTheme="majorHAnsi" w:hAnsiTheme="majorHAnsi"/>
          <w:sz w:val="16"/>
          <w:szCs w:val="16"/>
          <w:lang w:val="es-AR"/>
        </w:rPr>
        <w:t xml:space="preserve"> </w:t>
      </w:r>
      <w:r>
        <w:rPr>
          <w:rFonts w:asciiTheme="majorHAnsi" w:hAnsiTheme="majorHAnsi"/>
          <w:sz w:val="16"/>
          <w:szCs w:val="16"/>
          <w:lang w:val="es-AR"/>
        </w:rPr>
        <w:t>Anexo 2</w:t>
      </w:r>
      <w:r w:rsidRPr="00D93236">
        <w:rPr>
          <w:rFonts w:asciiTheme="majorHAnsi" w:hAnsiTheme="majorHAnsi"/>
          <w:b/>
          <w:sz w:val="16"/>
          <w:szCs w:val="16"/>
          <w:lang w:val="es-AR"/>
        </w:rPr>
        <w:t>.</w:t>
      </w:r>
      <w:r w:rsidRPr="00D93236">
        <w:rPr>
          <w:rFonts w:asciiTheme="majorHAnsi" w:hAnsiTheme="majorHAnsi"/>
          <w:sz w:val="16"/>
          <w:szCs w:val="16"/>
          <w:lang w:val="es-AR"/>
        </w:rPr>
        <w:t xml:space="preserve"> Sentencia del Tribunal Oral en lo Criminal Federal Nro. 3 de la Capital Federal de fecha 29 de octubre de 2004 (En adelante “Sentencia del TOF 3”). Capítulo V, pág. 2351. Anexo 1 a la comunicación de la parte peticionaria de fecha 11 de noviembre de 2019. El TOF 3 precisó que la carga explosiva estaba “</w:t>
      </w:r>
      <w:r w:rsidRPr="00D93236">
        <w:rPr>
          <w:rFonts w:asciiTheme="majorHAnsi" w:hAnsiTheme="majorHAnsi"/>
          <w:i/>
          <w:sz w:val="16"/>
          <w:szCs w:val="16"/>
          <w:lang w:val="es-AR"/>
        </w:rPr>
        <w:t>compuesta de nitrato de amonio, con el agregado de aluminio, un hidrocarburo pesado, TNT y nitroglicerina</w:t>
      </w:r>
      <w:r>
        <w:rPr>
          <w:rFonts w:asciiTheme="majorHAnsi" w:hAnsiTheme="majorHAnsi"/>
          <w:sz w:val="16"/>
          <w:szCs w:val="16"/>
          <w:lang w:val="es-AR"/>
        </w:rPr>
        <w:t>”, ver asimismo</w:t>
      </w:r>
      <w:r w:rsidRPr="00D93236">
        <w:rPr>
          <w:rFonts w:asciiTheme="majorHAnsi" w:hAnsiTheme="majorHAnsi"/>
          <w:sz w:val="16"/>
          <w:szCs w:val="16"/>
          <w:lang w:val="es-AR"/>
        </w:rPr>
        <w:t xml:space="preserve">: </w:t>
      </w:r>
      <w:r>
        <w:rPr>
          <w:rFonts w:asciiTheme="majorHAnsi" w:hAnsiTheme="majorHAnsi"/>
          <w:sz w:val="16"/>
          <w:szCs w:val="16"/>
          <w:lang w:val="es-AR"/>
        </w:rPr>
        <w:t>Anexo 2</w:t>
      </w:r>
      <w:r w:rsidRPr="00D93236">
        <w:rPr>
          <w:rFonts w:asciiTheme="majorHAnsi" w:hAnsiTheme="majorHAnsi"/>
          <w:sz w:val="16"/>
          <w:szCs w:val="16"/>
          <w:lang w:val="es-AR"/>
        </w:rPr>
        <w:t>. Sentencia del TOF 3. Capítulo V pág. 2535. Anexo 1 a la comunicación de la parte peticionaria de fecha 11 de noviembre de 2019</w:t>
      </w:r>
    </w:p>
  </w:footnote>
  <w:footnote w:id="8">
    <w:p w14:paraId="3D1A7B84" w14:textId="77777777" w:rsidR="005B3F8C" w:rsidRPr="00E9688C" w:rsidRDefault="005B3F8C" w:rsidP="00D93236">
      <w:pPr>
        <w:jc w:val="both"/>
        <w:rPr>
          <w:rFonts w:ascii="Cambria" w:eastAsia="Times New Roman" w:hAnsi="Cambria"/>
          <w:sz w:val="16"/>
          <w:szCs w:val="16"/>
          <w:lang w:val="es-CO" w:eastAsia="es-ES_tradnl"/>
        </w:rPr>
      </w:pPr>
      <w:r w:rsidRPr="00B46F73">
        <w:rPr>
          <w:rStyle w:val="FootnoteReference"/>
          <w:rFonts w:ascii="Cambria" w:hAnsi="Cambria"/>
          <w:sz w:val="16"/>
          <w:szCs w:val="16"/>
        </w:rPr>
        <w:footnoteRef/>
      </w:r>
      <w:r w:rsidRPr="002847DD">
        <w:rPr>
          <w:rFonts w:ascii="Cambria" w:hAnsi="Cambria"/>
          <w:sz w:val="16"/>
          <w:szCs w:val="16"/>
          <w:lang w:val="es-US"/>
        </w:rPr>
        <w:t xml:space="preserve"> </w:t>
      </w:r>
      <w:r w:rsidRPr="00B46F73">
        <w:rPr>
          <w:rFonts w:ascii="Cambria" w:hAnsi="Cambria"/>
          <w:sz w:val="16"/>
          <w:szCs w:val="16"/>
          <w:lang w:val="es-ES"/>
        </w:rPr>
        <w:t>Las personas que perdieron la vida en el atentado de la AMIA, de acuerdo con la información presentada por los peticionarios en su comunicación</w:t>
      </w:r>
      <w:r>
        <w:rPr>
          <w:rFonts w:ascii="Cambria" w:hAnsi="Cambria"/>
          <w:sz w:val="16"/>
          <w:szCs w:val="16"/>
          <w:lang w:val="es-ES"/>
        </w:rPr>
        <w:t xml:space="preserve"> de fecha</w:t>
      </w:r>
      <w:r w:rsidRPr="00B46F73">
        <w:rPr>
          <w:rFonts w:ascii="Cambria" w:hAnsi="Cambria"/>
          <w:sz w:val="16"/>
          <w:szCs w:val="16"/>
          <w:lang w:val="es-ES"/>
        </w:rPr>
        <w:t xml:space="preserve"> 16 de junio de 2014, la sentencia del TOF 3 y la actualización de la información de los peticionarios sobre la identidad de una persona inicialmente señalada como NN son:</w:t>
      </w:r>
      <w:r w:rsidRPr="00B46F73">
        <w:rPr>
          <w:rFonts w:ascii="Cambria" w:hAnsi="Cambria" w:cs="Verdana"/>
          <w:sz w:val="16"/>
          <w:szCs w:val="16"/>
          <w:lang w:val="es-US" w:eastAsia="pt-BR"/>
        </w:rPr>
        <w:t xml:space="preserve"> Silvana</w:t>
      </w:r>
      <w:r>
        <w:rPr>
          <w:rFonts w:ascii="Cambria" w:hAnsi="Cambria" w:cs="Verdana"/>
          <w:sz w:val="16"/>
          <w:szCs w:val="16"/>
          <w:lang w:val="es-US" w:eastAsia="pt-BR"/>
        </w:rPr>
        <w:t xml:space="preserve"> Sandra Alguea d</w:t>
      </w:r>
      <w:r w:rsidRPr="00B46F73">
        <w:rPr>
          <w:rFonts w:ascii="Cambria" w:hAnsi="Cambria" w:cs="Verdana"/>
          <w:sz w:val="16"/>
          <w:szCs w:val="16"/>
          <w:lang w:val="es-US" w:eastAsia="pt-BR"/>
        </w:rPr>
        <w:t>e Rodríguez, J</w:t>
      </w:r>
      <w:r w:rsidRPr="00B46F73">
        <w:rPr>
          <w:rFonts w:ascii="Cambria" w:eastAsia="Times New Roman" w:hAnsi="Cambria"/>
          <w:sz w:val="16"/>
          <w:szCs w:val="16"/>
          <w:lang w:val="es-CO" w:eastAsia="es-ES_tradnl"/>
        </w:rPr>
        <w:t>orge</w:t>
      </w:r>
      <w:r>
        <w:rPr>
          <w:rFonts w:ascii="Cambria" w:eastAsia="Times New Roman" w:hAnsi="Cambria"/>
          <w:sz w:val="16"/>
          <w:szCs w:val="16"/>
          <w:lang w:val="es-CO" w:eastAsia="es-ES_tradnl"/>
        </w:rPr>
        <w:t xml:space="preserve"> Lucio Antú</w:t>
      </w:r>
      <w:r w:rsidRPr="00B46F73">
        <w:rPr>
          <w:rFonts w:ascii="Cambria" w:eastAsia="Times New Roman" w:hAnsi="Cambria"/>
          <w:sz w:val="16"/>
          <w:szCs w:val="16"/>
          <w:lang w:val="es-CO" w:eastAsia="es-ES_tradnl"/>
        </w:rPr>
        <w:t>nez, Moisés Gabriel Arazi, Carlos Avendaño</w:t>
      </w:r>
      <w:r>
        <w:rPr>
          <w:rFonts w:ascii="Cambria" w:eastAsia="Times New Roman" w:hAnsi="Cambria"/>
          <w:sz w:val="16"/>
          <w:szCs w:val="16"/>
          <w:lang w:val="es-CO" w:eastAsia="es-ES_tradnl"/>
        </w:rPr>
        <w:t xml:space="preserve"> Bobadilla</w:t>
      </w:r>
      <w:r w:rsidRPr="00B46F73">
        <w:rPr>
          <w:rFonts w:ascii="Cambria" w:eastAsia="Times New Roman" w:hAnsi="Cambria"/>
          <w:sz w:val="16"/>
          <w:szCs w:val="16"/>
          <w:lang w:val="es-CO" w:eastAsia="es-ES_tradnl"/>
        </w:rPr>
        <w:t>, Yanina Muriel Averbuch, Naum Band, Sebastián</w:t>
      </w:r>
      <w:r>
        <w:rPr>
          <w:rFonts w:ascii="Cambria" w:eastAsia="Times New Roman" w:hAnsi="Cambria"/>
          <w:sz w:val="16"/>
          <w:szCs w:val="16"/>
          <w:lang w:val="es-CO" w:eastAsia="es-ES_tradnl"/>
        </w:rPr>
        <w:t xml:space="preserve"> Julio</w:t>
      </w:r>
      <w:r w:rsidRPr="00B46F73">
        <w:rPr>
          <w:rFonts w:ascii="Cambria" w:eastAsia="Times New Roman" w:hAnsi="Cambria"/>
          <w:sz w:val="16"/>
          <w:szCs w:val="16"/>
          <w:lang w:val="es-CO" w:eastAsia="es-ES_tradnl"/>
        </w:rPr>
        <w:t xml:space="preserve"> Barreiro</w:t>
      </w:r>
      <w:r>
        <w:rPr>
          <w:rFonts w:ascii="Cambria" w:eastAsia="Times New Roman" w:hAnsi="Cambria"/>
          <w:sz w:val="16"/>
          <w:szCs w:val="16"/>
          <w:lang w:val="es-CO" w:eastAsia="es-ES_tradnl"/>
        </w:rPr>
        <w:t>s</w:t>
      </w:r>
      <w:r w:rsidRPr="00B46F73">
        <w:rPr>
          <w:rFonts w:ascii="Cambria" w:eastAsia="Times New Roman" w:hAnsi="Cambria"/>
          <w:sz w:val="16"/>
          <w:szCs w:val="16"/>
          <w:lang w:val="es-CO" w:eastAsia="es-ES_tradnl"/>
        </w:rPr>
        <w:t>, David Barriga</w:t>
      </w:r>
      <w:r>
        <w:rPr>
          <w:rFonts w:ascii="Cambria" w:eastAsia="Times New Roman" w:hAnsi="Cambria"/>
          <w:sz w:val="16"/>
          <w:szCs w:val="16"/>
          <w:lang w:val="es-CO" w:eastAsia="es-ES_tradnl"/>
        </w:rPr>
        <w:t xml:space="preserve"> Loaiza</w:t>
      </w:r>
      <w:r w:rsidRPr="00B46F73">
        <w:rPr>
          <w:rFonts w:ascii="Cambria" w:eastAsia="Times New Roman" w:hAnsi="Cambria"/>
          <w:sz w:val="16"/>
          <w:szCs w:val="16"/>
          <w:lang w:val="es-CO" w:eastAsia="es-ES_tradnl"/>
        </w:rPr>
        <w:t>, Hugo Norberto Basigli</w:t>
      </w:r>
      <w:r>
        <w:rPr>
          <w:rFonts w:ascii="Cambria" w:eastAsia="Times New Roman" w:hAnsi="Cambria"/>
          <w:sz w:val="16"/>
          <w:szCs w:val="16"/>
          <w:lang w:val="es-CO" w:eastAsia="es-ES_tradnl"/>
        </w:rPr>
        <w:t xml:space="preserve">o, </w:t>
      </w:r>
      <w:r w:rsidRPr="00B46F73">
        <w:rPr>
          <w:rFonts w:ascii="Cambria" w:eastAsia="Times New Roman" w:hAnsi="Cambria"/>
          <w:sz w:val="16"/>
          <w:szCs w:val="16"/>
          <w:lang w:val="es-CO" w:eastAsia="es-ES_tradnl"/>
        </w:rPr>
        <w:t>Rebeca Violeta</w:t>
      </w:r>
      <w:r>
        <w:rPr>
          <w:rFonts w:ascii="Cambria" w:eastAsia="Times New Roman" w:hAnsi="Cambria"/>
          <w:sz w:val="16"/>
          <w:szCs w:val="16"/>
          <w:lang w:val="es-CO" w:eastAsia="es-ES_tradnl"/>
        </w:rPr>
        <w:t xml:space="preserve"> Behar de Jurin</w:t>
      </w:r>
      <w:r w:rsidRPr="00E9688C">
        <w:rPr>
          <w:rFonts w:ascii="Cambria" w:eastAsia="Times New Roman" w:hAnsi="Cambria"/>
          <w:sz w:val="16"/>
          <w:szCs w:val="16"/>
          <w:lang w:val="es-CO" w:eastAsia="es-ES_tradnl"/>
        </w:rPr>
        <w:t>, Favio Enrique Bermúdez, Romina Am</w:t>
      </w:r>
      <w:r>
        <w:rPr>
          <w:rFonts w:ascii="Cambria" w:eastAsia="Times New Roman" w:hAnsi="Cambria"/>
          <w:sz w:val="16"/>
          <w:szCs w:val="16"/>
          <w:lang w:val="es-CO" w:eastAsia="es-ES_tradnl"/>
        </w:rPr>
        <w:t>bar Luján Bolan, Emiliano Gastó</w:t>
      </w:r>
      <w:r w:rsidRPr="00E9688C">
        <w:rPr>
          <w:rFonts w:ascii="Cambria" w:eastAsia="Times New Roman" w:hAnsi="Cambria"/>
          <w:sz w:val="16"/>
          <w:szCs w:val="16"/>
          <w:lang w:val="es-CO" w:eastAsia="es-ES_tradnl"/>
        </w:rPr>
        <w:t>n Brikman,</w:t>
      </w:r>
      <w:r>
        <w:rPr>
          <w:rFonts w:ascii="Cambria" w:eastAsia="Times New Roman" w:hAnsi="Cambria"/>
          <w:sz w:val="16"/>
          <w:szCs w:val="16"/>
          <w:lang w:val="es-CO" w:eastAsia="es-ES_tradnl"/>
        </w:rPr>
        <w:t xml:space="preserve"> Víctor</w:t>
      </w:r>
      <w:r w:rsidRPr="002847DD">
        <w:rPr>
          <w:rFonts w:ascii="Cambria" w:hAnsi="Cambria"/>
          <w:sz w:val="16"/>
          <w:szCs w:val="16"/>
          <w:lang w:val="es-US"/>
        </w:rPr>
        <w:t xml:space="preserve"> </w:t>
      </w:r>
      <w:r w:rsidRPr="00B46F73">
        <w:rPr>
          <w:rFonts w:ascii="Cambria" w:eastAsia="Times New Roman" w:hAnsi="Cambria"/>
          <w:sz w:val="16"/>
          <w:szCs w:val="16"/>
          <w:lang w:val="es-CO" w:eastAsia="es-ES_tradnl"/>
        </w:rPr>
        <w:t>Gabriel Buttini, Viviana Adela Casabe, Paola Sara Czyzewski, Jacobo Chemau</w:t>
      </w:r>
      <w:r>
        <w:rPr>
          <w:rFonts w:ascii="Cambria" w:eastAsia="Times New Roman" w:hAnsi="Cambria"/>
          <w:sz w:val="16"/>
          <w:szCs w:val="16"/>
          <w:lang w:val="es-CO" w:eastAsia="es-ES_tradnl"/>
        </w:rPr>
        <w:t>el</w:t>
      </w:r>
      <w:r w:rsidRPr="00B46F73">
        <w:rPr>
          <w:rFonts w:ascii="Cambria" w:eastAsia="Times New Roman" w:hAnsi="Cambria"/>
          <w:sz w:val="16"/>
          <w:szCs w:val="16"/>
          <w:lang w:val="es-CO" w:eastAsia="es-ES_tradnl"/>
        </w:rPr>
        <w:t>, Diego</w:t>
      </w:r>
      <w:r>
        <w:rPr>
          <w:rFonts w:ascii="Cambria" w:eastAsia="Times New Roman" w:hAnsi="Cambria"/>
          <w:sz w:val="16"/>
          <w:szCs w:val="16"/>
          <w:lang w:val="es-CO" w:eastAsia="es-ES_tradnl"/>
        </w:rPr>
        <w:t xml:space="preserve"> Ricardo d</w:t>
      </w:r>
      <w:r w:rsidRPr="00B46F73">
        <w:rPr>
          <w:rFonts w:ascii="Cambria" w:eastAsia="Times New Roman" w:hAnsi="Cambria"/>
          <w:sz w:val="16"/>
          <w:szCs w:val="16"/>
          <w:lang w:val="es-CO" w:eastAsia="es-ES_tradnl"/>
        </w:rPr>
        <w:t>e Pirro</w:t>
      </w:r>
      <w:r>
        <w:rPr>
          <w:rFonts w:ascii="Cambria" w:eastAsia="Times New Roman" w:hAnsi="Cambria"/>
          <w:sz w:val="16"/>
          <w:szCs w:val="16"/>
          <w:lang w:val="es-CO" w:eastAsia="es-ES_tradnl"/>
        </w:rPr>
        <w:t xml:space="preserve">, </w:t>
      </w:r>
      <w:r w:rsidRPr="00B46F73">
        <w:rPr>
          <w:rFonts w:ascii="Cambria" w:eastAsia="Times New Roman" w:hAnsi="Cambria"/>
          <w:sz w:val="16"/>
          <w:szCs w:val="16"/>
          <w:lang w:val="es-CO" w:eastAsia="es-ES_tradnl"/>
        </w:rPr>
        <w:t xml:space="preserve"> </w:t>
      </w:r>
      <w:r>
        <w:rPr>
          <w:rFonts w:ascii="Cambria" w:eastAsia="Times New Roman" w:hAnsi="Cambria"/>
          <w:sz w:val="16"/>
          <w:szCs w:val="16"/>
          <w:lang w:val="es-CO" w:eastAsia="es-ES_tradnl"/>
        </w:rPr>
        <w:t>Cristian Adrián Degtiar,</w:t>
      </w:r>
      <w:r w:rsidRPr="00B46F73">
        <w:rPr>
          <w:rFonts w:ascii="Cambria" w:eastAsia="Times New Roman" w:hAnsi="Cambria"/>
          <w:sz w:val="16"/>
          <w:szCs w:val="16"/>
          <w:lang w:val="es-CO" w:eastAsia="es-ES_tradnl"/>
        </w:rPr>
        <w:t xml:space="preserve"> Ramón Norberto Díaz</w:t>
      </w:r>
      <w:r>
        <w:rPr>
          <w:rFonts w:ascii="Cambria" w:eastAsia="Times New Roman" w:hAnsi="Cambria"/>
          <w:sz w:val="16"/>
          <w:szCs w:val="16"/>
          <w:lang w:val="es-CO" w:eastAsia="es-ES_tradnl"/>
        </w:rPr>
        <w:t>, Norberto Ariel Dubí</w:t>
      </w:r>
      <w:r w:rsidRPr="00B46F73">
        <w:rPr>
          <w:rFonts w:ascii="Cambria" w:eastAsia="Times New Roman" w:hAnsi="Cambria"/>
          <w:sz w:val="16"/>
          <w:szCs w:val="16"/>
          <w:lang w:val="es-CO" w:eastAsia="es-ES_tradnl"/>
        </w:rPr>
        <w:t>n, Faiwel</w:t>
      </w:r>
      <w:r>
        <w:rPr>
          <w:rFonts w:ascii="Cambria" w:eastAsia="Times New Roman" w:hAnsi="Cambria"/>
          <w:sz w:val="16"/>
          <w:szCs w:val="16"/>
          <w:lang w:val="es-CO" w:eastAsia="es-ES_tradnl"/>
        </w:rPr>
        <w:t xml:space="preserve"> Dyjament, Aída Mónica Feldman d</w:t>
      </w:r>
      <w:r w:rsidRPr="00B46F73">
        <w:rPr>
          <w:rFonts w:ascii="Cambria" w:eastAsia="Times New Roman" w:hAnsi="Cambria"/>
          <w:sz w:val="16"/>
          <w:szCs w:val="16"/>
          <w:lang w:val="es-CO" w:eastAsia="es-ES_tradnl"/>
        </w:rPr>
        <w:t>e Goldfeder, Alberto Fernández, Martín</w:t>
      </w:r>
      <w:r>
        <w:rPr>
          <w:rFonts w:ascii="Cambria" w:eastAsia="Times New Roman" w:hAnsi="Cambria"/>
          <w:sz w:val="16"/>
          <w:szCs w:val="16"/>
          <w:lang w:val="es-CO" w:eastAsia="es-ES_tradnl"/>
        </w:rPr>
        <w:t xml:space="preserve"> Antonio</w:t>
      </w:r>
      <w:r w:rsidRPr="00B46F73">
        <w:rPr>
          <w:rFonts w:ascii="Cambria" w:eastAsia="Times New Roman" w:hAnsi="Cambria"/>
          <w:sz w:val="16"/>
          <w:szCs w:val="16"/>
          <w:lang w:val="es-CO" w:eastAsia="es-ES_tradnl"/>
        </w:rPr>
        <w:t xml:space="preserve"> Figueroa, Ingrid</w:t>
      </w:r>
      <w:r>
        <w:rPr>
          <w:rFonts w:ascii="Cambria" w:eastAsia="Times New Roman" w:hAnsi="Cambria"/>
          <w:sz w:val="16"/>
          <w:szCs w:val="16"/>
          <w:lang w:val="es-CO" w:eastAsia="es-ES_tradnl"/>
        </w:rPr>
        <w:t xml:space="preserve"> Elizabeth</w:t>
      </w:r>
      <w:r w:rsidRPr="00B46F73">
        <w:rPr>
          <w:rFonts w:ascii="Cambria" w:eastAsia="Times New Roman" w:hAnsi="Cambria"/>
          <w:sz w:val="16"/>
          <w:szCs w:val="16"/>
          <w:lang w:val="es-CO" w:eastAsia="es-ES_tradnl"/>
        </w:rPr>
        <w:t xml:space="preserve"> Finkelchtein, Fabián Marcelo Furman, Guillermo Benigno Galarraga, Erwin</w:t>
      </w:r>
      <w:r>
        <w:rPr>
          <w:rFonts w:ascii="Cambria" w:eastAsia="Times New Roman" w:hAnsi="Cambria"/>
          <w:sz w:val="16"/>
          <w:szCs w:val="16"/>
          <w:lang w:val="es-CO" w:eastAsia="es-ES_tradnl"/>
        </w:rPr>
        <w:t xml:space="preserve"> Yonny</w:t>
      </w:r>
      <w:r w:rsidRPr="00B46F73">
        <w:rPr>
          <w:rFonts w:ascii="Cambria" w:eastAsia="Times New Roman" w:hAnsi="Cambria"/>
          <w:sz w:val="16"/>
          <w:szCs w:val="16"/>
          <w:lang w:val="es-CO" w:eastAsia="es-ES_tradnl"/>
        </w:rPr>
        <w:t xml:space="preserve"> García Tenorio, José Enrique Ginsber</w:t>
      </w:r>
      <w:r>
        <w:rPr>
          <w:rFonts w:ascii="Cambria" w:eastAsia="Times New Roman" w:hAnsi="Cambria"/>
          <w:sz w:val="16"/>
          <w:szCs w:val="16"/>
          <w:lang w:val="es-CO" w:eastAsia="es-ES_tradnl"/>
        </w:rPr>
        <w:t>g</w:t>
      </w:r>
      <w:r w:rsidRPr="00B46F73">
        <w:rPr>
          <w:rFonts w:ascii="Cambria" w:eastAsia="Times New Roman" w:hAnsi="Cambria"/>
          <w:sz w:val="16"/>
          <w:szCs w:val="16"/>
          <w:lang w:val="es-CO" w:eastAsia="es-ES_tradnl"/>
        </w:rPr>
        <w:t>, Cynthia</w:t>
      </w:r>
      <w:r>
        <w:rPr>
          <w:rFonts w:ascii="Cambria" w:eastAsia="Times New Roman" w:hAnsi="Cambria"/>
          <w:sz w:val="16"/>
          <w:szCs w:val="16"/>
          <w:lang w:val="es-CO" w:eastAsia="es-ES_tradnl"/>
        </w:rPr>
        <w:t xml:space="preserve"> </w:t>
      </w:r>
      <w:r w:rsidRPr="00B46F73">
        <w:rPr>
          <w:rFonts w:ascii="Cambria" w:eastAsia="Times New Roman" w:hAnsi="Cambria"/>
          <w:sz w:val="16"/>
          <w:szCs w:val="16"/>
          <w:lang w:val="es-CO" w:eastAsia="es-ES_tradnl"/>
        </w:rPr>
        <w:t xml:space="preserve">Verónica Goldenberg, Andrea Judith Guterman, </w:t>
      </w:r>
      <w:r>
        <w:rPr>
          <w:rFonts w:ascii="Cambria" w:eastAsia="Times New Roman" w:hAnsi="Cambria"/>
          <w:sz w:val="16"/>
          <w:szCs w:val="16"/>
          <w:lang w:val="es-CO" w:eastAsia="es-ES_tradnl"/>
        </w:rPr>
        <w:t>Leonor Gutman d</w:t>
      </w:r>
      <w:r w:rsidRPr="00B46F73">
        <w:rPr>
          <w:rFonts w:ascii="Cambria" w:eastAsia="Times New Roman" w:hAnsi="Cambria"/>
          <w:sz w:val="16"/>
          <w:szCs w:val="16"/>
          <w:lang w:val="es-CO" w:eastAsia="es-ES_tradnl"/>
        </w:rPr>
        <w:t>e Finkelchtein</w:t>
      </w:r>
      <w:r>
        <w:rPr>
          <w:rFonts w:ascii="Cambria" w:eastAsia="Times New Roman" w:hAnsi="Cambria"/>
          <w:sz w:val="16"/>
          <w:szCs w:val="16"/>
          <w:lang w:val="es-CO" w:eastAsia="es-ES_tradnl"/>
        </w:rPr>
        <w:t xml:space="preserve">, </w:t>
      </w:r>
      <w:r w:rsidRPr="00B46F73">
        <w:rPr>
          <w:rFonts w:ascii="Cambria" w:eastAsia="Times New Roman" w:hAnsi="Cambria"/>
          <w:sz w:val="16"/>
          <w:szCs w:val="16"/>
          <w:lang w:val="es-CO" w:eastAsia="es-ES_tradnl"/>
        </w:rPr>
        <w:t>Silvia Leonor Hersalis, Carlos</w:t>
      </w:r>
      <w:r>
        <w:rPr>
          <w:rFonts w:ascii="Cambria" w:eastAsia="Times New Roman" w:hAnsi="Cambria"/>
          <w:sz w:val="16"/>
          <w:szCs w:val="16"/>
          <w:lang w:val="es-CO" w:eastAsia="es-ES_tradnl"/>
        </w:rPr>
        <w:t xml:space="preserve"> Isaac Hilu, Emilia Jakubiec d</w:t>
      </w:r>
      <w:r w:rsidRPr="00B46F73">
        <w:rPr>
          <w:rFonts w:ascii="Cambria" w:eastAsia="Times New Roman" w:hAnsi="Cambria"/>
          <w:sz w:val="16"/>
          <w:szCs w:val="16"/>
          <w:lang w:val="es-CO" w:eastAsia="es-ES_tradnl"/>
        </w:rPr>
        <w:t xml:space="preserve">e Lewczuk, Maria Luisa Jaworski, Augusto Daniel Jesús, María Lourdes Jesús, Analía Verónica Josch,  Carla Andrea Josch, Elena Sofía Kastika, Esther </w:t>
      </w:r>
      <w:r>
        <w:rPr>
          <w:rFonts w:ascii="Cambria" w:eastAsia="Times New Roman" w:hAnsi="Cambria"/>
          <w:sz w:val="16"/>
          <w:szCs w:val="16"/>
          <w:lang w:val="es-CO" w:eastAsia="es-ES_tradnl"/>
        </w:rPr>
        <w:t xml:space="preserve">Raquel </w:t>
      </w:r>
      <w:r w:rsidRPr="00B46F73">
        <w:rPr>
          <w:rFonts w:ascii="Cambria" w:eastAsia="Times New Roman" w:hAnsi="Cambria"/>
          <w:sz w:val="16"/>
          <w:szCs w:val="16"/>
          <w:lang w:val="es-CO" w:eastAsia="es-ES_tradnl"/>
        </w:rPr>
        <w:t>Klin</w:t>
      </w:r>
      <w:r>
        <w:rPr>
          <w:rFonts w:ascii="Cambria" w:eastAsia="Times New Roman" w:hAnsi="Cambria"/>
          <w:sz w:val="16"/>
          <w:szCs w:val="16"/>
          <w:lang w:val="es-CO" w:eastAsia="es-ES_tradnl"/>
        </w:rPr>
        <w:t xml:space="preserve"> de Fail</w:t>
      </w:r>
      <w:r w:rsidRPr="00B46F73">
        <w:rPr>
          <w:rFonts w:ascii="Cambria" w:eastAsia="Times New Roman" w:hAnsi="Cambria"/>
          <w:sz w:val="16"/>
          <w:szCs w:val="16"/>
          <w:lang w:val="es-CO" w:eastAsia="es-ES_tradnl"/>
        </w:rPr>
        <w:t>, León Gregorio Knorpe</w:t>
      </w:r>
      <w:r>
        <w:rPr>
          <w:rFonts w:ascii="Cambria" w:eastAsia="Times New Roman" w:hAnsi="Cambria"/>
          <w:sz w:val="16"/>
          <w:szCs w:val="16"/>
          <w:lang w:val="es-CO" w:eastAsia="es-ES_tradnl"/>
        </w:rPr>
        <w:t>l, Berta Kozuk de Losz, Luis Fernando Kupchik</w:t>
      </w:r>
      <w:r w:rsidRPr="00B46F73">
        <w:rPr>
          <w:rFonts w:ascii="Cambria" w:eastAsia="Times New Roman" w:hAnsi="Cambria"/>
          <w:sz w:val="16"/>
          <w:szCs w:val="16"/>
          <w:lang w:val="es-CO" w:eastAsia="es-ES_tradnl"/>
        </w:rPr>
        <w:t>, Agustín Diego Lew, Andrés Gustavo Malamud, Gregorio Melma</w:t>
      </w:r>
      <w:r>
        <w:rPr>
          <w:rFonts w:ascii="Cambria" w:eastAsia="Times New Roman" w:hAnsi="Cambria"/>
          <w:sz w:val="16"/>
          <w:szCs w:val="16"/>
          <w:lang w:val="es-CO" w:eastAsia="es-ES_tradnl"/>
        </w:rPr>
        <w:t>n</w:t>
      </w:r>
      <w:r w:rsidRPr="00B46F73">
        <w:rPr>
          <w:rFonts w:ascii="Cambria" w:eastAsia="Times New Roman" w:hAnsi="Cambria"/>
          <w:sz w:val="16"/>
          <w:szCs w:val="16"/>
          <w:lang w:val="es-CO" w:eastAsia="es-ES_tradnl"/>
        </w:rPr>
        <w:t>, Ileana</w:t>
      </w:r>
      <w:r>
        <w:rPr>
          <w:rFonts w:ascii="Cambria" w:eastAsia="Times New Roman" w:hAnsi="Cambria"/>
          <w:sz w:val="16"/>
          <w:szCs w:val="16"/>
          <w:lang w:val="es-CO" w:eastAsia="es-ES_tradnl"/>
        </w:rPr>
        <w:t xml:space="preserve"> Sara Mercovic, Naó</w:t>
      </w:r>
      <w:r w:rsidRPr="00B46F73">
        <w:rPr>
          <w:rFonts w:ascii="Cambria" w:eastAsia="Times New Roman" w:hAnsi="Cambria"/>
          <w:sz w:val="16"/>
          <w:szCs w:val="16"/>
          <w:lang w:val="es-CO" w:eastAsia="es-ES_tradnl"/>
        </w:rPr>
        <w:t>n Bernardo Mirochnik, Mónica</w:t>
      </w:r>
      <w:r>
        <w:rPr>
          <w:rFonts w:ascii="Cambria" w:eastAsia="Times New Roman" w:hAnsi="Cambria"/>
          <w:sz w:val="16"/>
          <w:szCs w:val="16"/>
          <w:lang w:val="es-CO" w:eastAsia="es-ES_tradnl"/>
        </w:rPr>
        <w:t xml:space="preserve"> Graciela Nudel, Elí</w:t>
      </w:r>
      <w:r w:rsidRPr="00B46F73">
        <w:rPr>
          <w:rFonts w:ascii="Cambria" w:eastAsia="Times New Roman" w:hAnsi="Cambria"/>
          <w:sz w:val="16"/>
          <w:szCs w:val="16"/>
          <w:lang w:val="es-CO" w:eastAsia="es-ES_tradnl"/>
        </w:rPr>
        <w:t>as Alberto Palti, Germán Parsons, Rosa Perelmu</w:t>
      </w:r>
      <w:r>
        <w:rPr>
          <w:rFonts w:ascii="Cambria" w:eastAsia="Times New Roman" w:hAnsi="Cambria"/>
          <w:sz w:val="16"/>
          <w:szCs w:val="16"/>
          <w:lang w:val="es-CO" w:eastAsia="es-ES_tradnl"/>
        </w:rPr>
        <w:t>t</w:t>
      </w:r>
      <w:r w:rsidRPr="00B46F73">
        <w:rPr>
          <w:rFonts w:ascii="Cambria" w:eastAsia="Times New Roman" w:hAnsi="Cambria"/>
          <w:sz w:val="16"/>
          <w:szCs w:val="16"/>
          <w:lang w:val="es-CO" w:eastAsia="es-ES_tradnl"/>
        </w:rPr>
        <w:t xml:space="preserve">ter, Roberto Fernando Pérez, </w:t>
      </w:r>
      <w:r w:rsidRPr="00E9688C">
        <w:rPr>
          <w:rFonts w:ascii="Cambria" w:eastAsia="Times New Roman" w:hAnsi="Cambria"/>
          <w:sz w:val="16"/>
          <w:szCs w:val="16"/>
          <w:lang w:val="es-CO" w:eastAsia="es-ES_tradnl"/>
        </w:rPr>
        <w:t>Abraham Jaime Plaksin, Silvia Inés Portnoy, Olegario Ramírez, Noemí Graciela Reisfeld, Félix Roberto Roisma</w:t>
      </w:r>
      <w:r>
        <w:rPr>
          <w:rFonts w:ascii="Cambria" w:eastAsia="Times New Roman" w:hAnsi="Cambria"/>
          <w:sz w:val="16"/>
          <w:szCs w:val="16"/>
          <w:lang w:val="es-CO" w:eastAsia="es-ES_tradnl"/>
        </w:rPr>
        <w:t>n</w:t>
      </w:r>
      <w:r w:rsidRPr="00E9688C">
        <w:rPr>
          <w:rFonts w:ascii="Cambria" w:eastAsia="Times New Roman" w:hAnsi="Cambria"/>
          <w:sz w:val="16"/>
          <w:szCs w:val="16"/>
          <w:lang w:val="es-CO" w:eastAsia="es-ES_tradnl"/>
        </w:rPr>
        <w:t xml:space="preserve">, Marisa Raquel Said, Ricardo Hugo Said, Rimar Salazar Mendoza, Fabián </w:t>
      </w:r>
      <w:r>
        <w:rPr>
          <w:rFonts w:ascii="Cambria" w:eastAsia="Times New Roman" w:hAnsi="Cambria"/>
          <w:sz w:val="16"/>
          <w:szCs w:val="16"/>
          <w:lang w:val="es-CO" w:eastAsia="es-ES_tradnl"/>
        </w:rPr>
        <w:t xml:space="preserve">Gustavo </w:t>
      </w:r>
      <w:r w:rsidRPr="00E9688C">
        <w:rPr>
          <w:rFonts w:ascii="Cambria" w:eastAsia="Times New Roman" w:hAnsi="Cambria"/>
          <w:sz w:val="16"/>
          <w:szCs w:val="16"/>
          <w:lang w:val="es-CO" w:eastAsia="es-ES_tradnl"/>
        </w:rPr>
        <w:t xml:space="preserve">Schalit, Pablo </w:t>
      </w:r>
      <w:r>
        <w:rPr>
          <w:rFonts w:ascii="Cambria" w:eastAsia="Times New Roman" w:hAnsi="Cambria"/>
          <w:sz w:val="16"/>
          <w:szCs w:val="16"/>
          <w:lang w:val="es-CO" w:eastAsia="es-ES_tradnl"/>
        </w:rPr>
        <w:t>Néstor Schalit, Mauricio Schiber</w:t>
      </w:r>
      <w:r w:rsidRPr="00E9688C">
        <w:rPr>
          <w:rFonts w:ascii="Cambria" w:eastAsia="Times New Roman" w:hAnsi="Cambria"/>
          <w:sz w:val="16"/>
          <w:szCs w:val="16"/>
          <w:lang w:val="es-CO" w:eastAsia="es-ES_tradnl"/>
        </w:rPr>
        <w:t xml:space="preserve">, </w:t>
      </w:r>
      <w:r>
        <w:rPr>
          <w:rFonts w:ascii="Cambria" w:eastAsia="Times New Roman" w:hAnsi="Cambria"/>
          <w:sz w:val="16"/>
          <w:szCs w:val="16"/>
          <w:lang w:val="es-CO" w:eastAsia="es-ES_tradnl"/>
        </w:rPr>
        <w:t xml:space="preserve">Dora Shuldman de Belgorosky, </w:t>
      </w:r>
      <w:r w:rsidRPr="00E9688C">
        <w:rPr>
          <w:rFonts w:ascii="Cambria" w:eastAsia="Times New Roman" w:hAnsi="Cambria"/>
          <w:sz w:val="16"/>
          <w:szCs w:val="16"/>
          <w:lang w:val="es-CO" w:eastAsia="es-ES_tradnl"/>
        </w:rPr>
        <w:t xml:space="preserve">Néstor Américo Serena, Mirta </w:t>
      </w:r>
      <w:r>
        <w:rPr>
          <w:rFonts w:ascii="Cambria" w:eastAsia="Times New Roman" w:hAnsi="Cambria"/>
          <w:sz w:val="16"/>
          <w:szCs w:val="16"/>
          <w:lang w:val="es-CO" w:eastAsia="es-ES_tradnl"/>
        </w:rPr>
        <w:t xml:space="preserve">Alicia </w:t>
      </w:r>
      <w:r w:rsidRPr="00E9688C">
        <w:rPr>
          <w:rFonts w:ascii="Cambria" w:eastAsia="Times New Roman" w:hAnsi="Cambria"/>
          <w:sz w:val="16"/>
          <w:szCs w:val="16"/>
          <w:lang w:val="es-CO" w:eastAsia="es-ES_tradnl"/>
        </w:rPr>
        <w:t>Strier, Liliana Edith Szwimer, Naum Javier Tenenbaum, Juan Carlos Terrano</w:t>
      </w:r>
      <w:r>
        <w:rPr>
          <w:rFonts w:ascii="Cambria" w:eastAsia="Times New Roman" w:hAnsi="Cambria"/>
          <w:sz w:val="16"/>
          <w:szCs w:val="16"/>
          <w:lang w:val="es-CO" w:eastAsia="es-ES_tradnl"/>
        </w:rPr>
        <w:t>va, Emilia Graciela Berelejis d</w:t>
      </w:r>
      <w:r w:rsidRPr="00E9688C">
        <w:rPr>
          <w:rFonts w:ascii="Cambria" w:eastAsia="Times New Roman" w:hAnsi="Cambria"/>
          <w:sz w:val="16"/>
          <w:szCs w:val="16"/>
          <w:lang w:val="es-CO" w:eastAsia="es-ES_tradnl"/>
        </w:rPr>
        <w:t>e Toer, Mariela Toer, Marta</w:t>
      </w:r>
      <w:r>
        <w:rPr>
          <w:rFonts w:ascii="Cambria" w:eastAsia="Times New Roman" w:hAnsi="Cambria"/>
          <w:sz w:val="16"/>
          <w:szCs w:val="16"/>
          <w:lang w:val="es-CO" w:eastAsia="es-ES_tradnl"/>
        </w:rPr>
        <w:t xml:space="preserve"> Andrea </w:t>
      </w:r>
      <w:r w:rsidRPr="00E9688C">
        <w:rPr>
          <w:rFonts w:ascii="Cambria" w:eastAsia="Times New Roman" w:hAnsi="Cambria"/>
          <w:sz w:val="16"/>
          <w:szCs w:val="16"/>
          <w:lang w:val="es-CO" w:eastAsia="es-ES_tradnl"/>
        </w:rPr>
        <w:t>Treibman</w:t>
      </w:r>
      <w:r>
        <w:rPr>
          <w:rFonts w:ascii="Cambria" w:eastAsia="Times New Roman" w:hAnsi="Cambria"/>
          <w:sz w:val="16"/>
          <w:szCs w:val="16"/>
          <w:lang w:val="es-CO" w:eastAsia="es-ES_tradnl"/>
        </w:rPr>
        <w:t xml:space="preserve"> de Duek</w:t>
      </w:r>
      <w:r w:rsidRPr="00E9688C">
        <w:rPr>
          <w:rFonts w:ascii="Cambria" w:eastAsia="Times New Roman" w:hAnsi="Cambria"/>
          <w:sz w:val="16"/>
          <w:szCs w:val="16"/>
          <w:lang w:val="es-CO" w:eastAsia="es-ES_tradnl"/>
        </w:rPr>
        <w:t>, Ángel Claudio Ubfal, Eugenio Vela Ramos, Juan Vela Ramos, Gustavo Daniel Velásquez, Isabel Victoria Núñez De Velázquez, Danilo Vil</w:t>
      </w:r>
      <w:r>
        <w:rPr>
          <w:rFonts w:ascii="Cambria" w:eastAsia="Times New Roman" w:hAnsi="Cambria"/>
          <w:sz w:val="16"/>
          <w:szCs w:val="16"/>
          <w:lang w:val="es-CO" w:eastAsia="es-ES_tradnl"/>
        </w:rPr>
        <w:t>laverde, Julia Susana Wolynski d</w:t>
      </w:r>
      <w:r w:rsidRPr="00E9688C">
        <w:rPr>
          <w:rFonts w:ascii="Cambria" w:eastAsia="Times New Roman" w:hAnsi="Cambria"/>
          <w:sz w:val="16"/>
          <w:szCs w:val="16"/>
          <w:lang w:val="es-CO" w:eastAsia="es-ES_tradnl"/>
        </w:rPr>
        <w:t xml:space="preserve">e Kreiman, Rita </w:t>
      </w:r>
      <w:r>
        <w:rPr>
          <w:rFonts w:ascii="Cambria" w:eastAsia="Times New Roman" w:hAnsi="Cambria"/>
          <w:sz w:val="16"/>
          <w:szCs w:val="16"/>
          <w:lang w:val="es-CO" w:eastAsia="es-ES_tradnl"/>
        </w:rPr>
        <w:t>Noemí Worona, Ademar Zá</w:t>
      </w:r>
      <w:r w:rsidRPr="00E9688C">
        <w:rPr>
          <w:rFonts w:ascii="Cambria" w:eastAsia="Times New Roman" w:hAnsi="Cambria"/>
          <w:sz w:val="16"/>
          <w:szCs w:val="16"/>
          <w:lang w:val="es-CO" w:eastAsia="es-ES_tradnl"/>
        </w:rPr>
        <w:t xml:space="preserve">rate Loayza. </w:t>
      </w:r>
      <w:r>
        <w:rPr>
          <w:rFonts w:ascii="Cambria" w:hAnsi="Cambria"/>
          <w:sz w:val="16"/>
          <w:szCs w:val="16"/>
          <w:lang w:val="es-ES"/>
        </w:rPr>
        <w:t xml:space="preserve">Ver al respecto: </w:t>
      </w:r>
      <w:r w:rsidRPr="001A370E">
        <w:rPr>
          <w:rFonts w:asciiTheme="majorHAnsi" w:hAnsiTheme="majorHAnsi"/>
          <w:sz w:val="16"/>
          <w:szCs w:val="16"/>
          <w:lang w:val="es-AR"/>
        </w:rPr>
        <w:t>A</w:t>
      </w:r>
      <w:r>
        <w:rPr>
          <w:rFonts w:asciiTheme="majorHAnsi" w:hAnsiTheme="majorHAnsi"/>
          <w:sz w:val="16"/>
          <w:szCs w:val="16"/>
          <w:lang w:val="es-AR"/>
        </w:rPr>
        <w:t>nexo 2</w:t>
      </w:r>
      <w:r w:rsidRPr="00D93236">
        <w:rPr>
          <w:rFonts w:asciiTheme="majorHAnsi" w:hAnsiTheme="majorHAnsi"/>
          <w:sz w:val="16"/>
          <w:szCs w:val="16"/>
          <w:lang w:val="es-AR"/>
        </w:rPr>
        <w:t>. Sentencia del TOF 3. Capítulo V</w:t>
      </w:r>
      <w:r>
        <w:rPr>
          <w:rFonts w:asciiTheme="majorHAnsi" w:hAnsiTheme="majorHAnsi"/>
          <w:sz w:val="16"/>
          <w:szCs w:val="16"/>
          <w:lang w:val="es-AR"/>
        </w:rPr>
        <w:t>.A.5,</w:t>
      </w:r>
      <w:r w:rsidRPr="00D93236">
        <w:rPr>
          <w:rFonts w:asciiTheme="majorHAnsi" w:hAnsiTheme="majorHAnsi"/>
          <w:sz w:val="16"/>
          <w:szCs w:val="16"/>
          <w:lang w:val="es-AR"/>
        </w:rPr>
        <w:t xml:space="preserve"> pág. 2</w:t>
      </w:r>
      <w:r>
        <w:rPr>
          <w:rFonts w:asciiTheme="majorHAnsi" w:hAnsiTheme="majorHAnsi"/>
          <w:sz w:val="16"/>
          <w:szCs w:val="16"/>
          <w:lang w:val="es-AR"/>
        </w:rPr>
        <w:t>361 a 2372</w:t>
      </w:r>
      <w:r w:rsidRPr="00D93236">
        <w:rPr>
          <w:rFonts w:asciiTheme="majorHAnsi" w:hAnsiTheme="majorHAnsi"/>
          <w:sz w:val="16"/>
          <w:szCs w:val="16"/>
          <w:lang w:val="es-AR"/>
        </w:rPr>
        <w:t>. Anexo 1 a la comunicación de la parte peticionaria de fecha 11 de noviembre de 2019</w:t>
      </w:r>
    </w:p>
  </w:footnote>
  <w:footnote w:id="9">
    <w:p w14:paraId="3C014E3F" w14:textId="77777777" w:rsidR="005B3F8C" w:rsidRPr="002847DD" w:rsidRDefault="005B3F8C" w:rsidP="00D93236">
      <w:pPr>
        <w:pStyle w:val="FootnoteText"/>
        <w:jc w:val="both"/>
        <w:rPr>
          <w:rFonts w:ascii="Cambria" w:hAnsi="Cambria"/>
          <w:sz w:val="16"/>
          <w:szCs w:val="16"/>
          <w:lang w:val="es-ES"/>
        </w:rPr>
      </w:pPr>
      <w:r w:rsidRPr="00B46F73">
        <w:rPr>
          <w:rStyle w:val="FootnoteReference"/>
          <w:rFonts w:ascii="Cambria" w:hAnsi="Cambria"/>
          <w:sz w:val="16"/>
          <w:szCs w:val="16"/>
        </w:rPr>
        <w:footnoteRef/>
      </w:r>
      <w:r w:rsidRPr="002847DD">
        <w:rPr>
          <w:rFonts w:ascii="Cambria" w:hAnsi="Cambria"/>
          <w:sz w:val="16"/>
          <w:szCs w:val="16"/>
          <w:lang w:val="es-CO"/>
        </w:rPr>
        <w:t xml:space="preserve"> De acuerdo con la sentencia del TOF 3 </w:t>
      </w:r>
      <w:r w:rsidRPr="00B46F73">
        <w:rPr>
          <w:rFonts w:ascii="Cambria" w:hAnsi="Cambria"/>
          <w:sz w:val="16"/>
          <w:szCs w:val="16"/>
          <w:lang w:val="es-ES"/>
        </w:rPr>
        <w:t>las personas que sufrieron lesiones</w:t>
      </w:r>
      <w:r>
        <w:rPr>
          <w:rFonts w:ascii="Cambria" w:hAnsi="Cambria"/>
          <w:sz w:val="16"/>
          <w:szCs w:val="16"/>
          <w:lang w:val="es-ES"/>
        </w:rPr>
        <w:t xml:space="preserve"> graves</w:t>
      </w:r>
      <w:r w:rsidRPr="00B46F73">
        <w:rPr>
          <w:rFonts w:ascii="Cambria" w:hAnsi="Cambria"/>
          <w:sz w:val="16"/>
          <w:szCs w:val="16"/>
          <w:lang w:val="es-ES"/>
        </w:rPr>
        <w:t xml:space="preserve"> como consecuencia del atentado </w:t>
      </w:r>
      <w:r>
        <w:rPr>
          <w:rFonts w:ascii="Cambria" w:hAnsi="Cambria"/>
          <w:sz w:val="16"/>
          <w:szCs w:val="16"/>
          <w:lang w:val="es-ES"/>
        </w:rPr>
        <w:t>fueron</w:t>
      </w:r>
      <w:r w:rsidRPr="00B46F73">
        <w:rPr>
          <w:rFonts w:ascii="Cambria" w:hAnsi="Cambria"/>
          <w:sz w:val="16"/>
          <w:szCs w:val="16"/>
          <w:lang w:val="es-ES"/>
        </w:rPr>
        <w:t xml:space="preserve">: Juan Carlos Álvarez, Raquel Angélica Álvarez, Fernando José Andrada, Pablo Ayala Rodríguez, Ana María Balaszczuk de Cernadas, Mónica Beatriz Barraganes, Hermelinda Bermin Bello, Sergio </w:t>
      </w:r>
      <w:r>
        <w:rPr>
          <w:rFonts w:ascii="Cambria" w:hAnsi="Cambria"/>
          <w:sz w:val="16"/>
          <w:szCs w:val="16"/>
          <w:lang w:val="es-ES"/>
        </w:rPr>
        <w:t>Luis Bondar, Jorge Eduardo Bordó</w:t>
      </w:r>
      <w:r w:rsidRPr="00B46F73">
        <w:rPr>
          <w:rFonts w:ascii="Cambria" w:hAnsi="Cambria"/>
          <w:sz w:val="16"/>
          <w:szCs w:val="16"/>
          <w:lang w:val="es-ES"/>
        </w:rPr>
        <w:t>n, Gustavo Marí</w:t>
      </w:r>
      <w:r w:rsidRPr="00E9688C">
        <w:rPr>
          <w:rFonts w:ascii="Cambria" w:hAnsi="Cambria"/>
          <w:sz w:val="16"/>
          <w:szCs w:val="16"/>
          <w:lang w:val="es-ES"/>
        </w:rPr>
        <w:t>n Cano, Moisés Chaufan, Rubén Samuel Chejfec, Humberto Chiesa, Mario Ernesto Damp, Horacio Dragubitzky, Jorge Osvaldo Ferretti, Leonor Marina Fuster, Adolfo Guido Guzmán, Norma Heler de Lew, Angélica Ester Leiva, Luciano Javier Luppi, Aldo Ernesto Macagno, Gregorio Marchak, Marta Beatriz Massoli de Luppi, Alejandro Mirochnik, Javier Horacio Miropol</w:t>
      </w:r>
      <w:r>
        <w:rPr>
          <w:rFonts w:ascii="Cambria" w:hAnsi="Cambria"/>
          <w:sz w:val="16"/>
          <w:szCs w:val="16"/>
          <w:lang w:val="es-ES"/>
        </w:rPr>
        <w:t>sky, Rosa Montano de Barreiros</w:t>
      </w:r>
      <w:r w:rsidRPr="00E9688C">
        <w:rPr>
          <w:rFonts w:ascii="Cambria" w:hAnsi="Cambria"/>
          <w:sz w:val="16"/>
          <w:szCs w:val="16"/>
          <w:lang w:val="es-ES"/>
        </w:rPr>
        <w:t>, Raúl Alberto Sánchez, Daniel Osvaldo Saravia, Elena Schreiber de Falk, Gustavo Spinelli, Horaci</w:t>
      </w:r>
      <w:r w:rsidRPr="002847DD">
        <w:rPr>
          <w:rFonts w:ascii="Cambria" w:hAnsi="Cambria"/>
          <w:sz w:val="16"/>
          <w:szCs w:val="16"/>
          <w:lang w:val="es-ES"/>
        </w:rPr>
        <w:t>o Diego Vel</w:t>
      </w:r>
      <w:r>
        <w:rPr>
          <w:rFonts w:ascii="Cambria" w:hAnsi="Cambria"/>
          <w:sz w:val="16"/>
          <w:szCs w:val="16"/>
          <w:lang w:val="es-ES"/>
        </w:rPr>
        <w:t>ázquez, Martín José Viudez y Claudio Alejandro Weicman. En tanto que l</w:t>
      </w:r>
      <w:r w:rsidRPr="002847DD">
        <w:rPr>
          <w:rFonts w:ascii="Cambria" w:hAnsi="Cambria"/>
          <w:sz w:val="16"/>
          <w:szCs w:val="16"/>
          <w:lang w:val="es-ES"/>
        </w:rPr>
        <w:t xml:space="preserve">as personas que </w:t>
      </w:r>
      <w:r>
        <w:rPr>
          <w:rFonts w:ascii="Cambria" w:hAnsi="Cambria"/>
          <w:sz w:val="16"/>
          <w:szCs w:val="16"/>
          <w:lang w:val="es-ES"/>
        </w:rPr>
        <w:t>sufrieron lesiones leves  fueron</w:t>
      </w:r>
      <w:r w:rsidRPr="002847DD">
        <w:rPr>
          <w:rFonts w:ascii="Cambria" w:hAnsi="Cambria"/>
          <w:sz w:val="16"/>
          <w:szCs w:val="16"/>
          <w:lang w:val="es-ES"/>
        </w:rPr>
        <w:t>: Berta Abousky de Palais, Elvira Rosa Acosta, Isabel Ainwoiner de Peker, Jorge Miguel Andrada, Héctor Alberto Arce, Mónica Lucía Arnaudo de Yabiansky, Elena Atallah de Paleciz, Hugo Enrique Ávila, Claudio Baamnonte, Óscar Alberto Banega, Edmundo Horacio Baron, Julio Barriga Loayza, Alberto Brescia, Juan Antonio Brizuela, Martha Hilda Brodsky de Roffe, Luis Canzobre, Silvia Verónica Carrizo, Silvia Castillo Benítez, Blanca Ofelia Castillo Villanueva, Claudio Alejandro Castro, Lidia Ber</w:t>
      </w:r>
      <w:r>
        <w:rPr>
          <w:rFonts w:ascii="Cambria" w:hAnsi="Cambria"/>
          <w:sz w:val="16"/>
          <w:szCs w:val="16"/>
          <w:lang w:val="es-ES"/>
        </w:rPr>
        <w:t>nardita Cazal Martí, María Elsa</w:t>
      </w:r>
      <w:r w:rsidRPr="002847DD">
        <w:rPr>
          <w:rFonts w:ascii="Cambria" w:hAnsi="Cambria"/>
          <w:sz w:val="16"/>
          <w:szCs w:val="16"/>
          <w:lang w:val="es-ES"/>
        </w:rPr>
        <w:t xml:space="preserve"> Cena, Gustavo Cernadas, Paula Cernadas, Siphor Chalelachuili de Lapidus, Salomon Chencinski, Raquel Czertok de Chen, Diego Nolberto Díaz, Celia Dubini de Quiroga, Silvio Duniec, Edmundo Ruiz, Martha Raquel Finkelberg de Pirro, Carlos Alberto Flores, Adrián Pablo Furman, Eleuterio Galán, Francisco Gustavo Galán, Salustiano Galeano, Jos Adalberto Gallardo Nuesch, Raquel Ester Goberman, Oscar Alfredo Gómez, Arturo Gritti, Arturo Daniel Gritti, Ramón Máximo Gutmann, Miriam Magdalena Hoyos, </w:t>
      </w:r>
      <w:r>
        <w:rPr>
          <w:rFonts w:ascii="Cambria" w:hAnsi="Cambria"/>
          <w:sz w:val="16"/>
          <w:szCs w:val="16"/>
          <w:lang w:val="es-ES"/>
        </w:rPr>
        <w:t>Ernesto Víctor Ini, Dolores Insú</w:t>
      </w:r>
      <w:r w:rsidRPr="002847DD">
        <w:rPr>
          <w:rFonts w:ascii="Cambria" w:hAnsi="Cambria"/>
          <w:sz w:val="16"/>
          <w:szCs w:val="16"/>
          <w:lang w:val="es-ES"/>
        </w:rPr>
        <w:t xml:space="preserve">a Calo, Mario Kahan, Marcela Patricia Laborie San Miguel, Susana Cecilia Lacour, Israel Moisés Lapidus, José Longo, Inés Vicenta López de Duniec, Inés Zulema López, Ramón López, Salomon Lotersztein, Juan Aldo Luján, Jorge Alberto Machaca, Norma Gladys Mansilla, Olga Josefina Martínez, Zunilda Petrona Martínez, Pedro Martínez, José Eduardo Marzilli, Antonia Nelida Mastromauro, Luisa Miednik, Gregorio Oscar Militello, Ramona Miño, Laura Andrea Moragues, Oscar Orlando Moya, </w:t>
      </w:r>
      <w:r>
        <w:rPr>
          <w:rFonts w:ascii="Cambria" w:hAnsi="Cambria"/>
          <w:sz w:val="16"/>
          <w:szCs w:val="16"/>
          <w:lang w:val="es-ES"/>
        </w:rPr>
        <w:t xml:space="preserve">Silvia </w:t>
      </w:r>
      <w:r w:rsidRPr="002847DD">
        <w:rPr>
          <w:rFonts w:ascii="Cambria" w:hAnsi="Cambria"/>
          <w:sz w:val="16"/>
          <w:szCs w:val="16"/>
          <w:lang w:val="es-ES"/>
        </w:rPr>
        <w:t xml:space="preserve">Alejandra Murcia, Mario Obregón, Liliana Cristina Olivo, Mario Antonio Ottolino, Lorena Verónica Pate, Marcial César Peleteyro, Gabriel German Peralta Ruíz, Omar Alfredo Pérez, Osvaldo Héctor Pérez, </w:t>
      </w:r>
      <w:r w:rsidRPr="00E9688C">
        <w:rPr>
          <w:rFonts w:ascii="Cambria" w:hAnsi="Cambria"/>
          <w:sz w:val="16"/>
          <w:szCs w:val="16"/>
          <w:lang w:val="es-ES"/>
        </w:rPr>
        <w:t>Gladys Ernestina Perona de Lisazo</w:t>
      </w:r>
      <w:r>
        <w:rPr>
          <w:rFonts w:ascii="Cambria" w:hAnsi="Cambria"/>
          <w:sz w:val="16"/>
          <w:szCs w:val="16"/>
          <w:lang w:val="es-ES"/>
        </w:rPr>
        <w:t xml:space="preserve">, </w:t>
      </w:r>
      <w:r w:rsidRPr="002847DD">
        <w:rPr>
          <w:rFonts w:ascii="Cambria" w:hAnsi="Cambria"/>
          <w:sz w:val="16"/>
          <w:szCs w:val="16"/>
          <w:lang w:val="es-ES"/>
        </w:rPr>
        <w:t xml:space="preserve">Daniel Alejandro Pomerantz, Rita Raquel Ramírez, Edgardo Roberto Ribrochi, Cecilia Alejandra Rikap, Ana María Rivas de Rikap, María Beatriz Rivera Méndez, Julio César Rodríguez, Alberto Roffe, Gabriel León Roffe, Carlos Romagnani, Ángela Romano de Delgado, Mariana Andrea Sandkovsky, Olga Magdalena Santillán, Adriana Beatriz Schettino, Esther Beatriz Segelis de Dobniewski, Sara Shimanski de Schapira, Adriana Verónica Rosa Sibilla, Víctor Hugo Siman, </w:t>
      </w:r>
      <w:r>
        <w:rPr>
          <w:rFonts w:ascii="Cambria" w:hAnsi="Cambria"/>
          <w:sz w:val="16"/>
          <w:szCs w:val="16"/>
          <w:lang w:val="es-ES"/>
        </w:rPr>
        <w:t xml:space="preserve">Simón Sneh, Julio Carlos Sosa, </w:t>
      </w:r>
      <w:r w:rsidRPr="002847DD">
        <w:rPr>
          <w:rFonts w:ascii="Cambria" w:hAnsi="Cambria"/>
          <w:sz w:val="16"/>
          <w:szCs w:val="16"/>
          <w:lang w:val="es-ES"/>
        </w:rPr>
        <w:t xml:space="preserve"> Aida Eva Stolarsky de Bedne, Samuel Szurman, Adriana Marisa Tello, Daniel Tobal, Elías Néstor Tobal, Claudia Patricia Valdez, León Veliz Palmacio, Alejandro Daniel Verri, Claudia Cristina Vicente de Liano, Miguel Ángel Vinciguerra, Eduardo Waizer, Miguel Ángel Wehbi, Nicolás Wojda, Romina Yabian</w:t>
      </w:r>
      <w:r>
        <w:rPr>
          <w:rFonts w:ascii="Cambria" w:hAnsi="Cambria"/>
          <w:sz w:val="16"/>
          <w:szCs w:val="16"/>
          <w:lang w:val="es-ES"/>
        </w:rPr>
        <w:t>sky, Adolfo Yabo, Jaime Zaidman y</w:t>
      </w:r>
      <w:r w:rsidRPr="002847DD">
        <w:rPr>
          <w:rFonts w:ascii="Cambria" w:hAnsi="Cambria"/>
          <w:sz w:val="16"/>
          <w:szCs w:val="16"/>
          <w:lang w:val="es-ES"/>
        </w:rPr>
        <w:t xml:space="preserve"> Leonardo León Zechin.</w:t>
      </w:r>
      <w:r>
        <w:rPr>
          <w:rFonts w:ascii="Cambria" w:hAnsi="Cambria"/>
          <w:sz w:val="16"/>
          <w:szCs w:val="16"/>
          <w:lang w:val="es-ES"/>
        </w:rPr>
        <w:t xml:space="preserve"> Ver al respecto: </w:t>
      </w:r>
      <w:r w:rsidRPr="001A370E">
        <w:rPr>
          <w:rFonts w:asciiTheme="majorHAnsi" w:hAnsiTheme="majorHAnsi"/>
          <w:sz w:val="16"/>
          <w:szCs w:val="16"/>
          <w:lang w:val="es-AR"/>
        </w:rPr>
        <w:t>A</w:t>
      </w:r>
      <w:r>
        <w:rPr>
          <w:rFonts w:asciiTheme="majorHAnsi" w:hAnsiTheme="majorHAnsi"/>
          <w:sz w:val="16"/>
          <w:szCs w:val="16"/>
          <w:lang w:val="es-AR"/>
        </w:rPr>
        <w:t>nexo 2</w:t>
      </w:r>
      <w:r w:rsidRPr="00D93236">
        <w:rPr>
          <w:rFonts w:asciiTheme="majorHAnsi" w:hAnsiTheme="majorHAnsi"/>
          <w:sz w:val="16"/>
          <w:szCs w:val="16"/>
          <w:lang w:val="es-AR"/>
        </w:rPr>
        <w:t>. Sentencia del TOF 3. Capítulo V</w:t>
      </w:r>
      <w:r>
        <w:rPr>
          <w:rFonts w:asciiTheme="majorHAnsi" w:hAnsiTheme="majorHAnsi"/>
          <w:sz w:val="16"/>
          <w:szCs w:val="16"/>
          <w:lang w:val="es-AR"/>
        </w:rPr>
        <w:t>.A.6,</w:t>
      </w:r>
      <w:r w:rsidRPr="00D93236">
        <w:rPr>
          <w:rFonts w:asciiTheme="majorHAnsi" w:hAnsiTheme="majorHAnsi"/>
          <w:sz w:val="16"/>
          <w:szCs w:val="16"/>
          <w:lang w:val="es-AR"/>
        </w:rPr>
        <w:t xml:space="preserve"> pág. 2</w:t>
      </w:r>
      <w:r>
        <w:rPr>
          <w:rFonts w:asciiTheme="majorHAnsi" w:hAnsiTheme="majorHAnsi"/>
          <w:sz w:val="16"/>
          <w:szCs w:val="16"/>
          <w:lang w:val="es-AR"/>
        </w:rPr>
        <w:t>372 a 2402</w:t>
      </w:r>
      <w:r w:rsidRPr="00D93236">
        <w:rPr>
          <w:rFonts w:asciiTheme="majorHAnsi" w:hAnsiTheme="majorHAnsi"/>
          <w:sz w:val="16"/>
          <w:szCs w:val="16"/>
          <w:lang w:val="es-AR"/>
        </w:rPr>
        <w:t>. Anexo 1 a la comunicación de la parte peticionaria de fecha 11 de noviembre de 2019</w:t>
      </w:r>
    </w:p>
  </w:footnote>
  <w:footnote w:id="10">
    <w:p w14:paraId="192391D1" w14:textId="77777777" w:rsidR="005B3F8C" w:rsidRPr="00D93236" w:rsidRDefault="005B3F8C" w:rsidP="00E27260">
      <w:pPr>
        <w:pStyle w:val="FootnoteText"/>
        <w:jc w:val="both"/>
        <w:rPr>
          <w:rFonts w:asciiTheme="majorHAnsi" w:hAnsiTheme="majorHAnsi"/>
          <w:sz w:val="16"/>
          <w:szCs w:val="16"/>
          <w:lang w:val="es-US"/>
        </w:rPr>
      </w:pPr>
      <w:r w:rsidRPr="00D93236">
        <w:rPr>
          <w:rStyle w:val="FootnoteReference"/>
          <w:rFonts w:asciiTheme="majorHAnsi" w:hAnsiTheme="majorHAnsi"/>
          <w:sz w:val="16"/>
          <w:szCs w:val="16"/>
        </w:rPr>
        <w:footnoteRef/>
      </w:r>
      <w:r>
        <w:rPr>
          <w:rFonts w:asciiTheme="majorHAnsi" w:hAnsiTheme="majorHAnsi"/>
          <w:sz w:val="16"/>
          <w:szCs w:val="16"/>
          <w:lang w:val="es-AR"/>
        </w:rPr>
        <w:t xml:space="preserve">Código </w:t>
      </w:r>
      <w:r w:rsidRPr="00D93236">
        <w:rPr>
          <w:rFonts w:asciiTheme="majorHAnsi" w:hAnsiTheme="majorHAnsi"/>
          <w:sz w:val="16"/>
          <w:szCs w:val="16"/>
          <w:lang w:val="es-AR"/>
        </w:rPr>
        <w:t xml:space="preserve">Procesal Penal. Ley 23.984. Sancionada el 21 de agosto de 1991. Accesible en: </w:t>
      </w:r>
      <w:r w:rsidRPr="00386243">
        <w:rPr>
          <w:rFonts w:asciiTheme="majorHAnsi" w:hAnsiTheme="majorHAnsi"/>
          <w:sz w:val="16"/>
          <w:szCs w:val="16"/>
          <w:lang w:val="es-AR"/>
        </w:rPr>
        <w:t>http://servicios.infoleg.gob.ar/infolegInternet/anexos/0-4999/383/texact.htm</w:t>
      </w:r>
      <w:r w:rsidRPr="00D93236">
        <w:rPr>
          <w:rFonts w:asciiTheme="majorHAnsi" w:hAnsiTheme="majorHAnsi"/>
          <w:sz w:val="16"/>
          <w:szCs w:val="16"/>
          <w:lang w:val="es-AR"/>
        </w:rPr>
        <w:t xml:space="preserve"> </w:t>
      </w:r>
    </w:p>
  </w:footnote>
  <w:footnote w:id="11">
    <w:p w14:paraId="049DCAFB" w14:textId="77777777" w:rsidR="005B3F8C" w:rsidRPr="00386243" w:rsidRDefault="005B3F8C" w:rsidP="00E27260">
      <w:pPr>
        <w:jc w:val="both"/>
        <w:rPr>
          <w:rFonts w:ascii="Cambria" w:eastAsia="Calibri" w:hAnsi="Cambria" w:cs="Calibri"/>
          <w:color w:val="000000"/>
          <w:sz w:val="16"/>
          <w:szCs w:val="16"/>
          <w:u w:color="000000"/>
          <w:bdr w:val="nil"/>
          <w:lang w:val="es-AR" w:eastAsia="es-ES"/>
        </w:rPr>
      </w:pPr>
      <w:r w:rsidRPr="00D93236">
        <w:rPr>
          <w:rStyle w:val="FootnoteReference"/>
          <w:rFonts w:asciiTheme="majorHAnsi" w:hAnsiTheme="majorHAnsi"/>
          <w:sz w:val="16"/>
          <w:szCs w:val="16"/>
        </w:rPr>
        <w:footnoteRef/>
      </w:r>
      <w:r w:rsidRPr="00D93236">
        <w:rPr>
          <w:rFonts w:asciiTheme="majorHAnsi" w:hAnsiTheme="majorHAnsi"/>
          <w:sz w:val="16"/>
          <w:szCs w:val="16"/>
          <w:lang w:val="es-AR"/>
        </w:rPr>
        <w:t xml:space="preserve"> </w:t>
      </w:r>
      <w:r w:rsidRPr="00386243">
        <w:rPr>
          <w:rFonts w:ascii="Cambria" w:eastAsia="Calibri" w:hAnsi="Cambria" w:cs="Calibri"/>
          <w:color w:val="000000"/>
          <w:sz w:val="16"/>
          <w:szCs w:val="16"/>
          <w:u w:color="000000"/>
          <w:bdr w:val="nil"/>
          <w:lang w:val="es-AR" w:eastAsia="es-ES"/>
        </w:rPr>
        <w:t>Anexo 2. Sentencia del TOF 3. Capitulo V.B “Nulidades”. Págs. 2650 a 2682.  Anexo 1 a la comunicación de la parte peticionaria de fecha 11 de noviembre de 2019</w:t>
      </w:r>
    </w:p>
  </w:footnote>
  <w:footnote w:id="12">
    <w:p w14:paraId="3480C0AC" w14:textId="77777777" w:rsidR="005B3F8C" w:rsidRPr="00D93236" w:rsidRDefault="005B3F8C" w:rsidP="00E27260">
      <w:pPr>
        <w:pStyle w:val="FootnoteText"/>
        <w:jc w:val="both"/>
        <w:rPr>
          <w:rFonts w:asciiTheme="majorHAnsi" w:hAnsiTheme="majorHAnsi"/>
          <w:sz w:val="16"/>
          <w:szCs w:val="16"/>
          <w:lang w:val="es-AR"/>
        </w:rPr>
      </w:pPr>
      <w:r w:rsidRPr="00386243">
        <w:rPr>
          <w:rFonts w:ascii="Cambria" w:hAnsi="Cambria"/>
          <w:sz w:val="16"/>
          <w:szCs w:val="16"/>
          <w:vertAlign w:val="superscript"/>
          <w:lang w:val="es-AR"/>
        </w:rPr>
        <w:footnoteRef/>
      </w:r>
      <w:r w:rsidRPr="00386243">
        <w:rPr>
          <w:rFonts w:ascii="Cambria" w:hAnsi="Cambria"/>
          <w:sz w:val="16"/>
          <w:szCs w:val="16"/>
          <w:lang w:val="es-AR"/>
        </w:rPr>
        <w:t xml:space="preserve"> Anexo 2. Sentencia del TOF 3. Capítulo VI.A “la Trafic de ‘Messin’. págs. 2706-2734. Anexo 1 a la comunicación de la parte peticionaria de fecha 11 de noviembre de 2019.</w:t>
      </w:r>
      <w:r w:rsidRPr="00D93236">
        <w:rPr>
          <w:rFonts w:asciiTheme="majorHAnsi" w:hAnsiTheme="majorHAnsi"/>
          <w:sz w:val="16"/>
          <w:szCs w:val="16"/>
          <w:lang w:val="es-AR"/>
        </w:rPr>
        <w:t xml:space="preserve"> </w:t>
      </w:r>
    </w:p>
  </w:footnote>
  <w:footnote w:id="13">
    <w:p w14:paraId="4A6C56E2" w14:textId="77777777" w:rsidR="005B3F8C" w:rsidRPr="00D93236" w:rsidRDefault="005B3F8C" w:rsidP="00E27260">
      <w:pPr>
        <w:pStyle w:val="FootnoteText"/>
        <w:jc w:val="both"/>
        <w:rPr>
          <w:rFonts w:asciiTheme="majorHAnsi" w:hAnsiTheme="majorHAnsi"/>
          <w:sz w:val="16"/>
          <w:szCs w:val="16"/>
          <w:lang w:val="es-AR"/>
        </w:rPr>
      </w:pPr>
      <w:r w:rsidRPr="00D93236">
        <w:rPr>
          <w:rStyle w:val="FootnoteReference"/>
          <w:rFonts w:asciiTheme="majorHAnsi" w:hAnsiTheme="majorHAnsi"/>
          <w:sz w:val="16"/>
          <w:szCs w:val="16"/>
        </w:rPr>
        <w:footnoteRef/>
      </w:r>
      <w:r w:rsidRPr="00D93236">
        <w:rPr>
          <w:rFonts w:asciiTheme="majorHAnsi" w:hAnsiTheme="majorHAnsi"/>
          <w:sz w:val="16"/>
          <w:szCs w:val="16"/>
          <w:lang w:val="es-AR"/>
        </w:rPr>
        <w:t xml:space="preserve"> Para un relato de las circunstancias que rodearon la detención de Carlos Telleldin, ver</w:t>
      </w:r>
      <w:r w:rsidRPr="00D93236">
        <w:rPr>
          <w:rFonts w:asciiTheme="majorHAnsi" w:hAnsiTheme="majorHAnsi"/>
          <w:i/>
          <w:sz w:val="16"/>
          <w:szCs w:val="16"/>
          <w:lang w:val="es-AR"/>
        </w:rPr>
        <w:t xml:space="preserve"> infra</w:t>
      </w:r>
      <w:r w:rsidRPr="00D93236">
        <w:rPr>
          <w:rFonts w:asciiTheme="majorHAnsi" w:hAnsiTheme="majorHAnsi"/>
          <w:sz w:val="16"/>
          <w:szCs w:val="16"/>
          <w:lang w:val="es-AR"/>
        </w:rPr>
        <w:t xml:space="preserve"> </w:t>
      </w:r>
      <w:r w:rsidRPr="00386243">
        <w:rPr>
          <w:rFonts w:asciiTheme="majorHAnsi" w:hAnsiTheme="majorHAnsi"/>
          <w:sz w:val="16"/>
          <w:szCs w:val="16"/>
          <w:lang w:val="es-AR"/>
        </w:rPr>
        <w:t>parrs 163 a 168</w:t>
      </w:r>
      <w:r w:rsidRPr="00D93236">
        <w:rPr>
          <w:rFonts w:asciiTheme="majorHAnsi" w:hAnsiTheme="majorHAnsi"/>
          <w:sz w:val="16"/>
          <w:szCs w:val="16"/>
          <w:lang w:val="es-AR"/>
        </w:rPr>
        <w:t xml:space="preserve"> y</w:t>
      </w:r>
      <w:r w:rsidRPr="00D93236">
        <w:rPr>
          <w:rFonts w:asciiTheme="majorHAnsi" w:hAnsiTheme="majorHAnsi"/>
          <w:b/>
          <w:sz w:val="16"/>
          <w:szCs w:val="16"/>
          <w:lang w:val="es-AR"/>
        </w:rPr>
        <w:t xml:space="preserve"> </w:t>
      </w:r>
      <w:r w:rsidRPr="00403250">
        <w:rPr>
          <w:rFonts w:asciiTheme="majorHAnsi" w:hAnsiTheme="majorHAnsi"/>
          <w:sz w:val="16"/>
          <w:szCs w:val="16"/>
          <w:lang w:val="es-AR"/>
        </w:rPr>
        <w:t>A</w:t>
      </w:r>
      <w:r>
        <w:rPr>
          <w:rFonts w:asciiTheme="majorHAnsi" w:hAnsiTheme="majorHAnsi"/>
          <w:sz w:val="16"/>
          <w:szCs w:val="16"/>
          <w:lang w:val="es-AR"/>
        </w:rPr>
        <w:t>nexo 2</w:t>
      </w:r>
      <w:r w:rsidRPr="00D93236">
        <w:rPr>
          <w:rFonts w:asciiTheme="majorHAnsi" w:hAnsiTheme="majorHAnsi"/>
          <w:sz w:val="16"/>
          <w:szCs w:val="16"/>
          <w:lang w:val="es-AR"/>
        </w:rPr>
        <w:t xml:space="preserve">. Sentencia del TOF 3. Capítulo IX.  págs. 3681-3700.  Anexo 1 a la comunicación de la parte peticionaria de fecha 11 de noviembre de 2019. </w:t>
      </w:r>
    </w:p>
  </w:footnote>
  <w:footnote w:id="14">
    <w:p w14:paraId="394DF21F" w14:textId="77777777" w:rsidR="005B3F8C" w:rsidRPr="00D93236" w:rsidRDefault="005B3F8C" w:rsidP="00E27260">
      <w:pPr>
        <w:pStyle w:val="FootnoteText"/>
        <w:jc w:val="both"/>
        <w:rPr>
          <w:rFonts w:asciiTheme="majorHAnsi" w:hAnsiTheme="majorHAnsi"/>
          <w:sz w:val="16"/>
          <w:szCs w:val="16"/>
          <w:lang w:val="es-AR"/>
        </w:rPr>
      </w:pPr>
      <w:r w:rsidRPr="00D93236">
        <w:rPr>
          <w:rStyle w:val="FootnoteReference"/>
          <w:rFonts w:asciiTheme="majorHAnsi" w:hAnsiTheme="majorHAnsi"/>
          <w:sz w:val="16"/>
          <w:szCs w:val="16"/>
        </w:rPr>
        <w:footnoteRef/>
      </w:r>
      <w:r w:rsidRPr="00D93236">
        <w:rPr>
          <w:rFonts w:asciiTheme="majorHAnsi" w:hAnsiTheme="majorHAnsi"/>
          <w:sz w:val="16"/>
          <w:szCs w:val="16"/>
          <w:lang w:val="es-AR"/>
        </w:rPr>
        <w:t xml:space="preserve"> El resumen de lo expuesto por Telleldin en sus declaraciones indagatorias de fecha 20 de julio de 1994, 6 y 7 de agosto de 1994, 28 de diciembre de 1994 y 4 de abril de 1995 puede consultarse en: </w:t>
      </w:r>
      <w:r w:rsidRPr="00403250">
        <w:rPr>
          <w:rFonts w:asciiTheme="majorHAnsi" w:hAnsiTheme="majorHAnsi"/>
          <w:sz w:val="16"/>
          <w:szCs w:val="16"/>
          <w:lang w:val="es-AR"/>
        </w:rPr>
        <w:t>A</w:t>
      </w:r>
      <w:r>
        <w:rPr>
          <w:rFonts w:asciiTheme="majorHAnsi" w:hAnsiTheme="majorHAnsi"/>
          <w:sz w:val="16"/>
          <w:szCs w:val="16"/>
          <w:lang w:val="es-AR"/>
        </w:rPr>
        <w:t>nexo 2</w:t>
      </w:r>
      <w:r w:rsidRPr="00D93236">
        <w:rPr>
          <w:rFonts w:asciiTheme="majorHAnsi" w:hAnsiTheme="majorHAnsi"/>
          <w:sz w:val="16"/>
          <w:szCs w:val="16"/>
          <w:lang w:val="es-AR"/>
        </w:rPr>
        <w:t>. Sentencia del TOF 3. Capítulo IV, págs. 1453-1522. Anexo 1 a la comunicación de la parte peticionaria de fecha 11 de noviembre de 2019</w:t>
      </w:r>
    </w:p>
  </w:footnote>
  <w:footnote w:id="15">
    <w:p w14:paraId="7E4E56D1" w14:textId="77777777" w:rsidR="005B3F8C" w:rsidRPr="00D93236" w:rsidRDefault="005B3F8C" w:rsidP="00E27260">
      <w:pPr>
        <w:pStyle w:val="FootnoteText"/>
        <w:jc w:val="both"/>
        <w:rPr>
          <w:rFonts w:asciiTheme="majorHAnsi" w:hAnsiTheme="majorHAnsi"/>
          <w:sz w:val="16"/>
          <w:szCs w:val="16"/>
          <w:lang w:val="es-AR"/>
        </w:rPr>
      </w:pPr>
      <w:r w:rsidRPr="00D93236">
        <w:rPr>
          <w:rStyle w:val="FootnoteReference"/>
          <w:rFonts w:asciiTheme="majorHAnsi" w:hAnsiTheme="majorHAnsi"/>
          <w:sz w:val="16"/>
          <w:szCs w:val="16"/>
        </w:rPr>
        <w:footnoteRef/>
      </w:r>
      <w:r w:rsidRPr="00D93236">
        <w:rPr>
          <w:rFonts w:asciiTheme="majorHAnsi" w:hAnsiTheme="majorHAnsi"/>
          <w:sz w:val="16"/>
          <w:szCs w:val="16"/>
          <w:lang w:val="es-AR"/>
        </w:rPr>
        <w:t xml:space="preserve"> </w:t>
      </w:r>
      <w:r w:rsidRPr="00556032">
        <w:rPr>
          <w:rFonts w:asciiTheme="majorHAnsi" w:hAnsiTheme="majorHAnsi"/>
          <w:sz w:val="16"/>
          <w:szCs w:val="16"/>
          <w:lang w:val="es-AR"/>
        </w:rPr>
        <w:t>Anexo 2.</w:t>
      </w:r>
      <w:r w:rsidRPr="00D93236">
        <w:rPr>
          <w:rFonts w:asciiTheme="majorHAnsi" w:hAnsiTheme="majorHAnsi"/>
          <w:sz w:val="16"/>
          <w:szCs w:val="16"/>
          <w:lang w:val="es-AR"/>
        </w:rPr>
        <w:t xml:space="preserve"> Sentencia del TOF 3. Capítulo IV, págs. 1522-1557. Anexo 1 a la comunicación de la parte peticionaria de fecha 11 de noviembre de 2019</w:t>
      </w:r>
    </w:p>
  </w:footnote>
  <w:footnote w:id="16">
    <w:p w14:paraId="1E657BAD" w14:textId="77777777" w:rsidR="005B3F8C" w:rsidRPr="00D93236" w:rsidRDefault="005B3F8C" w:rsidP="00E27260">
      <w:pPr>
        <w:pStyle w:val="FootnoteText"/>
        <w:jc w:val="both"/>
        <w:rPr>
          <w:rFonts w:asciiTheme="majorHAnsi" w:hAnsiTheme="majorHAnsi"/>
          <w:sz w:val="16"/>
          <w:szCs w:val="16"/>
          <w:lang w:val="es-US"/>
        </w:rPr>
      </w:pPr>
      <w:r w:rsidRPr="00D93236">
        <w:rPr>
          <w:rStyle w:val="FootnoteReference"/>
          <w:rFonts w:asciiTheme="majorHAnsi" w:hAnsiTheme="majorHAnsi"/>
          <w:sz w:val="16"/>
          <w:szCs w:val="16"/>
        </w:rPr>
        <w:footnoteRef/>
      </w:r>
      <w:r w:rsidRPr="00D93236">
        <w:rPr>
          <w:rFonts w:asciiTheme="majorHAnsi" w:hAnsiTheme="majorHAnsi"/>
          <w:sz w:val="16"/>
          <w:szCs w:val="16"/>
          <w:lang w:val="es-US"/>
        </w:rPr>
        <w:t xml:space="preserve"> </w:t>
      </w:r>
      <w:r w:rsidRPr="00556032">
        <w:rPr>
          <w:rFonts w:asciiTheme="majorHAnsi" w:hAnsiTheme="majorHAnsi"/>
          <w:sz w:val="16"/>
          <w:szCs w:val="16"/>
          <w:lang w:val="es-AR"/>
        </w:rPr>
        <w:t>Anexo 2.</w:t>
      </w:r>
      <w:r w:rsidRPr="00D93236">
        <w:rPr>
          <w:rFonts w:asciiTheme="majorHAnsi" w:hAnsiTheme="majorHAnsi"/>
          <w:i/>
          <w:sz w:val="16"/>
          <w:szCs w:val="16"/>
          <w:lang w:val="es-AR"/>
        </w:rPr>
        <w:t xml:space="preserve"> </w:t>
      </w:r>
      <w:r w:rsidRPr="00D93236">
        <w:rPr>
          <w:rFonts w:asciiTheme="majorHAnsi" w:hAnsiTheme="majorHAnsi"/>
          <w:sz w:val="16"/>
          <w:szCs w:val="16"/>
          <w:lang w:val="es-AR"/>
        </w:rPr>
        <w:t>Sentencia del TOF 3.</w:t>
      </w:r>
      <w:r w:rsidRPr="00D93236">
        <w:rPr>
          <w:rFonts w:asciiTheme="majorHAnsi" w:hAnsiTheme="majorHAnsi"/>
          <w:i/>
          <w:sz w:val="16"/>
          <w:szCs w:val="16"/>
          <w:lang w:val="es-AR"/>
        </w:rPr>
        <w:t xml:space="preserve"> </w:t>
      </w:r>
      <w:r>
        <w:rPr>
          <w:rFonts w:asciiTheme="majorHAnsi" w:hAnsiTheme="majorHAnsi"/>
          <w:sz w:val="16"/>
          <w:szCs w:val="16"/>
          <w:lang w:val="es-AR"/>
        </w:rPr>
        <w:t>Capítulo IV, p</w:t>
      </w:r>
      <w:r w:rsidRPr="00D93236">
        <w:rPr>
          <w:rFonts w:asciiTheme="majorHAnsi" w:hAnsiTheme="majorHAnsi"/>
          <w:sz w:val="16"/>
          <w:szCs w:val="16"/>
          <w:lang w:val="es-AR"/>
        </w:rPr>
        <w:t>ág. 1899. Anexo 1 a la comunicación de la parte peticionaria de fecha 11 de noviembre de 2019,</w:t>
      </w:r>
    </w:p>
  </w:footnote>
  <w:footnote w:id="17">
    <w:p w14:paraId="3646571E" w14:textId="77777777" w:rsidR="005B3F8C" w:rsidRPr="00386243" w:rsidRDefault="005B3F8C" w:rsidP="00E27260">
      <w:pPr>
        <w:pStyle w:val="FootnoteText"/>
        <w:jc w:val="both"/>
        <w:rPr>
          <w:rFonts w:asciiTheme="majorHAnsi" w:hAnsiTheme="majorHAnsi"/>
          <w:sz w:val="16"/>
          <w:szCs w:val="16"/>
          <w:lang w:val="es-AR"/>
        </w:rPr>
      </w:pPr>
      <w:r w:rsidRPr="00D93236">
        <w:rPr>
          <w:rStyle w:val="FootnoteReference"/>
          <w:rFonts w:asciiTheme="majorHAnsi" w:hAnsiTheme="majorHAnsi"/>
          <w:sz w:val="16"/>
          <w:szCs w:val="16"/>
        </w:rPr>
        <w:footnoteRef/>
      </w:r>
      <w:r w:rsidRPr="000F00CB">
        <w:rPr>
          <w:rFonts w:asciiTheme="majorHAnsi" w:hAnsiTheme="majorHAnsi"/>
          <w:sz w:val="16"/>
          <w:szCs w:val="16"/>
        </w:rPr>
        <w:t xml:space="preserve"> Anexo 1. Informe Grossman. Págs. 5 a 7. </w:t>
      </w:r>
      <w:r w:rsidRPr="00386243">
        <w:rPr>
          <w:rFonts w:asciiTheme="majorHAnsi" w:hAnsiTheme="majorHAnsi"/>
          <w:sz w:val="16"/>
          <w:szCs w:val="16"/>
          <w:lang w:val="es-AR"/>
        </w:rPr>
        <w:t xml:space="preserve">Anexo 5 a la comunicación de la parte peticionaria de fecha 11 de noviembre de 2019. </w:t>
      </w:r>
    </w:p>
  </w:footnote>
  <w:footnote w:id="18">
    <w:p w14:paraId="4388E760" w14:textId="77777777" w:rsidR="005B3F8C" w:rsidRPr="00D93236" w:rsidRDefault="005B3F8C" w:rsidP="00E27260">
      <w:pPr>
        <w:pStyle w:val="FootnoteText"/>
        <w:jc w:val="both"/>
        <w:rPr>
          <w:rFonts w:asciiTheme="majorHAnsi" w:hAnsiTheme="majorHAnsi"/>
          <w:sz w:val="16"/>
          <w:szCs w:val="16"/>
          <w:lang w:val="es-US"/>
        </w:rPr>
      </w:pPr>
      <w:r w:rsidRPr="00386243">
        <w:rPr>
          <w:rStyle w:val="FootnoteReference"/>
          <w:rFonts w:asciiTheme="majorHAnsi" w:hAnsiTheme="majorHAnsi"/>
          <w:sz w:val="16"/>
          <w:szCs w:val="16"/>
          <w:lang w:val="es-AR"/>
        </w:rPr>
        <w:footnoteRef/>
      </w:r>
      <w:r w:rsidRPr="00386243">
        <w:rPr>
          <w:rFonts w:asciiTheme="majorHAnsi" w:hAnsiTheme="majorHAnsi"/>
          <w:sz w:val="16"/>
          <w:szCs w:val="16"/>
          <w:lang w:val="es-AR"/>
        </w:rPr>
        <w:t xml:space="preserve"> Comunicado de prensa del Tribunal Oral en lo Criminal Federal Nro. 3 de la Capital Federal con relación al pronunciamiento recaído en el día de la fecha</w:t>
      </w:r>
      <w:r w:rsidRPr="00D93236">
        <w:rPr>
          <w:rFonts w:asciiTheme="majorHAnsi" w:hAnsiTheme="majorHAnsi"/>
          <w:sz w:val="16"/>
          <w:szCs w:val="16"/>
          <w:lang w:val="es-AR"/>
        </w:rPr>
        <w:t xml:space="preserve"> en la causa 487-00, caratulada: “Telleldin, Carlos Alberto y otros s/homicidio calificado… (atentado a la A.M.I.A.)” y sus acumuladas. Accesible en: </w:t>
      </w:r>
      <w:r w:rsidRPr="00D93236">
        <w:rPr>
          <w:rFonts w:asciiTheme="majorHAnsi" w:hAnsiTheme="majorHAnsi"/>
          <w:color w:val="0000FF"/>
          <w:sz w:val="16"/>
          <w:szCs w:val="16"/>
          <w:u w:val="single"/>
          <w:lang w:val="es-AR"/>
        </w:rPr>
        <w:t>https://www2.jus.gov.ar/AMIA/Comunicado_de_prensa.pdf</w:t>
      </w:r>
    </w:p>
  </w:footnote>
  <w:footnote w:id="19">
    <w:p w14:paraId="762120AB" w14:textId="77777777" w:rsidR="005B3F8C" w:rsidRPr="00D93236" w:rsidRDefault="005B3F8C" w:rsidP="00E27260">
      <w:pPr>
        <w:pStyle w:val="FootnoteText"/>
        <w:jc w:val="both"/>
        <w:rPr>
          <w:rFonts w:asciiTheme="majorHAnsi" w:hAnsiTheme="majorHAnsi"/>
          <w:sz w:val="16"/>
          <w:szCs w:val="16"/>
          <w:lang w:val="es-US"/>
        </w:rPr>
      </w:pPr>
      <w:r w:rsidRPr="00D93236">
        <w:rPr>
          <w:rStyle w:val="FootnoteReference"/>
          <w:rFonts w:asciiTheme="majorHAnsi" w:hAnsiTheme="majorHAnsi"/>
          <w:sz w:val="16"/>
          <w:szCs w:val="16"/>
        </w:rPr>
        <w:footnoteRef/>
      </w:r>
      <w:r w:rsidRPr="00D93236">
        <w:rPr>
          <w:rFonts w:asciiTheme="majorHAnsi" w:hAnsiTheme="majorHAnsi"/>
          <w:sz w:val="16"/>
          <w:szCs w:val="16"/>
          <w:lang w:val="es-AR"/>
        </w:rPr>
        <w:t xml:space="preserve"> </w:t>
      </w:r>
      <w:r w:rsidRPr="00556032">
        <w:rPr>
          <w:rFonts w:asciiTheme="majorHAnsi" w:hAnsiTheme="majorHAnsi"/>
          <w:sz w:val="16"/>
          <w:szCs w:val="16"/>
          <w:lang w:val="es-AR"/>
        </w:rPr>
        <w:t>Anexo 3.</w:t>
      </w:r>
      <w:r w:rsidRPr="00D93236">
        <w:rPr>
          <w:rFonts w:asciiTheme="majorHAnsi" w:hAnsiTheme="majorHAnsi"/>
          <w:sz w:val="16"/>
          <w:szCs w:val="16"/>
          <w:lang w:val="es-AR"/>
        </w:rPr>
        <w:t xml:space="preserve"> Sentencia de la Sala II de la Cámara Nacional de Casación Penal de fecha 19 de mayo de 2006. Anexo 7 de la comunicación de la parte peticionaria de fecha 11 de noviembre de 2019</w:t>
      </w:r>
    </w:p>
  </w:footnote>
  <w:footnote w:id="20">
    <w:p w14:paraId="6FEF354E" w14:textId="77777777" w:rsidR="005B3F8C" w:rsidRPr="00D93236" w:rsidRDefault="005B3F8C" w:rsidP="00E27260">
      <w:pPr>
        <w:pStyle w:val="FootnoteText"/>
        <w:jc w:val="both"/>
        <w:rPr>
          <w:rFonts w:asciiTheme="majorHAnsi" w:hAnsiTheme="majorHAnsi"/>
          <w:sz w:val="16"/>
          <w:szCs w:val="16"/>
          <w:lang w:val="es-ES"/>
        </w:rPr>
      </w:pPr>
      <w:r w:rsidRPr="00D93236">
        <w:rPr>
          <w:rStyle w:val="FootnoteReference"/>
          <w:rFonts w:asciiTheme="majorHAnsi" w:hAnsiTheme="majorHAnsi"/>
          <w:sz w:val="16"/>
          <w:szCs w:val="16"/>
        </w:rPr>
        <w:footnoteRef/>
      </w:r>
      <w:r w:rsidRPr="00D93236">
        <w:rPr>
          <w:rFonts w:asciiTheme="majorHAnsi" w:hAnsiTheme="majorHAnsi"/>
          <w:sz w:val="16"/>
          <w:szCs w:val="16"/>
          <w:lang w:val="es-AR"/>
        </w:rPr>
        <w:t xml:space="preserve"> </w:t>
      </w:r>
      <w:r w:rsidRPr="00556032">
        <w:rPr>
          <w:rFonts w:asciiTheme="majorHAnsi" w:hAnsiTheme="majorHAnsi"/>
          <w:sz w:val="16"/>
          <w:szCs w:val="16"/>
          <w:lang w:val="es-AR"/>
        </w:rPr>
        <w:t>Anexo 4</w:t>
      </w:r>
      <w:r w:rsidRPr="00D93236">
        <w:rPr>
          <w:rFonts w:asciiTheme="majorHAnsi" w:hAnsiTheme="majorHAnsi"/>
          <w:b/>
          <w:sz w:val="16"/>
          <w:szCs w:val="16"/>
          <w:lang w:val="es-AR"/>
        </w:rPr>
        <w:t>.</w:t>
      </w:r>
      <w:r w:rsidRPr="00D93236">
        <w:rPr>
          <w:rFonts w:asciiTheme="majorHAnsi" w:hAnsiTheme="majorHAnsi"/>
          <w:sz w:val="16"/>
          <w:szCs w:val="16"/>
          <w:lang w:val="es-AR"/>
        </w:rPr>
        <w:t xml:space="preserve"> </w:t>
      </w:r>
      <w:r w:rsidRPr="00D93236">
        <w:rPr>
          <w:rFonts w:asciiTheme="majorHAnsi" w:hAnsiTheme="majorHAnsi"/>
          <w:sz w:val="16"/>
          <w:szCs w:val="16"/>
          <w:lang w:val="es-ES"/>
        </w:rPr>
        <w:t xml:space="preserve">Sentencia de la Corte Suprema de Justicia de la Nación de fecha 27 de mayo de 2009. Anexo 8 de la comunicación de la parte peticionaria de fecha 11 de noviembre de 2019. </w:t>
      </w:r>
    </w:p>
  </w:footnote>
  <w:footnote w:id="21">
    <w:p w14:paraId="46DCF4D6" w14:textId="77777777" w:rsidR="005B3F8C" w:rsidRPr="00D93236" w:rsidRDefault="005B3F8C" w:rsidP="00E27260">
      <w:pPr>
        <w:pStyle w:val="FootnoteText"/>
        <w:jc w:val="both"/>
        <w:rPr>
          <w:rFonts w:asciiTheme="majorHAnsi" w:hAnsiTheme="majorHAnsi"/>
          <w:sz w:val="16"/>
          <w:szCs w:val="16"/>
          <w:lang w:val="es-US"/>
        </w:rPr>
      </w:pPr>
      <w:r w:rsidRPr="00D93236">
        <w:rPr>
          <w:rStyle w:val="FootnoteReference"/>
          <w:rFonts w:asciiTheme="majorHAnsi" w:hAnsiTheme="majorHAnsi"/>
          <w:sz w:val="16"/>
          <w:szCs w:val="16"/>
        </w:rPr>
        <w:footnoteRef/>
      </w:r>
      <w:r w:rsidRPr="00D93236">
        <w:rPr>
          <w:rFonts w:asciiTheme="majorHAnsi" w:hAnsiTheme="majorHAnsi"/>
          <w:sz w:val="16"/>
          <w:szCs w:val="16"/>
          <w:lang w:val="es-US"/>
        </w:rPr>
        <w:t xml:space="preserve"> </w:t>
      </w:r>
      <w:r>
        <w:rPr>
          <w:rFonts w:asciiTheme="majorHAnsi" w:hAnsiTheme="majorHAnsi"/>
          <w:sz w:val="16"/>
          <w:szCs w:val="16"/>
          <w:lang w:val="es-US"/>
        </w:rPr>
        <w:t xml:space="preserve">Anexo 5 </w:t>
      </w:r>
      <w:r w:rsidRPr="00D93236">
        <w:rPr>
          <w:rFonts w:asciiTheme="majorHAnsi" w:hAnsiTheme="majorHAnsi"/>
          <w:sz w:val="16"/>
          <w:szCs w:val="16"/>
          <w:lang w:val="es-AR"/>
        </w:rPr>
        <w:t xml:space="preserve">Dictamen de los Fiscales a cargo de la Unidad Fiscal de Investigación del Atentado a la AMIA de fecha 25 de octubre de 2006, (en adelante: Dictamen UFI AMIA 2006) pág. 1. Anexo 12 a la comunicación de la parte peticionaria de fecha 11 de noviembre de 2019.  </w:t>
      </w:r>
    </w:p>
  </w:footnote>
  <w:footnote w:id="22">
    <w:p w14:paraId="25A98731" w14:textId="77777777" w:rsidR="005B3F8C" w:rsidRPr="00D93236" w:rsidRDefault="005B3F8C" w:rsidP="00E27260">
      <w:pPr>
        <w:pStyle w:val="FootnoteText"/>
        <w:jc w:val="both"/>
        <w:rPr>
          <w:rFonts w:asciiTheme="majorHAnsi" w:hAnsiTheme="majorHAnsi"/>
          <w:sz w:val="16"/>
          <w:szCs w:val="16"/>
          <w:lang w:val="es-ES"/>
        </w:rPr>
      </w:pPr>
      <w:r w:rsidRPr="00D93236">
        <w:rPr>
          <w:rStyle w:val="FootnoteReference"/>
          <w:rFonts w:asciiTheme="majorHAnsi" w:hAnsiTheme="majorHAnsi"/>
          <w:sz w:val="16"/>
          <w:szCs w:val="16"/>
          <w:lang w:val="es-ES"/>
        </w:rPr>
        <w:footnoteRef/>
      </w:r>
      <w:r>
        <w:rPr>
          <w:rFonts w:asciiTheme="majorHAnsi" w:hAnsiTheme="majorHAnsi"/>
          <w:b/>
          <w:sz w:val="16"/>
          <w:szCs w:val="16"/>
          <w:lang w:val="es-ES"/>
        </w:rPr>
        <w:t xml:space="preserve"> </w:t>
      </w:r>
      <w:r w:rsidRPr="00C14CE2">
        <w:rPr>
          <w:rFonts w:asciiTheme="majorHAnsi" w:hAnsiTheme="majorHAnsi"/>
          <w:sz w:val="16"/>
          <w:szCs w:val="16"/>
          <w:lang w:val="es-ES"/>
        </w:rPr>
        <w:t>Anexo 6.</w:t>
      </w:r>
      <w:r w:rsidRPr="00D93236">
        <w:rPr>
          <w:rFonts w:asciiTheme="majorHAnsi" w:hAnsiTheme="majorHAnsi"/>
          <w:sz w:val="16"/>
          <w:szCs w:val="16"/>
          <w:lang w:val="es-ES"/>
        </w:rPr>
        <w:t xml:space="preserve">  Dictamen de requerimiento de elevación a juicio suscripto por el Fiscal General titular de la Unidad Fiscal de Investigación del atentado a la sede de la AMIA. Anexo 10 de la comunicación de la parte peticionaria de fecha 11 de noviembre de 2019</w:t>
      </w:r>
    </w:p>
  </w:footnote>
  <w:footnote w:id="23">
    <w:p w14:paraId="73B42748" w14:textId="77777777" w:rsidR="005B3F8C" w:rsidRPr="00D93236" w:rsidRDefault="005B3F8C" w:rsidP="00E27260">
      <w:pPr>
        <w:pStyle w:val="FootnoteText"/>
        <w:jc w:val="both"/>
        <w:rPr>
          <w:rFonts w:asciiTheme="majorHAnsi" w:hAnsiTheme="majorHAnsi"/>
          <w:sz w:val="16"/>
          <w:szCs w:val="16"/>
          <w:lang w:val="es-ES"/>
        </w:rPr>
      </w:pPr>
      <w:r w:rsidRPr="00D93236">
        <w:rPr>
          <w:rStyle w:val="FootnoteReference"/>
          <w:rFonts w:asciiTheme="majorHAnsi" w:hAnsiTheme="majorHAnsi"/>
          <w:sz w:val="16"/>
          <w:szCs w:val="16"/>
          <w:lang w:val="es-ES"/>
        </w:rPr>
        <w:footnoteRef/>
      </w:r>
      <w:r w:rsidRPr="00D93236">
        <w:rPr>
          <w:rFonts w:asciiTheme="majorHAnsi" w:hAnsiTheme="majorHAnsi"/>
          <w:sz w:val="16"/>
          <w:szCs w:val="16"/>
          <w:lang w:val="es-ES"/>
        </w:rPr>
        <w:t xml:space="preserve"> Comunicación de la parte peticionaria de fecha 11 de noviembre de 2019. </w:t>
      </w:r>
    </w:p>
  </w:footnote>
  <w:footnote w:id="24">
    <w:p w14:paraId="6153F61B" w14:textId="77777777" w:rsidR="005B3F8C" w:rsidRPr="00D93236" w:rsidRDefault="005B3F8C" w:rsidP="00E27260">
      <w:pPr>
        <w:pStyle w:val="FootnoteText"/>
        <w:jc w:val="both"/>
        <w:rPr>
          <w:rFonts w:asciiTheme="majorHAnsi" w:hAnsiTheme="majorHAnsi"/>
          <w:sz w:val="16"/>
          <w:szCs w:val="16"/>
          <w:lang w:val="es-AR"/>
        </w:rPr>
      </w:pPr>
      <w:r w:rsidRPr="00D93236">
        <w:rPr>
          <w:rStyle w:val="FootnoteReference"/>
          <w:rFonts w:asciiTheme="majorHAnsi" w:hAnsiTheme="majorHAnsi"/>
          <w:sz w:val="16"/>
          <w:szCs w:val="16"/>
          <w:lang w:val="es-ES"/>
        </w:rPr>
        <w:footnoteRef/>
      </w:r>
      <w:r w:rsidRPr="00D93236">
        <w:rPr>
          <w:rFonts w:asciiTheme="majorHAnsi" w:hAnsiTheme="majorHAnsi"/>
          <w:sz w:val="16"/>
          <w:szCs w:val="16"/>
          <w:lang w:val="es-ES"/>
        </w:rPr>
        <w:t xml:space="preserve"> </w:t>
      </w:r>
      <w:r w:rsidRPr="00C14CE2">
        <w:rPr>
          <w:rFonts w:asciiTheme="majorHAnsi" w:hAnsiTheme="majorHAnsi"/>
          <w:sz w:val="16"/>
          <w:szCs w:val="16"/>
          <w:lang w:val="es-ES"/>
        </w:rPr>
        <w:t>Anexo 7.</w:t>
      </w:r>
      <w:r>
        <w:rPr>
          <w:rFonts w:asciiTheme="majorHAnsi" w:hAnsiTheme="majorHAnsi"/>
          <w:sz w:val="16"/>
          <w:szCs w:val="16"/>
          <w:lang w:val="es-ES"/>
        </w:rPr>
        <w:t xml:space="preserve"> </w:t>
      </w:r>
      <w:r w:rsidRPr="00D93236">
        <w:rPr>
          <w:rFonts w:asciiTheme="majorHAnsi" w:hAnsiTheme="majorHAnsi"/>
          <w:sz w:val="16"/>
          <w:szCs w:val="16"/>
          <w:lang w:val="es-ES"/>
        </w:rPr>
        <w:t>Fallo definitivo del Jurado de Enjuiciamiento de Magistrados de la Nación en la causa Nro. 14 “Doctor Juan José Galeano s/pedido de enjuiciamiento. Anexo 35 de la comunicación de la parte peticionaria de fecha 11 de noviembre de 2019.</w:t>
      </w:r>
      <w:r w:rsidRPr="00D93236">
        <w:rPr>
          <w:rFonts w:asciiTheme="majorHAnsi" w:hAnsiTheme="majorHAnsi"/>
          <w:sz w:val="16"/>
          <w:szCs w:val="16"/>
          <w:lang w:val="es-AR"/>
        </w:rPr>
        <w:t xml:space="preserve"> </w:t>
      </w:r>
    </w:p>
  </w:footnote>
  <w:footnote w:id="25">
    <w:p w14:paraId="6D155ADF" w14:textId="77777777" w:rsidR="005B3F8C" w:rsidRPr="00D93236" w:rsidRDefault="005B3F8C" w:rsidP="00E27260">
      <w:pPr>
        <w:pStyle w:val="FootnoteText"/>
        <w:jc w:val="both"/>
        <w:rPr>
          <w:rFonts w:asciiTheme="majorHAnsi" w:hAnsiTheme="majorHAnsi"/>
          <w:sz w:val="16"/>
          <w:szCs w:val="16"/>
          <w:lang w:val="es-AR"/>
        </w:rPr>
      </w:pPr>
      <w:r w:rsidRPr="00D93236">
        <w:rPr>
          <w:rStyle w:val="FootnoteReference"/>
          <w:rFonts w:asciiTheme="majorHAnsi" w:hAnsiTheme="majorHAnsi"/>
          <w:sz w:val="16"/>
          <w:szCs w:val="16"/>
        </w:rPr>
        <w:footnoteRef/>
      </w:r>
      <w:r w:rsidRPr="00D93236">
        <w:rPr>
          <w:rFonts w:asciiTheme="majorHAnsi" w:hAnsiTheme="majorHAnsi"/>
          <w:sz w:val="16"/>
          <w:szCs w:val="16"/>
          <w:lang w:val="es-AR"/>
        </w:rPr>
        <w:t xml:space="preserve"> </w:t>
      </w:r>
      <w:r w:rsidRPr="00C14CE2">
        <w:rPr>
          <w:rFonts w:asciiTheme="majorHAnsi" w:hAnsiTheme="majorHAnsi"/>
          <w:sz w:val="16"/>
          <w:szCs w:val="16"/>
          <w:lang w:val="es-AR"/>
        </w:rPr>
        <w:t>Anexo 5.</w:t>
      </w:r>
      <w:r w:rsidRPr="00D93236">
        <w:rPr>
          <w:rFonts w:asciiTheme="majorHAnsi" w:hAnsiTheme="majorHAnsi"/>
          <w:sz w:val="16"/>
          <w:szCs w:val="16"/>
          <w:lang w:val="es-AR"/>
        </w:rPr>
        <w:t xml:space="preserve"> Dictamen UFI AMIA 2006 pág. 792. Anexo 12 a la comunicación de la parte peticionaria de fecha 11 de noviembre de 2019.  </w:t>
      </w:r>
    </w:p>
  </w:footnote>
  <w:footnote w:id="26">
    <w:p w14:paraId="674C20E2" w14:textId="77777777" w:rsidR="005B3F8C" w:rsidRPr="00D93236" w:rsidRDefault="005B3F8C" w:rsidP="00E27260">
      <w:pPr>
        <w:pStyle w:val="FootnoteText"/>
        <w:jc w:val="both"/>
        <w:rPr>
          <w:rFonts w:asciiTheme="majorHAnsi" w:hAnsiTheme="majorHAnsi"/>
          <w:sz w:val="16"/>
          <w:szCs w:val="16"/>
          <w:lang w:val="es-AR"/>
        </w:rPr>
      </w:pPr>
      <w:r w:rsidRPr="00D93236">
        <w:rPr>
          <w:rStyle w:val="FootnoteReference"/>
          <w:rFonts w:asciiTheme="majorHAnsi" w:hAnsiTheme="majorHAnsi"/>
          <w:sz w:val="16"/>
          <w:szCs w:val="16"/>
        </w:rPr>
        <w:footnoteRef/>
      </w:r>
      <w:r w:rsidRPr="00D93236">
        <w:rPr>
          <w:rFonts w:asciiTheme="majorHAnsi" w:hAnsiTheme="majorHAnsi"/>
          <w:sz w:val="16"/>
          <w:szCs w:val="16"/>
          <w:lang w:val="es-AR"/>
        </w:rPr>
        <w:t xml:space="preserve"> </w:t>
      </w:r>
      <w:r w:rsidRPr="00C14CE2">
        <w:rPr>
          <w:rFonts w:asciiTheme="majorHAnsi" w:hAnsiTheme="majorHAnsi"/>
          <w:sz w:val="16"/>
          <w:szCs w:val="16"/>
          <w:lang w:val="es-AR"/>
        </w:rPr>
        <w:t>Anexo 5.</w:t>
      </w:r>
      <w:r w:rsidRPr="00D93236">
        <w:rPr>
          <w:rFonts w:asciiTheme="majorHAnsi" w:hAnsiTheme="majorHAnsi"/>
          <w:sz w:val="16"/>
          <w:szCs w:val="16"/>
          <w:lang w:val="es-AR"/>
        </w:rPr>
        <w:t xml:space="preserve"> Dictamen UFI AMIA 2006, pág. 22. Anexo 12 a la comunicación de la parte peticionaria de fecha 11 de noviembre de 2019. </w:t>
      </w:r>
    </w:p>
  </w:footnote>
  <w:footnote w:id="27">
    <w:p w14:paraId="6E967250" w14:textId="77777777" w:rsidR="005B3F8C" w:rsidRPr="00D93236" w:rsidRDefault="005B3F8C" w:rsidP="00E27260">
      <w:pPr>
        <w:pStyle w:val="FootnoteText"/>
        <w:jc w:val="both"/>
        <w:rPr>
          <w:rFonts w:asciiTheme="majorHAnsi" w:hAnsiTheme="majorHAnsi"/>
          <w:sz w:val="16"/>
          <w:szCs w:val="16"/>
          <w:lang w:val="es-US"/>
        </w:rPr>
      </w:pPr>
      <w:r w:rsidRPr="00D93236">
        <w:rPr>
          <w:rStyle w:val="FootnoteReference"/>
          <w:rFonts w:asciiTheme="majorHAnsi" w:hAnsiTheme="majorHAnsi"/>
          <w:sz w:val="16"/>
          <w:szCs w:val="16"/>
        </w:rPr>
        <w:footnoteRef/>
      </w:r>
      <w:r w:rsidRPr="00D93236">
        <w:rPr>
          <w:rFonts w:asciiTheme="majorHAnsi" w:hAnsiTheme="majorHAnsi"/>
          <w:sz w:val="16"/>
          <w:szCs w:val="16"/>
          <w:lang w:val="es-US"/>
        </w:rPr>
        <w:t xml:space="preserve"> </w:t>
      </w:r>
      <w:r w:rsidRPr="00C14CE2">
        <w:rPr>
          <w:rFonts w:asciiTheme="majorHAnsi" w:hAnsiTheme="majorHAnsi"/>
          <w:sz w:val="16"/>
          <w:szCs w:val="16"/>
          <w:lang w:val="es-AR"/>
        </w:rPr>
        <w:t>Anexo 8.</w:t>
      </w:r>
      <w:r w:rsidRPr="00D93236">
        <w:rPr>
          <w:rFonts w:asciiTheme="majorHAnsi" w:hAnsiTheme="majorHAnsi"/>
          <w:sz w:val="16"/>
          <w:szCs w:val="16"/>
          <w:lang w:val="es-AR"/>
        </w:rPr>
        <w:t xml:space="preserve"> UFI AMIA. Informe de Gestión – Diciembre 2016, pág. 15. Anexo 19 a la comunicación de la parte peticionaria de fecha 11 de noviembre de 2019.</w:t>
      </w:r>
    </w:p>
  </w:footnote>
  <w:footnote w:id="28">
    <w:p w14:paraId="1CAC5CB4" w14:textId="77777777" w:rsidR="005B3F8C" w:rsidRPr="00D93236" w:rsidRDefault="005B3F8C" w:rsidP="00E27260">
      <w:pPr>
        <w:pStyle w:val="FootnoteText"/>
        <w:jc w:val="both"/>
        <w:rPr>
          <w:rFonts w:asciiTheme="majorHAnsi" w:hAnsiTheme="majorHAnsi"/>
          <w:sz w:val="16"/>
          <w:szCs w:val="16"/>
          <w:lang w:val="es-AR"/>
        </w:rPr>
      </w:pPr>
      <w:r w:rsidRPr="00D93236">
        <w:rPr>
          <w:rStyle w:val="FootnoteReference"/>
          <w:rFonts w:asciiTheme="majorHAnsi" w:hAnsiTheme="majorHAnsi"/>
          <w:sz w:val="16"/>
          <w:szCs w:val="16"/>
        </w:rPr>
        <w:footnoteRef/>
      </w:r>
      <w:r w:rsidRPr="00D93236">
        <w:rPr>
          <w:rFonts w:asciiTheme="majorHAnsi" w:hAnsiTheme="majorHAnsi"/>
          <w:sz w:val="16"/>
          <w:szCs w:val="16"/>
          <w:lang w:val="es-AR"/>
        </w:rPr>
        <w:t xml:space="preserve"> </w:t>
      </w:r>
      <w:r>
        <w:rPr>
          <w:rFonts w:asciiTheme="majorHAnsi" w:hAnsiTheme="majorHAnsi"/>
          <w:b/>
          <w:sz w:val="16"/>
          <w:szCs w:val="16"/>
          <w:lang w:val="es-AR"/>
        </w:rPr>
        <w:t>ANEXO 9</w:t>
      </w:r>
      <w:r w:rsidRPr="00D93236">
        <w:rPr>
          <w:rFonts w:asciiTheme="majorHAnsi" w:hAnsiTheme="majorHAnsi"/>
          <w:b/>
          <w:sz w:val="16"/>
          <w:szCs w:val="16"/>
          <w:lang w:val="es-AR"/>
        </w:rPr>
        <w:t>.</w:t>
      </w:r>
      <w:r w:rsidRPr="00D93236">
        <w:rPr>
          <w:rFonts w:asciiTheme="majorHAnsi" w:hAnsiTheme="majorHAnsi"/>
          <w:sz w:val="16"/>
          <w:szCs w:val="16"/>
          <w:lang w:val="es-AR"/>
        </w:rPr>
        <w:t xml:space="preserve"> Dictamen suscripto por el Fiscal a cargo de la Unidad Fiscal de Investigación del Atentado a la AMIA de fecha 20 de mayo de 2009 (en a</w:t>
      </w:r>
      <w:r>
        <w:rPr>
          <w:rFonts w:asciiTheme="majorHAnsi" w:hAnsiTheme="majorHAnsi"/>
          <w:sz w:val="16"/>
          <w:szCs w:val="16"/>
          <w:lang w:val="es-AR"/>
        </w:rPr>
        <w:t>delante: Dictamen UFI AMIA 2009</w:t>
      </w:r>
      <w:r w:rsidRPr="00D93236">
        <w:rPr>
          <w:rFonts w:asciiTheme="majorHAnsi" w:hAnsiTheme="majorHAnsi"/>
          <w:sz w:val="16"/>
          <w:szCs w:val="16"/>
          <w:lang w:val="es-AR"/>
        </w:rPr>
        <w:t>, pág. 30. Anexo 16 a la comunicación de la parte peticionaria de fecha 11 de noviembre de 2019.</w:t>
      </w:r>
    </w:p>
  </w:footnote>
  <w:footnote w:id="29">
    <w:p w14:paraId="1B6D1FC3" w14:textId="77777777" w:rsidR="005B3F8C" w:rsidRPr="00D93236" w:rsidRDefault="005B3F8C" w:rsidP="00E27260">
      <w:pPr>
        <w:pStyle w:val="FootnoteText"/>
        <w:jc w:val="both"/>
        <w:rPr>
          <w:rFonts w:asciiTheme="majorHAnsi" w:hAnsiTheme="majorHAnsi"/>
          <w:sz w:val="16"/>
          <w:szCs w:val="16"/>
          <w:lang w:val="es-AR"/>
        </w:rPr>
      </w:pPr>
      <w:r w:rsidRPr="00D93236">
        <w:rPr>
          <w:rStyle w:val="FootnoteReference"/>
          <w:rFonts w:asciiTheme="majorHAnsi" w:hAnsiTheme="majorHAnsi"/>
          <w:sz w:val="16"/>
          <w:szCs w:val="16"/>
        </w:rPr>
        <w:footnoteRef/>
      </w:r>
      <w:r w:rsidRPr="00D93236">
        <w:rPr>
          <w:rFonts w:asciiTheme="majorHAnsi" w:hAnsiTheme="majorHAnsi"/>
          <w:sz w:val="16"/>
          <w:szCs w:val="16"/>
          <w:lang w:val="es-AR"/>
        </w:rPr>
        <w:t xml:space="preserve"> </w:t>
      </w:r>
      <w:r>
        <w:rPr>
          <w:rFonts w:asciiTheme="majorHAnsi" w:hAnsiTheme="majorHAnsi"/>
          <w:b/>
          <w:sz w:val="16"/>
          <w:szCs w:val="16"/>
          <w:lang w:val="es-AR"/>
        </w:rPr>
        <w:t>ANEXO 10</w:t>
      </w:r>
      <w:r w:rsidRPr="00D93236">
        <w:rPr>
          <w:rFonts w:asciiTheme="majorHAnsi" w:hAnsiTheme="majorHAnsi"/>
          <w:b/>
          <w:sz w:val="16"/>
          <w:szCs w:val="16"/>
          <w:lang w:val="es-AR"/>
        </w:rPr>
        <w:t>.</w:t>
      </w:r>
      <w:r w:rsidRPr="00D93236">
        <w:rPr>
          <w:rFonts w:asciiTheme="majorHAnsi" w:hAnsiTheme="majorHAnsi"/>
          <w:sz w:val="16"/>
          <w:szCs w:val="16"/>
          <w:lang w:val="es-AR"/>
        </w:rPr>
        <w:t xml:space="preserve"> Informe del titular de la UFI AMIA al Director General de Derechos Humanos del Ministerio de Relaciones Exteriores, Comercio Internacional y Culto de la Nación de fecha 1 de junio de 2010. Anexo 1 a la comunicación del Estado de fecha 29 de julio de 2010. </w:t>
      </w:r>
    </w:p>
  </w:footnote>
  <w:footnote w:id="30">
    <w:p w14:paraId="4468426C" w14:textId="77777777" w:rsidR="005B3F8C" w:rsidRPr="00D93236" w:rsidRDefault="005B3F8C" w:rsidP="00E27260">
      <w:pPr>
        <w:jc w:val="both"/>
        <w:rPr>
          <w:rFonts w:asciiTheme="majorHAnsi" w:eastAsia="Times New Roman" w:hAnsiTheme="majorHAnsi"/>
          <w:sz w:val="16"/>
          <w:szCs w:val="16"/>
          <w:lang w:val="es-US"/>
        </w:rPr>
      </w:pPr>
      <w:r w:rsidRPr="00D93236">
        <w:rPr>
          <w:rStyle w:val="FootnoteReference"/>
          <w:rFonts w:asciiTheme="majorHAnsi" w:hAnsiTheme="majorHAnsi"/>
          <w:sz w:val="16"/>
          <w:szCs w:val="16"/>
        </w:rPr>
        <w:footnoteRef/>
      </w:r>
      <w:r w:rsidRPr="00D93236">
        <w:rPr>
          <w:rFonts w:asciiTheme="majorHAnsi" w:hAnsiTheme="majorHAnsi"/>
          <w:sz w:val="16"/>
          <w:szCs w:val="16"/>
          <w:lang w:val="es-AR"/>
        </w:rPr>
        <w:t xml:space="preserve"> Ley 26.843 sancionada el 27 de febrero de 2013. Accesible en: </w:t>
      </w:r>
      <w:r w:rsidRPr="00D93236">
        <w:rPr>
          <w:rFonts w:asciiTheme="majorHAnsi" w:eastAsia="Times New Roman" w:hAnsiTheme="majorHAnsi"/>
          <w:sz w:val="16"/>
          <w:szCs w:val="16"/>
          <w:lang w:val="es-US"/>
        </w:rPr>
        <w:t>http://servicios.infoleg.gob.ar/infolegInternet/anexos/205000-209999/208948/norma.htm</w:t>
      </w:r>
      <w:r w:rsidRPr="00D93236">
        <w:rPr>
          <w:rFonts w:asciiTheme="majorHAnsi" w:hAnsiTheme="majorHAnsi"/>
          <w:sz w:val="16"/>
          <w:szCs w:val="16"/>
          <w:lang w:val="es-AR"/>
        </w:rPr>
        <w:t xml:space="preserve"> </w:t>
      </w:r>
    </w:p>
  </w:footnote>
  <w:footnote w:id="31">
    <w:p w14:paraId="6EC9071E" w14:textId="77777777" w:rsidR="005B3F8C" w:rsidRPr="00D93236" w:rsidRDefault="005B3F8C" w:rsidP="00E27260">
      <w:pPr>
        <w:pStyle w:val="FootnoteText"/>
        <w:jc w:val="both"/>
        <w:rPr>
          <w:rFonts w:asciiTheme="majorHAnsi" w:hAnsiTheme="majorHAnsi"/>
          <w:sz w:val="16"/>
          <w:szCs w:val="16"/>
          <w:lang w:val="es-AR"/>
        </w:rPr>
      </w:pPr>
      <w:r w:rsidRPr="00D93236">
        <w:rPr>
          <w:rStyle w:val="FootnoteReference"/>
          <w:rFonts w:asciiTheme="majorHAnsi" w:hAnsiTheme="majorHAnsi"/>
          <w:sz w:val="16"/>
          <w:szCs w:val="16"/>
        </w:rPr>
        <w:footnoteRef/>
      </w:r>
      <w:r>
        <w:rPr>
          <w:rFonts w:asciiTheme="majorHAnsi" w:hAnsiTheme="majorHAnsi"/>
          <w:sz w:val="16"/>
          <w:szCs w:val="16"/>
          <w:lang w:val="es-AR"/>
        </w:rPr>
        <w:t xml:space="preserve"> </w:t>
      </w:r>
      <w:r w:rsidRPr="00D93236">
        <w:rPr>
          <w:rFonts w:asciiTheme="majorHAnsi" w:hAnsiTheme="majorHAnsi"/>
          <w:sz w:val="16"/>
          <w:szCs w:val="16"/>
          <w:lang w:val="es-AR"/>
        </w:rPr>
        <w:t xml:space="preserve">Comunicación de la parte peticionaria de fecha 11 de noviembre de 2019. </w:t>
      </w:r>
    </w:p>
  </w:footnote>
  <w:footnote w:id="32">
    <w:p w14:paraId="3122FA98" w14:textId="77777777" w:rsidR="005B3F8C" w:rsidRPr="00D93236" w:rsidRDefault="005B3F8C" w:rsidP="00E27260">
      <w:pPr>
        <w:pStyle w:val="FootnoteText"/>
        <w:jc w:val="both"/>
        <w:rPr>
          <w:rFonts w:asciiTheme="majorHAnsi" w:hAnsiTheme="majorHAnsi"/>
          <w:sz w:val="16"/>
          <w:szCs w:val="16"/>
          <w:lang w:val="es-AR"/>
        </w:rPr>
      </w:pPr>
      <w:r w:rsidRPr="00D93236">
        <w:rPr>
          <w:rStyle w:val="FootnoteReference"/>
          <w:rFonts w:asciiTheme="majorHAnsi" w:hAnsiTheme="majorHAnsi"/>
          <w:sz w:val="16"/>
          <w:szCs w:val="16"/>
        </w:rPr>
        <w:footnoteRef/>
      </w:r>
      <w:r w:rsidRPr="00D93236">
        <w:rPr>
          <w:rFonts w:asciiTheme="majorHAnsi" w:hAnsiTheme="majorHAnsi"/>
          <w:sz w:val="16"/>
          <w:szCs w:val="16"/>
          <w:lang w:val="es-AR"/>
        </w:rPr>
        <w:t xml:space="preserve"> </w:t>
      </w:r>
      <w:r>
        <w:rPr>
          <w:rFonts w:asciiTheme="majorHAnsi" w:hAnsiTheme="majorHAnsi"/>
          <w:b/>
          <w:sz w:val="16"/>
          <w:szCs w:val="16"/>
          <w:lang w:val="es-AR"/>
        </w:rPr>
        <w:t>ANEXO 11</w:t>
      </w:r>
      <w:r w:rsidRPr="00D93236">
        <w:rPr>
          <w:rFonts w:asciiTheme="majorHAnsi" w:hAnsiTheme="majorHAnsi"/>
          <w:b/>
          <w:sz w:val="16"/>
          <w:szCs w:val="16"/>
          <w:lang w:val="es-AR"/>
        </w:rPr>
        <w:t>.</w:t>
      </w:r>
      <w:r w:rsidRPr="00D93236">
        <w:rPr>
          <w:rFonts w:asciiTheme="majorHAnsi" w:hAnsiTheme="majorHAnsi"/>
          <w:sz w:val="16"/>
          <w:szCs w:val="16"/>
          <w:lang w:val="es-AR"/>
        </w:rPr>
        <w:t xml:space="preserve"> UFI AMIA. Informe de Gestión - Julio 2016. Anexo 13 a la comunicación de la parte peticionaria de fecha 11 de noviembre de 2019. </w:t>
      </w:r>
    </w:p>
  </w:footnote>
  <w:footnote w:id="33">
    <w:p w14:paraId="25F453E4" w14:textId="77777777" w:rsidR="005B3F8C" w:rsidRPr="00D93236" w:rsidRDefault="005B3F8C" w:rsidP="00E27260">
      <w:pPr>
        <w:pStyle w:val="FootnoteText"/>
        <w:jc w:val="both"/>
        <w:rPr>
          <w:rFonts w:asciiTheme="majorHAnsi" w:hAnsiTheme="majorHAnsi"/>
          <w:sz w:val="16"/>
          <w:szCs w:val="16"/>
          <w:lang w:val="es-US"/>
        </w:rPr>
      </w:pPr>
      <w:r w:rsidRPr="00D93236">
        <w:rPr>
          <w:rStyle w:val="FootnoteReference"/>
          <w:rFonts w:asciiTheme="majorHAnsi" w:hAnsiTheme="majorHAnsi"/>
          <w:sz w:val="16"/>
          <w:szCs w:val="16"/>
        </w:rPr>
        <w:footnoteRef/>
      </w:r>
      <w:r w:rsidRPr="00D93236">
        <w:rPr>
          <w:rFonts w:asciiTheme="majorHAnsi" w:hAnsiTheme="majorHAnsi"/>
          <w:sz w:val="16"/>
          <w:szCs w:val="16"/>
          <w:lang w:val="es-US"/>
        </w:rPr>
        <w:t xml:space="preserve"> </w:t>
      </w:r>
      <w:r>
        <w:rPr>
          <w:rFonts w:asciiTheme="majorHAnsi" w:hAnsiTheme="majorHAnsi"/>
          <w:b/>
          <w:sz w:val="16"/>
          <w:szCs w:val="16"/>
          <w:lang w:val="es-AR"/>
        </w:rPr>
        <w:t>ANEXO 12</w:t>
      </w:r>
      <w:r w:rsidRPr="00D93236">
        <w:rPr>
          <w:rFonts w:asciiTheme="majorHAnsi" w:hAnsiTheme="majorHAnsi"/>
          <w:b/>
          <w:sz w:val="16"/>
          <w:szCs w:val="16"/>
          <w:lang w:val="es-AR"/>
        </w:rPr>
        <w:t>.</w:t>
      </w:r>
      <w:r w:rsidRPr="00D93236">
        <w:rPr>
          <w:rFonts w:asciiTheme="majorHAnsi" w:hAnsiTheme="majorHAnsi"/>
          <w:sz w:val="16"/>
          <w:szCs w:val="16"/>
          <w:lang w:val="es-AR"/>
        </w:rPr>
        <w:t xml:space="preserve"> Sentencia del Tribunal Oral en lo Criminal Federal Nro. 2 de fecha 3 de mayo de 2019, pág. 69.  Anexo 2 a la comunicación de la parte peticionaria de fecha 11 de noviembre de 2019.</w:t>
      </w:r>
    </w:p>
  </w:footnote>
  <w:footnote w:id="34">
    <w:p w14:paraId="29430DEC" w14:textId="77777777" w:rsidR="005B3F8C" w:rsidRPr="00D93236" w:rsidRDefault="005B3F8C" w:rsidP="00E27260">
      <w:pPr>
        <w:pStyle w:val="FootnoteText"/>
        <w:jc w:val="both"/>
        <w:rPr>
          <w:rFonts w:asciiTheme="majorHAnsi" w:hAnsiTheme="majorHAnsi"/>
          <w:sz w:val="16"/>
          <w:szCs w:val="16"/>
          <w:lang w:val="es-AR"/>
        </w:rPr>
      </w:pPr>
      <w:r w:rsidRPr="00D93236">
        <w:rPr>
          <w:rStyle w:val="FootnoteReference"/>
          <w:rFonts w:asciiTheme="majorHAnsi" w:hAnsiTheme="majorHAnsi"/>
          <w:sz w:val="16"/>
          <w:szCs w:val="16"/>
        </w:rPr>
        <w:footnoteRef/>
      </w:r>
      <w:r w:rsidRPr="00D93236">
        <w:rPr>
          <w:rFonts w:asciiTheme="majorHAnsi" w:hAnsiTheme="majorHAnsi"/>
          <w:sz w:val="16"/>
          <w:szCs w:val="16"/>
          <w:lang w:val="es-AR"/>
        </w:rPr>
        <w:t xml:space="preserve"> </w:t>
      </w:r>
      <w:r>
        <w:rPr>
          <w:rFonts w:asciiTheme="majorHAnsi" w:hAnsiTheme="majorHAnsi"/>
          <w:b/>
          <w:sz w:val="16"/>
          <w:szCs w:val="16"/>
          <w:lang w:val="es-AR"/>
        </w:rPr>
        <w:t>ANEXO 2</w:t>
      </w:r>
      <w:r w:rsidRPr="00D93236">
        <w:rPr>
          <w:rFonts w:asciiTheme="majorHAnsi" w:hAnsiTheme="majorHAnsi"/>
          <w:sz w:val="16"/>
          <w:szCs w:val="16"/>
          <w:lang w:val="es-AR"/>
        </w:rPr>
        <w:t>. Sentencia del TOF 3. Capítulo VIII, págs. 2944. Anexo 1 a la comunicación de la parte peticionaria de fecha 11 de noviembre de 2019</w:t>
      </w:r>
    </w:p>
  </w:footnote>
  <w:footnote w:id="35">
    <w:p w14:paraId="0C79E424" w14:textId="77777777" w:rsidR="005B3F8C" w:rsidRPr="00D93236" w:rsidRDefault="005B3F8C" w:rsidP="00E27260">
      <w:pPr>
        <w:pStyle w:val="FootnoteText"/>
        <w:jc w:val="both"/>
        <w:rPr>
          <w:rFonts w:asciiTheme="majorHAnsi" w:hAnsiTheme="majorHAnsi"/>
          <w:sz w:val="16"/>
          <w:szCs w:val="16"/>
          <w:lang w:val="es-AR"/>
        </w:rPr>
      </w:pPr>
      <w:r w:rsidRPr="00D93236">
        <w:rPr>
          <w:rStyle w:val="FootnoteReference"/>
          <w:rFonts w:asciiTheme="majorHAnsi" w:hAnsiTheme="majorHAnsi"/>
          <w:sz w:val="16"/>
          <w:szCs w:val="16"/>
        </w:rPr>
        <w:footnoteRef/>
      </w:r>
      <w:r w:rsidRPr="00D93236">
        <w:rPr>
          <w:rFonts w:asciiTheme="majorHAnsi" w:hAnsiTheme="majorHAnsi"/>
          <w:sz w:val="16"/>
          <w:szCs w:val="16"/>
          <w:lang w:val="es-AR"/>
        </w:rPr>
        <w:t xml:space="preserve"> Comunicación de la parte peticionaria de fecha 11 de noviembre de 2019. Pag 50 a 51. </w:t>
      </w:r>
    </w:p>
  </w:footnote>
  <w:footnote w:id="36">
    <w:p w14:paraId="3B31DE8B" w14:textId="77777777" w:rsidR="005B3F8C" w:rsidRPr="00D93236" w:rsidRDefault="005B3F8C" w:rsidP="00E27260">
      <w:pPr>
        <w:pStyle w:val="FootnoteText"/>
        <w:jc w:val="both"/>
        <w:rPr>
          <w:rFonts w:asciiTheme="majorHAnsi" w:hAnsiTheme="majorHAnsi"/>
          <w:sz w:val="16"/>
          <w:szCs w:val="16"/>
          <w:lang w:val="es-AR"/>
        </w:rPr>
      </w:pPr>
      <w:r w:rsidRPr="00D93236">
        <w:rPr>
          <w:rStyle w:val="FootnoteReference"/>
          <w:rFonts w:asciiTheme="majorHAnsi" w:hAnsiTheme="majorHAnsi"/>
          <w:sz w:val="16"/>
          <w:szCs w:val="16"/>
        </w:rPr>
        <w:footnoteRef/>
      </w:r>
      <w:r w:rsidRPr="00D93236">
        <w:rPr>
          <w:rFonts w:asciiTheme="majorHAnsi" w:hAnsiTheme="majorHAnsi"/>
          <w:sz w:val="16"/>
          <w:szCs w:val="16"/>
          <w:lang w:val="es-AR"/>
        </w:rPr>
        <w:t xml:space="preserve"> Comunicación de la parte peticionaria de fecha 11 de noviembre de 2019. Pag 63 a 66. </w:t>
      </w:r>
    </w:p>
  </w:footnote>
  <w:footnote w:id="37">
    <w:p w14:paraId="03334D72" w14:textId="77777777" w:rsidR="005B3F8C" w:rsidRPr="00D93236" w:rsidRDefault="005B3F8C" w:rsidP="00B07258">
      <w:pPr>
        <w:pStyle w:val="FootnoteText"/>
        <w:jc w:val="both"/>
        <w:rPr>
          <w:rFonts w:asciiTheme="majorHAnsi" w:hAnsiTheme="majorHAnsi"/>
          <w:sz w:val="16"/>
          <w:szCs w:val="16"/>
          <w:lang w:val="es-AR"/>
        </w:rPr>
      </w:pPr>
      <w:r w:rsidRPr="00D93236">
        <w:rPr>
          <w:rStyle w:val="FootnoteReference"/>
          <w:rFonts w:asciiTheme="majorHAnsi" w:hAnsiTheme="majorHAnsi"/>
          <w:sz w:val="16"/>
          <w:szCs w:val="16"/>
        </w:rPr>
        <w:footnoteRef/>
      </w:r>
      <w:r w:rsidRPr="00D93236">
        <w:rPr>
          <w:rFonts w:asciiTheme="majorHAnsi" w:hAnsiTheme="majorHAnsi"/>
          <w:sz w:val="16"/>
          <w:szCs w:val="16"/>
          <w:lang w:val="es-AR"/>
        </w:rPr>
        <w:t xml:space="preserve"> Las personas denunciadas fueron:</w:t>
      </w:r>
      <w:r>
        <w:rPr>
          <w:rFonts w:asciiTheme="majorHAnsi" w:hAnsiTheme="majorHAnsi"/>
          <w:sz w:val="16"/>
          <w:szCs w:val="16"/>
          <w:lang w:val="es-AR"/>
        </w:rPr>
        <w:t xml:space="preserve"> Cristina Fernández, Héctor Ti</w:t>
      </w:r>
      <w:r w:rsidRPr="00D93236">
        <w:rPr>
          <w:rFonts w:asciiTheme="majorHAnsi" w:hAnsiTheme="majorHAnsi"/>
          <w:sz w:val="16"/>
          <w:szCs w:val="16"/>
          <w:lang w:val="es-AR"/>
        </w:rPr>
        <w:t>merman, Luis Ángel D’Elia, Fernando Luis Esteche, Jorge Alejandro Khalil, Andrés Larroque, Héctor Luis Yrimia y Ramón Allan Héctor Bogado</w:t>
      </w:r>
    </w:p>
  </w:footnote>
  <w:footnote w:id="38">
    <w:p w14:paraId="622EC4CF" w14:textId="77777777" w:rsidR="005B3F8C" w:rsidRPr="00D93236" w:rsidRDefault="005B3F8C" w:rsidP="00E27260">
      <w:pPr>
        <w:pStyle w:val="FootnoteText"/>
        <w:jc w:val="both"/>
        <w:rPr>
          <w:rFonts w:asciiTheme="majorHAnsi" w:hAnsiTheme="majorHAnsi"/>
          <w:sz w:val="16"/>
          <w:szCs w:val="16"/>
          <w:lang w:val="es-AR"/>
        </w:rPr>
      </w:pPr>
      <w:r w:rsidRPr="00D93236">
        <w:rPr>
          <w:rStyle w:val="FootnoteReference"/>
          <w:rFonts w:asciiTheme="majorHAnsi" w:hAnsiTheme="majorHAnsi"/>
          <w:sz w:val="16"/>
          <w:szCs w:val="16"/>
        </w:rPr>
        <w:footnoteRef/>
      </w:r>
      <w:r w:rsidRPr="00D93236">
        <w:rPr>
          <w:rFonts w:asciiTheme="majorHAnsi" w:hAnsiTheme="majorHAnsi"/>
          <w:sz w:val="16"/>
          <w:szCs w:val="16"/>
          <w:lang w:val="es-AR"/>
        </w:rPr>
        <w:t xml:space="preserve"> Comunicación de la parte peticionaria de fecha 11 de noviembre de 2019, Pag 35. </w:t>
      </w:r>
    </w:p>
  </w:footnote>
  <w:footnote w:id="39">
    <w:p w14:paraId="37413476" w14:textId="77777777" w:rsidR="005B3F8C" w:rsidRPr="00D93236" w:rsidRDefault="005B3F8C" w:rsidP="00E27260">
      <w:pPr>
        <w:pStyle w:val="FootnoteText"/>
        <w:tabs>
          <w:tab w:val="left" w:pos="720"/>
          <w:tab w:val="left" w:pos="900"/>
          <w:tab w:val="left" w:pos="1080"/>
        </w:tabs>
        <w:jc w:val="both"/>
        <w:rPr>
          <w:rFonts w:asciiTheme="majorHAnsi" w:hAnsiTheme="majorHAnsi"/>
          <w:sz w:val="16"/>
          <w:szCs w:val="16"/>
          <w:lang w:val="es-CO"/>
        </w:rPr>
      </w:pPr>
      <w:r w:rsidRPr="00D93236">
        <w:rPr>
          <w:rStyle w:val="FootnoteReference"/>
          <w:rFonts w:asciiTheme="majorHAnsi" w:hAnsiTheme="majorHAnsi"/>
          <w:sz w:val="16"/>
          <w:szCs w:val="16"/>
        </w:rPr>
        <w:footnoteRef/>
      </w:r>
      <w:r w:rsidRPr="00D93236">
        <w:rPr>
          <w:rFonts w:asciiTheme="majorHAnsi" w:hAnsiTheme="majorHAnsi"/>
          <w:sz w:val="16"/>
          <w:szCs w:val="16"/>
          <w:lang w:val="es-ES_tradnl"/>
        </w:rPr>
        <w:t xml:space="preserve"> </w:t>
      </w:r>
      <w:r w:rsidRPr="00D93236">
        <w:rPr>
          <w:rFonts w:asciiTheme="majorHAnsi" w:hAnsiTheme="majorHAnsi"/>
          <w:sz w:val="16"/>
          <w:szCs w:val="16"/>
          <w:lang w:val="es-ES"/>
        </w:rPr>
        <w:t xml:space="preserve">CIDH, Caso 12.270. Informe No. 2/15, Fondo, </w:t>
      </w:r>
      <w:r w:rsidRPr="00F54071">
        <w:rPr>
          <w:rFonts w:asciiTheme="majorHAnsi" w:hAnsiTheme="majorHAnsi"/>
          <w:sz w:val="16"/>
          <w:szCs w:val="16"/>
          <w:lang w:val="es-ES"/>
        </w:rPr>
        <w:t>Johan Alexis Ortiz Hernández</w:t>
      </w:r>
      <w:r w:rsidRPr="00D93236">
        <w:rPr>
          <w:rFonts w:asciiTheme="majorHAnsi" w:hAnsiTheme="majorHAnsi"/>
          <w:sz w:val="16"/>
          <w:szCs w:val="16"/>
          <w:lang w:val="es-ES"/>
        </w:rPr>
        <w:t xml:space="preserve">, Venezuela, 29 de enero de 2015, párr. </w:t>
      </w:r>
      <w:r w:rsidRPr="00D93236">
        <w:rPr>
          <w:rFonts w:asciiTheme="majorHAnsi" w:hAnsiTheme="majorHAnsi"/>
          <w:sz w:val="16"/>
          <w:szCs w:val="16"/>
          <w:lang w:val="es-CO"/>
        </w:rPr>
        <w:t xml:space="preserve">186; </w:t>
      </w:r>
      <w:r w:rsidRPr="00D93236">
        <w:rPr>
          <w:rFonts w:asciiTheme="majorHAnsi" w:hAnsiTheme="majorHAnsi"/>
          <w:sz w:val="16"/>
          <w:szCs w:val="16"/>
          <w:lang w:val="es-ES_tradnl"/>
        </w:rPr>
        <w:t>Corte IDH</w:t>
      </w:r>
      <w:r w:rsidRPr="00D93236">
        <w:rPr>
          <w:rFonts w:asciiTheme="majorHAnsi" w:hAnsiTheme="majorHAnsi"/>
          <w:i/>
          <w:sz w:val="16"/>
          <w:szCs w:val="16"/>
          <w:lang w:val="es-ES_tradnl"/>
        </w:rPr>
        <w:t xml:space="preserve">. </w:t>
      </w:r>
      <w:r w:rsidRPr="00D93236">
        <w:rPr>
          <w:rFonts w:asciiTheme="majorHAnsi" w:hAnsiTheme="majorHAnsi"/>
          <w:bCs/>
          <w:i/>
          <w:sz w:val="16"/>
          <w:szCs w:val="16"/>
          <w:lang w:val="es-ES_tradnl"/>
        </w:rPr>
        <w:t>Caso Zambrano Vélez y otros Vs. Ecuador</w:t>
      </w:r>
      <w:r w:rsidRPr="00D93236">
        <w:rPr>
          <w:rFonts w:asciiTheme="majorHAnsi" w:hAnsiTheme="majorHAnsi"/>
          <w:bCs/>
          <w:sz w:val="16"/>
          <w:szCs w:val="16"/>
          <w:lang w:val="es-ES_tradnl"/>
        </w:rPr>
        <w:t xml:space="preserve">. </w:t>
      </w:r>
      <w:r w:rsidRPr="00D93236">
        <w:rPr>
          <w:rFonts w:asciiTheme="majorHAnsi" w:hAnsiTheme="majorHAnsi"/>
          <w:sz w:val="16"/>
          <w:szCs w:val="16"/>
          <w:lang w:val="es-ES_tradnl"/>
        </w:rPr>
        <w:t xml:space="preserve">Fondo, Reparaciones y Costas. Sentencia de 4 de julio de 2007. Serie C No. 166, párr. 80. </w:t>
      </w:r>
    </w:p>
  </w:footnote>
  <w:footnote w:id="40">
    <w:p w14:paraId="5B8655A0" w14:textId="77777777" w:rsidR="005B3F8C" w:rsidRPr="00D93236" w:rsidRDefault="005B3F8C" w:rsidP="00E27260">
      <w:pPr>
        <w:pStyle w:val="FootnoteText"/>
        <w:jc w:val="both"/>
        <w:rPr>
          <w:rFonts w:asciiTheme="majorHAnsi" w:hAnsiTheme="majorHAnsi"/>
          <w:sz w:val="16"/>
          <w:szCs w:val="16"/>
          <w:lang w:val="es-ES"/>
        </w:rPr>
      </w:pPr>
      <w:r w:rsidRPr="00D93236">
        <w:rPr>
          <w:rStyle w:val="FootnoteReference"/>
          <w:rFonts w:asciiTheme="majorHAnsi" w:hAnsiTheme="majorHAnsi"/>
          <w:sz w:val="16"/>
          <w:szCs w:val="16"/>
        </w:rPr>
        <w:footnoteRef/>
      </w:r>
      <w:r w:rsidRPr="00D93236">
        <w:rPr>
          <w:rFonts w:asciiTheme="majorHAnsi" w:hAnsiTheme="majorHAnsi"/>
          <w:sz w:val="16"/>
          <w:szCs w:val="16"/>
          <w:lang w:val="es-CO"/>
        </w:rPr>
        <w:t xml:space="preserve"> </w:t>
      </w:r>
      <w:r w:rsidRPr="00D93236">
        <w:rPr>
          <w:rFonts w:asciiTheme="majorHAnsi" w:hAnsiTheme="majorHAnsi"/>
          <w:sz w:val="16"/>
          <w:szCs w:val="16"/>
          <w:lang w:val="es-US"/>
        </w:rPr>
        <w:t xml:space="preserve">Corte IDH. </w:t>
      </w:r>
      <w:r w:rsidRPr="00D93236">
        <w:rPr>
          <w:rFonts w:asciiTheme="majorHAnsi" w:hAnsiTheme="majorHAnsi"/>
          <w:i/>
          <w:sz w:val="16"/>
          <w:szCs w:val="16"/>
          <w:lang w:val="es-US"/>
        </w:rPr>
        <w:t>Caso González y otras (“Campo Algodonero”) Vs. México</w:t>
      </w:r>
      <w:r w:rsidRPr="00D93236">
        <w:rPr>
          <w:rFonts w:asciiTheme="majorHAnsi" w:hAnsiTheme="majorHAnsi"/>
          <w:sz w:val="16"/>
          <w:szCs w:val="16"/>
          <w:lang w:val="es-US"/>
        </w:rPr>
        <w:t xml:space="preserve">. Excepción Preliminar, Fondo, Reparaciones y Costas. Sentencia de 16 de noviembre de 2009. Serie C No. 205, párr. </w:t>
      </w:r>
      <w:r w:rsidRPr="00D93236">
        <w:rPr>
          <w:rFonts w:asciiTheme="majorHAnsi" w:hAnsiTheme="majorHAnsi"/>
          <w:sz w:val="16"/>
          <w:szCs w:val="16"/>
          <w:lang w:val="es-ES"/>
        </w:rPr>
        <w:t>245.</w:t>
      </w:r>
    </w:p>
  </w:footnote>
  <w:footnote w:id="41">
    <w:p w14:paraId="4B8FD542" w14:textId="77777777" w:rsidR="005B3F8C" w:rsidRPr="00D93236" w:rsidRDefault="005B3F8C" w:rsidP="00E27260">
      <w:pPr>
        <w:ind w:right="14"/>
        <w:jc w:val="both"/>
        <w:rPr>
          <w:rFonts w:asciiTheme="majorHAnsi" w:hAnsiTheme="majorHAnsi"/>
          <w:sz w:val="16"/>
          <w:szCs w:val="16"/>
          <w:lang w:val="es-US"/>
        </w:rPr>
      </w:pPr>
      <w:r w:rsidRPr="00D93236">
        <w:rPr>
          <w:rStyle w:val="FootnoteReference"/>
          <w:rFonts w:asciiTheme="majorHAnsi" w:hAnsiTheme="majorHAnsi"/>
          <w:sz w:val="16"/>
          <w:szCs w:val="16"/>
        </w:rPr>
        <w:footnoteRef/>
      </w:r>
      <w:r w:rsidRPr="00D93236">
        <w:rPr>
          <w:rFonts w:asciiTheme="majorHAnsi" w:hAnsiTheme="majorHAnsi"/>
          <w:sz w:val="16"/>
          <w:szCs w:val="16"/>
          <w:lang w:val="es-US"/>
        </w:rPr>
        <w:t xml:space="preserve"> </w:t>
      </w:r>
      <w:r w:rsidRPr="00D93236">
        <w:rPr>
          <w:rFonts w:asciiTheme="majorHAnsi" w:hAnsiTheme="majorHAnsi"/>
          <w:sz w:val="16"/>
          <w:szCs w:val="16"/>
          <w:lang w:val="es-ES_tradnl"/>
        </w:rPr>
        <w:t xml:space="preserve">Corte IDH. </w:t>
      </w:r>
      <w:r w:rsidRPr="00F54071">
        <w:rPr>
          <w:rFonts w:asciiTheme="majorHAnsi" w:hAnsiTheme="majorHAnsi"/>
          <w:i/>
          <w:sz w:val="16"/>
          <w:szCs w:val="16"/>
          <w:lang w:val="es-ES_tradnl"/>
        </w:rPr>
        <w:t>Caso Velásquez Rodríguez Vs. Honduras</w:t>
      </w:r>
      <w:r w:rsidRPr="00D93236">
        <w:rPr>
          <w:rFonts w:asciiTheme="majorHAnsi" w:hAnsiTheme="majorHAnsi"/>
          <w:sz w:val="16"/>
          <w:szCs w:val="16"/>
          <w:lang w:val="es-ES_tradnl"/>
        </w:rPr>
        <w:t xml:space="preserve">. </w:t>
      </w:r>
      <w:r w:rsidRPr="00D93236">
        <w:rPr>
          <w:rFonts w:asciiTheme="majorHAnsi" w:hAnsiTheme="majorHAnsi" w:cs="Arial"/>
          <w:sz w:val="16"/>
          <w:szCs w:val="16"/>
          <w:shd w:val="clear" w:color="auto" w:fill="FFFFFF"/>
          <w:lang w:val="es-ES"/>
        </w:rPr>
        <w:t xml:space="preserve">Fondo. Sentencia de 29 de julio de 1988. </w:t>
      </w:r>
      <w:r w:rsidRPr="00D93236">
        <w:rPr>
          <w:rFonts w:asciiTheme="majorHAnsi" w:hAnsiTheme="majorHAnsi" w:cs="Arial"/>
          <w:sz w:val="16"/>
          <w:szCs w:val="16"/>
          <w:shd w:val="clear" w:color="auto" w:fill="FFFFFF"/>
          <w:lang w:val="es-US"/>
        </w:rPr>
        <w:t>Serie C No. 4</w:t>
      </w:r>
      <w:r w:rsidRPr="00D93236">
        <w:rPr>
          <w:rStyle w:val="Hyperlink"/>
          <w:rFonts w:asciiTheme="majorHAnsi" w:hAnsiTheme="majorHAnsi" w:cs="Arial"/>
          <w:sz w:val="16"/>
          <w:szCs w:val="16"/>
          <w:u w:val="none"/>
          <w:shd w:val="clear" w:color="auto" w:fill="FFFFFF"/>
          <w:lang w:val="es-US"/>
        </w:rPr>
        <w:t>. Párr. 164.</w:t>
      </w:r>
      <w:r w:rsidRPr="00D93236">
        <w:rPr>
          <w:rStyle w:val="Hyperlink"/>
          <w:rFonts w:asciiTheme="majorHAnsi" w:hAnsiTheme="majorHAnsi" w:cs="Arial"/>
          <w:sz w:val="16"/>
          <w:szCs w:val="16"/>
          <w:shd w:val="clear" w:color="auto" w:fill="FFFFFF"/>
          <w:lang w:val="es-US"/>
        </w:rPr>
        <w:t xml:space="preserve"> </w:t>
      </w:r>
    </w:p>
  </w:footnote>
  <w:footnote w:id="42">
    <w:p w14:paraId="67F521A9" w14:textId="77777777" w:rsidR="005B3F8C" w:rsidRPr="00D93236" w:rsidRDefault="005B3F8C" w:rsidP="00E27260">
      <w:pPr>
        <w:jc w:val="both"/>
        <w:rPr>
          <w:rFonts w:asciiTheme="majorHAnsi" w:hAnsiTheme="majorHAnsi"/>
          <w:sz w:val="16"/>
          <w:szCs w:val="16"/>
          <w:lang w:val="es-ES"/>
        </w:rPr>
      </w:pPr>
      <w:r w:rsidRPr="00D93236">
        <w:rPr>
          <w:rFonts w:asciiTheme="majorHAnsi" w:hAnsiTheme="majorHAnsi" w:cs="Arial"/>
          <w:sz w:val="16"/>
          <w:szCs w:val="16"/>
          <w:vertAlign w:val="superscript"/>
          <w:lang w:val="es-ES"/>
        </w:rPr>
        <w:footnoteRef/>
      </w:r>
      <w:r w:rsidRPr="00D93236">
        <w:rPr>
          <w:rFonts w:asciiTheme="majorHAnsi" w:hAnsiTheme="majorHAnsi" w:cs="Arial"/>
          <w:sz w:val="16"/>
          <w:szCs w:val="16"/>
          <w:lang w:val="es-ES"/>
        </w:rPr>
        <w:t xml:space="preserve"> </w:t>
      </w:r>
      <w:r w:rsidRPr="00D93236">
        <w:rPr>
          <w:rFonts w:asciiTheme="majorHAnsi" w:hAnsiTheme="majorHAnsi"/>
          <w:sz w:val="16"/>
          <w:szCs w:val="16"/>
          <w:lang w:val="es-ES"/>
        </w:rPr>
        <w:t xml:space="preserve">Corte IDH. </w:t>
      </w:r>
      <w:r w:rsidRPr="00D93236">
        <w:rPr>
          <w:rFonts w:asciiTheme="majorHAnsi" w:hAnsiTheme="majorHAnsi"/>
          <w:i/>
          <w:sz w:val="16"/>
          <w:szCs w:val="16"/>
          <w:lang w:val="es-ES"/>
        </w:rPr>
        <w:t>Caso González Medina y familiares Vs. República Dominicana</w:t>
      </w:r>
      <w:r w:rsidRPr="00D93236">
        <w:rPr>
          <w:rFonts w:asciiTheme="majorHAnsi" w:hAnsiTheme="majorHAnsi"/>
          <w:sz w:val="16"/>
          <w:szCs w:val="16"/>
          <w:lang w:val="es-ES"/>
        </w:rPr>
        <w:t xml:space="preserve">. Excepciones Preliminares, Fondo, Reparaciones y Costas. Sentencia de 27 de febrero de 2012 Serie C No. 240, párr.133; </w:t>
      </w:r>
      <w:r w:rsidRPr="00D93236">
        <w:rPr>
          <w:rFonts w:asciiTheme="majorHAnsi" w:hAnsiTheme="majorHAnsi" w:cs="Arial"/>
          <w:sz w:val="16"/>
          <w:szCs w:val="16"/>
          <w:lang w:val="es-ES"/>
        </w:rPr>
        <w:t xml:space="preserve">Corte IDH, </w:t>
      </w:r>
      <w:r w:rsidRPr="00D93236">
        <w:rPr>
          <w:rFonts w:asciiTheme="majorHAnsi" w:hAnsiTheme="majorHAnsi" w:cs="Arial"/>
          <w:i/>
          <w:sz w:val="16"/>
          <w:szCs w:val="16"/>
          <w:lang w:val="es-ES"/>
        </w:rPr>
        <w:t>Caso de la Masacre de Pueblo Bello vs. Colombia</w:t>
      </w:r>
      <w:r w:rsidRPr="00D93236">
        <w:rPr>
          <w:rFonts w:asciiTheme="majorHAnsi" w:hAnsiTheme="majorHAnsi" w:cs="Arial"/>
          <w:sz w:val="16"/>
          <w:szCs w:val="16"/>
          <w:lang w:val="es-ES"/>
        </w:rPr>
        <w:t>, Sentencia de 31 de enero de 2006, Serie C No. 140, párrafo 112.</w:t>
      </w:r>
    </w:p>
  </w:footnote>
  <w:footnote w:id="43">
    <w:p w14:paraId="421944AF" w14:textId="77777777" w:rsidR="005B3F8C" w:rsidRPr="00D93236" w:rsidRDefault="005B3F8C" w:rsidP="00E27260">
      <w:pPr>
        <w:ind w:right="11"/>
        <w:jc w:val="both"/>
        <w:rPr>
          <w:rFonts w:asciiTheme="majorHAnsi" w:hAnsiTheme="majorHAnsi"/>
          <w:sz w:val="16"/>
          <w:szCs w:val="16"/>
          <w:lang w:val="es-ES"/>
        </w:rPr>
      </w:pPr>
      <w:r w:rsidRPr="00D93236">
        <w:rPr>
          <w:rStyle w:val="FootnoteReference"/>
          <w:rFonts w:asciiTheme="majorHAnsi" w:hAnsiTheme="majorHAnsi"/>
          <w:sz w:val="16"/>
          <w:szCs w:val="16"/>
          <w:lang w:val="es-ES"/>
        </w:rPr>
        <w:footnoteRef/>
      </w:r>
      <w:r w:rsidRPr="00D93236">
        <w:rPr>
          <w:rFonts w:asciiTheme="majorHAnsi" w:hAnsiTheme="majorHAnsi"/>
          <w:sz w:val="16"/>
          <w:szCs w:val="16"/>
          <w:lang w:val="es-ES"/>
        </w:rPr>
        <w:t xml:space="preserve"> Corte IDH. </w:t>
      </w:r>
      <w:r w:rsidRPr="00D93236">
        <w:rPr>
          <w:rFonts w:asciiTheme="majorHAnsi" w:hAnsiTheme="majorHAnsi"/>
          <w:i/>
          <w:sz w:val="16"/>
          <w:szCs w:val="16"/>
          <w:lang w:val="es-ES"/>
        </w:rPr>
        <w:t>Caso Velásquez Rodríguez Vs. Honduras.</w:t>
      </w:r>
      <w:r w:rsidRPr="00D93236">
        <w:rPr>
          <w:rFonts w:asciiTheme="majorHAnsi" w:hAnsiTheme="majorHAnsi"/>
          <w:sz w:val="16"/>
          <w:szCs w:val="16"/>
          <w:lang w:val="es-ES"/>
        </w:rPr>
        <w:t xml:space="preserve"> </w:t>
      </w:r>
      <w:r w:rsidRPr="00D93236">
        <w:rPr>
          <w:rFonts w:asciiTheme="majorHAnsi" w:hAnsiTheme="majorHAnsi" w:cs="Arial"/>
          <w:sz w:val="16"/>
          <w:szCs w:val="16"/>
          <w:shd w:val="clear" w:color="auto" w:fill="FFFFFF"/>
          <w:lang w:val="es-ES"/>
        </w:rPr>
        <w:t>Fondo. Sentencia de 29 de julio de 1988. Serie C No. 4</w:t>
      </w:r>
      <w:r w:rsidRPr="00D93236">
        <w:rPr>
          <w:rStyle w:val="Hyperlink"/>
          <w:rFonts w:asciiTheme="majorHAnsi" w:hAnsiTheme="majorHAnsi" w:cs="Arial"/>
          <w:sz w:val="16"/>
          <w:szCs w:val="16"/>
          <w:shd w:val="clear" w:color="auto" w:fill="FFFFFF"/>
          <w:lang w:val="es-ES"/>
        </w:rPr>
        <w:t xml:space="preserve">. </w:t>
      </w:r>
      <w:r w:rsidRPr="00D93236">
        <w:rPr>
          <w:rStyle w:val="Hyperlink"/>
          <w:rFonts w:asciiTheme="majorHAnsi" w:hAnsiTheme="majorHAnsi" w:cs="Arial"/>
          <w:sz w:val="16"/>
          <w:szCs w:val="16"/>
          <w:u w:val="none"/>
          <w:shd w:val="clear" w:color="auto" w:fill="FFFFFF"/>
          <w:lang w:val="es-ES"/>
        </w:rPr>
        <w:t>Párr. 169; ver también CIDH, Informe No. 11/10, Caso 12.488, Fondo, Miembros de la Familia Barrios, Venezuela, 16 de marzo de 2010, párr.91.</w:t>
      </w:r>
      <w:r w:rsidRPr="00D93236">
        <w:rPr>
          <w:rStyle w:val="Hyperlink"/>
          <w:rFonts w:asciiTheme="majorHAnsi" w:hAnsiTheme="majorHAnsi" w:cs="Arial"/>
          <w:sz w:val="16"/>
          <w:szCs w:val="16"/>
          <w:shd w:val="clear" w:color="auto" w:fill="FFFFFF"/>
          <w:lang w:val="es-ES"/>
        </w:rPr>
        <w:t xml:space="preserve">  </w:t>
      </w:r>
    </w:p>
  </w:footnote>
  <w:footnote w:id="44">
    <w:p w14:paraId="5E6CC3D1" w14:textId="77777777" w:rsidR="005B3F8C" w:rsidRPr="00D93236" w:rsidRDefault="005B3F8C" w:rsidP="00E27260">
      <w:pPr>
        <w:ind w:right="11"/>
        <w:jc w:val="both"/>
        <w:rPr>
          <w:rFonts w:asciiTheme="majorHAnsi" w:hAnsiTheme="majorHAnsi"/>
          <w:sz w:val="16"/>
          <w:szCs w:val="16"/>
          <w:lang w:val="es-ES"/>
        </w:rPr>
      </w:pPr>
      <w:r w:rsidRPr="00D93236">
        <w:rPr>
          <w:rStyle w:val="FootnoteReference"/>
          <w:rFonts w:asciiTheme="majorHAnsi" w:hAnsiTheme="majorHAnsi"/>
          <w:sz w:val="16"/>
          <w:szCs w:val="16"/>
          <w:lang w:val="es-ES"/>
        </w:rPr>
        <w:footnoteRef/>
      </w:r>
      <w:r w:rsidRPr="00D93236">
        <w:rPr>
          <w:rFonts w:asciiTheme="majorHAnsi" w:hAnsiTheme="majorHAnsi"/>
          <w:sz w:val="16"/>
          <w:szCs w:val="16"/>
          <w:lang w:val="es-ES"/>
        </w:rPr>
        <w:t xml:space="preserve"> Corte IDH. </w:t>
      </w:r>
      <w:r w:rsidRPr="00D93236">
        <w:rPr>
          <w:rFonts w:asciiTheme="majorHAnsi" w:hAnsiTheme="majorHAnsi"/>
          <w:i/>
          <w:sz w:val="16"/>
          <w:szCs w:val="16"/>
          <w:lang w:val="es-ES"/>
        </w:rPr>
        <w:t>Caso Velásquez Rodríguez Vs. Honduras</w:t>
      </w:r>
      <w:r w:rsidRPr="00D93236">
        <w:rPr>
          <w:rFonts w:asciiTheme="majorHAnsi" w:hAnsiTheme="majorHAnsi"/>
          <w:sz w:val="16"/>
          <w:szCs w:val="16"/>
          <w:lang w:val="es-ES"/>
        </w:rPr>
        <w:t xml:space="preserve">. </w:t>
      </w:r>
      <w:r w:rsidRPr="00D93236">
        <w:rPr>
          <w:rFonts w:asciiTheme="majorHAnsi" w:hAnsiTheme="majorHAnsi" w:cs="Arial"/>
          <w:sz w:val="16"/>
          <w:szCs w:val="16"/>
          <w:shd w:val="clear" w:color="auto" w:fill="FFFFFF"/>
          <w:lang w:val="es-ES"/>
        </w:rPr>
        <w:t>Fondo. Sentencia de 29 de julio de 1988. Serie C No. 4</w:t>
      </w:r>
      <w:r w:rsidRPr="00D93236">
        <w:rPr>
          <w:rStyle w:val="Hyperlink"/>
          <w:rFonts w:asciiTheme="majorHAnsi" w:hAnsiTheme="majorHAnsi" w:cs="Arial"/>
          <w:sz w:val="16"/>
          <w:szCs w:val="16"/>
          <w:u w:val="none"/>
          <w:shd w:val="clear" w:color="auto" w:fill="FFFFFF"/>
          <w:lang w:val="es-ES"/>
        </w:rPr>
        <w:t>. Párr. 166.</w:t>
      </w:r>
      <w:r w:rsidRPr="00D93236">
        <w:rPr>
          <w:rStyle w:val="Hyperlink"/>
          <w:rFonts w:asciiTheme="majorHAnsi" w:hAnsiTheme="majorHAnsi" w:cs="Arial"/>
          <w:sz w:val="16"/>
          <w:szCs w:val="16"/>
          <w:shd w:val="clear" w:color="auto" w:fill="FFFFFF"/>
          <w:lang w:val="es-ES"/>
        </w:rPr>
        <w:t xml:space="preserve"> </w:t>
      </w:r>
    </w:p>
  </w:footnote>
  <w:footnote w:id="45">
    <w:p w14:paraId="0DA10564" w14:textId="77777777" w:rsidR="005B3F8C" w:rsidRPr="00D93236" w:rsidRDefault="005B3F8C" w:rsidP="00E27260">
      <w:pPr>
        <w:pStyle w:val="FootnoteText"/>
        <w:tabs>
          <w:tab w:val="left" w:pos="720"/>
        </w:tabs>
        <w:jc w:val="both"/>
        <w:rPr>
          <w:rFonts w:asciiTheme="majorHAnsi" w:hAnsiTheme="majorHAnsi"/>
          <w:sz w:val="16"/>
          <w:szCs w:val="16"/>
          <w:lang w:val="es-ES"/>
        </w:rPr>
      </w:pPr>
      <w:r w:rsidRPr="00D93236">
        <w:rPr>
          <w:rStyle w:val="FootnoteReference"/>
          <w:rFonts w:asciiTheme="majorHAnsi" w:hAnsiTheme="majorHAnsi"/>
          <w:sz w:val="16"/>
          <w:szCs w:val="16"/>
          <w:lang w:val="es-ES"/>
        </w:rPr>
        <w:footnoteRef/>
      </w:r>
      <w:r w:rsidRPr="00D93236">
        <w:rPr>
          <w:rFonts w:asciiTheme="majorHAnsi" w:hAnsiTheme="majorHAnsi"/>
          <w:sz w:val="16"/>
          <w:szCs w:val="16"/>
          <w:lang w:val="es-ES"/>
        </w:rPr>
        <w:t xml:space="preserve"> Corte IDH. </w:t>
      </w:r>
      <w:r w:rsidRPr="00D93236">
        <w:rPr>
          <w:rFonts w:asciiTheme="majorHAnsi" w:hAnsiTheme="majorHAnsi"/>
          <w:i/>
          <w:iCs/>
          <w:sz w:val="16"/>
          <w:szCs w:val="16"/>
          <w:lang w:val="es-ES"/>
        </w:rPr>
        <w:t>Caso</w:t>
      </w:r>
      <w:r w:rsidRPr="00D93236">
        <w:rPr>
          <w:rFonts w:asciiTheme="majorHAnsi" w:hAnsiTheme="majorHAnsi"/>
          <w:i/>
          <w:sz w:val="16"/>
          <w:szCs w:val="16"/>
          <w:lang w:val="es-ES"/>
        </w:rPr>
        <w:t xml:space="preserve"> </w:t>
      </w:r>
      <w:r w:rsidRPr="00D93236">
        <w:rPr>
          <w:rFonts w:asciiTheme="majorHAnsi" w:hAnsiTheme="majorHAnsi"/>
          <w:i/>
          <w:iCs/>
          <w:sz w:val="16"/>
          <w:szCs w:val="16"/>
          <w:lang w:val="es-ES"/>
        </w:rPr>
        <w:t>de la Masacre de Pueblo Bello</w:t>
      </w:r>
      <w:r w:rsidRPr="00D93236">
        <w:rPr>
          <w:rFonts w:asciiTheme="majorHAnsi" w:hAnsiTheme="majorHAnsi"/>
          <w:sz w:val="16"/>
          <w:szCs w:val="16"/>
          <w:lang w:val="es-ES"/>
        </w:rPr>
        <w:t xml:space="preserve">. </w:t>
      </w:r>
      <w:r w:rsidRPr="00D93236">
        <w:rPr>
          <w:rFonts w:asciiTheme="majorHAnsi" w:hAnsiTheme="majorHAnsi" w:cs="Arial"/>
          <w:sz w:val="16"/>
          <w:szCs w:val="16"/>
          <w:lang w:val="es-ES"/>
        </w:rPr>
        <w:t>Serie C No. 140</w:t>
      </w:r>
      <w:r w:rsidRPr="00D93236">
        <w:rPr>
          <w:rFonts w:asciiTheme="majorHAnsi" w:hAnsiTheme="majorHAnsi"/>
          <w:sz w:val="16"/>
          <w:szCs w:val="16"/>
          <w:lang w:val="es-ES"/>
        </w:rPr>
        <w:t>Párr. 117.</w:t>
      </w:r>
    </w:p>
  </w:footnote>
  <w:footnote w:id="46">
    <w:p w14:paraId="75588658" w14:textId="77777777" w:rsidR="005B3F8C" w:rsidRPr="00D93236" w:rsidRDefault="005B3F8C" w:rsidP="00E27260">
      <w:pPr>
        <w:jc w:val="both"/>
        <w:rPr>
          <w:rFonts w:asciiTheme="majorHAnsi" w:hAnsiTheme="majorHAnsi"/>
          <w:sz w:val="16"/>
          <w:szCs w:val="16"/>
          <w:lang w:val="es-ES"/>
        </w:rPr>
      </w:pPr>
      <w:r w:rsidRPr="00D93236">
        <w:rPr>
          <w:rStyle w:val="FootnoteReference"/>
          <w:rFonts w:asciiTheme="majorHAnsi" w:hAnsiTheme="majorHAnsi"/>
          <w:sz w:val="16"/>
          <w:szCs w:val="16"/>
          <w:lang w:val="es-ES"/>
        </w:rPr>
        <w:footnoteRef/>
      </w:r>
      <w:r w:rsidRPr="00D93236">
        <w:rPr>
          <w:rFonts w:asciiTheme="majorHAnsi" w:hAnsiTheme="majorHAnsi" w:cs="Arial"/>
          <w:sz w:val="16"/>
          <w:szCs w:val="16"/>
          <w:lang w:val="es-ES"/>
        </w:rPr>
        <w:t xml:space="preserve">La jurisprudencia de la Corte Europea respecto de los elementos señalando en el deber de prevención ha sido retomada por la Corte Interamericana en varias de sus sentencias. En este sentido ver: </w:t>
      </w:r>
      <w:r w:rsidRPr="00D93236">
        <w:rPr>
          <w:rFonts w:asciiTheme="majorHAnsi" w:hAnsiTheme="majorHAnsi"/>
          <w:bCs/>
          <w:sz w:val="16"/>
          <w:szCs w:val="16"/>
          <w:shd w:val="clear" w:color="auto" w:fill="FFFFFF"/>
          <w:lang w:val="es-ES"/>
        </w:rPr>
        <w:t xml:space="preserve">Corte IDH. </w:t>
      </w:r>
      <w:r w:rsidRPr="00D93236">
        <w:rPr>
          <w:rFonts w:asciiTheme="majorHAnsi" w:hAnsiTheme="majorHAnsi"/>
          <w:bCs/>
          <w:i/>
          <w:sz w:val="16"/>
          <w:szCs w:val="16"/>
          <w:shd w:val="clear" w:color="auto" w:fill="FFFFFF"/>
          <w:lang w:val="es-ES"/>
        </w:rPr>
        <w:t>Caso de la Masacre de Pueblo Bello Vs. Colombia</w:t>
      </w:r>
      <w:r w:rsidRPr="00D93236">
        <w:rPr>
          <w:rFonts w:asciiTheme="majorHAnsi" w:hAnsiTheme="majorHAnsi"/>
          <w:bCs/>
          <w:sz w:val="16"/>
          <w:szCs w:val="16"/>
          <w:shd w:val="clear" w:color="auto" w:fill="FFFFFF"/>
          <w:lang w:val="es-ES"/>
        </w:rPr>
        <w:t xml:space="preserve">. Sentencia de 31 de enero de 2006. Serie C No. 140, párr. 124; Corte IDH. </w:t>
      </w:r>
      <w:r w:rsidRPr="00D93236">
        <w:rPr>
          <w:rFonts w:asciiTheme="majorHAnsi" w:hAnsiTheme="majorHAnsi"/>
          <w:bCs/>
          <w:i/>
          <w:sz w:val="16"/>
          <w:szCs w:val="16"/>
          <w:shd w:val="clear" w:color="auto" w:fill="FFFFFF"/>
          <w:lang w:val="es-ES"/>
        </w:rPr>
        <w:t>Caso González y otras (“Campo Algodonero”) Vs. México</w:t>
      </w:r>
      <w:r w:rsidRPr="00D93236">
        <w:rPr>
          <w:rFonts w:asciiTheme="majorHAnsi" w:hAnsiTheme="majorHAnsi"/>
          <w:bCs/>
          <w:sz w:val="16"/>
          <w:szCs w:val="16"/>
          <w:shd w:val="clear" w:color="auto" w:fill="FFFFFF"/>
          <w:lang w:val="es-ES"/>
        </w:rPr>
        <w:t xml:space="preserve">. Excepción Preliminar, Fondo, Reparaciones y Costas. Sentencia de 16 de noviembre de 2009. Serie C No.205, párr. 284; Corte IDH. </w:t>
      </w:r>
      <w:r w:rsidRPr="00D93236">
        <w:rPr>
          <w:rFonts w:asciiTheme="majorHAnsi" w:hAnsiTheme="majorHAnsi"/>
          <w:bCs/>
          <w:i/>
          <w:sz w:val="16"/>
          <w:szCs w:val="16"/>
          <w:shd w:val="clear" w:color="auto" w:fill="FFFFFF"/>
          <w:lang w:val="es-ES"/>
        </w:rPr>
        <w:t>Caso Luna López Vs. Honduras</w:t>
      </w:r>
      <w:r w:rsidRPr="00D93236">
        <w:rPr>
          <w:rFonts w:asciiTheme="majorHAnsi" w:hAnsiTheme="majorHAnsi"/>
          <w:bCs/>
          <w:sz w:val="16"/>
          <w:szCs w:val="16"/>
          <w:shd w:val="clear" w:color="auto" w:fill="FFFFFF"/>
          <w:lang w:val="es-ES"/>
        </w:rPr>
        <w:t>. Fondo, Reparaciones y Costas. Sentencia de 10 de octubre de 2013. Serie C No. 269, párr. 124.</w:t>
      </w:r>
    </w:p>
  </w:footnote>
  <w:footnote w:id="47">
    <w:p w14:paraId="6026E6F0" w14:textId="77777777" w:rsidR="005B3F8C" w:rsidRPr="003E67F8" w:rsidRDefault="005B3F8C" w:rsidP="00E27260">
      <w:pPr>
        <w:jc w:val="both"/>
        <w:rPr>
          <w:rFonts w:asciiTheme="majorHAnsi" w:hAnsiTheme="majorHAnsi"/>
          <w:sz w:val="16"/>
          <w:szCs w:val="16"/>
          <w:lang w:val="pt-BR"/>
        </w:rPr>
      </w:pPr>
      <w:r w:rsidRPr="00D93236">
        <w:rPr>
          <w:rStyle w:val="FootnoteReference"/>
          <w:rFonts w:asciiTheme="majorHAnsi" w:hAnsiTheme="majorHAnsi"/>
          <w:sz w:val="16"/>
          <w:szCs w:val="16"/>
          <w:lang w:val="es-ES"/>
        </w:rPr>
        <w:footnoteRef/>
      </w:r>
      <w:r w:rsidRPr="00D93236">
        <w:rPr>
          <w:rFonts w:asciiTheme="majorHAnsi" w:hAnsiTheme="majorHAnsi"/>
          <w:sz w:val="16"/>
          <w:szCs w:val="16"/>
          <w:lang w:val="es-ES"/>
        </w:rPr>
        <w:t xml:space="preserve"> Corte IDH. </w:t>
      </w:r>
      <w:r w:rsidRPr="00D93236">
        <w:rPr>
          <w:rFonts w:asciiTheme="majorHAnsi" w:hAnsiTheme="majorHAnsi"/>
          <w:i/>
          <w:sz w:val="16"/>
          <w:szCs w:val="16"/>
          <w:lang w:val="es-ES"/>
        </w:rPr>
        <w:t>Caso Defensor de Derechos Humanos y otros Vs. Guatemala</w:t>
      </w:r>
      <w:r w:rsidRPr="00D93236">
        <w:rPr>
          <w:rFonts w:asciiTheme="majorHAnsi" w:hAnsiTheme="majorHAnsi"/>
          <w:sz w:val="16"/>
          <w:szCs w:val="16"/>
          <w:lang w:val="es-ES"/>
        </w:rPr>
        <w:t xml:space="preserve">. Excepciones Preliminares, Fondo, Reparaciones y Costas. </w:t>
      </w:r>
      <w:r w:rsidRPr="003E67F8">
        <w:rPr>
          <w:rFonts w:asciiTheme="majorHAnsi" w:hAnsiTheme="majorHAnsi"/>
          <w:sz w:val="16"/>
          <w:szCs w:val="16"/>
          <w:lang w:val="pt-BR"/>
        </w:rPr>
        <w:t xml:space="preserve">Sentencia de 28 de agosto de 2014. Serie C No. 283. Párrafo 283. </w:t>
      </w:r>
    </w:p>
  </w:footnote>
  <w:footnote w:id="48">
    <w:p w14:paraId="4F766086" w14:textId="77777777" w:rsidR="005B3F8C" w:rsidRPr="00D93236" w:rsidRDefault="005B3F8C" w:rsidP="00E27260">
      <w:pPr>
        <w:pStyle w:val="FootnoteText"/>
        <w:jc w:val="both"/>
        <w:rPr>
          <w:rFonts w:asciiTheme="majorHAnsi" w:hAnsiTheme="majorHAnsi"/>
          <w:sz w:val="16"/>
          <w:szCs w:val="16"/>
          <w:lang w:val="es-US"/>
        </w:rPr>
      </w:pPr>
      <w:r w:rsidRPr="00D93236">
        <w:rPr>
          <w:rStyle w:val="FootnoteReference"/>
          <w:rFonts w:asciiTheme="majorHAnsi" w:hAnsiTheme="majorHAnsi"/>
          <w:sz w:val="16"/>
          <w:szCs w:val="16"/>
        </w:rPr>
        <w:footnoteRef/>
      </w:r>
      <w:r w:rsidRPr="003E67F8">
        <w:rPr>
          <w:rFonts w:asciiTheme="majorHAnsi" w:hAnsiTheme="majorHAnsi"/>
          <w:sz w:val="16"/>
          <w:szCs w:val="16"/>
          <w:lang w:val="pt-BR"/>
        </w:rPr>
        <w:t xml:space="preserve"> Corte IDH. </w:t>
      </w:r>
      <w:r w:rsidRPr="00D93236">
        <w:rPr>
          <w:rFonts w:asciiTheme="majorHAnsi" w:hAnsiTheme="majorHAnsi"/>
          <w:i/>
          <w:sz w:val="16"/>
          <w:szCs w:val="16"/>
          <w:lang w:val="es-US"/>
        </w:rPr>
        <w:t>Caso Velásquez Paiz y otros Vs. Guatemala</w:t>
      </w:r>
      <w:r w:rsidRPr="00D93236">
        <w:rPr>
          <w:rFonts w:asciiTheme="majorHAnsi" w:hAnsiTheme="majorHAnsi"/>
          <w:sz w:val="16"/>
          <w:szCs w:val="16"/>
          <w:lang w:val="es-US"/>
        </w:rPr>
        <w:t xml:space="preserve">. Excepciones Preliminares, Fondo, Reparaciones y Costas. Sentencia de 19 de noviembre de 2015. Serie C No. 307, Párr. 173. Corte IDH. </w:t>
      </w:r>
      <w:r w:rsidRPr="00D93236">
        <w:rPr>
          <w:rFonts w:asciiTheme="majorHAnsi" w:hAnsiTheme="majorHAnsi"/>
          <w:i/>
          <w:sz w:val="16"/>
          <w:szCs w:val="16"/>
          <w:lang w:val="es-US"/>
        </w:rPr>
        <w:t>Caso Flor Freire Vs. Ecuador</w:t>
      </w:r>
      <w:r w:rsidRPr="00D93236">
        <w:rPr>
          <w:rFonts w:asciiTheme="majorHAnsi" w:hAnsiTheme="majorHAnsi"/>
          <w:sz w:val="16"/>
          <w:szCs w:val="16"/>
          <w:lang w:val="es-US"/>
        </w:rPr>
        <w:t xml:space="preserve">. Excepción Preliminar, Fondo, Reparaciones y Costas. Sentencia de 31 de agosto de 2016. Serie C No. 315, párr. 110. Corte IDH. </w:t>
      </w:r>
      <w:r w:rsidRPr="00D93236">
        <w:rPr>
          <w:rFonts w:asciiTheme="majorHAnsi" w:hAnsiTheme="majorHAnsi"/>
          <w:i/>
          <w:sz w:val="16"/>
          <w:szCs w:val="16"/>
          <w:lang w:val="es-US"/>
        </w:rPr>
        <w:t>Caso I.V. Vs. Bolivia</w:t>
      </w:r>
      <w:r w:rsidRPr="00D93236">
        <w:rPr>
          <w:rFonts w:asciiTheme="majorHAnsi" w:hAnsiTheme="majorHAnsi"/>
          <w:sz w:val="16"/>
          <w:szCs w:val="16"/>
          <w:lang w:val="es-US"/>
        </w:rPr>
        <w:t>. Excepciones Preliminares, Fondo, Reparaciones y Costas. Sentencia de 30 de noviembre de 2016. Serie C No. 329, párr. 238.</w:t>
      </w:r>
    </w:p>
  </w:footnote>
  <w:footnote w:id="49">
    <w:p w14:paraId="0B61DEA2" w14:textId="77777777" w:rsidR="005B3F8C" w:rsidRPr="00D93236" w:rsidRDefault="005B3F8C" w:rsidP="00E27260">
      <w:pPr>
        <w:pStyle w:val="FootnoteText"/>
        <w:jc w:val="both"/>
        <w:rPr>
          <w:rFonts w:asciiTheme="majorHAnsi" w:hAnsiTheme="majorHAnsi"/>
          <w:sz w:val="16"/>
          <w:szCs w:val="16"/>
          <w:lang w:val="es-US"/>
        </w:rPr>
      </w:pPr>
      <w:r w:rsidRPr="00D93236">
        <w:rPr>
          <w:rStyle w:val="FootnoteReference"/>
          <w:rFonts w:asciiTheme="majorHAnsi" w:hAnsiTheme="majorHAnsi"/>
          <w:sz w:val="16"/>
          <w:szCs w:val="16"/>
        </w:rPr>
        <w:footnoteRef/>
      </w:r>
      <w:r w:rsidRPr="00D93236">
        <w:rPr>
          <w:rFonts w:asciiTheme="majorHAnsi" w:hAnsiTheme="majorHAnsi"/>
          <w:sz w:val="16"/>
          <w:szCs w:val="16"/>
          <w:lang w:val="es-US"/>
        </w:rPr>
        <w:t xml:space="preserve"> Corte IDH. </w:t>
      </w:r>
      <w:r w:rsidRPr="00D93236">
        <w:rPr>
          <w:rFonts w:asciiTheme="majorHAnsi" w:hAnsiTheme="majorHAnsi"/>
          <w:i/>
          <w:sz w:val="16"/>
          <w:szCs w:val="16"/>
          <w:lang w:val="es-US"/>
        </w:rPr>
        <w:t>Identidad de género, e igualdad y no discriminación a parejas del mismo sexo. Obligaciones estatales en relación con el cambio de nombre, la identidad de género, y los derechos derivados de un vínculo entre parejas del mismo sexo (interpretación y alcance de los artículos 1.1, 3, 7, 11.2, 13, 17, 18 y 24, en relación con el artículo 1 de la Convención Americana sobre Derechos Humanos).</w:t>
      </w:r>
      <w:r w:rsidRPr="00D93236">
        <w:rPr>
          <w:rFonts w:asciiTheme="majorHAnsi" w:hAnsiTheme="majorHAnsi"/>
          <w:sz w:val="16"/>
          <w:szCs w:val="16"/>
          <w:lang w:val="es-US"/>
        </w:rPr>
        <w:t xml:space="preserve"> Opinión Consultiva OC-24/17 de 24 de noviembre de 2017. Serie A No. 24. Párr. 62. </w:t>
      </w:r>
    </w:p>
  </w:footnote>
  <w:footnote w:id="50">
    <w:p w14:paraId="44A69A2F" w14:textId="77777777" w:rsidR="005B3F8C" w:rsidRPr="00D93236" w:rsidRDefault="005B3F8C" w:rsidP="00E27260">
      <w:pPr>
        <w:pStyle w:val="FootnoteText"/>
        <w:jc w:val="both"/>
        <w:rPr>
          <w:rFonts w:asciiTheme="majorHAnsi" w:hAnsiTheme="majorHAnsi"/>
          <w:sz w:val="16"/>
          <w:szCs w:val="16"/>
          <w:lang w:val="es-ES"/>
        </w:rPr>
      </w:pPr>
      <w:r w:rsidRPr="00D93236">
        <w:rPr>
          <w:rStyle w:val="FootnoteReference"/>
          <w:rFonts w:asciiTheme="majorHAnsi" w:hAnsiTheme="majorHAnsi"/>
          <w:sz w:val="16"/>
          <w:szCs w:val="16"/>
        </w:rPr>
        <w:footnoteRef/>
      </w:r>
      <w:r w:rsidRPr="00D93236">
        <w:rPr>
          <w:rFonts w:asciiTheme="majorHAnsi" w:hAnsiTheme="majorHAnsi"/>
          <w:sz w:val="16"/>
          <w:szCs w:val="16"/>
          <w:lang w:val="es-US"/>
        </w:rPr>
        <w:t xml:space="preserve"> CIDH. Informe No. 112/12. Caso 12.828. Fondo</w:t>
      </w:r>
      <w:r w:rsidRPr="00D93236">
        <w:rPr>
          <w:rFonts w:asciiTheme="majorHAnsi" w:hAnsiTheme="majorHAnsi"/>
          <w:i/>
          <w:sz w:val="16"/>
          <w:szCs w:val="16"/>
          <w:lang w:val="es-US"/>
        </w:rPr>
        <w:t>. Marcel Granier y otros</w:t>
      </w:r>
      <w:r w:rsidRPr="00D93236">
        <w:rPr>
          <w:rFonts w:asciiTheme="majorHAnsi" w:hAnsiTheme="majorHAnsi"/>
          <w:sz w:val="16"/>
          <w:szCs w:val="16"/>
          <w:lang w:val="es-US"/>
        </w:rPr>
        <w:t xml:space="preserve">. Venezuela. 9 de noviembre de 2012, párr. 160; y CIDH. Informe No. 75/15. Caso 12.923. Fondo. </w:t>
      </w:r>
      <w:r w:rsidRPr="00D93236">
        <w:rPr>
          <w:rFonts w:asciiTheme="majorHAnsi" w:hAnsiTheme="majorHAnsi"/>
          <w:i/>
          <w:sz w:val="16"/>
          <w:szCs w:val="16"/>
          <w:lang w:val="es-US"/>
        </w:rPr>
        <w:t>Rocío San Miguel Sosa y otras. Venezuela</w:t>
      </w:r>
      <w:r w:rsidRPr="00D93236">
        <w:rPr>
          <w:rFonts w:asciiTheme="majorHAnsi" w:hAnsiTheme="majorHAnsi"/>
          <w:sz w:val="16"/>
          <w:szCs w:val="16"/>
          <w:lang w:val="es-US"/>
        </w:rPr>
        <w:t xml:space="preserve">. 28 de octubre de 2015, párr. 171. CIDH. </w:t>
      </w:r>
      <w:r w:rsidRPr="00D93236">
        <w:rPr>
          <w:rFonts w:asciiTheme="majorHAnsi" w:hAnsiTheme="majorHAnsi"/>
          <w:i/>
          <w:sz w:val="16"/>
          <w:szCs w:val="16"/>
          <w:lang w:val="es-US"/>
        </w:rPr>
        <w:t>Informe sobre pobreza y derechos humanos en las Américas.</w:t>
      </w:r>
      <w:r w:rsidRPr="00D93236">
        <w:rPr>
          <w:rFonts w:asciiTheme="majorHAnsi" w:hAnsiTheme="majorHAnsi"/>
          <w:sz w:val="16"/>
          <w:szCs w:val="16"/>
          <w:lang w:val="es-US"/>
        </w:rPr>
        <w:t xml:space="preserve"> OEA/Ser.L/V/II.164 Doc. 147. 7 septiembre 2017, párr. 153.</w:t>
      </w:r>
    </w:p>
  </w:footnote>
  <w:footnote w:id="51">
    <w:p w14:paraId="4675D2CB" w14:textId="77777777" w:rsidR="005B3F8C" w:rsidRPr="00D93236" w:rsidRDefault="005B3F8C" w:rsidP="00A86CFA">
      <w:pPr>
        <w:pStyle w:val="FootnoteText"/>
        <w:jc w:val="both"/>
        <w:rPr>
          <w:rFonts w:ascii="Cambria" w:hAnsi="Cambria"/>
          <w:sz w:val="16"/>
          <w:szCs w:val="16"/>
          <w:lang w:val="es-ES"/>
        </w:rPr>
      </w:pPr>
      <w:r w:rsidRPr="00D93236">
        <w:rPr>
          <w:rStyle w:val="FootnoteReference"/>
          <w:rFonts w:ascii="Cambria" w:hAnsi="Cambria"/>
          <w:sz w:val="16"/>
          <w:szCs w:val="16"/>
        </w:rPr>
        <w:footnoteRef/>
      </w:r>
      <w:r w:rsidRPr="00D93236">
        <w:rPr>
          <w:rFonts w:ascii="Cambria" w:hAnsi="Cambria"/>
          <w:sz w:val="16"/>
          <w:szCs w:val="16"/>
          <w:lang w:val="es-US"/>
        </w:rPr>
        <w:t xml:space="preserve"> </w:t>
      </w:r>
      <w:r w:rsidRPr="00D93236">
        <w:rPr>
          <w:rFonts w:ascii="Cambria" w:hAnsi="Cambria"/>
          <w:sz w:val="16"/>
          <w:szCs w:val="16"/>
          <w:lang w:val="es-ES"/>
        </w:rPr>
        <w:t xml:space="preserve">CIDH, Informe de Fondo No. 85/10. Caso 12.361. Gretel Artavia Murillo y otros (Fecundación </w:t>
      </w:r>
      <w:r w:rsidRPr="00D93236">
        <w:rPr>
          <w:rFonts w:ascii="Cambria" w:hAnsi="Cambria"/>
          <w:i/>
          <w:iCs/>
          <w:sz w:val="16"/>
          <w:szCs w:val="16"/>
          <w:lang w:val="es-ES"/>
        </w:rPr>
        <w:t>in vitro</w:t>
      </w:r>
      <w:r w:rsidRPr="00D93236">
        <w:rPr>
          <w:rFonts w:ascii="Cambria" w:hAnsi="Cambria"/>
          <w:sz w:val="16"/>
          <w:szCs w:val="16"/>
          <w:lang w:val="es-ES"/>
        </w:rPr>
        <w:t xml:space="preserve">) contra Costa Rica. Párr. 125. </w:t>
      </w:r>
    </w:p>
  </w:footnote>
  <w:footnote w:id="52">
    <w:p w14:paraId="312487CB" w14:textId="77777777" w:rsidR="005B3F8C" w:rsidRPr="00D93236" w:rsidRDefault="005B3F8C" w:rsidP="00A86CFA">
      <w:pPr>
        <w:pStyle w:val="FootnoteText"/>
        <w:jc w:val="both"/>
        <w:rPr>
          <w:rFonts w:ascii="Cambria" w:hAnsi="Cambria"/>
          <w:sz w:val="16"/>
          <w:szCs w:val="16"/>
          <w:lang w:val="es-US"/>
        </w:rPr>
      </w:pPr>
      <w:r w:rsidRPr="00D93236">
        <w:rPr>
          <w:rStyle w:val="FootnoteReference"/>
          <w:rFonts w:ascii="Cambria" w:hAnsi="Cambria"/>
          <w:sz w:val="16"/>
          <w:szCs w:val="16"/>
        </w:rPr>
        <w:footnoteRef/>
      </w:r>
      <w:r w:rsidRPr="00D93236">
        <w:rPr>
          <w:rFonts w:ascii="Cambria" w:hAnsi="Cambria"/>
          <w:sz w:val="16"/>
          <w:szCs w:val="16"/>
          <w:lang w:val="es-US"/>
        </w:rPr>
        <w:t xml:space="preserve"> Corte IDH. Caso Nadege Dorzema y otros Vs. República Dominicana. Fondo Reparaciones y Costas. Sentencia de 24 de octubre de 2012. Serie C No. 251. Párra. 234. Caso de personas dominicanas y haitianas expulsadas Vs. República Dominicana. Excepciones Preliminares, Fondo, Reparaciones y Costas. Sentencia de 28 de agosto de 2014. Serie C No. 282, párr. 263.</w:t>
      </w:r>
    </w:p>
  </w:footnote>
  <w:footnote w:id="53">
    <w:p w14:paraId="617A4C9D" w14:textId="77777777" w:rsidR="005B3F8C" w:rsidRPr="00D93236" w:rsidRDefault="005B3F8C" w:rsidP="00E27260">
      <w:pPr>
        <w:pStyle w:val="FootnoteText"/>
        <w:jc w:val="both"/>
        <w:rPr>
          <w:rFonts w:asciiTheme="majorHAnsi" w:hAnsiTheme="majorHAnsi"/>
          <w:sz w:val="16"/>
          <w:szCs w:val="16"/>
          <w:lang w:val="es-US"/>
        </w:rPr>
      </w:pPr>
      <w:r w:rsidRPr="00D93236">
        <w:rPr>
          <w:rStyle w:val="FootnoteReference"/>
          <w:rFonts w:asciiTheme="majorHAnsi" w:hAnsiTheme="majorHAnsi"/>
          <w:sz w:val="16"/>
          <w:szCs w:val="16"/>
        </w:rPr>
        <w:footnoteRef/>
      </w:r>
      <w:r w:rsidRPr="00D93236">
        <w:rPr>
          <w:rFonts w:asciiTheme="majorHAnsi" w:hAnsiTheme="majorHAnsi"/>
          <w:sz w:val="16"/>
          <w:szCs w:val="16"/>
          <w:lang w:val="es-US"/>
        </w:rPr>
        <w:t xml:space="preserve"> Corte IDH. </w:t>
      </w:r>
      <w:r w:rsidRPr="00D93236">
        <w:rPr>
          <w:rFonts w:asciiTheme="majorHAnsi" w:hAnsiTheme="majorHAnsi"/>
          <w:i/>
          <w:sz w:val="16"/>
          <w:szCs w:val="16"/>
          <w:lang w:val="es-US"/>
        </w:rPr>
        <w:t>Identidad de género, e igualdad y no discriminación a parejas del mismo sexo. Obligaciones estatales en relación con el cambio de nombre, la identidad de género, y los derechos derivados de un vínculo entre parejas del mismo sexo (interpretación y alcance de los artículos 1.1, 3, 7, 11.2, 13, 17, 18 y 24, en relación con el artículo 1 de la Convención Americana sobre Derechos Humanos</w:t>
      </w:r>
      <w:r w:rsidRPr="00D93236">
        <w:rPr>
          <w:rFonts w:asciiTheme="majorHAnsi" w:hAnsiTheme="majorHAnsi"/>
          <w:sz w:val="16"/>
          <w:szCs w:val="16"/>
          <w:lang w:val="es-US"/>
        </w:rPr>
        <w:t>). Opinión Consultiva OC-24/17 de 24 de noviembre de 2017. Serie A No. 24, Párr. 63.</w:t>
      </w:r>
    </w:p>
  </w:footnote>
  <w:footnote w:id="54">
    <w:p w14:paraId="2BDA0305" w14:textId="77777777" w:rsidR="005B3F8C" w:rsidRPr="004C30C7" w:rsidRDefault="005B3F8C" w:rsidP="00E27260">
      <w:pPr>
        <w:pStyle w:val="FootnoteText"/>
        <w:jc w:val="both"/>
        <w:rPr>
          <w:rFonts w:ascii="Cambria" w:hAnsi="Cambria"/>
          <w:sz w:val="16"/>
          <w:szCs w:val="16"/>
          <w:lang w:val="es-US"/>
        </w:rPr>
      </w:pPr>
      <w:r w:rsidRPr="004C30C7">
        <w:rPr>
          <w:rStyle w:val="FootnoteReference"/>
          <w:rFonts w:ascii="Cambria" w:hAnsi="Cambria"/>
          <w:sz w:val="16"/>
          <w:szCs w:val="16"/>
        </w:rPr>
        <w:footnoteRef/>
      </w:r>
      <w:r w:rsidRPr="004C30C7">
        <w:rPr>
          <w:rFonts w:ascii="Cambria" w:hAnsi="Cambria"/>
          <w:sz w:val="16"/>
          <w:szCs w:val="16"/>
          <w:lang w:val="es-US"/>
        </w:rPr>
        <w:t xml:space="preserve"> Corte IDH. </w:t>
      </w:r>
      <w:r w:rsidRPr="004C30C7">
        <w:rPr>
          <w:rFonts w:ascii="Cambria" w:hAnsi="Cambria"/>
          <w:i/>
          <w:sz w:val="16"/>
          <w:szCs w:val="16"/>
          <w:lang w:val="es-US"/>
        </w:rPr>
        <w:t>Caso de personas dominicanas y haitianas expulsadas Vs. República Dominicana</w:t>
      </w:r>
      <w:r w:rsidRPr="004C30C7">
        <w:rPr>
          <w:rFonts w:ascii="Cambria" w:hAnsi="Cambria"/>
          <w:sz w:val="16"/>
          <w:szCs w:val="16"/>
          <w:lang w:val="es-US"/>
        </w:rPr>
        <w:t>. Excepciones Preliminares, Fondo, Reparaciones y Costas. Sentencia de 28 de agosto de 2014. Serie C No. 282. Párr. 262.</w:t>
      </w:r>
    </w:p>
  </w:footnote>
  <w:footnote w:id="55">
    <w:p w14:paraId="65B2A471" w14:textId="77777777" w:rsidR="005B3F8C" w:rsidRPr="004C30C7" w:rsidRDefault="005B3F8C" w:rsidP="00E27260">
      <w:pPr>
        <w:pStyle w:val="FootnoteText"/>
        <w:jc w:val="both"/>
        <w:rPr>
          <w:rFonts w:ascii="Cambria" w:hAnsi="Cambria"/>
          <w:sz w:val="16"/>
          <w:szCs w:val="16"/>
          <w:lang w:val="es-US"/>
        </w:rPr>
      </w:pPr>
      <w:r w:rsidRPr="004C30C7">
        <w:rPr>
          <w:rStyle w:val="FootnoteReference"/>
          <w:rFonts w:ascii="Cambria" w:hAnsi="Cambria"/>
          <w:sz w:val="16"/>
          <w:szCs w:val="16"/>
        </w:rPr>
        <w:footnoteRef/>
      </w:r>
      <w:r w:rsidRPr="004C30C7">
        <w:rPr>
          <w:rFonts w:ascii="Cambria" w:hAnsi="Cambria"/>
          <w:sz w:val="16"/>
          <w:szCs w:val="16"/>
          <w:lang w:val="es-US"/>
        </w:rPr>
        <w:t xml:space="preserve"> Asamblea General de la OEA, Convención Interamericana contra el Terrorismo, 3 de junio de 2002.</w:t>
      </w:r>
    </w:p>
  </w:footnote>
  <w:footnote w:id="56">
    <w:p w14:paraId="115B63C9" w14:textId="77777777" w:rsidR="005B3F8C" w:rsidRPr="004C30C7" w:rsidRDefault="005B3F8C" w:rsidP="00E27260">
      <w:pPr>
        <w:jc w:val="both"/>
        <w:rPr>
          <w:rFonts w:ascii="Cambria" w:hAnsi="Cambria"/>
          <w:sz w:val="16"/>
          <w:szCs w:val="16"/>
          <w:lang w:val="es-ES"/>
        </w:rPr>
      </w:pPr>
      <w:r w:rsidRPr="004C30C7">
        <w:rPr>
          <w:rStyle w:val="FootnoteReference"/>
          <w:rFonts w:ascii="Cambria" w:hAnsi="Cambria"/>
          <w:sz w:val="16"/>
          <w:szCs w:val="16"/>
          <w:lang w:val="es-ES"/>
        </w:rPr>
        <w:footnoteRef/>
      </w:r>
      <w:r w:rsidRPr="004C30C7">
        <w:rPr>
          <w:rFonts w:ascii="Cambria" w:hAnsi="Cambria"/>
          <w:sz w:val="16"/>
          <w:szCs w:val="16"/>
          <w:lang w:val="es-ES"/>
        </w:rPr>
        <w:t xml:space="preserve"> Organización de las Naciones Unidas. Consejo de Seguridad Nacional. Comité contra el Terrorismo. Ver: </w:t>
      </w:r>
      <w:hyperlink r:id="rId3" w:history="1">
        <w:r w:rsidRPr="004C30C7">
          <w:rPr>
            <w:rStyle w:val="Hyperlink"/>
            <w:rFonts w:ascii="Cambria" w:hAnsi="Cambria"/>
            <w:sz w:val="16"/>
            <w:szCs w:val="16"/>
            <w:lang w:val="es-ES"/>
          </w:rPr>
          <w:t>https://www.un.org/sc/ctc/resources/international-legal-instruments/</w:t>
        </w:r>
      </w:hyperlink>
    </w:p>
  </w:footnote>
  <w:footnote w:id="57">
    <w:p w14:paraId="7A0FDC99" w14:textId="77777777" w:rsidR="005B3F8C" w:rsidRPr="004C30C7" w:rsidRDefault="005B3F8C" w:rsidP="00E27260">
      <w:pPr>
        <w:jc w:val="both"/>
        <w:rPr>
          <w:rFonts w:ascii="Cambria" w:hAnsi="Cambria"/>
          <w:sz w:val="16"/>
          <w:szCs w:val="16"/>
          <w:lang w:val="es-US"/>
        </w:rPr>
      </w:pPr>
      <w:r w:rsidRPr="004C30C7">
        <w:rPr>
          <w:rStyle w:val="FootnoteReference"/>
          <w:rFonts w:ascii="Cambria" w:hAnsi="Cambria"/>
          <w:sz w:val="16"/>
          <w:szCs w:val="16"/>
        </w:rPr>
        <w:footnoteRef/>
      </w:r>
      <w:r w:rsidRPr="004C30C7">
        <w:rPr>
          <w:rFonts w:ascii="Cambria" w:hAnsi="Cambria"/>
          <w:sz w:val="16"/>
          <w:szCs w:val="16"/>
          <w:lang w:val="es-US"/>
        </w:rPr>
        <w:t xml:space="preserve"> CIDH, Informe sobre Terrorismo y Derechos Humanos. </w:t>
      </w:r>
      <w:r w:rsidRPr="004C30C7">
        <w:rPr>
          <w:rFonts w:ascii="Cambria" w:hAnsi="Cambria"/>
          <w:color w:val="000000"/>
          <w:sz w:val="16"/>
          <w:szCs w:val="16"/>
          <w:lang w:val="es-US"/>
        </w:rPr>
        <w:t xml:space="preserve">22 octubre 2002. Capítulo II A </w:t>
      </w:r>
      <w:r w:rsidRPr="004C30C7">
        <w:rPr>
          <w:rFonts w:ascii="Cambria" w:hAnsi="Cambria"/>
          <w:sz w:val="16"/>
          <w:szCs w:val="16"/>
          <w:lang w:val="es-ES"/>
        </w:rPr>
        <w:t xml:space="preserve">Párr. 33. </w:t>
      </w:r>
    </w:p>
  </w:footnote>
  <w:footnote w:id="58">
    <w:p w14:paraId="4D8EDDD4" w14:textId="77777777" w:rsidR="005B3F8C" w:rsidRPr="004C30C7" w:rsidRDefault="005B3F8C" w:rsidP="00E27260">
      <w:pPr>
        <w:pStyle w:val="FootnoteText"/>
        <w:jc w:val="both"/>
        <w:rPr>
          <w:rFonts w:ascii="Cambria" w:hAnsi="Cambria"/>
          <w:sz w:val="16"/>
          <w:szCs w:val="16"/>
          <w:lang w:val="es-ES"/>
        </w:rPr>
      </w:pPr>
      <w:r w:rsidRPr="004C30C7">
        <w:rPr>
          <w:rStyle w:val="FootnoteReference"/>
          <w:rFonts w:ascii="Cambria" w:hAnsi="Cambria"/>
          <w:sz w:val="16"/>
          <w:szCs w:val="16"/>
        </w:rPr>
        <w:footnoteRef/>
      </w:r>
      <w:r w:rsidRPr="004C30C7">
        <w:rPr>
          <w:rFonts w:ascii="Cambria" w:hAnsi="Cambria"/>
          <w:sz w:val="16"/>
          <w:szCs w:val="16"/>
          <w:lang w:val="es-US"/>
        </w:rPr>
        <w:t xml:space="preserve"> Naciones Unidas. Asamblea General. Medidas para eliminar el terrorismo internacional. </w:t>
      </w:r>
      <w:hyperlink r:id="rId4" w:history="1">
        <w:r w:rsidRPr="004C30C7">
          <w:rPr>
            <w:rStyle w:val="Hyperlink"/>
            <w:rFonts w:ascii="Cambria" w:hAnsi="Cambria"/>
            <w:sz w:val="16"/>
            <w:szCs w:val="16"/>
            <w:lang w:val="es-US"/>
          </w:rPr>
          <w:t>A/RES/49/60</w:t>
        </w:r>
      </w:hyperlink>
      <w:r w:rsidRPr="004C30C7">
        <w:rPr>
          <w:rFonts w:ascii="Cambria" w:hAnsi="Cambria"/>
          <w:sz w:val="16"/>
          <w:szCs w:val="16"/>
          <w:lang w:val="es-US"/>
        </w:rPr>
        <w:t xml:space="preserve"> 17 de febrero de 1995; y </w:t>
      </w:r>
      <w:hyperlink r:id="rId5" w:history="1">
        <w:r w:rsidRPr="004C30C7">
          <w:rPr>
            <w:rStyle w:val="Hyperlink"/>
            <w:rFonts w:ascii="Cambria" w:hAnsi="Cambria"/>
            <w:sz w:val="16"/>
            <w:szCs w:val="16"/>
            <w:lang w:val="es-US"/>
          </w:rPr>
          <w:t>A/RES/51/210</w:t>
        </w:r>
      </w:hyperlink>
      <w:r w:rsidRPr="004C30C7">
        <w:rPr>
          <w:rFonts w:ascii="Cambria" w:hAnsi="Cambria"/>
          <w:sz w:val="16"/>
          <w:szCs w:val="16"/>
          <w:lang w:val="es-US"/>
        </w:rPr>
        <w:t xml:space="preserve"> de 16 de enero de 1997. </w:t>
      </w:r>
    </w:p>
  </w:footnote>
  <w:footnote w:id="59">
    <w:p w14:paraId="7CE0FEC8" w14:textId="77777777" w:rsidR="005B3F8C" w:rsidRPr="004C30C7" w:rsidRDefault="005B3F8C" w:rsidP="00E27260">
      <w:pPr>
        <w:pStyle w:val="FootnoteText"/>
        <w:jc w:val="both"/>
        <w:rPr>
          <w:rFonts w:ascii="Cambria" w:hAnsi="Cambria"/>
          <w:sz w:val="16"/>
          <w:szCs w:val="16"/>
          <w:lang w:val="es-ES"/>
        </w:rPr>
      </w:pPr>
      <w:r w:rsidRPr="004C30C7">
        <w:rPr>
          <w:rStyle w:val="FootnoteReference"/>
          <w:rFonts w:ascii="Cambria" w:hAnsi="Cambria"/>
          <w:sz w:val="16"/>
          <w:szCs w:val="16"/>
        </w:rPr>
        <w:footnoteRef/>
      </w:r>
      <w:r w:rsidRPr="004C30C7">
        <w:rPr>
          <w:rFonts w:ascii="Cambria" w:hAnsi="Cambria"/>
          <w:sz w:val="16"/>
          <w:szCs w:val="16"/>
          <w:lang w:val="es-US"/>
        </w:rPr>
        <w:t xml:space="preserve"> Naciones Unidas. Asamblea General. Medidas para eliminar el terrorismo internacional. </w:t>
      </w:r>
      <w:hyperlink r:id="rId6" w:history="1">
        <w:r w:rsidRPr="004C30C7">
          <w:rPr>
            <w:rStyle w:val="Hyperlink"/>
            <w:rFonts w:ascii="Cambria" w:hAnsi="Cambria"/>
            <w:sz w:val="16"/>
            <w:szCs w:val="16"/>
            <w:lang w:val="es-US"/>
          </w:rPr>
          <w:t>A/RES/51/210</w:t>
        </w:r>
      </w:hyperlink>
      <w:r w:rsidRPr="004C30C7">
        <w:rPr>
          <w:rFonts w:ascii="Cambria" w:hAnsi="Cambria"/>
          <w:sz w:val="16"/>
          <w:szCs w:val="16"/>
          <w:lang w:val="es-US"/>
        </w:rPr>
        <w:t xml:space="preserve"> de de 16 de enero de 1997.</w:t>
      </w:r>
    </w:p>
  </w:footnote>
  <w:footnote w:id="60">
    <w:p w14:paraId="5E9B26A8" w14:textId="77777777" w:rsidR="005B3F8C" w:rsidRPr="00D93236" w:rsidRDefault="005B3F8C" w:rsidP="00E27260">
      <w:pPr>
        <w:jc w:val="both"/>
        <w:rPr>
          <w:rFonts w:asciiTheme="majorHAnsi" w:hAnsiTheme="majorHAnsi"/>
          <w:sz w:val="16"/>
          <w:szCs w:val="16"/>
          <w:lang w:val="es-US"/>
        </w:rPr>
      </w:pPr>
      <w:r w:rsidRPr="004C30C7">
        <w:rPr>
          <w:rStyle w:val="FootnoteReference"/>
          <w:rFonts w:ascii="Cambria" w:hAnsi="Cambria"/>
          <w:sz w:val="16"/>
          <w:szCs w:val="16"/>
        </w:rPr>
        <w:footnoteRef/>
      </w:r>
      <w:r w:rsidRPr="004C30C7">
        <w:rPr>
          <w:rFonts w:ascii="Cambria" w:hAnsi="Cambria"/>
          <w:sz w:val="16"/>
          <w:szCs w:val="16"/>
          <w:lang w:val="es-US"/>
        </w:rPr>
        <w:t xml:space="preserve"> </w:t>
      </w:r>
      <w:r w:rsidRPr="004C30C7">
        <w:rPr>
          <w:rFonts w:ascii="Cambria" w:eastAsia="Times New Roman" w:hAnsi="Cambria"/>
          <w:sz w:val="16"/>
          <w:szCs w:val="16"/>
          <w:lang w:val="es-ES" w:eastAsia="es-ES_tradnl"/>
        </w:rPr>
        <w:t>La Estrategia inicia señalando medidas generales para hacer frente a las condiciones que propician la propagación del terrorismo. Luego refiere medidas para prevenir y combatir el terrorismo, dentro de las que se encuentran, entre otras: “</w:t>
      </w:r>
      <w:r w:rsidRPr="004C30C7">
        <w:rPr>
          <w:rFonts w:ascii="Cambria" w:hAnsi="Cambria"/>
          <w:sz w:val="16"/>
          <w:szCs w:val="16"/>
          <w:lang w:val="es-ES"/>
        </w:rPr>
        <w:t>[a]</w:t>
      </w:r>
      <w:r w:rsidRPr="004C30C7">
        <w:rPr>
          <w:rFonts w:ascii="Cambria" w:eastAsia="Times New Roman" w:hAnsi="Cambria"/>
          <w:sz w:val="16"/>
          <w:szCs w:val="16"/>
          <w:lang w:val="es-ES" w:eastAsia="es-ES_tradnl"/>
        </w:rPr>
        <w:t>segurar que los autores de actos terroristas sean detenidos y enjuiciados o extraditados, de conformidad con las disposiciones pertinentes del derecho nacional e internacional, en particular las normas de derechos humanos, el derecho relativo a los refugiados y el derecho internacional humanitario”</w:t>
      </w:r>
      <w:r w:rsidRPr="004C30C7">
        <w:rPr>
          <w:rFonts w:ascii="Cambria" w:hAnsi="Cambria"/>
          <w:sz w:val="16"/>
          <w:szCs w:val="16"/>
          <w:lang w:val="es-ES"/>
        </w:rPr>
        <w:t>;</w:t>
      </w:r>
      <w:r w:rsidRPr="004C30C7">
        <w:rPr>
          <w:rFonts w:ascii="Cambria" w:eastAsia="Times New Roman" w:hAnsi="Cambria"/>
          <w:sz w:val="16"/>
          <w:szCs w:val="16"/>
          <w:lang w:val="es-ES" w:eastAsia="es-ES_tradnl"/>
        </w:rPr>
        <w:t xml:space="preserve"> “</w:t>
      </w:r>
      <w:r w:rsidRPr="004C30C7">
        <w:rPr>
          <w:rFonts w:ascii="Cambria" w:hAnsi="Cambria"/>
          <w:sz w:val="16"/>
          <w:szCs w:val="16"/>
          <w:lang w:val="es-ES"/>
        </w:rPr>
        <w:t>[i]</w:t>
      </w:r>
      <w:r w:rsidRPr="004C30C7">
        <w:rPr>
          <w:rFonts w:ascii="Cambria" w:eastAsia="Times New Roman" w:hAnsi="Cambria"/>
          <w:sz w:val="16"/>
          <w:szCs w:val="16"/>
          <w:lang w:val="es-ES" w:eastAsia="es-ES_tradnl"/>
        </w:rPr>
        <w:t>ntensificar los esfuerzos a nivel nacional y la cooperación bilateral, subregional, regional e internacional, según proceda, para mejorar los controles fronterizos y aduaneros a fin de prevenir y detectar el desplazamiento de terroristas y prevenir y detectar el tráfico ilícito de,</w:t>
      </w:r>
      <w:r w:rsidRPr="00D93236">
        <w:rPr>
          <w:rFonts w:asciiTheme="majorHAnsi" w:eastAsia="Times New Roman" w:hAnsiTheme="majorHAnsi"/>
          <w:sz w:val="16"/>
          <w:szCs w:val="16"/>
          <w:lang w:val="es-ES" w:eastAsia="es-ES_tradnl"/>
        </w:rPr>
        <w:t xml:space="preserve"> entre otras cosas, armas pequeñas y armas ligeras, municiones y explosivos convencionales, y armas y materiales nucleares, químicos, biológicos o radiológicos […]”, así como “</w:t>
      </w:r>
      <w:r w:rsidRPr="00D93236">
        <w:rPr>
          <w:rFonts w:asciiTheme="majorHAnsi" w:hAnsiTheme="majorHAnsi"/>
          <w:sz w:val="16"/>
          <w:szCs w:val="16"/>
          <w:lang w:val="es-ES"/>
        </w:rPr>
        <w:t>[i]</w:t>
      </w:r>
      <w:r w:rsidRPr="00D93236">
        <w:rPr>
          <w:rFonts w:asciiTheme="majorHAnsi" w:eastAsia="Times New Roman" w:hAnsiTheme="majorHAnsi"/>
          <w:sz w:val="16"/>
          <w:szCs w:val="16"/>
          <w:lang w:val="es-ES" w:eastAsia="es-ES_tradnl"/>
        </w:rPr>
        <w:t xml:space="preserve">ntensificar las actividades y la cooperación a todos los niveles, según proceda, para mejorar la seguridad de la fabricación y expedición de documentos de identidad y de viaje, y prevenir y detectar su alteración o uso fraudulento, reconociendo al mismo tiempo que los Estados tal vez necesiten asistencia para ello”. Además, </w:t>
      </w:r>
      <w:r w:rsidRPr="00D93236">
        <w:rPr>
          <w:rFonts w:asciiTheme="majorHAnsi" w:hAnsiTheme="majorHAnsi"/>
          <w:sz w:val="16"/>
          <w:szCs w:val="16"/>
          <w:lang w:val="es-ES"/>
        </w:rPr>
        <w:t>incluye</w:t>
      </w:r>
      <w:r w:rsidRPr="00D93236">
        <w:rPr>
          <w:rFonts w:asciiTheme="majorHAnsi" w:eastAsia="Times New Roman" w:hAnsiTheme="majorHAnsi"/>
          <w:sz w:val="16"/>
          <w:szCs w:val="16"/>
          <w:lang w:val="es-ES" w:eastAsia="es-ES_tradnl"/>
        </w:rPr>
        <w:t xml:space="preserve"> “</w:t>
      </w:r>
      <w:r w:rsidRPr="00D93236">
        <w:rPr>
          <w:rFonts w:asciiTheme="majorHAnsi" w:hAnsiTheme="majorHAnsi"/>
          <w:sz w:val="16"/>
          <w:szCs w:val="16"/>
          <w:lang w:val="es-ES"/>
        </w:rPr>
        <w:t>[i]</w:t>
      </w:r>
      <w:r w:rsidRPr="00D93236">
        <w:rPr>
          <w:rFonts w:asciiTheme="majorHAnsi" w:eastAsia="Times New Roman" w:hAnsiTheme="majorHAnsi"/>
          <w:sz w:val="16"/>
          <w:szCs w:val="16"/>
          <w:lang w:val="es-ES" w:eastAsia="es-ES_tradnl"/>
        </w:rPr>
        <w:t xml:space="preserve">ntensificar todas las actividades tendientes a mejorar la seguridad y la protección de objetivos particularmente vulnerables, como infraestructura y lugares públicos, así como la respuesta a atentados terroristas y otros desastres, en particular en la esfera de la protección civil, reconociendo al mismo tiempo que los Estados tal vez necesiten asistencia a esos efectos”. </w:t>
      </w:r>
      <w:r w:rsidRPr="00D93236">
        <w:rPr>
          <w:rFonts w:asciiTheme="majorHAnsi" w:hAnsiTheme="majorHAnsi"/>
          <w:sz w:val="16"/>
          <w:szCs w:val="16"/>
          <w:lang w:val="es-US"/>
        </w:rPr>
        <w:t xml:space="preserve">Naciones Unidas. Asamblea General. Estrategia global de las Naciones Unidas contra el terrorismo. Resolución aprobada el 8 de septiembre de 2006. </w:t>
      </w:r>
      <w:hyperlink r:id="rId7" w:history="1">
        <w:r w:rsidRPr="00D93236">
          <w:rPr>
            <w:rStyle w:val="Hyperlink"/>
            <w:rFonts w:asciiTheme="majorHAnsi" w:hAnsiTheme="majorHAnsi"/>
            <w:sz w:val="16"/>
            <w:szCs w:val="16"/>
            <w:lang w:val="es-US"/>
          </w:rPr>
          <w:t>A/RES/60/288</w:t>
        </w:r>
      </w:hyperlink>
      <w:r w:rsidRPr="00D93236">
        <w:rPr>
          <w:rFonts w:asciiTheme="majorHAnsi" w:hAnsiTheme="majorHAnsi"/>
          <w:sz w:val="16"/>
          <w:szCs w:val="16"/>
          <w:lang w:val="es-US"/>
        </w:rPr>
        <w:t xml:space="preserve"> </w:t>
      </w:r>
    </w:p>
  </w:footnote>
  <w:footnote w:id="61">
    <w:p w14:paraId="0126D95F" w14:textId="77777777" w:rsidR="005B3F8C" w:rsidRPr="00D93236" w:rsidRDefault="005B3F8C" w:rsidP="00E27260">
      <w:pPr>
        <w:jc w:val="both"/>
        <w:rPr>
          <w:rFonts w:asciiTheme="majorHAnsi" w:hAnsiTheme="majorHAnsi"/>
          <w:sz w:val="16"/>
          <w:szCs w:val="16"/>
          <w:lang w:val="es-ES"/>
        </w:rPr>
      </w:pPr>
      <w:r w:rsidRPr="00D93236">
        <w:rPr>
          <w:rStyle w:val="FootnoteReference"/>
          <w:rFonts w:asciiTheme="majorHAnsi" w:hAnsiTheme="majorHAnsi"/>
          <w:sz w:val="16"/>
          <w:szCs w:val="16"/>
          <w:lang w:val="es-ES"/>
        </w:rPr>
        <w:footnoteRef/>
      </w:r>
      <w:r w:rsidRPr="00D93236">
        <w:rPr>
          <w:rFonts w:asciiTheme="majorHAnsi" w:hAnsiTheme="majorHAnsi"/>
          <w:sz w:val="16"/>
          <w:szCs w:val="16"/>
          <w:lang w:val="es-ES"/>
        </w:rPr>
        <w:t xml:space="preserve"> Naciones Unidas. Informe del Relator Especial sobre la promoción y la protección de los derechos humanos y las libertades fundamentales en la lucha contra el terrorismo, Ben Emmerson Principios marco para asegurar los derechos humanos de las víctimas del terrorismo*. 4 de junio de 2012. </w:t>
      </w:r>
      <w:hyperlink r:id="rId8" w:history="1">
        <w:r w:rsidRPr="00D93236">
          <w:rPr>
            <w:rStyle w:val="Hyperlink"/>
            <w:rFonts w:asciiTheme="majorHAnsi" w:hAnsiTheme="majorHAnsi"/>
            <w:sz w:val="16"/>
            <w:szCs w:val="16"/>
            <w:lang w:val="es-ES"/>
          </w:rPr>
          <w:t>A/HRC/20/14</w:t>
        </w:r>
      </w:hyperlink>
      <w:r w:rsidRPr="00D93236">
        <w:rPr>
          <w:rFonts w:asciiTheme="majorHAnsi" w:hAnsiTheme="majorHAnsi"/>
          <w:sz w:val="16"/>
          <w:szCs w:val="16"/>
          <w:lang w:val="es-ES"/>
        </w:rPr>
        <w:t xml:space="preserve">, Párr. 18. </w:t>
      </w:r>
    </w:p>
  </w:footnote>
  <w:footnote w:id="62">
    <w:p w14:paraId="4A6DB8EC" w14:textId="77777777" w:rsidR="005B3F8C" w:rsidRPr="00D93236" w:rsidRDefault="005B3F8C" w:rsidP="00E27260">
      <w:pPr>
        <w:pStyle w:val="FootnoteText"/>
        <w:jc w:val="both"/>
        <w:rPr>
          <w:rFonts w:asciiTheme="majorHAnsi" w:hAnsiTheme="majorHAnsi"/>
          <w:sz w:val="16"/>
          <w:szCs w:val="16"/>
          <w:lang w:val="es-ES"/>
        </w:rPr>
      </w:pPr>
      <w:r w:rsidRPr="00D93236">
        <w:rPr>
          <w:rStyle w:val="FootnoteReference"/>
          <w:rFonts w:asciiTheme="majorHAnsi" w:hAnsiTheme="majorHAnsi"/>
          <w:sz w:val="16"/>
          <w:szCs w:val="16"/>
        </w:rPr>
        <w:footnoteRef/>
      </w:r>
      <w:r w:rsidRPr="00D93236">
        <w:rPr>
          <w:rFonts w:asciiTheme="majorHAnsi" w:hAnsiTheme="majorHAnsi"/>
          <w:sz w:val="16"/>
          <w:szCs w:val="16"/>
          <w:lang w:val="es-US"/>
        </w:rPr>
        <w:t xml:space="preserve"> OEA, </w:t>
      </w:r>
      <w:hyperlink r:id="rId9" w:history="1">
        <w:r w:rsidRPr="00D93236">
          <w:rPr>
            <w:rStyle w:val="Hyperlink"/>
            <w:rFonts w:asciiTheme="majorHAnsi" w:hAnsiTheme="majorHAnsi" w:cs="Tahoma"/>
            <w:i/>
            <w:iCs/>
            <w:sz w:val="16"/>
            <w:szCs w:val="16"/>
            <w:lang w:val="es-ES"/>
          </w:rPr>
          <w:t>Convención para prevenir y sancionar los actos de terrorismo configurados en delitos contra las personas y la extorsión conexa cuando estos tengan trascendencia internacional</w:t>
        </w:r>
      </w:hyperlink>
      <w:r w:rsidRPr="00D93236">
        <w:rPr>
          <w:rStyle w:val="Strong"/>
          <w:rFonts w:asciiTheme="majorHAnsi" w:hAnsiTheme="majorHAnsi" w:cs="Tahoma"/>
          <w:b w:val="0"/>
          <w:bCs w:val="0"/>
          <w:sz w:val="16"/>
          <w:szCs w:val="16"/>
          <w:lang w:val="es-ES"/>
        </w:rPr>
        <w:t>, 2 de febrero de 1971.</w:t>
      </w:r>
      <w:r w:rsidRPr="00D93236">
        <w:rPr>
          <w:rStyle w:val="Strong"/>
          <w:rFonts w:asciiTheme="majorHAnsi" w:hAnsiTheme="majorHAnsi" w:cs="Tahoma"/>
          <w:b w:val="0"/>
          <w:bCs w:val="0"/>
          <w:i/>
          <w:iCs/>
          <w:sz w:val="16"/>
          <w:szCs w:val="16"/>
          <w:lang w:val="es-ES"/>
        </w:rPr>
        <w:t xml:space="preserve"> </w:t>
      </w:r>
      <w:r w:rsidRPr="00D93236">
        <w:rPr>
          <w:rFonts w:asciiTheme="majorHAnsi" w:hAnsiTheme="majorHAnsi"/>
          <w:sz w:val="16"/>
          <w:szCs w:val="16"/>
          <w:lang w:val="es-US"/>
        </w:rPr>
        <w:t xml:space="preserve"> </w:t>
      </w:r>
    </w:p>
  </w:footnote>
  <w:footnote w:id="63">
    <w:p w14:paraId="6E5C2467" w14:textId="77777777" w:rsidR="005B3F8C" w:rsidRPr="00D93236" w:rsidRDefault="005B3F8C" w:rsidP="00E27260">
      <w:pPr>
        <w:pStyle w:val="FootnoteText"/>
        <w:jc w:val="both"/>
        <w:rPr>
          <w:rFonts w:asciiTheme="majorHAnsi" w:hAnsiTheme="majorHAnsi"/>
          <w:sz w:val="16"/>
          <w:szCs w:val="16"/>
          <w:lang w:val="es-ES"/>
        </w:rPr>
      </w:pPr>
      <w:r w:rsidRPr="00D93236">
        <w:rPr>
          <w:rStyle w:val="FootnoteReference"/>
          <w:rFonts w:asciiTheme="majorHAnsi" w:hAnsiTheme="majorHAnsi"/>
          <w:sz w:val="16"/>
          <w:szCs w:val="16"/>
          <w:lang w:val="es-ES"/>
        </w:rPr>
        <w:footnoteRef/>
      </w:r>
      <w:r w:rsidRPr="00D93236">
        <w:rPr>
          <w:rFonts w:asciiTheme="majorHAnsi" w:hAnsiTheme="majorHAnsi"/>
          <w:sz w:val="16"/>
          <w:szCs w:val="16"/>
          <w:lang w:val="es-ES"/>
        </w:rPr>
        <w:t xml:space="preserve"> OEA, </w:t>
      </w:r>
      <w:hyperlink r:id="rId10" w:history="1">
        <w:r w:rsidRPr="00D93236">
          <w:rPr>
            <w:rStyle w:val="Hyperlink"/>
            <w:rFonts w:asciiTheme="majorHAnsi" w:hAnsiTheme="majorHAnsi"/>
            <w:sz w:val="16"/>
            <w:szCs w:val="16"/>
            <w:lang w:val="es-ES"/>
          </w:rPr>
          <w:t>Declaración de Lima para prevenir, combatir y eliminar el terrorismo</w:t>
        </w:r>
      </w:hyperlink>
      <w:r w:rsidRPr="00D93236">
        <w:rPr>
          <w:rFonts w:asciiTheme="majorHAnsi" w:hAnsiTheme="majorHAnsi"/>
          <w:sz w:val="16"/>
          <w:szCs w:val="16"/>
          <w:lang w:val="es-ES"/>
        </w:rPr>
        <w:t xml:space="preserve">. </w:t>
      </w:r>
    </w:p>
  </w:footnote>
  <w:footnote w:id="64">
    <w:p w14:paraId="5FED7396" w14:textId="77777777" w:rsidR="005B3F8C" w:rsidRPr="00D93236" w:rsidRDefault="005B3F8C" w:rsidP="00E27260">
      <w:pPr>
        <w:jc w:val="both"/>
        <w:rPr>
          <w:rFonts w:asciiTheme="majorHAnsi" w:hAnsiTheme="majorHAnsi"/>
          <w:sz w:val="16"/>
          <w:szCs w:val="16"/>
          <w:lang w:val="es-ES"/>
        </w:rPr>
      </w:pPr>
      <w:r w:rsidRPr="00D93236">
        <w:rPr>
          <w:rStyle w:val="FootnoteReference"/>
          <w:rFonts w:asciiTheme="majorHAnsi" w:hAnsiTheme="majorHAnsi"/>
          <w:sz w:val="16"/>
          <w:szCs w:val="16"/>
          <w:lang w:val="es-ES"/>
        </w:rPr>
        <w:footnoteRef/>
      </w:r>
      <w:r w:rsidRPr="00D93236">
        <w:rPr>
          <w:rFonts w:asciiTheme="majorHAnsi" w:hAnsiTheme="majorHAnsi"/>
          <w:sz w:val="16"/>
          <w:szCs w:val="16"/>
          <w:lang w:val="es-ES"/>
        </w:rPr>
        <w:t xml:space="preserve"> OEA, Convención Interamericana contra el Terrorismo. 3 de junio de 2002.  </w:t>
      </w:r>
    </w:p>
  </w:footnote>
  <w:footnote w:id="65">
    <w:p w14:paraId="3378182F" w14:textId="77777777" w:rsidR="005B3F8C" w:rsidRPr="00D93236" w:rsidRDefault="005B3F8C" w:rsidP="00E27260">
      <w:pPr>
        <w:pStyle w:val="FootnoteText"/>
        <w:jc w:val="both"/>
        <w:rPr>
          <w:rFonts w:asciiTheme="majorHAnsi" w:hAnsiTheme="majorHAnsi"/>
          <w:sz w:val="16"/>
          <w:szCs w:val="16"/>
          <w:lang w:val="es-US"/>
        </w:rPr>
      </w:pPr>
      <w:r w:rsidRPr="00D93236">
        <w:rPr>
          <w:rStyle w:val="FootnoteReference"/>
          <w:rFonts w:asciiTheme="majorHAnsi" w:hAnsiTheme="majorHAnsi"/>
          <w:sz w:val="16"/>
          <w:szCs w:val="16"/>
        </w:rPr>
        <w:footnoteRef/>
      </w:r>
      <w:r w:rsidRPr="00D93236">
        <w:rPr>
          <w:rFonts w:asciiTheme="majorHAnsi" w:hAnsiTheme="majorHAnsi"/>
          <w:sz w:val="16"/>
          <w:szCs w:val="16"/>
          <w:lang w:val="es-US"/>
        </w:rPr>
        <w:t xml:space="preserve"> </w:t>
      </w:r>
      <w:r w:rsidRPr="00D93236">
        <w:rPr>
          <w:rFonts w:asciiTheme="majorHAnsi" w:eastAsia="Times New Roman" w:hAnsiTheme="majorHAnsi" w:cs="Times New Roman"/>
          <w:sz w:val="16"/>
          <w:szCs w:val="16"/>
          <w:lang w:val="es-ES" w:eastAsia="es-ES_tradnl"/>
        </w:rPr>
        <w:t xml:space="preserve">Dicha Convención fue adoptada con posterioridad al atentado a la AMIA por lo que su contenido presentado en este Informe no se tendrá en cuenta como fuente de obligaciones directas para el Estado argentino sin perjuicio de lo cual se considera pertinente referir a modo ilustrativo en vista de que representa el consenso de los Estados Americanos sobre la materia y la consagración de obligaciones pre existentes en un mismo tratado. </w:t>
      </w:r>
    </w:p>
  </w:footnote>
  <w:footnote w:id="66">
    <w:p w14:paraId="2144A2FC" w14:textId="77777777" w:rsidR="005B3F8C" w:rsidRPr="00D93236" w:rsidRDefault="005B3F8C" w:rsidP="00E27260">
      <w:pPr>
        <w:pStyle w:val="FootnoteText"/>
        <w:jc w:val="both"/>
        <w:rPr>
          <w:rFonts w:asciiTheme="majorHAnsi" w:hAnsiTheme="majorHAnsi"/>
          <w:sz w:val="16"/>
          <w:szCs w:val="16"/>
          <w:lang w:val="pt-BR"/>
        </w:rPr>
      </w:pPr>
      <w:r w:rsidRPr="00D93236">
        <w:rPr>
          <w:rStyle w:val="FootnoteReference"/>
          <w:rFonts w:asciiTheme="majorHAnsi" w:hAnsiTheme="majorHAnsi"/>
          <w:sz w:val="16"/>
          <w:szCs w:val="16"/>
          <w:lang w:val="es-ES"/>
        </w:rPr>
        <w:footnoteRef/>
      </w:r>
      <w:r w:rsidRPr="00D93236">
        <w:rPr>
          <w:rFonts w:asciiTheme="majorHAnsi" w:hAnsiTheme="majorHAnsi"/>
          <w:sz w:val="16"/>
          <w:szCs w:val="16"/>
          <w:lang w:val="es-ES"/>
        </w:rPr>
        <w:t xml:space="preserve"> CIDH, Informe sobre Terrorismo y Derechos Humanos. </w:t>
      </w:r>
      <w:r w:rsidRPr="00D93236">
        <w:rPr>
          <w:rFonts w:asciiTheme="majorHAnsi" w:hAnsiTheme="majorHAnsi"/>
          <w:sz w:val="16"/>
          <w:szCs w:val="16"/>
          <w:lang w:val="pt-BR"/>
        </w:rPr>
        <w:t>22 octubre 2002. Capítulo II A Párr. 33. Capítulo I A, Párr. 3.</w:t>
      </w:r>
    </w:p>
  </w:footnote>
  <w:footnote w:id="67">
    <w:p w14:paraId="612D6434" w14:textId="77777777" w:rsidR="005B3F8C" w:rsidRPr="00D93236" w:rsidRDefault="005B3F8C" w:rsidP="00E27260">
      <w:pPr>
        <w:pStyle w:val="FootnoteText"/>
        <w:jc w:val="both"/>
        <w:rPr>
          <w:rFonts w:asciiTheme="majorHAnsi" w:hAnsiTheme="majorHAnsi"/>
          <w:sz w:val="16"/>
          <w:szCs w:val="16"/>
          <w:lang w:val="es-ES"/>
        </w:rPr>
      </w:pPr>
      <w:r w:rsidRPr="00D93236">
        <w:rPr>
          <w:rStyle w:val="FootnoteReference"/>
          <w:rFonts w:asciiTheme="majorHAnsi" w:hAnsiTheme="majorHAnsi"/>
          <w:sz w:val="16"/>
          <w:szCs w:val="16"/>
          <w:lang w:val="es-ES"/>
        </w:rPr>
        <w:footnoteRef/>
      </w:r>
      <w:r w:rsidRPr="00D93236">
        <w:rPr>
          <w:rFonts w:asciiTheme="majorHAnsi" w:hAnsiTheme="majorHAnsi"/>
          <w:sz w:val="16"/>
          <w:szCs w:val="16"/>
          <w:lang w:val="es-ES"/>
        </w:rPr>
        <w:t xml:space="preserve"> CIDH, Informe sobre Terrorismo y Derechos Humanos. 22 octubre 2002. Capítulo II A Párr. 33. Capítulo II A Párr. 22.</w:t>
      </w:r>
    </w:p>
  </w:footnote>
  <w:footnote w:id="68">
    <w:p w14:paraId="256A03BF" w14:textId="77777777" w:rsidR="005B3F8C" w:rsidRPr="00D93236" w:rsidRDefault="005B3F8C" w:rsidP="00E27260">
      <w:pPr>
        <w:jc w:val="both"/>
        <w:rPr>
          <w:rFonts w:asciiTheme="majorHAnsi" w:hAnsiTheme="majorHAnsi"/>
          <w:sz w:val="16"/>
          <w:szCs w:val="16"/>
          <w:lang w:val="es-US"/>
        </w:rPr>
      </w:pPr>
      <w:r w:rsidRPr="00D93236">
        <w:rPr>
          <w:rStyle w:val="FootnoteReference"/>
          <w:rFonts w:asciiTheme="majorHAnsi" w:hAnsiTheme="majorHAnsi"/>
          <w:sz w:val="16"/>
          <w:szCs w:val="16"/>
        </w:rPr>
        <w:footnoteRef/>
      </w:r>
      <w:r w:rsidRPr="00D93236">
        <w:rPr>
          <w:rFonts w:asciiTheme="majorHAnsi" w:hAnsiTheme="majorHAnsi"/>
          <w:sz w:val="16"/>
          <w:szCs w:val="16"/>
          <w:lang w:val="es-US"/>
        </w:rPr>
        <w:t xml:space="preserve"> </w:t>
      </w:r>
      <w:r w:rsidRPr="00D93236">
        <w:rPr>
          <w:rFonts w:asciiTheme="majorHAnsi" w:hAnsiTheme="majorHAnsi"/>
          <w:color w:val="000000"/>
          <w:sz w:val="16"/>
          <w:szCs w:val="16"/>
          <w:lang w:val="es-UY"/>
        </w:rPr>
        <w:t>Convención Interamericana contra el Terrorismo, nota 8,</w:t>
      </w:r>
      <w:r w:rsidRPr="00D93236">
        <w:rPr>
          <w:rStyle w:val="apple-converted-space"/>
          <w:rFonts w:asciiTheme="majorHAnsi" w:hAnsiTheme="majorHAnsi"/>
          <w:sz w:val="16"/>
          <w:szCs w:val="16"/>
          <w:lang w:val="es-UY"/>
        </w:rPr>
        <w:t> </w:t>
      </w:r>
      <w:r w:rsidRPr="00D93236">
        <w:rPr>
          <w:rFonts w:asciiTheme="majorHAnsi" w:hAnsiTheme="majorHAnsi"/>
          <w:i/>
          <w:iCs/>
          <w:color w:val="000000"/>
          <w:sz w:val="16"/>
          <w:szCs w:val="16"/>
          <w:lang w:val="es-UY"/>
        </w:rPr>
        <w:t>supra</w:t>
      </w:r>
      <w:r w:rsidRPr="00D93236">
        <w:rPr>
          <w:rFonts w:asciiTheme="majorHAnsi" w:hAnsiTheme="majorHAnsi"/>
          <w:color w:val="000000"/>
          <w:sz w:val="16"/>
          <w:szCs w:val="16"/>
          <w:lang w:val="es-UY"/>
        </w:rPr>
        <w:t>, artículo 2 (1) que estipula: “</w:t>
      </w:r>
      <w:r w:rsidRPr="00D93236">
        <w:rPr>
          <w:rFonts w:asciiTheme="majorHAnsi" w:hAnsiTheme="majorHAnsi"/>
          <w:color w:val="000000"/>
          <w:sz w:val="16"/>
          <w:szCs w:val="16"/>
          <w:lang w:val="es-ES"/>
        </w:rPr>
        <w:t>1. Para los propósitos de esta Convención, se entiende por</w:t>
      </w:r>
      <w:r w:rsidRPr="00D93236">
        <w:rPr>
          <w:rStyle w:val="apple-converted-space"/>
          <w:rFonts w:asciiTheme="majorHAnsi" w:hAnsiTheme="majorHAnsi"/>
          <w:sz w:val="16"/>
          <w:szCs w:val="16"/>
          <w:lang w:val="es-ES"/>
        </w:rPr>
        <w:t> </w:t>
      </w:r>
      <w:r w:rsidRPr="00D93236">
        <w:rPr>
          <w:rFonts w:asciiTheme="majorHAnsi" w:hAnsiTheme="majorHAnsi"/>
          <w:color w:val="000000"/>
          <w:sz w:val="16"/>
          <w:szCs w:val="16"/>
          <w:lang w:val="es-US"/>
        </w:rPr>
        <w:t>‘</w:t>
      </w:r>
      <w:r w:rsidRPr="00D93236">
        <w:rPr>
          <w:rFonts w:asciiTheme="majorHAnsi" w:hAnsiTheme="majorHAnsi"/>
          <w:color w:val="000000"/>
          <w:sz w:val="16"/>
          <w:szCs w:val="16"/>
          <w:lang w:val="es-ES"/>
        </w:rPr>
        <w:t>delito’ aquellos establecidos en los instrumentos internacionales que se indican a continuación: a. Convenio para la represión del apoderamiento ilícito de aeronaves, firmado en La Haya el 16 de diciembre de 1970. b. Convenio para la represión de actos ilícitos contra la seguridad de la aviación civil, firmado en Montreal el 23 de septiembre de 1971. c. Convención sobre la prevención y el castigo de delitos contra personas internacionalmente protegidas, inclusive los agentes diplomáticos, aprobada por la Asamblea General de las Naciones Unidas el 14 de diciembre de 1973. d. Convención Internacional contra la toma de rehenes, aprobada por la Asamblea General de las Naciones Unidas el 17 de diciembre de 1979. e.  Convenio sobre la protección física de los materiales nucleares, firmado en Viena el 3 de marzo de 1980. f. Protocolo para la represión de actos ilícitos de violencia en los aeropuertos que prestan servicios a la aviación civil internacional, complementario del Convenio para la represión de actos ilícitos contra la seguridad de la aviación civil, firmado en Montreal el 24 de febrero de 1988. g.  Convenio para la represión de actos ilícitos contra la seguridad de la navegación marítima, hecho en Roma el 10 de marzo de 1988. h. Protocolo para la represión de actos ilícitos contra la seguridad de las plataformas fijas emplazadas en la plataforma continental, </w:t>
      </w:r>
      <w:r w:rsidRPr="00D93236">
        <w:rPr>
          <w:rStyle w:val="apple-converted-space"/>
          <w:rFonts w:asciiTheme="majorHAnsi" w:hAnsiTheme="majorHAnsi"/>
          <w:sz w:val="16"/>
          <w:szCs w:val="16"/>
          <w:lang w:val="es-ES"/>
        </w:rPr>
        <w:t>hecho</w:t>
      </w:r>
      <w:r w:rsidRPr="00D93236">
        <w:rPr>
          <w:rFonts w:asciiTheme="majorHAnsi" w:hAnsiTheme="majorHAnsi"/>
          <w:color w:val="000000"/>
          <w:sz w:val="16"/>
          <w:szCs w:val="16"/>
          <w:lang w:val="es-ES"/>
        </w:rPr>
        <w:t xml:space="preserve"> en Roma el 10 de marzo de 1988. i. Convenio Internacional para la represión de los atentados terroristas cometidos con bombas, aprobado por la Asamblea General de las Naciones Unidas el 15 de diciembre de 1997. J. Convenio Internacional para la represión de la financiación del terrorismo, aprobado por la Asamblea General de las Naciones Unidas el 9 de diciembre de 1999. </w:t>
      </w:r>
      <w:r w:rsidRPr="00D93236">
        <w:rPr>
          <w:rStyle w:val="apple-converted-space"/>
          <w:rFonts w:asciiTheme="majorHAnsi" w:hAnsiTheme="majorHAnsi"/>
          <w:sz w:val="16"/>
          <w:szCs w:val="16"/>
          <w:lang w:val="es-ES"/>
        </w:rPr>
        <w:t> </w:t>
      </w:r>
      <w:r w:rsidRPr="00D93236">
        <w:rPr>
          <w:rFonts w:asciiTheme="majorHAnsi" w:hAnsiTheme="majorHAnsi"/>
          <w:color w:val="000000"/>
          <w:sz w:val="16"/>
          <w:szCs w:val="16"/>
          <w:lang w:val="es-ES"/>
        </w:rPr>
        <w:t>2. Al depositar su instrumento de ratificación a la presente Convención, el Estado que no sea parte de uno o más de los instrumentos internacionales enumerados en el párrafo 1 de este artículo podrá declarar que, en la aplicación de esta Convención a ese Estado Parte, ese instrumento no se considerará incluido en el referido párrafo. La declaración cesará en sus efectos cuando dicho instrumento entre en vigor para ese Estado Parte, el cual notificará al depositario de este hecho. 3. Cuando un Estado Parte deje de ser parte de uno de los instrumentos internacionales enumerados en el párrafo 1 de este artículo, podrá hacer una declaración con respecto a ese instrumento, tal como se dispone en el párrafo 2 de este artículo”.</w:t>
      </w:r>
    </w:p>
  </w:footnote>
  <w:footnote w:id="69">
    <w:p w14:paraId="6F1E7C98" w14:textId="77777777" w:rsidR="005B3F8C" w:rsidRPr="00D93236" w:rsidRDefault="005B3F8C" w:rsidP="00E27260">
      <w:pPr>
        <w:pStyle w:val="FootnoteText"/>
        <w:jc w:val="both"/>
        <w:rPr>
          <w:rFonts w:asciiTheme="majorHAnsi" w:hAnsiTheme="majorHAnsi"/>
          <w:sz w:val="16"/>
          <w:szCs w:val="16"/>
          <w:lang w:val="es-ES"/>
        </w:rPr>
      </w:pPr>
      <w:r w:rsidRPr="00D93236">
        <w:rPr>
          <w:rStyle w:val="FootnoteReference"/>
          <w:rFonts w:asciiTheme="majorHAnsi" w:hAnsiTheme="majorHAnsi"/>
          <w:sz w:val="16"/>
          <w:szCs w:val="16"/>
        </w:rPr>
        <w:footnoteRef/>
      </w:r>
      <w:r w:rsidRPr="00D93236">
        <w:rPr>
          <w:rFonts w:asciiTheme="majorHAnsi" w:hAnsiTheme="majorHAnsi"/>
          <w:sz w:val="16"/>
          <w:szCs w:val="16"/>
          <w:lang w:val="es-US"/>
        </w:rPr>
        <w:t xml:space="preserve"> CIDH, Informe sobre Terrorismo y Derechos Humanos. 22 octubre 2002. Capítulo II A </w:t>
      </w:r>
      <w:r w:rsidRPr="00D93236">
        <w:rPr>
          <w:rFonts w:asciiTheme="majorHAnsi" w:hAnsiTheme="majorHAnsi"/>
          <w:sz w:val="16"/>
          <w:szCs w:val="16"/>
          <w:lang w:val="es-ES"/>
        </w:rPr>
        <w:t>Párr. 33. Capítulo II A Párr. 22.</w:t>
      </w:r>
    </w:p>
  </w:footnote>
  <w:footnote w:id="70">
    <w:p w14:paraId="7F9EB49F" w14:textId="77777777" w:rsidR="005B3F8C" w:rsidRPr="00D93236" w:rsidRDefault="005B3F8C" w:rsidP="00E27260">
      <w:pPr>
        <w:pStyle w:val="FootnoteText"/>
        <w:jc w:val="both"/>
        <w:rPr>
          <w:rFonts w:asciiTheme="majorHAnsi" w:hAnsiTheme="majorHAnsi"/>
          <w:sz w:val="16"/>
          <w:szCs w:val="16"/>
          <w:lang w:val="es-ES"/>
        </w:rPr>
      </w:pPr>
      <w:r w:rsidRPr="00D93236">
        <w:rPr>
          <w:rStyle w:val="FootnoteReference"/>
          <w:rFonts w:asciiTheme="majorHAnsi" w:hAnsiTheme="majorHAnsi"/>
          <w:sz w:val="16"/>
          <w:szCs w:val="16"/>
          <w:lang w:val="es-ES"/>
        </w:rPr>
        <w:footnoteRef/>
      </w:r>
      <w:r w:rsidRPr="00D93236">
        <w:rPr>
          <w:rFonts w:asciiTheme="majorHAnsi" w:hAnsiTheme="majorHAnsi"/>
          <w:sz w:val="16"/>
          <w:szCs w:val="16"/>
          <w:lang w:val="es-ES"/>
        </w:rPr>
        <w:t xml:space="preserve"> Naciones Unidas. Informe del Relator Especial sobre la promoción y la protección de los derechos humanos y las libertades fundamentales en la lucha contra el terrorismo, Ben Emmerson Principios marco para asegurar los derechos humanos de las víctimas del terrorismo*. 4 de junio de 2012. </w:t>
      </w:r>
      <w:hyperlink r:id="rId11" w:history="1">
        <w:r w:rsidRPr="00D93236">
          <w:rPr>
            <w:rStyle w:val="Hyperlink"/>
            <w:rFonts w:asciiTheme="majorHAnsi" w:hAnsiTheme="majorHAnsi"/>
            <w:sz w:val="16"/>
            <w:szCs w:val="16"/>
            <w:lang w:val="es-ES"/>
          </w:rPr>
          <w:t>A/HRC/20/14</w:t>
        </w:r>
      </w:hyperlink>
      <w:r w:rsidRPr="00D93236">
        <w:rPr>
          <w:rFonts w:asciiTheme="majorHAnsi" w:hAnsiTheme="majorHAnsi"/>
          <w:sz w:val="16"/>
          <w:szCs w:val="16"/>
          <w:lang w:val="es-ES"/>
        </w:rPr>
        <w:t>, Párr. 20.</w:t>
      </w:r>
    </w:p>
  </w:footnote>
  <w:footnote w:id="71">
    <w:p w14:paraId="06843D10" w14:textId="77777777" w:rsidR="005B3F8C" w:rsidRPr="00D93236" w:rsidRDefault="005B3F8C" w:rsidP="00E27260">
      <w:pPr>
        <w:pStyle w:val="FootnoteText"/>
        <w:jc w:val="both"/>
        <w:rPr>
          <w:rFonts w:asciiTheme="majorHAnsi" w:hAnsiTheme="majorHAnsi"/>
          <w:sz w:val="16"/>
          <w:szCs w:val="16"/>
          <w:lang w:val="es-ES"/>
        </w:rPr>
      </w:pPr>
      <w:r w:rsidRPr="00D93236">
        <w:rPr>
          <w:rStyle w:val="FootnoteReference"/>
          <w:rFonts w:asciiTheme="majorHAnsi" w:hAnsiTheme="majorHAnsi"/>
          <w:sz w:val="16"/>
          <w:szCs w:val="16"/>
          <w:lang w:val="es-ES"/>
        </w:rPr>
        <w:footnoteRef/>
      </w:r>
      <w:r w:rsidRPr="00D93236">
        <w:rPr>
          <w:rFonts w:asciiTheme="majorHAnsi" w:hAnsiTheme="majorHAnsi"/>
          <w:sz w:val="16"/>
          <w:szCs w:val="16"/>
          <w:lang w:val="es-ES"/>
        </w:rPr>
        <w:t xml:space="preserve"> Naciones Unidas. </w:t>
      </w:r>
      <w:r w:rsidRPr="00D93236">
        <w:rPr>
          <w:rFonts w:asciiTheme="majorHAnsi" w:eastAsia="Times New Roman" w:hAnsiTheme="majorHAnsi" w:cs="Times New Roman"/>
          <w:sz w:val="16"/>
          <w:szCs w:val="16"/>
          <w:lang w:val="es-ES" w:eastAsia="es-ES_tradnl"/>
        </w:rPr>
        <w:t xml:space="preserve">Informe del Relator Especial sobre la promoción y la protección de los derechos humanos y las libertades fundamentales en la lucha contra el terrorismo, Ben Emmerson Principios marco para asegurar los derechos humanos de las víctimas del terrorismo*. 4 de junio de 2012. </w:t>
      </w:r>
      <w:hyperlink r:id="rId12" w:history="1">
        <w:r w:rsidRPr="00D93236">
          <w:rPr>
            <w:rStyle w:val="Hyperlink"/>
            <w:rFonts w:asciiTheme="majorHAnsi" w:eastAsia="Times New Roman" w:hAnsiTheme="majorHAnsi" w:cs="Times New Roman"/>
            <w:sz w:val="16"/>
            <w:szCs w:val="16"/>
            <w:lang w:val="es-ES" w:eastAsia="es-ES_tradnl"/>
          </w:rPr>
          <w:t>A/HRC/20/14</w:t>
        </w:r>
      </w:hyperlink>
      <w:r w:rsidRPr="00D93236">
        <w:rPr>
          <w:rFonts w:asciiTheme="majorHAnsi" w:eastAsia="Times New Roman" w:hAnsiTheme="majorHAnsi" w:cs="Times New Roman"/>
          <w:sz w:val="16"/>
          <w:szCs w:val="16"/>
          <w:lang w:val="es-ES" w:eastAsia="es-ES_tradnl"/>
        </w:rPr>
        <w:t>, Párr. 20.</w:t>
      </w:r>
    </w:p>
  </w:footnote>
  <w:footnote w:id="72">
    <w:p w14:paraId="1A2747B0" w14:textId="77777777" w:rsidR="005B3F8C" w:rsidRPr="00D93236" w:rsidRDefault="005B3F8C" w:rsidP="00E27260">
      <w:pPr>
        <w:pStyle w:val="FootnoteText"/>
        <w:jc w:val="both"/>
        <w:rPr>
          <w:rFonts w:asciiTheme="majorHAnsi" w:hAnsiTheme="majorHAnsi"/>
          <w:sz w:val="16"/>
          <w:szCs w:val="16"/>
          <w:lang w:val="es-ES"/>
        </w:rPr>
      </w:pPr>
      <w:r w:rsidRPr="00D93236">
        <w:rPr>
          <w:rStyle w:val="FootnoteReference"/>
          <w:rFonts w:asciiTheme="majorHAnsi" w:hAnsiTheme="majorHAnsi"/>
          <w:sz w:val="16"/>
          <w:szCs w:val="16"/>
          <w:lang w:val="es-ES"/>
        </w:rPr>
        <w:footnoteRef/>
      </w:r>
      <w:r w:rsidRPr="00D93236">
        <w:rPr>
          <w:rFonts w:asciiTheme="majorHAnsi" w:hAnsiTheme="majorHAnsi"/>
          <w:sz w:val="16"/>
          <w:szCs w:val="16"/>
          <w:lang w:val="es-ES"/>
        </w:rPr>
        <w:t xml:space="preserve"> Naciones Unidas. </w:t>
      </w:r>
      <w:r w:rsidRPr="00D93236">
        <w:rPr>
          <w:rFonts w:asciiTheme="majorHAnsi" w:eastAsia="Times New Roman" w:hAnsiTheme="majorHAnsi" w:cs="Times New Roman"/>
          <w:sz w:val="16"/>
          <w:szCs w:val="16"/>
          <w:lang w:val="es-ES" w:eastAsia="es-ES_tradnl"/>
        </w:rPr>
        <w:t xml:space="preserve">Informe del Relator Especial sobre la promoción y la protección de los derechos humanos y las libertades fundamentales en la lucha contra el terrorismo, Ben Emmerson Principios marco para asegurar los derechos humanos de las víctimas del terrorismo*. 4 de junio de 2012. </w:t>
      </w:r>
      <w:hyperlink r:id="rId13" w:history="1">
        <w:r w:rsidRPr="00D93236">
          <w:rPr>
            <w:rStyle w:val="Hyperlink"/>
            <w:rFonts w:asciiTheme="majorHAnsi" w:eastAsia="Times New Roman" w:hAnsiTheme="majorHAnsi" w:cs="Times New Roman"/>
            <w:sz w:val="16"/>
            <w:szCs w:val="16"/>
            <w:lang w:val="es-ES" w:eastAsia="es-ES_tradnl"/>
          </w:rPr>
          <w:t>A/HRC/20/14</w:t>
        </w:r>
      </w:hyperlink>
      <w:r w:rsidRPr="00D93236">
        <w:rPr>
          <w:rFonts w:asciiTheme="majorHAnsi" w:eastAsia="Times New Roman" w:hAnsiTheme="majorHAnsi" w:cs="Times New Roman"/>
          <w:sz w:val="16"/>
          <w:szCs w:val="16"/>
          <w:lang w:val="es-ES" w:eastAsia="es-ES_tradnl"/>
        </w:rPr>
        <w:t>, Párr. 21.</w:t>
      </w:r>
    </w:p>
  </w:footnote>
  <w:footnote w:id="73">
    <w:p w14:paraId="6FF5D93E" w14:textId="77777777" w:rsidR="005B3F8C" w:rsidRPr="00D93236" w:rsidRDefault="005B3F8C" w:rsidP="00E27260">
      <w:pPr>
        <w:pStyle w:val="FootnoteText"/>
        <w:jc w:val="both"/>
        <w:rPr>
          <w:rFonts w:asciiTheme="majorHAnsi" w:hAnsiTheme="majorHAnsi"/>
          <w:sz w:val="16"/>
          <w:szCs w:val="16"/>
          <w:lang w:val="es-ES"/>
        </w:rPr>
      </w:pPr>
      <w:r w:rsidRPr="00D93236">
        <w:rPr>
          <w:rStyle w:val="FootnoteReference"/>
          <w:rFonts w:asciiTheme="majorHAnsi" w:hAnsiTheme="majorHAnsi"/>
          <w:sz w:val="16"/>
          <w:szCs w:val="16"/>
          <w:lang w:val="es-ES"/>
        </w:rPr>
        <w:footnoteRef/>
      </w:r>
      <w:r w:rsidRPr="00D93236">
        <w:rPr>
          <w:rFonts w:asciiTheme="majorHAnsi" w:hAnsiTheme="majorHAnsi"/>
          <w:sz w:val="16"/>
          <w:szCs w:val="16"/>
          <w:lang w:val="es-ES"/>
        </w:rPr>
        <w:t xml:space="preserve"> Naciones Unidas. </w:t>
      </w:r>
      <w:r w:rsidRPr="00D93236">
        <w:rPr>
          <w:rFonts w:asciiTheme="majorHAnsi" w:eastAsia="Times New Roman" w:hAnsiTheme="majorHAnsi" w:cs="Times New Roman"/>
          <w:sz w:val="16"/>
          <w:szCs w:val="16"/>
          <w:lang w:val="es-ES" w:eastAsia="es-ES_tradnl"/>
        </w:rPr>
        <w:t xml:space="preserve">Informe del Relator Especial sobre la promoción y la protección de los derechos humanos y las libertades fundamentales en la lucha contra el terrorismo, Ben Emmerson Principios marco para asegurar los derechos humanos de las víctimas del terrorismo*. 4 de junio de 2012. </w:t>
      </w:r>
      <w:hyperlink r:id="rId14" w:history="1">
        <w:r w:rsidRPr="00D93236">
          <w:rPr>
            <w:rStyle w:val="Hyperlink"/>
            <w:rFonts w:asciiTheme="majorHAnsi" w:eastAsia="Times New Roman" w:hAnsiTheme="majorHAnsi" w:cs="Times New Roman"/>
            <w:sz w:val="16"/>
            <w:szCs w:val="16"/>
            <w:lang w:val="es-ES" w:eastAsia="es-ES_tradnl"/>
          </w:rPr>
          <w:t>A/HRC/20/14</w:t>
        </w:r>
      </w:hyperlink>
      <w:r w:rsidRPr="00D93236">
        <w:rPr>
          <w:rFonts w:asciiTheme="majorHAnsi" w:eastAsia="Times New Roman" w:hAnsiTheme="majorHAnsi" w:cs="Times New Roman"/>
          <w:sz w:val="16"/>
          <w:szCs w:val="16"/>
          <w:lang w:val="es-ES" w:eastAsia="es-ES_tradnl"/>
        </w:rPr>
        <w:t>, Párr. 22.</w:t>
      </w:r>
    </w:p>
  </w:footnote>
  <w:footnote w:id="74">
    <w:p w14:paraId="459C031A" w14:textId="77777777" w:rsidR="005B3F8C" w:rsidRPr="00D93236" w:rsidRDefault="005B3F8C" w:rsidP="00E27260">
      <w:pPr>
        <w:pStyle w:val="FootnoteText"/>
        <w:jc w:val="both"/>
        <w:rPr>
          <w:rFonts w:asciiTheme="majorHAnsi" w:hAnsiTheme="majorHAnsi"/>
          <w:sz w:val="16"/>
          <w:szCs w:val="16"/>
          <w:lang w:val="es-US"/>
        </w:rPr>
      </w:pPr>
      <w:r w:rsidRPr="00D93236">
        <w:rPr>
          <w:rStyle w:val="FootnoteReference"/>
          <w:rFonts w:asciiTheme="majorHAnsi" w:hAnsiTheme="majorHAnsi"/>
          <w:sz w:val="16"/>
          <w:szCs w:val="16"/>
        </w:rPr>
        <w:footnoteRef/>
      </w:r>
      <w:r w:rsidRPr="00D93236">
        <w:rPr>
          <w:rFonts w:asciiTheme="majorHAnsi" w:hAnsiTheme="majorHAnsi"/>
          <w:sz w:val="16"/>
          <w:szCs w:val="16"/>
          <w:lang w:val="es-US"/>
        </w:rPr>
        <w:t xml:space="preserve"> Corte Suprema de la Justicia de la Nación. Comunicado “</w:t>
      </w:r>
      <w:hyperlink r:id="rId15" w:history="1">
        <w:r w:rsidRPr="00D93236">
          <w:rPr>
            <w:rStyle w:val="Hyperlink"/>
            <w:rFonts w:asciiTheme="majorHAnsi" w:hAnsiTheme="majorHAnsi"/>
            <w:sz w:val="16"/>
            <w:szCs w:val="16"/>
            <w:lang w:val="es-US"/>
          </w:rPr>
          <w:t>Informe sobre el estado de la causa relativa al atentado de la Embajada de Israel</w:t>
        </w:r>
      </w:hyperlink>
      <w:r w:rsidRPr="00D93236">
        <w:rPr>
          <w:rStyle w:val="Hyperlink"/>
          <w:rFonts w:asciiTheme="majorHAnsi" w:hAnsiTheme="majorHAnsi"/>
          <w:sz w:val="16"/>
          <w:szCs w:val="16"/>
          <w:lang w:val="es-US"/>
        </w:rPr>
        <w:t>”</w:t>
      </w:r>
      <w:r w:rsidRPr="00D93236">
        <w:rPr>
          <w:rFonts w:asciiTheme="majorHAnsi" w:hAnsiTheme="majorHAnsi"/>
          <w:sz w:val="16"/>
          <w:szCs w:val="16"/>
          <w:lang w:val="es-US"/>
        </w:rPr>
        <w:t xml:space="preserve">. 4 de marzo de 2015. </w:t>
      </w:r>
    </w:p>
  </w:footnote>
  <w:footnote w:id="75">
    <w:p w14:paraId="0D2FE5B9" w14:textId="77777777" w:rsidR="005B3F8C" w:rsidRPr="00D93236" w:rsidRDefault="005B3F8C" w:rsidP="00E27260">
      <w:pPr>
        <w:pStyle w:val="FootnoteText"/>
        <w:jc w:val="both"/>
        <w:rPr>
          <w:rFonts w:asciiTheme="majorHAnsi" w:hAnsiTheme="majorHAnsi"/>
          <w:sz w:val="16"/>
          <w:szCs w:val="16"/>
          <w:lang w:val="es-US"/>
        </w:rPr>
      </w:pPr>
      <w:r w:rsidRPr="00D93236">
        <w:rPr>
          <w:rStyle w:val="FootnoteReference"/>
          <w:rFonts w:asciiTheme="majorHAnsi" w:hAnsiTheme="majorHAnsi"/>
          <w:sz w:val="16"/>
          <w:szCs w:val="16"/>
        </w:rPr>
        <w:footnoteRef/>
      </w:r>
      <w:r w:rsidRPr="00D93236">
        <w:rPr>
          <w:rFonts w:asciiTheme="majorHAnsi" w:hAnsiTheme="majorHAnsi"/>
          <w:sz w:val="16"/>
          <w:szCs w:val="16"/>
          <w:lang w:val="es-US"/>
        </w:rPr>
        <w:t xml:space="preserve"> Corte Suprema de la Justicia de la Nación. Comunicado “</w:t>
      </w:r>
      <w:hyperlink r:id="rId16" w:history="1">
        <w:r w:rsidRPr="00D93236">
          <w:rPr>
            <w:rStyle w:val="Hyperlink"/>
            <w:rFonts w:asciiTheme="majorHAnsi" w:hAnsiTheme="majorHAnsi"/>
            <w:sz w:val="16"/>
            <w:szCs w:val="16"/>
            <w:lang w:val="es-US"/>
          </w:rPr>
          <w:t>Informe sobre el estado de la causa relativa al atentado de la Embajada de Israel</w:t>
        </w:r>
      </w:hyperlink>
      <w:r w:rsidRPr="00D93236">
        <w:rPr>
          <w:rStyle w:val="Hyperlink"/>
          <w:rFonts w:asciiTheme="majorHAnsi" w:hAnsiTheme="majorHAnsi"/>
          <w:sz w:val="16"/>
          <w:szCs w:val="16"/>
          <w:lang w:val="es-US"/>
        </w:rPr>
        <w:t>”</w:t>
      </w:r>
      <w:r w:rsidRPr="00D93236">
        <w:rPr>
          <w:rFonts w:asciiTheme="majorHAnsi" w:hAnsiTheme="majorHAnsi"/>
          <w:sz w:val="16"/>
          <w:szCs w:val="16"/>
          <w:lang w:val="es-US"/>
        </w:rPr>
        <w:t>. 4 de marzo de 2015.</w:t>
      </w:r>
    </w:p>
  </w:footnote>
  <w:footnote w:id="76">
    <w:p w14:paraId="018CA58E" w14:textId="77777777" w:rsidR="005B3F8C" w:rsidRPr="00D93236" w:rsidRDefault="005B3F8C" w:rsidP="00E27260">
      <w:pPr>
        <w:pStyle w:val="Default"/>
        <w:jc w:val="both"/>
        <w:rPr>
          <w:rFonts w:asciiTheme="majorHAnsi" w:hAnsiTheme="majorHAnsi"/>
          <w:sz w:val="16"/>
          <w:szCs w:val="16"/>
          <w:lang w:val="es-US"/>
        </w:rPr>
      </w:pPr>
      <w:r w:rsidRPr="00D93236">
        <w:rPr>
          <w:rStyle w:val="FootnoteReference"/>
          <w:rFonts w:asciiTheme="majorHAnsi" w:eastAsia="Trebuchet MS" w:hAnsiTheme="majorHAnsi"/>
          <w:sz w:val="16"/>
          <w:szCs w:val="16"/>
        </w:rPr>
        <w:footnoteRef/>
      </w:r>
      <w:r w:rsidRPr="00D93236">
        <w:rPr>
          <w:rFonts w:asciiTheme="majorHAnsi" w:hAnsiTheme="majorHAnsi"/>
          <w:sz w:val="16"/>
          <w:szCs w:val="16"/>
          <w:lang w:val="es-US"/>
        </w:rPr>
        <w:t xml:space="preserve"> Al respecto la sentencia del TOF 3 explica “El deslinde entre las jurisdicciones de las comisarías 5ª y 7ª era, precisamente, la calle Pasteur, abarcando desde la línea de edificación hacia los fondos a la primera, mientras que la calle y la vereda se hallaban en la órbita de la segunda. Por tal motivo, la dotación del móvil estaba compuesta por policías de ambas dependencias; el chofer del móvil pertenecía a la comisaría 7ª mientras que el suboficial a cargo de la unidad revistaba en la otra dependencia”.</w:t>
      </w:r>
      <w:r>
        <w:rPr>
          <w:rFonts w:asciiTheme="majorHAnsi" w:hAnsiTheme="majorHAnsi"/>
          <w:sz w:val="16"/>
          <w:szCs w:val="16"/>
          <w:lang w:val="es-US"/>
        </w:rPr>
        <w:t xml:space="preserve"> Anexo 2.</w:t>
      </w:r>
      <w:r w:rsidRPr="00D93236">
        <w:rPr>
          <w:rFonts w:asciiTheme="majorHAnsi" w:hAnsiTheme="majorHAnsi"/>
          <w:sz w:val="16"/>
          <w:szCs w:val="16"/>
          <w:lang w:val="es-US"/>
        </w:rPr>
        <w:t xml:space="preserve"> </w:t>
      </w:r>
      <w:r w:rsidRPr="00D93236">
        <w:rPr>
          <w:rFonts w:asciiTheme="majorHAnsi" w:hAnsiTheme="majorHAnsi"/>
          <w:sz w:val="16"/>
          <w:szCs w:val="16"/>
          <w:lang w:val="es-AR"/>
        </w:rPr>
        <w:t>Sentencia del TOF 3. Capitulo V.A. pag 2358. Anexo 1 a la comunicación de la parte peticionaria de fecha 11 de noviembre de 2019.</w:t>
      </w:r>
    </w:p>
  </w:footnote>
  <w:footnote w:id="77">
    <w:p w14:paraId="0BB7E6AC" w14:textId="77777777" w:rsidR="005B3F8C" w:rsidRPr="00D93236" w:rsidRDefault="005B3F8C" w:rsidP="00B07258">
      <w:pPr>
        <w:pStyle w:val="FootnoteText"/>
        <w:jc w:val="both"/>
        <w:rPr>
          <w:rFonts w:asciiTheme="majorHAnsi" w:hAnsiTheme="majorHAnsi"/>
          <w:sz w:val="16"/>
          <w:szCs w:val="16"/>
          <w:lang w:val="es-US"/>
        </w:rPr>
      </w:pPr>
      <w:r w:rsidRPr="00D93236">
        <w:rPr>
          <w:rStyle w:val="FootnoteReference"/>
          <w:rFonts w:asciiTheme="majorHAnsi" w:hAnsiTheme="majorHAnsi"/>
          <w:sz w:val="16"/>
          <w:szCs w:val="16"/>
        </w:rPr>
        <w:footnoteRef/>
      </w:r>
      <w:r>
        <w:rPr>
          <w:rFonts w:asciiTheme="majorHAnsi" w:hAnsiTheme="majorHAnsi"/>
          <w:sz w:val="16"/>
          <w:szCs w:val="16"/>
          <w:lang w:val="es-AR"/>
        </w:rPr>
        <w:t xml:space="preserve">Anexo 2. </w:t>
      </w:r>
      <w:r w:rsidRPr="00D93236">
        <w:rPr>
          <w:rFonts w:asciiTheme="majorHAnsi" w:hAnsiTheme="majorHAnsi"/>
          <w:sz w:val="16"/>
          <w:szCs w:val="16"/>
          <w:lang w:val="es-AR"/>
        </w:rPr>
        <w:t>Sent</w:t>
      </w:r>
      <w:r>
        <w:rPr>
          <w:rFonts w:asciiTheme="majorHAnsi" w:hAnsiTheme="majorHAnsi"/>
          <w:sz w:val="16"/>
          <w:szCs w:val="16"/>
          <w:lang w:val="es-AR"/>
        </w:rPr>
        <w:t>encia del TOF 3. Capítulo V.A. P</w:t>
      </w:r>
      <w:r w:rsidRPr="00D93236">
        <w:rPr>
          <w:rFonts w:asciiTheme="majorHAnsi" w:hAnsiTheme="majorHAnsi"/>
          <w:sz w:val="16"/>
          <w:szCs w:val="16"/>
          <w:lang w:val="es-AR"/>
        </w:rPr>
        <w:t>ág. 2359. Anexo 1 a la comunicación de la parte peticionaria de fecha 11 de noviembre de 2019.</w:t>
      </w:r>
    </w:p>
  </w:footnote>
  <w:footnote w:id="78">
    <w:p w14:paraId="2918FCCC" w14:textId="77777777" w:rsidR="005B3F8C" w:rsidRPr="00D93236" w:rsidRDefault="005B3F8C" w:rsidP="008B6848">
      <w:pPr>
        <w:pStyle w:val="FootnoteText"/>
        <w:jc w:val="both"/>
        <w:rPr>
          <w:rFonts w:asciiTheme="majorHAnsi" w:hAnsiTheme="majorHAnsi"/>
          <w:sz w:val="16"/>
          <w:szCs w:val="16"/>
          <w:lang w:val="es-US"/>
        </w:rPr>
      </w:pPr>
      <w:r w:rsidRPr="00D93236">
        <w:rPr>
          <w:rStyle w:val="FootnoteReference"/>
          <w:rFonts w:asciiTheme="majorHAnsi" w:hAnsiTheme="majorHAnsi"/>
          <w:sz w:val="16"/>
          <w:szCs w:val="16"/>
        </w:rPr>
        <w:footnoteRef/>
      </w:r>
      <w:r>
        <w:rPr>
          <w:rFonts w:asciiTheme="majorHAnsi" w:hAnsiTheme="majorHAnsi"/>
          <w:sz w:val="16"/>
          <w:szCs w:val="16"/>
          <w:lang w:val="es-AR"/>
        </w:rPr>
        <w:t xml:space="preserve">Anexo 2. </w:t>
      </w:r>
      <w:r w:rsidRPr="00D93236">
        <w:rPr>
          <w:rFonts w:asciiTheme="majorHAnsi" w:hAnsiTheme="majorHAnsi"/>
          <w:sz w:val="16"/>
          <w:szCs w:val="16"/>
          <w:lang w:val="es-AR"/>
        </w:rPr>
        <w:t>Sentencia del TOF 3. Capítulo XIV</w:t>
      </w:r>
      <w:r>
        <w:rPr>
          <w:rFonts w:asciiTheme="majorHAnsi" w:hAnsiTheme="majorHAnsi"/>
          <w:sz w:val="16"/>
          <w:szCs w:val="16"/>
          <w:lang w:val="es-AR"/>
        </w:rPr>
        <w:t>. P</w:t>
      </w:r>
      <w:r w:rsidRPr="00D93236">
        <w:rPr>
          <w:rFonts w:asciiTheme="majorHAnsi" w:hAnsiTheme="majorHAnsi"/>
          <w:sz w:val="16"/>
          <w:szCs w:val="16"/>
          <w:lang w:val="es-AR"/>
        </w:rPr>
        <w:t>ág. 4593. Anexo 1 a la comunicación de la parte peticionaria de fecha 11 de noviembre de 2019.</w:t>
      </w:r>
    </w:p>
  </w:footnote>
  <w:footnote w:id="79">
    <w:p w14:paraId="3EA6F8CF" w14:textId="77777777" w:rsidR="005B3F8C" w:rsidRPr="00D93236" w:rsidRDefault="005B3F8C" w:rsidP="008B6848">
      <w:pPr>
        <w:pStyle w:val="FootnoteText"/>
        <w:jc w:val="both"/>
        <w:rPr>
          <w:rFonts w:asciiTheme="majorHAnsi" w:hAnsiTheme="majorHAnsi"/>
          <w:sz w:val="16"/>
          <w:szCs w:val="16"/>
          <w:lang w:val="es-US"/>
        </w:rPr>
      </w:pPr>
      <w:r w:rsidRPr="00D93236">
        <w:rPr>
          <w:rStyle w:val="FootnoteReference"/>
          <w:rFonts w:asciiTheme="majorHAnsi" w:hAnsiTheme="majorHAnsi"/>
          <w:sz w:val="16"/>
          <w:szCs w:val="16"/>
        </w:rPr>
        <w:footnoteRef/>
      </w:r>
      <w:r w:rsidRPr="00D93236">
        <w:rPr>
          <w:rFonts w:asciiTheme="majorHAnsi" w:hAnsiTheme="majorHAnsi"/>
          <w:sz w:val="16"/>
          <w:szCs w:val="16"/>
          <w:lang w:val="es-US"/>
        </w:rPr>
        <w:t xml:space="preserve"> </w:t>
      </w:r>
      <w:r>
        <w:rPr>
          <w:rFonts w:asciiTheme="majorHAnsi" w:hAnsiTheme="majorHAnsi"/>
          <w:sz w:val="16"/>
          <w:szCs w:val="16"/>
          <w:lang w:val="es-US"/>
        </w:rPr>
        <w:t xml:space="preserve">Anexo 2. </w:t>
      </w:r>
      <w:r w:rsidRPr="00D93236">
        <w:rPr>
          <w:rFonts w:asciiTheme="majorHAnsi" w:hAnsiTheme="majorHAnsi"/>
          <w:sz w:val="16"/>
          <w:szCs w:val="16"/>
          <w:lang w:val="es-AR"/>
        </w:rPr>
        <w:t>Sentencia del TOF 3. Capítu</w:t>
      </w:r>
      <w:r>
        <w:rPr>
          <w:rFonts w:asciiTheme="majorHAnsi" w:hAnsiTheme="majorHAnsi"/>
          <w:sz w:val="16"/>
          <w:szCs w:val="16"/>
          <w:lang w:val="es-AR"/>
        </w:rPr>
        <w:t>lo XIV. P</w:t>
      </w:r>
      <w:r w:rsidRPr="00D93236">
        <w:rPr>
          <w:rFonts w:asciiTheme="majorHAnsi" w:hAnsiTheme="majorHAnsi"/>
          <w:sz w:val="16"/>
          <w:szCs w:val="16"/>
          <w:lang w:val="es-AR"/>
        </w:rPr>
        <w:t>ág. 4593. Anexo 1 a la comunicación de la parte peticionaria de fecha 11 de noviembre de 2019.</w:t>
      </w:r>
    </w:p>
  </w:footnote>
  <w:footnote w:id="80">
    <w:p w14:paraId="26A40577" w14:textId="77777777" w:rsidR="005B3F8C" w:rsidRPr="00D93236" w:rsidRDefault="005B3F8C" w:rsidP="008B6848">
      <w:pPr>
        <w:pStyle w:val="FootnoteText"/>
        <w:jc w:val="both"/>
        <w:rPr>
          <w:rFonts w:asciiTheme="majorHAnsi" w:hAnsiTheme="majorHAnsi"/>
          <w:sz w:val="16"/>
          <w:szCs w:val="16"/>
          <w:lang w:val="es-US"/>
        </w:rPr>
      </w:pPr>
      <w:r w:rsidRPr="00D93236">
        <w:rPr>
          <w:rStyle w:val="FootnoteReference"/>
          <w:rFonts w:asciiTheme="majorHAnsi" w:hAnsiTheme="majorHAnsi"/>
          <w:sz w:val="16"/>
          <w:szCs w:val="16"/>
        </w:rPr>
        <w:footnoteRef/>
      </w:r>
      <w:r w:rsidRPr="00D93236">
        <w:rPr>
          <w:rFonts w:asciiTheme="majorHAnsi" w:hAnsiTheme="majorHAnsi"/>
          <w:sz w:val="16"/>
          <w:szCs w:val="16"/>
          <w:lang w:val="es-US"/>
        </w:rPr>
        <w:t xml:space="preserve"> </w:t>
      </w:r>
      <w:r>
        <w:rPr>
          <w:rFonts w:asciiTheme="majorHAnsi" w:hAnsiTheme="majorHAnsi"/>
          <w:sz w:val="16"/>
          <w:szCs w:val="16"/>
          <w:lang w:val="es-US"/>
        </w:rPr>
        <w:t xml:space="preserve">Anexo 2. </w:t>
      </w:r>
      <w:r w:rsidRPr="00D93236">
        <w:rPr>
          <w:rFonts w:asciiTheme="majorHAnsi" w:hAnsiTheme="majorHAnsi"/>
          <w:sz w:val="16"/>
          <w:szCs w:val="16"/>
          <w:lang w:val="es-AR"/>
        </w:rPr>
        <w:t>Sentencia del TOF 3. Capítulo VI, pag 2642. Anexo 1 a la comunicación de la parte peticionaria de fecha 11 de noviembre de 2019.</w:t>
      </w:r>
    </w:p>
  </w:footnote>
  <w:footnote w:id="81">
    <w:p w14:paraId="7D72635E" w14:textId="77777777" w:rsidR="005B3F8C" w:rsidRPr="00D93236" w:rsidRDefault="005B3F8C" w:rsidP="008B6848">
      <w:pPr>
        <w:pStyle w:val="FootnoteText"/>
        <w:jc w:val="both"/>
        <w:rPr>
          <w:rFonts w:asciiTheme="majorHAnsi" w:hAnsiTheme="majorHAnsi"/>
          <w:sz w:val="16"/>
          <w:szCs w:val="16"/>
          <w:lang w:val="es-US"/>
        </w:rPr>
      </w:pPr>
      <w:r w:rsidRPr="00D93236">
        <w:rPr>
          <w:rStyle w:val="FootnoteReference"/>
          <w:rFonts w:asciiTheme="majorHAnsi" w:hAnsiTheme="majorHAnsi"/>
          <w:sz w:val="16"/>
          <w:szCs w:val="16"/>
        </w:rPr>
        <w:footnoteRef/>
      </w:r>
      <w:r w:rsidRPr="00D93236">
        <w:rPr>
          <w:rFonts w:asciiTheme="majorHAnsi" w:hAnsiTheme="majorHAnsi"/>
          <w:sz w:val="16"/>
          <w:szCs w:val="16"/>
          <w:lang w:val="es-US"/>
        </w:rPr>
        <w:t xml:space="preserve"> </w:t>
      </w:r>
      <w:r>
        <w:rPr>
          <w:rFonts w:asciiTheme="majorHAnsi" w:hAnsiTheme="majorHAnsi"/>
          <w:sz w:val="16"/>
          <w:szCs w:val="16"/>
          <w:lang w:val="es-US"/>
        </w:rPr>
        <w:t xml:space="preserve">Anexo 2. </w:t>
      </w:r>
      <w:r w:rsidRPr="00D93236">
        <w:rPr>
          <w:rFonts w:asciiTheme="majorHAnsi" w:hAnsiTheme="majorHAnsi"/>
          <w:sz w:val="16"/>
          <w:szCs w:val="16"/>
          <w:lang w:val="es-AR"/>
        </w:rPr>
        <w:t>Sentencia del TOF 3. Capítulo VI, pag 2648. Anexo 1 a la comunicación de la parte peticionaria de fecha 11 de noviembre de 2019.</w:t>
      </w:r>
    </w:p>
  </w:footnote>
  <w:footnote w:id="82">
    <w:p w14:paraId="285B15BF" w14:textId="77777777" w:rsidR="005B3F8C" w:rsidRPr="00D93236" w:rsidRDefault="005B3F8C" w:rsidP="008B6848">
      <w:pPr>
        <w:pStyle w:val="FootnoteText"/>
        <w:jc w:val="both"/>
        <w:rPr>
          <w:rFonts w:asciiTheme="majorHAnsi" w:hAnsiTheme="majorHAnsi"/>
          <w:sz w:val="16"/>
          <w:szCs w:val="16"/>
          <w:lang w:val="es-US"/>
        </w:rPr>
      </w:pPr>
      <w:r w:rsidRPr="00D93236">
        <w:rPr>
          <w:rStyle w:val="FootnoteReference"/>
          <w:rFonts w:asciiTheme="majorHAnsi" w:hAnsiTheme="majorHAnsi"/>
          <w:sz w:val="16"/>
          <w:szCs w:val="16"/>
        </w:rPr>
        <w:footnoteRef/>
      </w:r>
      <w:r w:rsidRPr="00D93236">
        <w:rPr>
          <w:rFonts w:asciiTheme="majorHAnsi" w:hAnsiTheme="majorHAnsi"/>
          <w:sz w:val="16"/>
          <w:szCs w:val="16"/>
          <w:lang w:val="es-US"/>
        </w:rPr>
        <w:t xml:space="preserve"> </w:t>
      </w:r>
      <w:r>
        <w:rPr>
          <w:rFonts w:asciiTheme="majorHAnsi" w:hAnsiTheme="majorHAnsi"/>
          <w:sz w:val="16"/>
          <w:szCs w:val="16"/>
          <w:lang w:val="es-US"/>
        </w:rPr>
        <w:t xml:space="preserve">Anexo 2. </w:t>
      </w:r>
      <w:r w:rsidRPr="00D93236">
        <w:rPr>
          <w:rFonts w:asciiTheme="majorHAnsi" w:hAnsiTheme="majorHAnsi"/>
          <w:sz w:val="16"/>
          <w:szCs w:val="16"/>
          <w:lang w:val="es-AR"/>
        </w:rPr>
        <w:t>Sentencia del TOF 3. Capítulo V.A, pag 2360 y 2361. Anexo 1 a la comunicación de la parte peticionaria de fecha 11 de noviembre de 2019.</w:t>
      </w:r>
    </w:p>
  </w:footnote>
  <w:footnote w:id="83">
    <w:p w14:paraId="495DF8F5" w14:textId="77777777" w:rsidR="005B3F8C" w:rsidRPr="00D93236" w:rsidRDefault="005B3F8C" w:rsidP="008B6848">
      <w:pPr>
        <w:pStyle w:val="FootnoteText"/>
        <w:jc w:val="both"/>
        <w:rPr>
          <w:rFonts w:asciiTheme="majorHAnsi" w:hAnsiTheme="majorHAnsi"/>
          <w:sz w:val="16"/>
          <w:szCs w:val="16"/>
          <w:lang w:val="es-US"/>
        </w:rPr>
      </w:pPr>
      <w:r w:rsidRPr="00D93236">
        <w:rPr>
          <w:rStyle w:val="FootnoteReference"/>
          <w:rFonts w:asciiTheme="majorHAnsi" w:hAnsiTheme="majorHAnsi"/>
          <w:sz w:val="16"/>
          <w:szCs w:val="16"/>
        </w:rPr>
        <w:footnoteRef/>
      </w:r>
      <w:r w:rsidRPr="00D93236">
        <w:rPr>
          <w:rFonts w:asciiTheme="majorHAnsi" w:hAnsiTheme="majorHAnsi"/>
          <w:sz w:val="16"/>
          <w:szCs w:val="16"/>
          <w:lang w:val="es-US"/>
        </w:rPr>
        <w:t xml:space="preserve"> </w:t>
      </w:r>
      <w:r>
        <w:rPr>
          <w:rFonts w:asciiTheme="majorHAnsi" w:hAnsiTheme="majorHAnsi"/>
          <w:sz w:val="16"/>
          <w:szCs w:val="16"/>
          <w:lang w:val="es-US"/>
        </w:rPr>
        <w:t xml:space="preserve">Anexo 1. </w:t>
      </w:r>
      <w:r w:rsidRPr="00D93236">
        <w:rPr>
          <w:rFonts w:asciiTheme="majorHAnsi" w:hAnsiTheme="majorHAnsi"/>
          <w:sz w:val="16"/>
          <w:szCs w:val="16"/>
          <w:lang w:val="es-AR"/>
        </w:rPr>
        <w:t>Informe Grossman. Págs. 3. Anexo 5 a la comunicación de la parte peticionaria de fecha 11 de noviembre de 2019.</w:t>
      </w:r>
    </w:p>
  </w:footnote>
  <w:footnote w:id="84">
    <w:p w14:paraId="3524AE2A" w14:textId="77777777" w:rsidR="005B3F8C" w:rsidRPr="00D93236" w:rsidRDefault="005B3F8C" w:rsidP="008B6848">
      <w:pPr>
        <w:pStyle w:val="FootnoteText"/>
        <w:jc w:val="both"/>
        <w:rPr>
          <w:rFonts w:asciiTheme="majorHAnsi" w:hAnsiTheme="majorHAnsi"/>
          <w:sz w:val="16"/>
          <w:szCs w:val="16"/>
          <w:lang w:val="es-US"/>
        </w:rPr>
      </w:pPr>
      <w:r w:rsidRPr="00D93236">
        <w:rPr>
          <w:rStyle w:val="FootnoteReference"/>
          <w:rFonts w:asciiTheme="majorHAnsi" w:hAnsiTheme="majorHAnsi"/>
          <w:sz w:val="16"/>
          <w:szCs w:val="16"/>
        </w:rPr>
        <w:footnoteRef/>
      </w:r>
      <w:r w:rsidRPr="00D93236">
        <w:rPr>
          <w:rFonts w:asciiTheme="majorHAnsi" w:hAnsiTheme="majorHAnsi"/>
          <w:sz w:val="16"/>
          <w:szCs w:val="16"/>
          <w:lang w:val="es-AR"/>
        </w:rPr>
        <w:t xml:space="preserve"> </w:t>
      </w:r>
      <w:r>
        <w:rPr>
          <w:rFonts w:asciiTheme="majorHAnsi" w:hAnsiTheme="majorHAnsi"/>
          <w:sz w:val="16"/>
          <w:szCs w:val="16"/>
          <w:lang w:val="es-AR"/>
        </w:rPr>
        <w:t xml:space="preserve">Anexo 1. </w:t>
      </w:r>
      <w:r w:rsidRPr="00D93236">
        <w:rPr>
          <w:rFonts w:asciiTheme="majorHAnsi" w:hAnsiTheme="majorHAnsi"/>
          <w:sz w:val="16"/>
          <w:szCs w:val="16"/>
          <w:lang w:val="es-AR"/>
        </w:rPr>
        <w:t>Informe Grossman. Págs. 3. Anexo 5 a la comunicación de la parte peticionaria de fecha 11 de noviembre de 2019.</w:t>
      </w:r>
    </w:p>
  </w:footnote>
  <w:footnote w:id="85">
    <w:p w14:paraId="5B3A4EF5" w14:textId="77777777" w:rsidR="005B3F8C" w:rsidRPr="00D93236" w:rsidRDefault="005B3F8C" w:rsidP="008B6848">
      <w:pPr>
        <w:pStyle w:val="FootnoteText"/>
        <w:jc w:val="both"/>
        <w:rPr>
          <w:rFonts w:asciiTheme="majorHAnsi" w:hAnsiTheme="majorHAnsi"/>
          <w:sz w:val="16"/>
          <w:szCs w:val="16"/>
          <w:lang w:val="es-US"/>
        </w:rPr>
      </w:pPr>
      <w:r w:rsidRPr="00D93236">
        <w:rPr>
          <w:rStyle w:val="FootnoteReference"/>
          <w:rFonts w:asciiTheme="majorHAnsi" w:hAnsiTheme="majorHAnsi"/>
          <w:sz w:val="16"/>
          <w:szCs w:val="16"/>
        </w:rPr>
        <w:footnoteRef/>
      </w:r>
      <w:r w:rsidRPr="00D93236">
        <w:rPr>
          <w:rFonts w:asciiTheme="majorHAnsi" w:hAnsiTheme="majorHAnsi"/>
          <w:sz w:val="16"/>
          <w:szCs w:val="16"/>
          <w:lang w:val="es-US"/>
        </w:rPr>
        <w:t xml:space="preserve"> </w:t>
      </w:r>
      <w:r>
        <w:rPr>
          <w:rFonts w:asciiTheme="majorHAnsi" w:hAnsiTheme="majorHAnsi"/>
          <w:sz w:val="16"/>
          <w:szCs w:val="16"/>
          <w:lang w:val="es-US"/>
        </w:rPr>
        <w:t xml:space="preserve">Comunicación de la parte peticionaria de fecha </w:t>
      </w:r>
      <w:r w:rsidRPr="00D93236">
        <w:rPr>
          <w:rFonts w:asciiTheme="majorHAnsi" w:hAnsiTheme="majorHAnsi"/>
          <w:sz w:val="16"/>
          <w:szCs w:val="16"/>
          <w:lang w:val="es-US"/>
        </w:rPr>
        <w:t>11 de noviembre de 2019. Página 105.</w:t>
      </w:r>
    </w:p>
  </w:footnote>
  <w:footnote w:id="86">
    <w:p w14:paraId="66F3F4B4" w14:textId="77777777" w:rsidR="005B3F8C" w:rsidRPr="00D93236" w:rsidRDefault="005B3F8C" w:rsidP="008B6848">
      <w:pPr>
        <w:pStyle w:val="FootnoteText"/>
        <w:jc w:val="both"/>
        <w:rPr>
          <w:rFonts w:asciiTheme="majorHAnsi" w:hAnsiTheme="majorHAnsi"/>
          <w:sz w:val="16"/>
          <w:szCs w:val="16"/>
          <w:lang w:val="es-US"/>
        </w:rPr>
      </w:pPr>
      <w:r w:rsidRPr="00D93236">
        <w:rPr>
          <w:rStyle w:val="FootnoteReference"/>
          <w:rFonts w:asciiTheme="majorHAnsi" w:hAnsiTheme="majorHAnsi"/>
          <w:sz w:val="16"/>
          <w:szCs w:val="16"/>
        </w:rPr>
        <w:footnoteRef/>
      </w:r>
      <w:r>
        <w:rPr>
          <w:rFonts w:asciiTheme="majorHAnsi" w:hAnsiTheme="majorHAnsi"/>
          <w:sz w:val="16"/>
          <w:szCs w:val="16"/>
          <w:lang w:val="es-US"/>
        </w:rPr>
        <w:t xml:space="preserve"> Comunicación de la parte peticionaria de fecha</w:t>
      </w:r>
      <w:r w:rsidRPr="00D93236">
        <w:rPr>
          <w:rFonts w:asciiTheme="majorHAnsi" w:hAnsiTheme="majorHAnsi"/>
          <w:sz w:val="16"/>
          <w:szCs w:val="16"/>
          <w:lang w:val="es-US"/>
        </w:rPr>
        <w:t xml:space="preserve"> 11 de noviembre de 2019. Página 105.</w:t>
      </w:r>
    </w:p>
  </w:footnote>
  <w:footnote w:id="87">
    <w:p w14:paraId="37FF8637" w14:textId="77777777" w:rsidR="005B3F8C" w:rsidRPr="00D93236" w:rsidRDefault="005B3F8C" w:rsidP="00E27260">
      <w:pPr>
        <w:jc w:val="both"/>
        <w:rPr>
          <w:rFonts w:asciiTheme="majorHAnsi" w:hAnsiTheme="majorHAnsi"/>
          <w:sz w:val="16"/>
          <w:szCs w:val="16"/>
          <w:lang w:val="es-ES"/>
        </w:rPr>
      </w:pPr>
      <w:r w:rsidRPr="00D93236">
        <w:rPr>
          <w:rStyle w:val="FootnoteReference"/>
          <w:rFonts w:asciiTheme="majorHAnsi" w:hAnsiTheme="majorHAnsi"/>
          <w:sz w:val="16"/>
          <w:szCs w:val="16"/>
          <w:lang w:val="es-ES"/>
        </w:rPr>
        <w:footnoteRef/>
      </w:r>
      <w:r w:rsidRPr="00D93236">
        <w:rPr>
          <w:rFonts w:asciiTheme="majorHAnsi" w:hAnsiTheme="majorHAnsi"/>
          <w:sz w:val="16"/>
          <w:szCs w:val="16"/>
          <w:lang w:val="es-ES"/>
        </w:rPr>
        <w:t xml:space="preserve"> Naciones Unidas. Informe del Relator Especial sobre la promoción y la protección de los derechos humanos y las libertades fundamentales en la lucha contra el terrorismo, Ben Emmerson Principios marco para asegurar los derechos humanos de las víctimas del terrorismo*. 4 de junio de 2012. </w:t>
      </w:r>
      <w:hyperlink r:id="rId17" w:history="1">
        <w:r w:rsidRPr="00D93236">
          <w:rPr>
            <w:rStyle w:val="Hyperlink"/>
            <w:rFonts w:asciiTheme="majorHAnsi" w:hAnsiTheme="majorHAnsi"/>
            <w:sz w:val="16"/>
            <w:szCs w:val="16"/>
            <w:lang w:val="es-ES"/>
          </w:rPr>
          <w:t>A/HRC/20/14</w:t>
        </w:r>
      </w:hyperlink>
      <w:r w:rsidRPr="00D93236">
        <w:rPr>
          <w:rFonts w:asciiTheme="majorHAnsi" w:hAnsiTheme="majorHAnsi"/>
          <w:sz w:val="16"/>
          <w:szCs w:val="16"/>
          <w:lang w:val="es-ES"/>
        </w:rPr>
        <w:t xml:space="preserve">, Párr. 18. </w:t>
      </w:r>
    </w:p>
  </w:footnote>
  <w:footnote w:id="88">
    <w:p w14:paraId="60CCCA3D" w14:textId="77777777" w:rsidR="005B3F8C" w:rsidRPr="00D93236" w:rsidRDefault="005B3F8C" w:rsidP="00E27260">
      <w:pPr>
        <w:pStyle w:val="FootnoteText"/>
        <w:jc w:val="both"/>
        <w:rPr>
          <w:rFonts w:asciiTheme="majorHAnsi" w:hAnsiTheme="majorHAnsi"/>
          <w:sz w:val="16"/>
          <w:szCs w:val="16"/>
          <w:lang w:val="es-US"/>
        </w:rPr>
      </w:pPr>
      <w:r w:rsidRPr="00D93236">
        <w:rPr>
          <w:rStyle w:val="FootnoteReference"/>
          <w:rFonts w:asciiTheme="majorHAnsi" w:hAnsiTheme="majorHAnsi"/>
          <w:sz w:val="16"/>
          <w:szCs w:val="16"/>
        </w:rPr>
        <w:footnoteRef/>
      </w:r>
      <w:r w:rsidRPr="00D93236">
        <w:rPr>
          <w:rFonts w:asciiTheme="majorHAnsi" w:hAnsiTheme="majorHAnsi"/>
          <w:sz w:val="16"/>
          <w:szCs w:val="16"/>
          <w:lang w:val="es-US"/>
        </w:rPr>
        <w:t xml:space="preserve"> </w:t>
      </w:r>
      <w:r>
        <w:rPr>
          <w:rFonts w:asciiTheme="majorHAnsi" w:hAnsiTheme="majorHAnsi"/>
          <w:sz w:val="16"/>
          <w:szCs w:val="16"/>
          <w:lang w:val="es-US"/>
        </w:rPr>
        <w:t xml:space="preserve">Anexo 2. </w:t>
      </w:r>
      <w:r w:rsidRPr="00D93236">
        <w:rPr>
          <w:rFonts w:asciiTheme="majorHAnsi" w:hAnsiTheme="majorHAnsi"/>
          <w:sz w:val="16"/>
          <w:szCs w:val="16"/>
          <w:lang w:val="es-AR"/>
        </w:rPr>
        <w:t>Sentencia del TOF 3. Capítulo XV pag 4599. Anexo 1 a la comunicación de la parte peticionaria de fecha 11 de noviembre de 2019.</w:t>
      </w:r>
    </w:p>
  </w:footnote>
  <w:footnote w:id="89">
    <w:p w14:paraId="2B777355" w14:textId="77777777" w:rsidR="005B3F8C" w:rsidRPr="00D93236" w:rsidRDefault="005B3F8C" w:rsidP="00E27260">
      <w:pPr>
        <w:pStyle w:val="FootnoteText"/>
        <w:jc w:val="both"/>
        <w:rPr>
          <w:rFonts w:asciiTheme="majorHAnsi" w:hAnsiTheme="majorHAnsi"/>
          <w:sz w:val="16"/>
          <w:szCs w:val="16"/>
          <w:lang w:val="es-US"/>
        </w:rPr>
      </w:pPr>
      <w:r w:rsidRPr="00D93236">
        <w:rPr>
          <w:rStyle w:val="FootnoteReference"/>
          <w:rFonts w:asciiTheme="majorHAnsi" w:hAnsiTheme="majorHAnsi"/>
          <w:sz w:val="16"/>
          <w:szCs w:val="16"/>
        </w:rPr>
        <w:footnoteRef/>
      </w:r>
      <w:r>
        <w:rPr>
          <w:rFonts w:asciiTheme="majorHAnsi" w:hAnsiTheme="majorHAnsi"/>
          <w:sz w:val="16"/>
          <w:szCs w:val="16"/>
          <w:lang w:val="es-US"/>
        </w:rPr>
        <w:t xml:space="preserve">Anexo 2. </w:t>
      </w:r>
      <w:r w:rsidRPr="00D93236">
        <w:rPr>
          <w:rFonts w:asciiTheme="majorHAnsi" w:hAnsiTheme="majorHAnsi"/>
          <w:sz w:val="16"/>
          <w:szCs w:val="16"/>
          <w:lang w:val="es-AR"/>
        </w:rPr>
        <w:t>Sentencia del TOF 3. Capítulo XV, pag 4598. Anexo 1 a la comunicación de la parte peticionaria de fecha 11 de noviembre de 2019.</w:t>
      </w:r>
    </w:p>
  </w:footnote>
  <w:footnote w:id="90">
    <w:p w14:paraId="2090504F" w14:textId="77777777" w:rsidR="005B3F8C" w:rsidRPr="00D93236" w:rsidRDefault="005B3F8C" w:rsidP="00E27260">
      <w:pPr>
        <w:pStyle w:val="FootnoteText"/>
        <w:jc w:val="both"/>
        <w:rPr>
          <w:rFonts w:asciiTheme="majorHAnsi" w:hAnsiTheme="majorHAnsi"/>
          <w:sz w:val="16"/>
          <w:szCs w:val="16"/>
          <w:lang w:val="es-US"/>
        </w:rPr>
      </w:pPr>
      <w:r w:rsidRPr="00D93236">
        <w:rPr>
          <w:rStyle w:val="FootnoteReference"/>
          <w:rFonts w:asciiTheme="majorHAnsi" w:hAnsiTheme="majorHAnsi"/>
          <w:sz w:val="16"/>
          <w:szCs w:val="16"/>
        </w:rPr>
        <w:footnoteRef/>
      </w:r>
      <w:r>
        <w:rPr>
          <w:rFonts w:asciiTheme="majorHAnsi" w:hAnsiTheme="majorHAnsi"/>
          <w:sz w:val="16"/>
          <w:szCs w:val="16"/>
          <w:lang w:val="es-US"/>
        </w:rPr>
        <w:t xml:space="preserve"> Anexo 2.</w:t>
      </w:r>
      <w:r w:rsidRPr="00D93236">
        <w:rPr>
          <w:rFonts w:asciiTheme="majorHAnsi" w:hAnsiTheme="majorHAnsi"/>
          <w:sz w:val="16"/>
          <w:szCs w:val="16"/>
          <w:lang w:val="es-US"/>
        </w:rPr>
        <w:t xml:space="preserve"> </w:t>
      </w:r>
      <w:r w:rsidRPr="00D93236">
        <w:rPr>
          <w:rFonts w:asciiTheme="majorHAnsi" w:hAnsiTheme="majorHAnsi"/>
          <w:sz w:val="16"/>
          <w:szCs w:val="16"/>
          <w:lang w:val="es-AR"/>
        </w:rPr>
        <w:t>Sentencia del TOF 3. Cap V, pag 2356. Anexo 1 a la comunicación de la parte peticionaria de fecha 11 de noviembre de 2019.</w:t>
      </w:r>
    </w:p>
  </w:footnote>
  <w:footnote w:id="91">
    <w:p w14:paraId="5B65A4AA" w14:textId="77777777" w:rsidR="005B3F8C" w:rsidRPr="00D93236" w:rsidRDefault="005B3F8C" w:rsidP="00E27260">
      <w:pPr>
        <w:pStyle w:val="FootnoteText"/>
        <w:jc w:val="both"/>
        <w:rPr>
          <w:rFonts w:asciiTheme="majorHAnsi" w:hAnsiTheme="majorHAnsi"/>
          <w:sz w:val="16"/>
          <w:szCs w:val="16"/>
          <w:lang w:val="es-US"/>
        </w:rPr>
      </w:pPr>
      <w:r w:rsidRPr="00D93236">
        <w:rPr>
          <w:rStyle w:val="FootnoteReference"/>
          <w:rFonts w:asciiTheme="majorHAnsi" w:hAnsiTheme="majorHAnsi"/>
          <w:sz w:val="16"/>
          <w:szCs w:val="16"/>
        </w:rPr>
        <w:footnoteRef/>
      </w:r>
      <w:r w:rsidRPr="00D93236">
        <w:rPr>
          <w:rFonts w:asciiTheme="majorHAnsi" w:hAnsiTheme="majorHAnsi"/>
          <w:sz w:val="16"/>
          <w:szCs w:val="16"/>
          <w:lang w:val="es-US"/>
        </w:rPr>
        <w:t xml:space="preserve"> </w:t>
      </w:r>
      <w:r>
        <w:rPr>
          <w:rFonts w:asciiTheme="majorHAnsi" w:hAnsiTheme="majorHAnsi"/>
          <w:sz w:val="16"/>
          <w:szCs w:val="16"/>
          <w:lang w:val="es-US"/>
        </w:rPr>
        <w:t xml:space="preserve">Anexo 2. </w:t>
      </w:r>
      <w:r w:rsidRPr="00D93236">
        <w:rPr>
          <w:rFonts w:asciiTheme="majorHAnsi" w:hAnsiTheme="majorHAnsi"/>
          <w:sz w:val="16"/>
          <w:szCs w:val="16"/>
          <w:lang w:val="es-AR"/>
        </w:rPr>
        <w:t>Sentencia del TOF 3. Capítulo XIV, pag 4596. Anexo 1 a la comunicación de la parte peticionaria de fecha 11 de noviembre de 2019.</w:t>
      </w:r>
    </w:p>
  </w:footnote>
  <w:footnote w:id="92">
    <w:p w14:paraId="656AEFE9" w14:textId="77777777" w:rsidR="005B3F8C" w:rsidRPr="00D93236" w:rsidRDefault="005B3F8C" w:rsidP="00E27260">
      <w:pPr>
        <w:pStyle w:val="FootnoteText"/>
        <w:jc w:val="both"/>
        <w:rPr>
          <w:rFonts w:asciiTheme="majorHAnsi" w:hAnsiTheme="majorHAnsi"/>
          <w:sz w:val="16"/>
          <w:szCs w:val="16"/>
          <w:lang w:val="es-US"/>
        </w:rPr>
      </w:pPr>
      <w:r w:rsidRPr="00D93236">
        <w:rPr>
          <w:rStyle w:val="FootnoteReference"/>
          <w:rFonts w:asciiTheme="majorHAnsi" w:hAnsiTheme="majorHAnsi"/>
          <w:sz w:val="16"/>
          <w:szCs w:val="16"/>
        </w:rPr>
        <w:footnoteRef/>
      </w:r>
      <w:r w:rsidRPr="00D93236">
        <w:rPr>
          <w:rFonts w:asciiTheme="majorHAnsi" w:hAnsiTheme="majorHAnsi"/>
          <w:sz w:val="16"/>
          <w:szCs w:val="16"/>
          <w:lang w:val="es-US"/>
        </w:rPr>
        <w:t xml:space="preserve"> </w:t>
      </w:r>
      <w:r>
        <w:rPr>
          <w:rFonts w:asciiTheme="majorHAnsi" w:hAnsiTheme="majorHAnsi"/>
          <w:sz w:val="16"/>
          <w:szCs w:val="16"/>
          <w:lang w:val="es-US"/>
        </w:rPr>
        <w:t xml:space="preserve">Anexo 2. </w:t>
      </w:r>
      <w:r w:rsidRPr="00D93236">
        <w:rPr>
          <w:rFonts w:asciiTheme="majorHAnsi" w:hAnsiTheme="majorHAnsi"/>
          <w:sz w:val="16"/>
          <w:szCs w:val="16"/>
          <w:lang w:val="es-AR"/>
        </w:rPr>
        <w:t>Sentencia del TOF 3. Capítulo VI, pag 2650. Anexo 1 a la comunicación de la parte peticionaria de fecha 11 de noviembre de 2019.</w:t>
      </w:r>
    </w:p>
  </w:footnote>
  <w:footnote w:id="93">
    <w:p w14:paraId="5282BBE6" w14:textId="77777777" w:rsidR="005B3F8C" w:rsidRPr="00D93236" w:rsidRDefault="005B3F8C" w:rsidP="00E27260">
      <w:pPr>
        <w:jc w:val="both"/>
        <w:rPr>
          <w:rFonts w:asciiTheme="majorHAnsi" w:hAnsiTheme="majorHAnsi"/>
          <w:sz w:val="16"/>
          <w:szCs w:val="16"/>
          <w:lang w:val="es-US"/>
        </w:rPr>
      </w:pPr>
      <w:r w:rsidRPr="00D93236">
        <w:rPr>
          <w:rStyle w:val="FootnoteReference"/>
          <w:rFonts w:asciiTheme="majorHAnsi" w:hAnsiTheme="majorHAnsi"/>
          <w:sz w:val="16"/>
          <w:szCs w:val="16"/>
        </w:rPr>
        <w:footnoteRef/>
      </w:r>
      <w:r w:rsidRPr="00D93236">
        <w:rPr>
          <w:rFonts w:asciiTheme="majorHAnsi" w:hAnsiTheme="majorHAnsi"/>
          <w:sz w:val="16"/>
          <w:szCs w:val="16"/>
          <w:lang w:val="es-US"/>
        </w:rPr>
        <w:t xml:space="preserve"> AMIA Comunidad Judía. Al respecto ver: </w:t>
      </w:r>
      <w:hyperlink r:id="rId18" w:history="1">
        <w:r w:rsidRPr="00D93236">
          <w:rPr>
            <w:rStyle w:val="Hyperlink"/>
            <w:rFonts w:asciiTheme="majorHAnsi" w:hAnsiTheme="majorHAnsi"/>
            <w:sz w:val="16"/>
            <w:szCs w:val="16"/>
            <w:lang w:val="es-US"/>
          </w:rPr>
          <w:t>https://www.amia.org.ar/mision-vision-y-valores/</w:t>
        </w:r>
      </w:hyperlink>
    </w:p>
  </w:footnote>
  <w:footnote w:id="94">
    <w:p w14:paraId="7C6F42DD" w14:textId="77777777" w:rsidR="005B3F8C" w:rsidRPr="00D93236" w:rsidRDefault="005B3F8C" w:rsidP="00E27260">
      <w:pPr>
        <w:jc w:val="both"/>
        <w:rPr>
          <w:rFonts w:asciiTheme="majorHAnsi" w:hAnsiTheme="majorHAnsi"/>
          <w:sz w:val="16"/>
          <w:szCs w:val="16"/>
          <w:lang w:val="es-US"/>
        </w:rPr>
      </w:pPr>
      <w:r w:rsidRPr="00D93236">
        <w:rPr>
          <w:rStyle w:val="FootnoteReference"/>
          <w:rFonts w:asciiTheme="majorHAnsi" w:hAnsiTheme="majorHAnsi"/>
          <w:sz w:val="16"/>
          <w:szCs w:val="16"/>
        </w:rPr>
        <w:footnoteRef/>
      </w:r>
      <w:r w:rsidRPr="00D93236">
        <w:rPr>
          <w:rFonts w:asciiTheme="majorHAnsi" w:hAnsiTheme="majorHAnsi"/>
          <w:sz w:val="16"/>
          <w:szCs w:val="16"/>
          <w:lang w:val="es-US"/>
        </w:rPr>
        <w:t xml:space="preserve"> Delegación de Asociaciones Israelitas Argentinas. Al respecto, ver: </w:t>
      </w:r>
      <w:hyperlink r:id="rId19" w:history="1">
        <w:r w:rsidRPr="00D93236">
          <w:rPr>
            <w:rStyle w:val="Hyperlink"/>
            <w:rFonts w:asciiTheme="majorHAnsi" w:hAnsiTheme="majorHAnsi"/>
            <w:sz w:val="16"/>
            <w:szCs w:val="16"/>
            <w:lang w:val="es-US"/>
          </w:rPr>
          <w:t>http://www.daia.org.ar/la-daia/</w:t>
        </w:r>
      </w:hyperlink>
    </w:p>
  </w:footnote>
  <w:footnote w:id="95">
    <w:p w14:paraId="53651018" w14:textId="77777777" w:rsidR="005B3F8C" w:rsidRPr="00D93236" w:rsidRDefault="005B3F8C" w:rsidP="00E27260">
      <w:pPr>
        <w:pStyle w:val="FootnoteText"/>
        <w:jc w:val="both"/>
        <w:rPr>
          <w:rFonts w:asciiTheme="majorHAnsi" w:hAnsiTheme="majorHAnsi"/>
          <w:sz w:val="16"/>
          <w:szCs w:val="16"/>
          <w:lang w:val="es-US"/>
        </w:rPr>
      </w:pPr>
      <w:r w:rsidRPr="00D93236">
        <w:rPr>
          <w:rStyle w:val="FootnoteReference"/>
          <w:rFonts w:asciiTheme="majorHAnsi" w:hAnsiTheme="majorHAnsi"/>
          <w:sz w:val="16"/>
          <w:szCs w:val="16"/>
        </w:rPr>
        <w:footnoteRef/>
      </w:r>
      <w:r w:rsidRPr="00D93236">
        <w:rPr>
          <w:rFonts w:asciiTheme="majorHAnsi" w:hAnsiTheme="majorHAnsi"/>
          <w:sz w:val="16"/>
          <w:szCs w:val="16"/>
          <w:lang w:val="es-US"/>
        </w:rPr>
        <w:t xml:space="preserve"> Corte IDH. </w:t>
      </w:r>
      <w:r w:rsidRPr="00D93236">
        <w:rPr>
          <w:rFonts w:asciiTheme="majorHAnsi" w:hAnsiTheme="majorHAnsi"/>
          <w:i/>
          <w:sz w:val="16"/>
          <w:szCs w:val="16"/>
          <w:lang w:val="es-US"/>
        </w:rPr>
        <w:t>Identidad de género, e igualdad y no discriminación a parejas del mismo sexo. Obligaciones estatales en relación con el cambio de nombre, la identidad de género, y los derechos derivados de un vínculo entre parejas del mismo sexo (interpretación y alcance de los artículos 1.1, 3, 7, 11.2, 13, 17, 18 y 24, en relación con el artículo 1 de la Convención Americana sobre Derechos Humanos).</w:t>
      </w:r>
      <w:r w:rsidRPr="00D93236">
        <w:rPr>
          <w:rFonts w:asciiTheme="majorHAnsi" w:hAnsiTheme="majorHAnsi"/>
          <w:sz w:val="16"/>
          <w:szCs w:val="16"/>
          <w:lang w:val="es-US"/>
        </w:rPr>
        <w:t xml:space="preserve"> Opinión Consultiva OC-24/17 de 24 de noviembre de 2017. Serie A No. 24. Párr. 62. </w:t>
      </w:r>
    </w:p>
  </w:footnote>
  <w:footnote w:id="96">
    <w:p w14:paraId="672753A4" w14:textId="77777777" w:rsidR="005B3F8C" w:rsidRPr="00D93236" w:rsidRDefault="005B3F8C" w:rsidP="00E27260">
      <w:pPr>
        <w:pStyle w:val="FootnoteText"/>
        <w:jc w:val="both"/>
        <w:rPr>
          <w:rFonts w:asciiTheme="majorHAnsi" w:hAnsiTheme="majorHAnsi"/>
          <w:sz w:val="16"/>
          <w:szCs w:val="16"/>
          <w:lang w:val="es-ES"/>
        </w:rPr>
      </w:pPr>
      <w:r w:rsidRPr="00D93236">
        <w:rPr>
          <w:rStyle w:val="FootnoteReference"/>
          <w:rFonts w:asciiTheme="majorHAnsi" w:hAnsiTheme="majorHAnsi"/>
          <w:sz w:val="16"/>
          <w:szCs w:val="16"/>
        </w:rPr>
        <w:footnoteRef/>
      </w:r>
      <w:r w:rsidRPr="00D93236">
        <w:rPr>
          <w:rFonts w:asciiTheme="majorHAnsi" w:hAnsiTheme="majorHAnsi"/>
          <w:sz w:val="16"/>
          <w:szCs w:val="16"/>
          <w:lang w:val="es-US"/>
        </w:rPr>
        <w:t xml:space="preserve"> CIDH. Informe No. 112/12. Caso 12.828. Fondo</w:t>
      </w:r>
      <w:r w:rsidRPr="00D93236">
        <w:rPr>
          <w:rFonts w:asciiTheme="majorHAnsi" w:hAnsiTheme="majorHAnsi"/>
          <w:i/>
          <w:sz w:val="16"/>
          <w:szCs w:val="16"/>
          <w:lang w:val="es-US"/>
        </w:rPr>
        <w:t>. Marcel Granier y otros</w:t>
      </w:r>
      <w:r w:rsidRPr="00D93236">
        <w:rPr>
          <w:rFonts w:asciiTheme="majorHAnsi" w:hAnsiTheme="majorHAnsi"/>
          <w:sz w:val="16"/>
          <w:szCs w:val="16"/>
          <w:lang w:val="es-US"/>
        </w:rPr>
        <w:t xml:space="preserve">. Venezuela. 9 de noviembre de 2012, párr. 160; y CIDH. Informe No. 75/15. Caso 12.923. Fondo. </w:t>
      </w:r>
      <w:r w:rsidRPr="00D93236">
        <w:rPr>
          <w:rFonts w:asciiTheme="majorHAnsi" w:hAnsiTheme="majorHAnsi"/>
          <w:i/>
          <w:sz w:val="16"/>
          <w:szCs w:val="16"/>
          <w:lang w:val="es-US"/>
        </w:rPr>
        <w:t>Rocío San Miguel Sosa y otras. Venezuela</w:t>
      </w:r>
      <w:r w:rsidRPr="00D93236">
        <w:rPr>
          <w:rFonts w:asciiTheme="majorHAnsi" w:hAnsiTheme="majorHAnsi"/>
          <w:sz w:val="16"/>
          <w:szCs w:val="16"/>
          <w:lang w:val="es-US"/>
        </w:rPr>
        <w:t xml:space="preserve">. 28 de octubre de 2015, párr. 171. CIDH. </w:t>
      </w:r>
      <w:r w:rsidRPr="00D93236">
        <w:rPr>
          <w:rFonts w:asciiTheme="majorHAnsi" w:hAnsiTheme="majorHAnsi"/>
          <w:i/>
          <w:sz w:val="16"/>
          <w:szCs w:val="16"/>
          <w:lang w:val="es-US"/>
        </w:rPr>
        <w:t>Informe sobre pobreza y derechos humanos en las Américas.</w:t>
      </w:r>
      <w:r w:rsidRPr="00D93236">
        <w:rPr>
          <w:rFonts w:asciiTheme="majorHAnsi" w:hAnsiTheme="majorHAnsi"/>
          <w:sz w:val="16"/>
          <w:szCs w:val="16"/>
          <w:lang w:val="es-US"/>
        </w:rPr>
        <w:t xml:space="preserve"> OEA/Ser.L/V/II.164 Doc. 147. 7 septiembre 2017, párr. 153.</w:t>
      </w:r>
    </w:p>
  </w:footnote>
  <w:footnote w:id="97">
    <w:p w14:paraId="6AC09C22" w14:textId="77777777" w:rsidR="005B3F8C" w:rsidRPr="00D93236" w:rsidRDefault="005B3F8C" w:rsidP="00E27260">
      <w:pPr>
        <w:pStyle w:val="FootnoteText"/>
        <w:jc w:val="both"/>
        <w:rPr>
          <w:rFonts w:asciiTheme="majorHAnsi" w:hAnsiTheme="majorHAnsi"/>
          <w:sz w:val="16"/>
          <w:szCs w:val="16"/>
          <w:lang w:val="es-AR"/>
        </w:rPr>
      </w:pPr>
      <w:r w:rsidRPr="00D93236">
        <w:rPr>
          <w:rStyle w:val="FootnoteReference"/>
          <w:rFonts w:asciiTheme="majorHAnsi" w:hAnsiTheme="majorHAnsi"/>
          <w:sz w:val="16"/>
          <w:szCs w:val="16"/>
        </w:rPr>
        <w:footnoteRef/>
      </w:r>
      <w:r w:rsidRPr="00D93236">
        <w:rPr>
          <w:rFonts w:asciiTheme="majorHAnsi" w:hAnsiTheme="majorHAnsi"/>
          <w:sz w:val="16"/>
          <w:szCs w:val="16"/>
          <w:lang w:val="es-US"/>
        </w:rPr>
        <w:t xml:space="preserve"> Corte IDH. </w:t>
      </w:r>
      <w:r w:rsidRPr="00D93236">
        <w:rPr>
          <w:rFonts w:asciiTheme="majorHAnsi" w:hAnsiTheme="majorHAnsi"/>
          <w:i/>
          <w:sz w:val="16"/>
          <w:szCs w:val="16"/>
          <w:lang w:val="es-AR"/>
        </w:rPr>
        <w:t>Caso Rodríguez Vera y otros (Desaparecidos del Palacio de Justicia) vs. Colombia</w:t>
      </w:r>
      <w:r w:rsidRPr="00D93236">
        <w:rPr>
          <w:rFonts w:asciiTheme="majorHAnsi" w:hAnsiTheme="majorHAnsi"/>
          <w:sz w:val="16"/>
          <w:szCs w:val="16"/>
          <w:lang w:val="es-AR"/>
        </w:rPr>
        <w:t>. Excepciones Preliminares, Fondo, Reparaciones y Costas. Sentencia de 14 de noviembre de 2014. Serie C No. 287, párr. 435</w:t>
      </w:r>
    </w:p>
  </w:footnote>
  <w:footnote w:id="98">
    <w:p w14:paraId="7A32B138" w14:textId="77777777" w:rsidR="005B3F8C" w:rsidRPr="00D93236" w:rsidRDefault="005B3F8C" w:rsidP="00E27260">
      <w:pPr>
        <w:pStyle w:val="FootnoteText"/>
        <w:jc w:val="both"/>
        <w:rPr>
          <w:rFonts w:asciiTheme="majorHAnsi" w:hAnsiTheme="majorHAnsi"/>
          <w:b/>
          <w:sz w:val="16"/>
          <w:szCs w:val="16"/>
          <w:lang w:val="es-AR"/>
        </w:rPr>
      </w:pPr>
      <w:r w:rsidRPr="00D93236">
        <w:rPr>
          <w:rStyle w:val="FootnoteReference"/>
          <w:rFonts w:asciiTheme="majorHAnsi" w:hAnsiTheme="majorHAnsi"/>
          <w:sz w:val="16"/>
          <w:szCs w:val="16"/>
        </w:rPr>
        <w:footnoteRef/>
      </w:r>
      <w:r w:rsidRPr="00D93236">
        <w:rPr>
          <w:rFonts w:asciiTheme="majorHAnsi" w:hAnsiTheme="majorHAnsi"/>
          <w:sz w:val="16"/>
          <w:szCs w:val="16"/>
          <w:lang w:val="es-AR"/>
        </w:rPr>
        <w:t xml:space="preserve"> </w:t>
      </w:r>
      <w:r w:rsidRPr="00D93236">
        <w:rPr>
          <w:rStyle w:val="Strong"/>
          <w:rFonts w:asciiTheme="majorHAnsi" w:hAnsiTheme="majorHAnsi"/>
          <w:b w:val="0"/>
          <w:sz w:val="16"/>
          <w:szCs w:val="16"/>
          <w:shd w:val="clear" w:color="auto" w:fill="FFFFFF"/>
          <w:lang w:val="es-AR"/>
        </w:rPr>
        <w:t xml:space="preserve">Corte IDH. </w:t>
      </w:r>
      <w:r w:rsidRPr="00D93236">
        <w:rPr>
          <w:rStyle w:val="Strong"/>
          <w:rFonts w:asciiTheme="majorHAnsi" w:hAnsiTheme="majorHAnsi"/>
          <w:b w:val="0"/>
          <w:i/>
          <w:sz w:val="16"/>
          <w:szCs w:val="16"/>
          <w:shd w:val="clear" w:color="auto" w:fill="FFFFFF"/>
          <w:lang w:val="es-AR"/>
        </w:rPr>
        <w:t>Caso García Lucero y otras Vs. Chile</w:t>
      </w:r>
      <w:r w:rsidRPr="00D93236">
        <w:rPr>
          <w:rStyle w:val="Strong"/>
          <w:rFonts w:asciiTheme="majorHAnsi" w:hAnsiTheme="majorHAnsi"/>
          <w:b w:val="0"/>
          <w:sz w:val="16"/>
          <w:szCs w:val="16"/>
          <w:shd w:val="clear" w:color="auto" w:fill="FFFFFF"/>
          <w:lang w:val="es-AR"/>
        </w:rPr>
        <w:t>. Excepción Preliminar, Fondo y Reparaciones. Sentencia de 28 de agosto de 2013. Serie C No. 267. Párr. 161.</w:t>
      </w:r>
    </w:p>
  </w:footnote>
  <w:footnote w:id="99">
    <w:p w14:paraId="05C5AEA1" w14:textId="77777777" w:rsidR="005B3F8C" w:rsidRPr="00D93236" w:rsidRDefault="005B3F8C" w:rsidP="00E27260">
      <w:pPr>
        <w:pStyle w:val="FootnoteText"/>
        <w:jc w:val="both"/>
        <w:rPr>
          <w:rFonts w:asciiTheme="majorHAnsi" w:hAnsiTheme="majorHAnsi"/>
          <w:sz w:val="16"/>
          <w:szCs w:val="16"/>
          <w:lang w:val="es-AR"/>
        </w:rPr>
      </w:pPr>
      <w:r w:rsidRPr="00D93236">
        <w:rPr>
          <w:rStyle w:val="FootnoteReference"/>
          <w:rFonts w:asciiTheme="majorHAnsi" w:hAnsiTheme="majorHAnsi"/>
          <w:sz w:val="16"/>
          <w:szCs w:val="16"/>
        </w:rPr>
        <w:footnoteRef/>
      </w:r>
      <w:r w:rsidRPr="00D93236">
        <w:rPr>
          <w:rStyle w:val="Strong"/>
          <w:rFonts w:asciiTheme="majorHAnsi" w:hAnsiTheme="majorHAnsi"/>
          <w:b w:val="0"/>
          <w:sz w:val="16"/>
          <w:szCs w:val="16"/>
          <w:shd w:val="clear" w:color="auto" w:fill="FFFFFF"/>
          <w:lang w:val="es-AR"/>
        </w:rPr>
        <w:t xml:space="preserve"> Corte IDH. </w:t>
      </w:r>
      <w:r w:rsidRPr="00D93236">
        <w:rPr>
          <w:rStyle w:val="Strong"/>
          <w:rFonts w:asciiTheme="majorHAnsi" w:hAnsiTheme="majorHAnsi"/>
          <w:b w:val="0"/>
          <w:i/>
          <w:sz w:val="16"/>
          <w:szCs w:val="16"/>
          <w:shd w:val="clear" w:color="auto" w:fill="FFFFFF"/>
          <w:lang w:val="es-AR"/>
        </w:rPr>
        <w:t>Caso Cruz Sánchez y otros Vs. Perú</w:t>
      </w:r>
      <w:r w:rsidRPr="00D93236">
        <w:rPr>
          <w:rStyle w:val="Strong"/>
          <w:rFonts w:asciiTheme="majorHAnsi" w:hAnsiTheme="majorHAnsi"/>
          <w:b w:val="0"/>
          <w:sz w:val="16"/>
          <w:szCs w:val="16"/>
          <w:shd w:val="clear" w:color="auto" w:fill="FFFFFF"/>
          <w:lang w:val="es-AR"/>
        </w:rPr>
        <w:t>. Excepciones Preliminares, Fondo, Reparaciones y Costas. Sentencia de 17 de abril de 2015. Serie C No. 292</w:t>
      </w:r>
      <w:r w:rsidRPr="00D93236">
        <w:rPr>
          <w:rFonts w:asciiTheme="majorHAnsi" w:hAnsiTheme="majorHAnsi"/>
          <w:b/>
          <w:sz w:val="16"/>
          <w:szCs w:val="16"/>
          <w:lang w:val="es-AR"/>
        </w:rPr>
        <w:t>;</w:t>
      </w:r>
      <w:r w:rsidRPr="00D93236">
        <w:rPr>
          <w:rFonts w:asciiTheme="majorHAnsi" w:hAnsiTheme="majorHAnsi"/>
          <w:sz w:val="16"/>
          <w:szCs w:val="16"/>
          <w:lang w:val="es-AR"/>
        </w:rPr>
        <w:t xml:space="preserve"> Corte IDH. </w:t>
      </w:r>
      <w:r w:rsidRPr="00D93236">
        <w:rPr>
          <w:rFonts w:asciiTheme="majorHAnsi" w:hAnsiTheme="majorHAnsi"/>
          <w:i/>
          <w:sz w:val="16"/>
          <w:szCs w:val="16"/>
          <w:lang w:val="es-AR"/>
        </w:rPr>
        <w:t>Caso de los Hermanos Gómez Paquiyauri Vs. Perú</w:t>
      </w:r>
      <w:r w:rsidRPr="00D93236">
        <w:rPr>
          <w:rFonts w:asciiTheme="majorHAnsi" w:hAnsiTheme="majorHAnsi"/>
          <w:sz w:val="16"/>
          <w:szCs w:val="16"/>
          <w:lang w:val="es-AR"/>
        </w:rPr>
        <w:t xml:space="preserve">. Fondo, Reparaciones y Costas. Sentencia de 8 de julio de 2004. Serie C No. 110. Párr. 73; Corte IDH. </w:t>
      </w:r>
      <w:r w:rsidRPr="00D93236">
        <w:rPr>
          <w:rFonts w:asciiTheme="majorHAnsi" w:hAnsiTheme="majorHAnsi"/>
          <w:i/>
          <w:sz w:val="16"/>
          <w:szCs w:val="16"/>
          <w:lang w:val="es-AR"/>
        </w:rPr>
        <w:t>Caso “Cinco Pensionistas” Vs. Perú</w:t>
      </w:r>
      <w:r w:rsidRPr="00D93236">
        <w:rPr>
          <w:rFonts w:asciiTheme="majorHAnsi" w:hAnsiTheme="majorHAnsi"/>
          <w:sz w:val="16"/>
          <w:szCs w:val="16"/>
          <w:lang w:val="es-AR"/>
        </w:rPr>
        <w:t>. Sentencia de 28 de febrero de 2003. Serie C No. 98. Párr. 163</w:t>
      </w:r>
    </w:p>
  </w:footnote>
  <w:footnote w:id="100">
    <w:p w14:paraId="0BC8FE94" w14:textId="77777777" w:rsidR="005B3F8C" w:rsidRPr="00D93236" w:rsidRDefault="005B3F8C" w:rsidP="00E27260">
      <w:pPr>
        <w:pStyle w:val="FootnoteText"/>
        <w:jc w:val="both"/>
        <w:rPr>
          <w:rFonts w:asciiTheme="majorHAnsi" w:hAnsiTheme="majorHAnsi"/>
          <w:b/>
          <w:sz w:val="16"/>
          <w:szCs w:val="16"/>
          <w:lang w:val="es-US"/>
        </w:rPr>
      </w:pPr>
      <w:r w:rsidRPr="00D93236">
        <w:rPr>
          <w:rStyle w:val="FootnoteReference"/>
          <w:rFonts w:asciiTheme="majorHAnsi" w:hAnsiTheme="majorHAnsi"/>
          <w:sz w:val="16"/>
          <w:szCs w:val="16"/>
        </w:rPr>
        <w:footnoteRef/>
      </w:r>
      <w:r w:rsidRPr="00D93236">
        <w:rPr>
          <w:rFonts w:asciiTheme="majorHAnsi" w:hAnsiTheme="majorHAnsi"/>
          <w:sz w:val="16"/>
          <w:szCs w:val="16"/>
          <w:lang w:val="es-AR"/>
        </w:rPr>
        <w:t xml:space="preserve"> </w:t>
      </w:r>
      <w:r w:rsidRPr="00D93236">
        <w:rPr>
          <w:rStyle w:val="Strong"/>
          <w:rFonts w:asciiTheme="majorHAnsi" w:hAnsiTheme="majorHAnsi"/>
          <w:b w:val="0"/>
          <w:sz w:val="16"/>
          <w:szCs w:val="16"/>
          <w:shd w:val="clear" w:color="auto" w:fill="FFFFFF"/>
          <w:lang w:val="es-AR"/>
        </w:rPr>
        <w:t xml:space="preserve">Corte IDH. </w:t>
      </w:r>
      <w:r w:rsidRPr="00D93236">
        <w:rPr>
          <w:rStyle w:val="Strong"/>
          <w:rFonts w:asciiTheme="majorHAnsi" w:hAnsiTheme="majorHAnsi"/>
          <w:b w:val="0"/>
          <w:i/>
          <w:sz w:val="16"/>
          <w:szCs w:val="16"/>
          <w:shd w:val="clear" w:color="auto" w:fill="FFFFFF"/>
          <w:lang w:val="es-AR"/>
        </w:rPr>
        <w:t>Caso Tenorio Roca y otros Vs. Perú</w:t>
      </w:r>
      <w:r w:rsidRPr="00D93236">
        <w:rPr>
          <w:rStyle w:val="Strong"/>
          <w:rFonts w:asciiTheme="majorHAnsi" w:hAnsiTheme="majorHAnsi"/>
          <w:b w:val="0"/>
          <w:sz w:val="16"/>
          <w:szCs w:val="16"/>
          <w:shd w:val="clear" w:color="auto" w:fill="FFFFFF"/>
          <w:lang w:val="es-AR"/>
        </w:rPr>
        <w:t xml:space="preserve">. Excepciones Preliminares, Fondo, Reparaciones y Costas. Sentencia de 22 de junio de 2016. Serie C No. 314. Párr. 167; Corte IDH. </w:t>
      </w:r>
      <w:r w:rsidRPr="00D93236">
        <w:rPr>
          <w:rStyle w:val="Strong"/>
          <w:rFonts w:asciiTheme="majorHAnsi" w:hAnsiTheme="majorHAnsi"/>
          <w:b w:val="0"/>
          <w:i/>
          <w:sz w:val="16"/>
          <w:szCs w:val="16"/>
          <w:shd w:val="clear" w:color="auto" w:fill="FFFFFF"/>
          <w:lang w:val="es-AR"/>
        </w:rPr>
        <w:t>Caso Huilca Tecse Vs. Perú</w:t>
      </w:r>
      <w:r w:rsidRPr="00D93236">
        <w:rPr>
          <w:rStyle w:val="Strong"/>
          <w:rFonts w:asciiTheme="majorHAnsi" w:hAnsiTheme="majorHAnsi"/>
          <w:b w:val="0"/>
          <w:sz w:val="16"/>
          <w:szCs w:val="16"/>
          <w:shd w:val="clear" w:color="auto" w:fill="FFFFFF"/>
          <w:lang w:val="es-AR"/>
        </w:rPr>
        <w:t xml:space="preserve">. Fondo, Reparaciones y Costas. Sentencia de 3 de marzo de 2005. Serie C No. 121. Párr. 105; Corte IDH. </w:t>
      </w:r>
      <w:r w:rsidRPr="00D93236">
        <w:rPr>
          <w:rStyle w:val="Strong"/>
          <w:rFonts w:asciiTheme="majorHAnsi" w:hAnsiTheme="majorHAnsi"/>
          <w:b w:val="0"/>
          <w:i/>
          <w:sz w:val="16"/>
          <w:szCs w:val="16"/>
          <w:shd w:val="clear" w:color="auto" w:fill="FFFFFF"/>
          <w:lang w:val="es-AR"/>
        </w:rPr>
        <w:t>Caso Gudiel Álvarez y otros ("Diario Militar") Vs. Guatemala</w:t>
      </w:r>
      <w:r w:rsidRPr="00D93236">
        <w:rPr>
          <w:rStyle w:val="Strong"/>
          <w:rFonts w:asciiTheme="majorHAnsi" w:hAnsiTheme="majorHAnsi"/>
          <w:b w:val="0"/>
          <w:sz w:val="16"/>
          <w:szCs w:val="16"/>
          <w:shd w:val="clear" w:color="auto" w:fill="FFFFFF"/>
          <w:lang w:val="es-AR"/>
        </w:rPr>
        <w:t xml:space="preserve">. Fondo, Reparaciones y Costas. Sentencia de 20 noviembre de 2012. Serie C No. 253. </w:t>
      </w:r>
      <w:r w:rsidRPr="00D93236">
        <w:rPr>
          <w:rStyle w:val="Strong"/>
          <w:rFonts w:asciiTheme="majorHAnsi" w:hAnsiTheme="majorHAnsi"/>
          <w:b w:val="0"/>
          <w:sz w:val="16"/>
          <w:szCs w:val="16"/>
          <w:shd w:val="clear" w:color="auto" w:fill="FFFFFF"/>
          <w:lang w:val="es-US"/>
        </w:rPr>
        <w:t xml:space="preserve">Párr. 230 a 232. </w:t>
      </w:r>
    </w:p>
  </w:footnote>
  <w:footnote w:id="101">
    <w:p w14:paraId="38DB2E10" w14:textId="77777777" w:rsidR="005B3F8C" w:rsidRPr="00D93236" w:rsidRDefault="005B3F8C" w:rsidP="0000060F">
      <w:pPr>
        <w:pStyle w:val="FootnoteText"/>
        <w:tabs>
          <w:tab w:val="left" w:pos="360"/>
          <w:tab w:val="left" w:pos="720"/>
          <w:tab w:val="left" w:pos="900"/>
          <w:tab w:val="left" w:pos="1080"/>
        </w:tabs>
        <w:jc w:val="both"/>
        <w:rPr>
          <w:rFonts w:asciiTheme="majorHAnsi" w:hAnsiTheme="majorHAnsi"/>
          <w:i/>
          <w:color w:val="auto"/>
          <w:sz w:val="16"/>
          <w:szCs w:val="16"/>
          <w:lang w:val="es-ES_tradnl"/>
        </w:rPr>
      </w:pPr>
      <w:r w:rsidRPr="00D93236">
        <w:rPr>
          <w:rStyle w:val="FootnoteReference"/>
          <w:rFonts w:asciiTheme="majorHAnsi" w:hAnsiTheme="majorHAnsi"/>
          <w:color w:val="auto"/>
          <w:sz w:val="16"/>
          <w:szCs w:val="16"/>
        </w:rPr>
        <w:footnoteRef/>
      </w:r>
      <w:r w:rsidRPr="00D93236">
        <w:rPr>
          <w:rFonts w:asciiTheme="majorHAnsi" w:hAnsiTheme="majorHAnsi"/>
          <w:color w:val="auto"/>
          <w:sz w:val="16"/>
          <w:szCs w:val="16"/>
          <w:lang w:val="es-ES_tradnl"/>
        </w:rPr>
        <w:t xml:space="preserve"> Corte IDH. </w:t>
      </w:r>
      <w:r w:rsidRPr="00D93236">
        <w:rPr>
          <w:rFonts w:asciiTheme="majorHAnsi" w:hAnsiTheme="majorHAnsi"/>
          <w:bCs/>
          <w:i/>
          <w:color w:val="auto"/>
          <w:sz w:val="16"/>
          <w:szCs w:val="16"/>
          <w:lang w:val="es-ES_tradnl"/>
        </w:rPr>
        <w:t>Caso García Prieto y otros Vs. El Salvador.</w:t>
      </w:r>
      <w:r w:rsidRPr="00D93236">
        <w:rPr>
          <w:rFonts w:asciiTheme="majorHAnsi" w:hAnsiTheme="majorHAnsi"/>
          <w:bCs/>
          <w:color w:val="auto"/>
          <w:sz w:val="16"/>
          <w:szCs w:val="16"/>
          <w:lang w:val="es-ES_tradnl"/>
        </w:rPr>
        <w:t xml:space="preserve"> </w:t>
      </w:r>
      <w:r w:rsidRPr="00D93236">
        <w:rPr>
          <w:rFonts w:asciiTheme="majorHAnsi" w:hAnsiTheme="majorHAnsi"/>
          <w:color w:val="auto"/>
          <w:sz w:val="16"/>
          <w:szCs w:val="16"/>
          <w:lang w:val="es-ES_tradnl"/>
        </w:rPr>
        <w:t xml:space="preserve">Excepción Preliminar, Fondo, Reparaciones y Costas. Sentencia de 20 de noviembre de 2007. Serie C No. 168. Párr. 103; Corte IDH., </w:t>
      </w:r>
      <w:r w:rsidRPr="00D93236">
        <w:rPr>
          <w:rFonts w:asciiTheme="majorHAnsi" w:hAnsiTheme="majorHAnsi"/>
          <w:i/>
          <w:color w:val="auto"/>
          <w:sz w:val="16"/>
          <w:szCs w:val="16"/>
          <w:lang w:val="es-ES_tradnl"/>
        </w:rPr>
        <w:t>Caso Bulacio Vs. Argentina</w:t>
      </w:r>
      <w:r w:rsidRPr="00D93236">
        <w:rPr>
          <w:rFonts w:asciiTheme="majorHAnsi" w:hAnsiTheme="majorHAnsi"/>
          <w:color w:val="auto"/>
          <w:sz w:val="16"/>
          <w:szCs w:val="16"/>
          <w:lang w:val="es-ES_tradnl"/>
        </w:rPr>
        <w:t xml:space="preserve">. </w:t>
      </w:r>
      <w:r w:rsidRPr="00D93236">
        <w:rPr>
          <w:rFonts w:asciiTheme="majorHAnsi" w:hAnsiTheme="majorHAnsi"/>
          <w:i/>
          <w:color w:val="auto"/>
          <w:sz w:val="16"/>
          <w:szCs w:val="16"/>
          <w:lang w:val="es-ES_tradnl"/>
        </w:rPr>
        <w:t>Excepciones Preliminares, Fondo, Reparaciones y Costas.</w:t>
      </w:r>
      <w:r w:rsidRPr="00D93236">
        <w:rPr>
          <w:rFonts w:asciiTheme="majorHAnsi" w:hAnsiTheme="majorHAnsi"/>
          <w:color w:val="auto"/>
          <w:sz w:val="16"/>
          <w:szCs w:val="16"/>
          <w:lang w:val="es-ES_tradnl"/>
        </w:rPr>
        <w:t xml:space="preserve"> Sentencia de 18 de Septiembre de 2003. Serie C No. 100, Párr. 114; y </w:t>
      </w:r>
      <w:r w:rsidRPr="00D93236">
        <w:rPr>
          <w:rFonts w:asciiTheme="majorHAnsi" w:hAnsiTheme="majorHAnsi"/>
          <w:color w:val="auto"/>
          <w:sz w:val="16"/>
          <w:szCs w:val="16"/>
          <w:lang w:val="es-ES"/>
        </w:rPr>
        <w:t xml:space="preserve">Corte IDH. </w:t>
      </w:r>
      <w:r w:rsidRPr="00D93236">
        <w:rPr>
          <w:rFonts w:asciiTheme="majorHAnsi" w:hAnsiTheme="majorHAnsi"/>
          <w:bCs/>
          <w:i/>
          <w:color w:val="auto"/>
          <w:sz w:val="16"/>
          <w:szCs w:val="16"/>
          <w:lang w:val="es-ES_tradnl"/>
        </w:rPr>
        <w:t>Caso del Penal Miguel Castro Castro Vs. Perú</w:t>
      </w:r>
      <w:r w:rsidRPr="00D93236">
        <w:rPr>
          <w:rFonts w:asciiTheme="majorHAnsi" w:hAnsiTheme="majorHAnsi"/>
          <w:bCs/>
          <w:color w:val="auto"/>
          <w:sz w:val="16"/>
          <w:szCs w:val="16"/>
          <w:lang w:val="es-ES_tradnl"/>
        </w:rPr>
        <w:t xml:space="preserve">. </w:t>
      </w:r>
      <w:r w:rsidRPr="00D93236">
        <w:rPr>
          <w:rFonts w:asciiTheme="majorHAnsi" w:hAnsiTheme="majorHAnsi"/>
          <w:color w:val="auto"/>
          <w:sz w:val="16"/>
          <w:szCs w:val="16"/>
          <w:lang w:val="es-ES_tradnl"/>
        </w:rPr>
        <w:t>Sentencia de 25 de noviembre de 2006. Serie C No. 160. P</w:t>
      </w:r>
      <w:r w:rsidRPr="00D93236">
        <w:rPr>
          <w:rFonts w:asciiTheme="majorHAnsi" w:hAnsiTheme="majorHAnsi"/>
          <w:color w:val="auto"/>
          <w:sz w:val="16"/>
          <w:szCs w:val="16"/>
          <w:lang w:val="es-ES"/>
        </w:rPr>
        <w:t xml:space="preserve">árr. </w:t>
      </w:r>
      <w:r w:rsidRPr="00D93236">
        <w:rPr>
          <w:rFonts w:asciiTheme="majorHAnsi" w:hAnsiTheme="majorHAnsi"/>
          <w:color w:val="auto"/>
          <w:sz w:val="16"/>
          <w:szCs w:val="16"/>
          <w:lang w:val="es-ES_tradnl"/>
        </w:rPr>
        <w:t>382.</w:t>
      </w:r>
    </w:p>
  </w:footnote>
  <w:footnote w:id="102">
    <w:p w14:paraId="4B82DB6D" w14:textId="77777777" w:rsidR="005B3F8C" w:rsidRPr="00D93236" w:rsidRDefault="005B3F8C" w:rsidP="0000060F">
      <w:pPr>
        <w:pStyle w:val="FootnoteText"/>
        <w:tabs>
          <w:tab w:val="left" w:pos="0"/>
        </w:tabs>
        <w:jc w:val="both"/>
        <w:rPr>
          <w:rFonts w:asciiTheme="majorHAnsi" w:hAnsiTheme="majorHAnsi"/>
          <w:color w:val="auto"/>
          <w:sz w:val="16"/>
          <w:szCs w:val="16"/>
          <w:lang w:val="es-ES_tradnl"/>
        </w:rPr>
      </w:pPr>
      <w:r w:rsidRPr="00D93236">
        <w:rPr>
          <w:rStyle w:val="FootnoteReference"/>
          <w:rFonts w:asciiTheme="majorHAnsi" w:hAnsiTheme="majorHAnsi"/>
          <w:color w:val="auto"/>
          <w:sz w:val="16"/>
          <w:szCs w:val="16"/>
        </w:rPr>
        <w:footnoteRef/>
      </w:r>
      <w:r w:rsidRPr="00D93236">
        <w:rPr>
          <w:rFonts w:asciiTheme="majorHAnsi" w:hAnsiTheme="majorHAnsi"/>
          <w:color w:val="auto"/>
          <w:sz w:val="16"/>
          <w:szCs w:val="16"/>
          <w:lang w:val="es-ES_tradnl"/>
        </w:rPr>
        <w:t xml:space="preserve"> Corte IDH., </w:t>
      </w:r>
      <w:r w:rsidRPr="00D93236">
        <w:rPr>
          <w:rFonts w:asciiTheme="majorHAnsi" w:hAnsiTheme="majorHAnsi"/>
          <w:bCs/>
          <w:i/>
          <w:color w:val="auto"/>
          <w:sz w:val="16"/>
          <w:szCs w:val="16"/>
          <w:lang w:val="es-ES_tradnl"/>
        </w:rPr>
        <w:t>Caso Cantoral Huamaní y García Santa Cruz Vs. Perú.</w:t>
      </w:r>
      <w:r w:rsidRPr="00D93236">
        <w:rPr>
          <w:rFonts w:asciiTheme="majorHAnsi" w:hAnsiTheme="majorHAnsi"/>
          <w:bCs/>
          <w:color w:val="auto"/>
          <w:sz w:val="16"/>
          <w:szCs w:val="16"/>
          <w:lang w:val="es-ES_tradnl"/>
        </w:rPr>
        <w:t xml:space="preserve"> </w:t>
      </w:r>
      <w:r w:rsidRPr="00D93236">
        <w:rPr>
          <w:rFonts w:asciiTheme="majorHAnsi" w:hAnsiTheme="majorHAnsi"/>
          <w:color w:val="auto"/>
          <w:sz w:val="16"/>
          <w:szCs w:val="16"/>
          <w:lang w:val="es-ES_tradnl"/>
        </w:rPr>
        <w:t xml:space="preserve">Excepción Preliminar, Fondo, Reparaciones y Costas. Sentencia de 10 de julio de 2007. Serie C No. 167. </w:t>
      </w:r>
      <w:r w:rsidRPr="00D93236">
        <w:rPr>
          <w:rFonts w:asciiTheme="majorHAnsi" w:hAnsiTheme="majorHAnsi"/>
          <w:color w:val="auto"/>
          <w:sz w:val="16"/>
          <w:szCs w:val="16"/>
          <w:lang w:val="es-ES"/>
        </w:rPr>
        <w:t xml:space="preserve">Párr. </w:t>
      </w:r>
      <w:r w:rsidRPr="00D93236">
        <w:rPr>
          <w:rFonts w:asciiTheme="majorHAnsi" w:hAnsiTheme="majorHAnsi"/>
          <w:color w:val="auto"/>
          <w:sz w:val="16"/>
          <w:szCs w:val="16"/>
          <w:lang w:val="es-ES_tradnl"/>
        </w:rPr>
        <w:t>100.</w:t>
      </w:r>
    </w:p>
  </w:footnote>
  <w:footnote w:id="103">
    <w:p w14:paraId="7628C69A" w14:textId="77777777" w:rsidR="005B3F8C" w:rsidRPr="00D93236" w:rsidRDefault="005B3F8C" w:rsidP="0000060F">
      <w:pPr>
        <w:tabs>
          <w:tab w:val="left" w:pos="0"/>
        </w:tabs>
        <w:jc w:val="both"/>
        <w:rPr>
          <w:rFonts w:asciiTheme="majorHAnsi" w:hAnsiTheme="majorHAnsi"/>
          <w:sz w:val="16"/>
          <w:szCs w:val="16"/>
          <w:lang w:val="es-MX"/>
        </w:rPr>
      </w:pPr>
      <w:r w:rsidRPr="00D93236">
        <w:rPr>
          <w:rStyle w:val="FootnoteReference"/>
          <w:rFonts w:asciiTheme="majorHAnsi" w:hAnsiTheme="majorHAnsi"/>
          <w:sz w:val="16"/>
          <w:szCs w:val="16"/>
        </w:rPr>
        <w:footnoteRef/>
      </w:r>
      <w:r w:rsidRPr="00D93236">
        <w:rPr>
          <w:rFonts w:asciiTheme="majorHAnsi" w:hAnsiTheme="majorHAnsi"/>
          <w:sz w:val="16"/>
          <w:szCs w:val="16"/>
          <w:lang w:val="es-MX"/>
        </w:rPr>
        <w:t xml:space="preserve"> Corte IDH. </w:t>
      </w:r>
      <w:r w:rsidRPr="00D93236">
        <w:rPr>
          <w:rFonts w:asciiTheme="majorHAnsi" w:hAnsiTheme="majorHAnsi"/>
          <w:bCs/>
          <w:i/>
          <w:sz w:val="16"/>
          <w:szCs w:val="16"/>
          <w:lang w:val="es-MX"/>
        </w:rPr>
        <w:t>Caso García Prieto y otros Vs. El Salvador.</w:t>
      </w:r>
      <w:r w:rsidRPr="00D93236">
        <w:rPr>
          <w:rFonts w:asciiTheme="majorHAnsi" w:hAnsiTheme="majorHAnsi"/>
          <w:bCs/>
          <w:sz w:val="16"/>
          <w:szCs w:val="16"/>
          <w:lang w:val="es-MX"/>
        </w:rPr>
        <w:t xml:space="preserve"> </w:t>
      </w:r>
      <w:r w:rsidRPr="00D93236">
        <w:rPr>
          <w:rFonts w:asciiTheme="majorHAnsi" w:hAnsiTheme="majorHAnsi"/>
          <w:sz w:val="16"/>
          <w:szCs w:val="16"/>
          <w:lang w:val="es-MX"/>
        </w:rPr>
        <w:t xml:space="preserve">Excepción Preliminar, Fondo, Reparaciones y Costas. Sentencia de 20 de noviembre de 2007. Serie C No. 168. Párr. 101; Corte IDH. </w:t>
      </w:r>
      <w:r w:rsidRPr="00D93236">
        <w:rPr>
          <w:rFonts w:asciiTheme="majorHAnsi" w:hAnsiTheme="majorHAnsi"/>
          <w:i/>
          <w:sz w:val="16"/>
          <w:szCs w:val="16"/>
          <w:lang w:val="es-MX"/>
        </w:rPr>
        <w:t>Caso de los Hermanos Gómez Paquiyauri Vs Perú</w:t>
      </w:r>
      <w:r w:rsidRPr="00D93236">
        <w:rPr>
          <w:rFonts w:asciiTheme="majorHAnsi" w:hAnsiTheme="majorHAnsi"/>
          <w:sz w:val="16"/>
          <w:szCs w:val="16"/>
          <w:lang w:val="es-MX"/>
        </w:rPr>
        <w:t xml:space="preserve">. Sentencia de 8 de julio de 2004. Serie C No. 110. Párrs. 146; Corte IDH. </w:t>
      </w:r>
      <w:r w:rsidRPr="00D93236">
        <w:rPr>
          <w:rFonts w:asciiTheme="majorHAnsi" w:hAnsiTheme="majorHAnsi"/>
          <w:bCs/>
          <w:i/>
          <w:sz w:val="16"/>
          <w:szCs w:val="16"/>
          <w:lang w:val="es-MX"/>
        </w:rPr>
        <w:t>Caso Cantoral Huamaní y García Santa Cruz Vs. Perú,</w:t>
      </w:r>
      <w:r w:rsidRPr="00D93236">
        <w:rPr>
          <w:rFonts w:asciiTheme="majorHAnsi" w:hAnsiTheme="majorHAnsi"/>
          <w:bCs/>
          <w:sz w:val="16"/>
          <w:szCs w:val="16"/>
          <w:lang w:val="es-MX"/>
        </w:rPr>
        <w:t xml:space="preserve"> </w:t>
      </w:r>
      <w:r w:rsidRPr="00D93236">
        <w:rPr>
          <w:rFonts w:asciiTheme="majorHAnsi" w:hAnsiTheme="majorHAnsi"/>
          <w:sz w:val="16"/>
          <w:szCs w:val="16"/>
          <w:lang w:val="es-MX"/>
        </w:rPr>
        <w:t xml:space="preserve">Excepción Preliminar, Fondo, Reparaciones y Costas. Sentencia de 10 de julio de 2007. Serie C No. 167. </w:t>
      </w:r>
      <w:r w:rsidRPr="00D93236">
        <w:rPr>
          <w:rFonts w:asciiTheme="majorHAnsi" w:hAnsiTheme="majorHAnsi"/>
          <w:sz w:val="16"/>
          <w:szCs w:val="16"/>
          <w:lang w:val="es-ES"/>
        </w:rPr>
        <w:t xml:space="preserve">Párr. </w:t>
      </w:r>
      <w:r w:rsidRPr="00D93236">
        <w:rPr>
          <w:rFonts w:asciiTheme="majorHAnsi" w:hAnsiTheme="majorHAnsi"/>
          <w:sz w:val="16"/>
          <w:szCs w:val="16"/>
          <w:lang w:val="es-MX"/>
        </w:rPr>
        <w:t xml:space="preserve">130. </w:t>
      </w:r>
      <w:r w:rsidRPr="00D93236">
        <w:rPr>
          <w:rFonts w:asciiTheme="majorHAnsi" w:hAnsiTheme="majorHAnsi"/>
          <w:i/>
          <w:sz w:val="16"/>
          <w:szCs w:val="16"/>
          <w:lang w:val="es-MX"/>
        </w:rPr>
        <w:t xml:space="preserve"> </w:t>
      </w:r>
    </w:p>
  </w:footnote>
  <w:footnote w:id="104">
    <w:p w14:paraId="1557F244" w14:textId="77777777" w:rsidR="005B3F8C" w:rsidRPr="00D93236" w:rsidRDefault="005B3F8C" w:rsidP="0000060F">
      <w:pPr>
        <w:tabs>
          <w:tab w:val="left" w:pos="0"/>
        </w:tabs>
        <w:jc w:val="both"/>
        <w:rPr>
          <w:rFonts w:asciiTheme="majorHAnsi" w:hAnsiTheme="majorHAnsi"/>
          <w:sz w:val="16"/>
          <w:szCs w:val="16"/>
          <w:lang w:val="es-MX"/>
        </w:rPr>
      </w:pPr>
      <w:r w:rsidRPr="00D93236">
        <w:rPr>
          <w:rStyle w:val="FootnoteReference"/>
          <w:rFonts w:asciiTheme="majorHAnsi" w:hAnsiTheme="majorHAnsi"/>
          <w:sz w:val="16"/>
          <w:szCs w:val="16"/>
        </w:rPr>
        <w:footnoteRef/>
      </w:r>
      <w:r w:rsidRPr="00D93236">
        <w:rPr>
          <w:rFonts w:asciiTheme="majorHAnsi" w:hAnsiTheme="majorHAnsi"/>
          <w:sz w:val="16"/>
          <w:szCs w:val="16"/>
          <w:lang w:val="es-MX"/>
        </w:rPr>
        <w:t xml:space="preserve"> Corte IDH. </w:t>
      </w:r>
      <w:r w:rsidRPr="00D93236">
        <w:rPr>
          <w:rFonts w:asciiTheme="majorHAnsi" w:hAnsiTheme="majorHAnsi"/>
          <w:i/>
          <w:sz w:val="16"/>
          <w:szCs w:val="16"/>
          <w:lang w:val="es-MX"/>
        </w:rPr>
        <w:t>Caso Bulacio Vs. Argentina</w:t>
      </w:r>
      <w:r w:rsidRPr="00D93236">
        <w:rPr>
          <w:rFonts w:asciiTheme="majorHAnsi" w:hAnsiTheme="majorHAnsi"/>
          <w:sz w:val="16"/>
          <w:szCs w:val="16"/>
          <w:lang w:val="es-MX"/>
        </w:rPr>
        <w:t xml:space="preserve">. Sentencia de 18 de septiembre de 2003. Serie C No. 100. Párr. 114; Corte IDH. </w:t>
      </w:r>
      <w:r w:rsidRPr="00D93236">
        <w:rPr>
          <w:rFonts w:asciiTheme="majorHAnsi" w:hAnsiTheme="majorHAnsi"/>
          <w:i/>
          <w:sz w:val="16"/>
          <w:szCs w:val="16"/>
          <w:lang w:val="es-MX"/>
        </w:rPr>
        <w:t>Caso de la Masacre de la Rochela Vs. Colombia</w:t>
      </w:r>
      <w:r w:rsidRPr="00D93236">
        <w:rPr>
          <w:rFonts w:asciiTheme="majorHAnsi" w:hAnsiTheme="majorHAnsi"/>
          <w:sz w:val="16"/>
          <w:szCs w:val="16"/>
          <w:lang w:val="es-MX"/>
        </w:rPr>
        <w:t xml:space="preserve">. Sentencia de 11 de mayo de 2007.  Serie C. No. 163.Párr. 146; </w:t>
      </w:r>
      <w:r w:rsidRPr="00D93236">
        <w:rPr>
          <w:rFonts w:asciiTheme="majorHAnsi" w:hAnsiTheme="majorHAnsi"/>
          <w:sz w:val="16"/>
          <w:szCs w:val="16"/>
          <w:lang w:val="es-ES"/>
        </w:rPr>
        <w:t xml:space="preserve">Corte IDH. </w:t>
      </w:r>
      <w:r w:rsidRPr="00D93236">
        <w:rPr>
          <w:rFonts w:asciiTheme="majorHAnsi" w:hAnsiTheme="majorHAnsi"/>
          <w:bCs/>
          <w:i/>
          <w:sz w:val="16"/>
          <w:szCs w:val="16"/>
          <w:lang w:val="es-MX"/>
        </w:rPr>
        <w:t>Caso del Penal Miguel Castro Castro Vs. Perú</w:t>
      </w:r>
      <w:r w:rsidRPr="00D93236">
        <w:rPr>
          <w:rFonts w:asciiTheme="majorHAnsi" w:hAnsiTheme="majorHAnsi"/>
          <w:bCs/>
          <w:sz w:val="16"/>
          <w:szCs w:val="16"/>
          <w:lang w:val="es-MX"/>
        </w:rPr>
        <w:t xml:space="preserve">. </w:t>
      </w:r>
      <w:r w:rsidRPr="00D93236">
        <w:rPr>
          <w:rFonts w:asciiTheme="majorHAnsi" w:hAnsiTheme="majorHAnsi"/>
          <w:sz w:val="16"/>
          <w:szCs w:val="16"/>
          <w:lang w:val="es-MX"/>
        </w:rPr>
        <w:t>Sentencia de 25 de noviembre de 2006. Serie C No. 160. Párr. 382.</w:t>
      </w:r>
    </w:p>
  </w:footnote>
  <w:footnote w:id="105">
    <w:p w14:paraId="69F5D8F7" w14:textId="77777777" w:rsidR="005B3F8C" w:rsidRPr="00D93236" w:rsidRDefault="005B3F8C" w:rsidP="0000060F">
      <w:pPr>
        <w:jc w:val="both"/>
        <w:rPr>
          <w:rFonts w:asciiTheme="majorHAnsi" w:hAnsiTheme="majorHAnsi"/>
          <w:sz w:val="16"/>
          <w:szCs w:val="16"/>
          <w:lang w:val="es-ES" w:eastAsia="es-ES"/>
        </w:rPr>
      </w:pPr>
      <w:r w:rsidRPr="00D93236">
        <w:rPr>
          <w:rStyle w:val="FootnoteReference"/>
          <w:rFonts w:asciiTheme="majorHAnsi" w:hAnsiTheme="majorHAnsi"/>
          <w:sz w:val="16"/>
          <w:szCs w:val="16"/>
        </w:rPr>
        <w:footnoteRef/>
      </w:r>
      <w:r w:rsidRPr="00D93236">
        <w:rPr>
          <w:rFonts w:asciiTheme="majorHAnsi" w:hAnsiTheme="majorHAnsi"/>
          <w:sz w:val="16"/>
          <w:szCs w:val="16"/>
          <w:lang w:val="es-CO"/>
        </w:rPr>
        <w:t xml:space="preserve"> </w:t>
      </w:r>
      <w:r w:rsidRPr="00D93236">
        <w:rPr>
          <w:rFonts w:asciiTheme="majorHAnsi" w:hAnsiTheme="majorHAnsi"/>
          <w:sz w:val="16"/>
          <w:szCs w:val="16"/>
          <w:lang w:val="es-ES" w:eastAsia="es-ES"/>
        </w:rPr>
        <w:t>CIDH, Informe No. 37/00, Caso 11.481, Monseñor Oscar Arnulfo Romero y Galdámez, El Salvador, 13 de abril de 2000, párr. 80.</w:t>
      </w:r>
    </w:p>
  </w:footnote>
  <w:footnote w:id="106">
    <w:p w14:paraId="179179C3" w14:textId="77777777" w:rsidR="005B3F8C" w:rsidRPr="00D93236" w:rsidRDefault="005B3F8C" w:rsidP="0000060F">
      <w:pPr>
        <w:tabs>
          <w:tab w:val="left" w:pos="0"/>
        </w:tabs>
        <w:jc w:val="both"/>
        <w:rPr>
          <w:rFonts w:asciiTheme="majorHAnsi" w:hAnsiTheme="majorHAnsi"/>
          <w:sz w:val="16"/>
          <w:szCs w:val="16"/>
          <w:lang w:val="es-MX"/>
        </w:rPr>
      </w:pPr>
      <w:r w:rsidRPr="00D93236">
        <w:rPr>
          <w:rStyle w:val="FootnoteReference"/>
          <w:rFonts w:asciiTheme="majorHAnsi" w:hAnsiTheme="majorHAnsi"/>
          <w:sz w:val="16"/>
          <w:szCs w:val="16"/>
        </w:rPr>
        <w:footnoteRef/>
      </w:r>
      <w:r w:rsidRPr="00D93236">
        <w:rPr>
          <w:rFonts w:asciiTheme="majorHAnsi" w:hAnsiTheme="majorHAnsi"/>
          <w:sz w:val="16"/>
          <w:szCs w:val="16"/>
          <w:lang w:val="es-MX"/>
        </w:rPr>
        <w:t xml:space="preserve"> Corte IDH. </w:t>
      </w:r>
      <w:r w:rsidRPr="00D93236">
        <w:rPr>
          <w:rFonts w:asciiTheme="majorHAnsi" w:hAnsiTheme="majorHAnsi"/>
          <w:bCs/>
          <w:i/>
          <w:sz w:val="16"/>
          <w:szCs w:val="16"/>
          <w:lang w:val="es-MX"/>
        </w:rPr>
        <w:t>Caso García Prieto y otros Vs. El Salvador.</w:t>
      </w:r>
      <w:r w:rsidRPr="00D93236">
        <w:rPr>
          <w:rFonts w:asciiTheme="majorHAnsi" w:hAnsiTheme="majorHAnsi"/>
          <w:bCs/>
          <w:sz w:val="16"/>
          <w:szCs w:val="16"/>
          <w:lang w:val="es-MX"/>
        </w:rPr>
        <w:t xml:space="preserve"> </w:t>
      </w:r>
      <w:r w:rsidRPr="00D93236">
        <w:rPr>
          <w:rFonts w:asciiTheme="majorHAnsi" w:hAnsiTheme="majorHAnsi"/>
          <w:sz w:val="16"/>
          <w:szCs w:val="16"/>
          <w:lang w:val="es-MX"/>
        </w:rPr>
        <w:t xml:space="preserve">Excepción Preliminar, Fondo, Reparaciones y Costas. Sentencia de 20 de noviembre de 2007. Serie C No. 168. Párr. 101. </w:t>
      </w:r>
      <w:r w:rsidRPr="00D93236">
        <w:rPr>
          <w:rFonts w:asciiTheme="majorHAnsi" w:hAnsiTheme="majorHAnsi"/>
          <w:i/>
          <w:sz w:val="16"/>
          <w:szCs w:val="16"/>
          <w:lang w:val="es-MX"/>
        </w:rPr>
        <w:t xml:space="preserve"> </w:t>
      </w:r>
    </w:p>
  </w:footnote>
  <w:footnote w:id="107">
    <w:p w14:paraId="42F8F53F" w14:textId="77777777" w:rsidR="005B3F8C" w:rsidRPr="00D93236" w:rsidRDefault="005B3F8C" w:rsidP="0000060F">
      <w:pPr>
        <w:jc w:val="both"/>
        <w:rPr>
          <w:rFonts w:asciiTheme="majorHAnsi" w:hAnsiTheme="majorHAnsi"/>
          <w:sz w:val="16"/>
          <w:szCs w:val="16"/>
          <w:lang w:val="es-MX"/>
        </w:rPr>
      </w:pPr>
      <w:r w:rsidRPr="00D93236">
        <w:rPr>
          <w:rStyle w:val="FootnoteReference"/>
          <w:rFonts w:asciiTheme="majorHAnsi" w:hAnsiTheme="majorHAnsi"/>
          <w:sz w:val="16"/>
          <w:szCs w:val="16"/>
        </w:rPr>
        <w:footnoteRef/>
      </w:r>
      <w:r w:rsidRPr="00D93236">
        <w:rPr>
          <w:rFonts w:asciiTheme="majorHAnsi" w:hAnsiTheme="majorHAnsi"/>
          <w:sz w:val="16"/>
          <w:szCs w:val="16"/>
          <w:lang w:val="es-MX"/>
        </w:rPr>
        <w:t xml:space="preserve"> Corte IDH. </w:t>
      </w:r>
      <w:r w:rsidRPr="00D93236">
        <w:rPr>
          <w:rFonts w:asciiTheme="majorHAnsi" w:hAnsiTheme="majorHAnsi"/>
          <w:i/>
          <w:sz w:val="16"/>
          <w:szCs w:val="16"/>
          <w:lang w:val="es-MX"/>
        </w:rPr>
        <w:t>Caso Bulacio Vs. Argentina</w:t>
      </w:r>
      <w:r w:rsidRPr="00D93236">
        <w:rPr>
          <w:rFonts w:asciiTheme="majorHAnsi" w:hAnsiTheme="majorHAnsi"/>
          <w:sz w:val="16"/>
          <w:szCs w:val="16"/>
          <w:lang w:val="es-MX"/>
        </w:rPr>
        <w:t xml:space="preserve">. Sentencia de 18 de septiembre de 2003. Serie C No. 100. Párr. 114; Corte IDH. </w:t>
      </w:r>
      <w:r w:rsidRPr="00D93236">
        <w:rPr>
          <w:rFonts w:asciiTheme="majorHAnsi" w:hAnsiTheme="majorHAnsi"/>
          <w:i/>
          <w:sz w:val="16"/>
          <w:szCs w:val="16"/>
          <w:lang w:val="es-MX"/>
        </w:rPr>
        <w:t>Caso de la Masacre de la Rochela Vs. Colombia</w:t>
      </w:r>
      <w:r w:rsidRPr="00D93236">
        <w:rPr>
          <w:rFonts w:asciiTheme="majorHAnsi" w:hAnsiTheme="majorHAnsi"/>
          <w:sz w:val="16"/>
          <w:szCs w:val="16"/>
          <w:lang w:val="es-MX"/>
        </w:rPr>
        <w:t xml:space="preserve">. Sentencia de 11 de mayo de 2007. Serie C. No. 163. Párr. 146; </w:t>
      </w:r>
      <w:r w:rsidRPr="00D93236">
        <w:rPr>
          <w:rFonts w:asciiTheme="majorHAnsi" w:hAnsiTheme="majorHAnsi"/>
          <w:sz w:val="16"/>
          <w:szCs w:val="16"/>
          <w:lang w:val="es-ES"/>
        </w:rPr>
        <w:t xml:space="preserve">Corte IDH. </w:t>
      </w:r>
      <w:r w:rsidRPr="00D93236">
        <w:rPr>
          <w:rFonts w:asciiTheme="majorHAnsi" w:hAnsiTheme="majorHAnsi"/>
          <w:bCs/>
          <w:i/>
          <w:sz w:val="16"/>
          <w:szCs w:val="16"/>
          <w:lang w:val="es-MX"/>
        </w:rPr>
        <w:t>Caso del Penal Miguel Castro Castro Vs. Perú</w:t>
      </w:r>
      <w:r w:rsidRPr="00D93236">
        <w:rPr>
          <w:rFonts w:asciiTheme="majorHAnsi" w:hAnsiTheme="majorHAnsi"/>
          <w:bCs/>
          <w:sz w:val="16"/>
          <w:szCs w:val="16"/>
          <w:lang w:val="es-MX"/>
        </w:rPr>
        <w:t xml:space="preserve">. </w:t>
      </w:r>
      <w:r w:rsidRPr="00D93236">
        <w:rPr>
          <w:rFonts w:asciiTheme="majorHAnsi" w:hAnsiTheme="majorHAnsi"/>
          <w:sz w:val="16"/>
          <w:szCs w:val="16"/>
          <w:lang w:val="es-MX"/>
        </w:rPr>
        <w:t>Sentencia de 25 de noviembre de 2006. Serie C No. 160. Párr. 382.</w:t>
      </w:r>
    </w:p>
  </w:footnote>
  <w:footnote w:id="108">
    <w:p w14:paraId="63E54FB2" w14:textId="77777777" w:rsidR="005B3F8C" w:rsidRPr="00D93236" w:rsidRDefault="005B3F8C" w:rsidP="0000060F">
      <w:pPr>
        <w:tabs>
          <w:tab w:val="left" w:pos="0"/>
        </w:tabs>
        <w:jc w:val="both"/>
        <w:rPr>
          <w:rFonts w:asciiTheme="majorHAnsi" w:hAnsiTheme="majorHAnsi"/>
          <w:sz w:val="16"/>
          <w:szCs w:val="16"/>
          <w:lang w:val="it-IT"/>
        </w:rPr>
      </w:pPr>
      <w:r w:rsidRPr="00D93236">
        <w:rPr>
          <w:rStyle w:val="FootnoteReference"/>
          <w:rFonts w:asciiTheme="majorHAnsi" w:hAnsiTheme="majorHAnsi"/>
          <w:sz w:val="16"/>
          <w:szCs w:val="16"/>
        </w:rPr>
        <w:footnoteRef/>
      </w:r>
      <w:r w:rsidRPr="00D93236">
        <w:rPr>
          <w:rFonts w:asciiTheme="majorHAnsi" w:hAnsiTheme="majorHAnsi"/>
          <w:sz w:val="16"/>
          <w:szCs w:val="16"/>
          <w:lang w:val="es-MX"/>
        </w:rPr>
        <w:t xml:space="preserve"> Corte IDH. </w:t>
      </w:r>
      <w:r w:rsidRPr="00D93236">
        <w:rPr>
          <w:rFonts w:asciiTheme="majorHAnsi" w:hAnsiTheme="majorHAnsi"/>
          <w:bCs/>
          <w:i/>
          <w:sz w:val="16"/>
          <w:szCs w:val="16"/>
          <w:lang w:val="es-MX"/>
        </w:rPr>
        <w:t>Caso Cantoral Huamaní y García Santa Cruz Vs. Perú.</w:t>
      </w:r>
      <w:r w:rsidRPr="00D93236">
        <w:rPr>
          <w:rFonts w:asciiTheme="majorHAnsi" w:hAnsiTheme="majorHAnsi"/>
          <w:bCs/>
          <w:sz w:val="16"/>
          <w:szCs w:val="16"/>
          <w:lang w:val="es-MX"/>
        </w:rPr>
        <w:t xml:space="preserve"> </w:t>
      </w:r>
      <w:r w:rsidRPr="00D93236">
        <w:rPr>
          <w:rFonts w:asciiTheme="majorHAnsi" w:hAnsiTheme="majorHAnsi"/>
          <w:sz w:val="16"/>
          <w:szCs w:val="16"/>
          <w:lang w:val="es-MX"/>
        </w:rPr>
        <w:t xml:space="preserve">Excepción Preliminar, Fondo, Reparaciones y Costas. Sentencia de 10 de julio de 2007. Serie C No. 167. </w:t>
      </w:r>
      <w:r w:rsidRPr="00D93236">
        <w:rPr>
          <w:rFonts w:asciiTheme="majorHAnsi" w:hAnsiTheme="majorHAnsi"/>
          <w:sz w:val="16"/>
          <w:szCs w:val="16"/>
          <w:lang w:val="es-ES"/>
        </w:rPr>
        <w:t>Párr.</w:t>
      </w:r>
      <w:r w:rsidRPr="00D93236">
        <w:rPr>
          <w:rFonts w:asciiTheme="majorHAnsi" w:hAnsiTheme="majorHAnsi"/>
          <w:sz w:val="16"/>
          <w:szCs w:val="16"/>
          <w:lang w:val="es-MX"/>
        </w:rPr>
        <w:t xml:space="preserve"> 130; Corte IDH. </w:t>
      </w:r>
      <w:r w:rsidRPr="00D93236">
        <w:rPr>
          <w:rFonts w:asciiTheme="majorHAnsi" w:hAnsiTheme="majorHAnsi"/>
          <w:i/>
          <w:sz w:val="16"/>
          <w:szCs w:val="16"/>
          <w:lang w:val="es-MX"/>
        </w:rPr>
        <w:t>Caso</w:t>
      </w:r>
      <w:r w:rsidRPr="00D93236">
        <w:rPr>
          <w:rFonts w:asciiTheme="majorHAnsi" w:hAnsiTheme="majorHAnsi"/>
          <w:sz w:val="16"/>
          <w:szCs w:val="16"/>
          <w:lang w:val="es-MX"/>
        </w:rPr>
        <w:t xml:space="preserve"> </w:t>
      </w:r>
      <w:r w:rsidRPr="00D93236">
        <w:rPr>
          <w:rFonts w:asciiTheme="majorHAnsi" w:hAnsiTheme="majorHAnsi"/>
          <w:i/>
          <w:sz w:val="16"/>
          <w:szCs w:val="16"/>
          <w:lang w:val="es-MX"/>
        </w:rPr>
        <w:t>de la Masacre de Pueblo Bello Vs. Colombia</w:t>
      </w:r>
      <w:r w:rsidRPr="00D93236">
        <w:rPr>
          <w:rFonts w:asciiTheme="majorHAnsi" w:hAnsiTheme="majorHAnsi"/>
          <w:sz w:val="16"/>
          <w:szCs w:val="16"/>
          <w:lang w:val="es-MX"/>
        </w:rPr>
        <w:t xml:space="preserve">. Sentencia de 31 de enero de 2006. </w:t>
      </w:r>
      <w:r w:rsidRPr="00D93236">
        <w:rPr>
          <w:rFonts w:asciiTheme="majorHAnsi" w:hAnsiTheme="majorHAnsi"/>
          <w:sz w:val="16"/>
          <w:szCs w:val="16"/>
          <w:lang w:val="it-IT"/>
        </w:rPr>
        <w:t>Serie C No. 140. P</w:t>
      </w:r>
      <w:r w:rsidRPr="00D93236">
        <w:rPr>
          <w:rFonts w:asciiTheme="majorHAnsi" w:hAnsiTheme="majorHAnsi"/>
          <w:sz w:val="16"/>
          <w:szCs w:val="16"/>
          <w:lang w:val="es-MX"/>
        </w:rPr>
        <w:t xml:space="preserve">árr. 120; y Corte IDH. </w:t>
      </w:r>
      <w:r w:rsidRPr="00D93236">
        <w:rPr>
          <w:rFonts w:asciiTheme="majorHAnsi" w:hAnsiTheme="majorHAnsi"/>
          <w:i/>
          <w:sz w:val="16"/>
          <w:szCs w:val="16"/>
          <w:lang w:val="es-MX"/>
        </w:rPr>
        <w:t>Caso Huilca Tecse Vs. Perú</w:t>
      </w:r>
      <w:r w:rsidRPr="00D93236">
        <w:rPr>
          <w:rFonts w:asciiTheme="majorHAnsi" w:hAnsiTheme="majorHAnsi"/>
          <w:sz w:val="16"/>
          <w:szCs w:val="16"/>
          <w:lang w:val="es-MX"/>
        </w:rPr>
        <w:t>. Sentencia de 3 de marzo de 2005. Serie C No. 121, Párr. 66.</w:t>
      </w:r>
    </w:p>
  </w:footnote>
  <w:footnote w:id="109">
    <w:p w14:paraId="6F2F4963" w14:textId="77777777" w:rsidR="005B3F8C" w:rsidRPr="00D93236" w:rsidRDefault="005B3F8C" w:rsidP="0000060F">
      <w:pPr>
        <w:pStyle w:val="BodyTextIndent"/>
        <w:ind w:left="0" w:firstLine="0"/>
        <w:jc w:val="both"/>
        <w:rPr>
          <w:rFonts w:asciiTheme="majorHAnsi" w:hAnsiTheme="majorHAnsi"/>
          <w:color w:val="auto"/>
          <w:sz w:val="16"/>
          <w:szCs w:val="16"/>
          <w:lang w:val="es-CL"/>
        </w:rPr>
      </w:pPr>
      <w:r w:rsidRPr="00D93236">
        <w:rPr>
          <w:rStyle w:val="FootnoteReference"/>
          <w:rFonts w:asciiTheme="majorHAnsi" w:hAnsiTheme="majorHAnsi"/>
          <w:color w:val="auto"/>
          <w:sz w:val="16"/>
          <w:szCs w:val="16"/>
        </w:rPr>
        <w:footnoteRef/>
      </w:r>
      <w:r w:rsidRPr="00D93236">
        <w:rPr>
          <w:rFonts w:asciiTheme="majorHAnsi" w:hAnsiTheme="majorHAnsi"/>
          <w:color w:val="auto"/>
          <w:sz w:val="16"/>
          <w:szCs w:val="16"/>
          <w:lang w:val="es-CL"/>
        </w:rPr>
        <w:t xml:space="preserve"> CIDH, </w:t>
      </w:r>
      <w:r w:rsidRPr="00D93236">
        <w:rPr>
          <w:rFonts w:asciiTheme="majorHAnsi" w:hAnsiTheme="majorHAnsi"/>
          <w:i/>
          <w:color w:val="auto"/>
          <w:sz w:val="16"/>
          <w:szCs w:val="16"/>
          <w:lang w:val="es-CL"/>
        </w:rPr>
        <w:t>Informe sobre la Situación de las Defensoras y Defensores de los Derechos Humanos en las Américas</w:t>
      </w:r>
      <w:r w:rsidRPr="00D93236">
        <w:rPr>
          <w:rFonts w:asciiTheme="majorHAnsi" w:hAnsiTheme="majorHAnsi"/>
          <w:color w:val="auto"/>
          <w:sz w:val="16"/>
          <w:szCs w:val="16"/>
          <w:lang w:val="es-CL"/>
        </w:rPr>
        <w:t xml:space="preserve"> OEA/Ser.L/V/II.124. Doc. 5 rev.1, 7 de marzo de 2006, párr. 109.</w:t>
      </w:r>
    </w:p>
  </w:footnote>
  <w:footnote w:id="110">
    <w:p w14:paraId="041F401F" w14:textId="77777777" w:rsidR="005B3F8C" w:rsidRPr="00D93236" w:rsidRDefault="005B3F8C" w:rsidP="0000060F">
      <w:pPr>
        <w:pStyle w:val="FootnoteText"/>
        <w:tabs>
          <w:tab w:val="left" w:pos="360"/>
          <w:tab w:val="left" w:pos="900"/>
          <w:tab w:val="left" w:pos="1080"/>
        </w:tabs>
        <w:jc w:val="both"/>
        <w:rPr>
          <w:rFonts w:asciiTheme="majorHAnsi" w:hAnsiTheme="majorHAnsi"/>
          <w:color w:val="auto"/>
          <w:sz w:val="16"/>
          <w:szCs w:val="16"/>
          <w:lang w:val="es-ES_tradnl"/>
        </w:rPr>
      </w:pPr>
      <w:r w:rsidRPr="00D93236">
        <w:rPr>
          <w:rStyle w:val="FootnoteReference"/>
          <w:rFonts w:asciiTheme="majorHAnsi" w:hAnsiTheme="majorHAnsi"/>
          <w:color w:val="auto"/>
          <w:sz w:val="16"/>
          <w:szCs w:val="16"/>
        </w:rPr>
        <w:footnoteRef/>
      </w:r>
      <w:r w:rsidRPr="00D93236">
        <w:rPr>
          <w:rFonts w:asciiTheme="majorHAnsi" w:hAnsiTheme="majorHAnsi"/>
          <w:color w:val="auto"/>
          <w:sz w:val="16"/>
          <w:szCs w:val="16"/>
          <w:lang w:val="es-ES_tradnl"/>
        </w:rPr>
        <w:t xml:space="preserve"> Corte IDH. </w:t>
      </w:r>
      <w:r w:rsidRPr="00D93236">
        <w:rPr>
          <w:rFonts w:asciiTheme="majorHAnsi" w:hAnsiTheme="majorHAnsi"/>
          <w:bCs/>
          <w:i/>
          <w:color w:val="auto"/>
          <w:sz w:val="16"/>
          <w:szCs w:val="16"/>
          <w:lang w:val="es-ES_tradnl"/>
        </w:rPr>
        <w:t>Caso Zambrano Vélez y otros.</w:t>
      </w:r>
      <w:r w:rsidRPr="00D93236">
        <w:rPr>
          <w:rFonts w:asciiTheme="majorHAnsi" w:hAnsiTheme="majorHAnsi"/>
          <w:bCs/>
          <w:color w:val="auto"/>
          <w:sz w:val="16"/>
          <w:szCs w:val="16"/>
          <w:lang w:val="es-ES_tradnl"/>
        </w:rPr>
        <w:t xml:space="preserve"> </w:t>
      </w:r>
      <w:r w:rsidRPr="00D93236">
        <w:rPr>
          <w:rFonts w:asciiTheme="majorHAnsi" w:hAnsiTheme="majorHAnsi"/>
          <w:color w:val="auto"/>
          <w:sz w:val="16"/>
          <w:szCs w:val="16"/>
          <w:lang w:val="es-ES_tradnl"/>
        </w:rPr>
        <w:t>Fondo, Reparaciones y Costas. Sentencia de 4 de julio de 2007. Serie C No. 166. Párr. 122.</w:t>
      </w:r>
    </w:p>
  </w:footnote>
  <w:footnote w:id="111">
    <w:p w14:paraId="3DEBA121" w14:textId="77777777" w:rsidR="005B3F8C" w:rsidRPr="00D93236" w:rsidRDefault="005B3F8C" w:rsidP="0000060F">
      <w:pPr>
        <w:pStyle w:val="FootnoteText"/>
        <w:jc w:val="both"/>
        <w:rPr>
          <w:rFonts w:asciiTheme="majorHAnsi" w:hAnsiTheme="majorHAnsi"/>
          <w:b/>
          <w:sz w:val="16"/>
          <w:szCs w:val="16"/>
          <w:lang w:val="es-AR"/>
        </w:rPr>
      </w:pPr>
      <w:r w:rsidRPr="00D93236">
        <w:rPr>
          <w:rStyle w:val="FootnoteReference"/>
          <w:rFonts w:asciiTheme="majorHAnsi" w:hAnsiTheme="majorHAnsi"/>
          <w:sz w:val="16"/>
          <w:szCs w:val="16"/>
        </w:rPr>
        <w:footnoteRef/>
      </w:r>
      <w:r w:rsidRPr="00D93236">
        <w:rPr>
          <w:rFonts w:asciiTheme="majorHAnsi" w:hAnsiTheme="majorHAnsi"/>
          <w:b/>
          <w:sz w:val="16"/>
          <w:szCs w:val="16"/>
          <w:lang w:val="es-AR"/>
        </w:rPr>
        <w:t xml:space="preserve"> </w:t>
      </w:r>
      <w:r w:rsidRPr="00D93236">
        <w:rPr>
          <w:rStyle w:val="Strong"/>
          <w:rFonts w:asciiTheme="majorHAnsi" w:hAnsiTheme="majorHAnsi"/>
          <w:b w:val="0"/>
          <w:sz w:val="16"/>
          <w:szCs w:val="16"/>
          <w:shd w:val="clear" w:color="auto" w:fill="FFFFFF"/>
          <w:lang w:val="es-AR"/>
        </w:rPr>
        <w:t xml:space="preserve">Corte IDH. </w:t>
      </w:r>
      <w:r w:rsidRPr="00D93236">
        <w:rPr>
          <w:rStyle w:val="Strong"/>
          <w:rFonts w:asciiTheme="majorHAnsi" w:hAnsiTheme="majorHAnsi"/>
          <w:b w:val="0"/>
          <w:i/>
          <w:sz w:val="16"/>
          <w:szCs w:val="16"/>
          <w:shd w:val="clear" w:color="auto" w:fill="FFFFFF"/>
          <w:lang w:val="es-AR"/>
        </w:rPr>
        <w:t>Caso Myrna Mack Chang Vs. Guatemala</w:t>
      </w:r>
      <w:r w:rsidRPr="00D93236">
        <w:rPr>
          <w:rStyle w:val="Strong"/>
          <w:rFonts w:asciiTheme="majorHAnsi" w:hAnsiTheme="majorHAnsi"/>
          <w:b w:val="0"/>
          <w:sz w:val="16"/>
          <w:szCs w:val="16"/>
          <w:shd w:val="clear" w:color="auto" w:fill="FFFFFF"/>
          <w:lang w:val="es-AR"/>
        </w:rPr>
        <w:t xml:space="preserve">. Fondo, Reparaciones y Costas. Sentencia de 25 de noviembre de 2003. Serie C No. 101. Párr. 217; Corte IDH. </w:t>
      </w:r>
      <w:r w:rsidRPr="00D93236">
        <w:rPr>
          <w:rStyle w:val="Strong"/>
          <w:rFonts w:asciiTheme="majorHAnsi" w:hAnsiTheme="majorHAnsi"/>
          <w:b w:val="0"/>
          <w:i/>
          <w:sz w:val="16"/>
          <w:szCs w:val="16"/>
          <w:shd w:val="clear" w:color="auto" w:fill="FFFFFF"/>
          <w:lang w:val="es-AR"/>
        </w:rPr>
        <w:t>Caso de las Hermanas Serrano Cruz Vs. El Salvador</w:t>
      </w:r>
      <w:r w:rsidRPr="00D93236">
        <w:rPr>
          <w:rStyle w:val="Strong"/>
          <w:rFonts w:asciiTheme="majorHAnsi" w:hAnsiTheme="majorHAnsi"/>
          <w:b w:val="0"/>
          <w:sz w:val="16"/>
          <w:szCs w:val="16"/>
          <w:shd w:val="clear" w:color="auto" w:fill="FFFFFF"/>
          <w:lang w:val="es-AR"/>
        </w:rPr>
        <w:t xml:space="preserve">. Fondo, Reparaciones y Costas. Sentencia de 1 de marzo de 2005. Serie C No. 120. Párr. 83; Corte IDH. </w:t>
      </w:r>
      <w:r w:rsidRPr="00D93236">
        <w:rPr>
          <w:rStyle w:val="Strong"/>
          <w:rFonts w:asciiTheme="majorHAnsi" w:hAnsiTheme="majorHAnsi"/>
          <w:b w:val="0"/>
          <w:i/>
          <w:sz w:val="16"/>
          <w:szCs w:val="16"/>
          <w:shd w:val="clear" w:color="auto" w:fill="FFFFFF"/>
          <w:lang w:val="es-AR"/>
        </w:rPr>
        <w:t>Caso Coc Max y otros (Masacre de Xamán) Vs. Guatemala</w:t>
      </w:r>
      <w:r w:rsidRPr="00D93236">
        <w:rPr>
          <w:rStyle w:val="Strong"/>
          <w:rFonts w:asciiTheme="majorHAnsi" w:hAnsiTheme="majorHAnsi"/>
          <w:b w:val="0"/>
          <w:sz w:val="16"/>
          <w:szCs w:val="16"/>
          <w:shd w:val="clear" w:color="auto" w:fill="FFFFFF"/>
          <w:lang w:val="es-AR"/>
        </w:rPr>
        <w:t xml:space="preserve">. Fondo, Reparaciones y Costas. Sentencia de 22 de agosto de 2018. Serie C No. 356. Párr. 81. </w:t>
      </w:r>
    </w:p>
  </w:footnote>
  <w:footnote w:id="112">
    <w:p w14:paraId="13914DDA" w14:textId="77777777" w:rsidR="005B3F8C" w:rsidRPr="00D93236" w:rsidRDefault="005B3F8C" w:rsidP="00E27260">
      <w:pPr>
        <w:pStyle w:val="FootnoteText"/>
        <w:jc w:val="both"/>
        <w:rPr>
          <w:rFonts w:asciiTheme="majorHAnsi" w:hAnsiTheme="majorHAnsi"/>
          <w:b/>
          <w:sz w:val="16"/>
          <w:szCs w:val="16"/>
          <w:lang w:val="es-AR"/>
        </w:rPr>
      </w:pPr>
      <w:r w:rsidRPr="00D93236">
        <w:rPr>
          <w:rStyle w:val="FootnoteReference"/>
          <w:rFonts w:asciiTheme="majorHAnsi" w:hAnsiTheme="majorHAnsi"/>
          <w:sz w:val="16"/>
          <w:szCs w:val="16"/>
        </w:rPr>
        <w:footnoteRef/>
      </w:r>
      <w:r w:rsidRPr="00D93236">
        <w:rPr>
          <w:rStyle w:val="Strong"/>
          <w:rFonts w:asciiTheme="majorHAnsi" w:hAnsiTheme="majorHAnsi"/>
          <w:sz w:val="16"/>
          <w:szCs w:val="16"/>
          <w:shd w:val="clear" w:color="auto" w:fill="FFFFFF"/>
          <w:lang w:val="es-AR"/>
        </w:rPr>
        <w:t xml:space="preserve"> </w:t>
      </w:r>
      <w:r w:rsidRPr="00D93236">
        <w:rPr>
          <w:rStyle w:val="Strong"/>
          <w:rFonts w:asciiTheme="majorHAnsi" w:hAnsiTheme="majorHAnsi"/>
          <w:b w:val="0"/>
          <w:sz w:val="16"/>
          <w:szCs w:val="16"/>
          <w:shd w:val="clear" w:color="auto" w:fill="FFFFFF"/>
          <w:lang w:val="es-AR"/>
        </w:rPr>
        <w:t xml:space="preserve">Corte IDH. </w:t>
      </w:r>
      <w:r w:rsidRPr="00D93236">
        <w:rPr>
          <w:rStyle w:val="Strong"/>
          <w:rFonts w:asciiTheme="majorHAnsi" w:hAnsiTheme="majorHAnsi"/>
          <w:b w:val="0"/>
          <w:i/>
          <w:sz w:val="16"/>
          <w:szCs w:val="16"/>
          <w:shd w:val="clear" w:color="auto" w:fill="FFFFFF"/>
          <w:lang w:val="es-AR"/>
        </w:rPr>
        <w:t>Caso Bulacio Vs. Argentina</w:t>
      </w:r>
      <w:r w:rsidRPr="00D93236">
        <w:rPr>
          <w:rStyle w:val="Strong"/>
          <w:rFonts w:asciiTheme="majorHAnsi" w:hAnsiTheme="majorHAnsi"/>
          <w:b w:val="0"/>
          <w:sz w:val="16"/>
          <w:szCs w:val="16"/>
          <w:shd w:val="clear" w:color="auto" w:fill="FFFFFF"/>
          <w:lang w:val="es-AR"/>
        </w:rPr>
        <w:t xml:space="preserve">. Fondo, Reparaciones y Costas. Sentencia de 18 de septiembre de 2003. Serie C No. 100. Párrs. 114 a 116; Corte IDH. </w:t>
      </w:r>
      <w:r w:rsidRPr="00D93236">
        <w:rPr>
          <w:rStyle w:val="Strong"/>
          <w:rFonts w:asciiTheme="majorHAnsi" w:hAnsiTheme="majorHAnsi"/>
          <w:b w:val="0"/>
          <w:i/>
          <w:sz w:val="16"/>
          <w:szCs w:val="16"/>
          <w:shd w:val="clear" w:color="auto" w:fill="FFFFFF"/>
          <w:lang w:val="es-AR"/>
        </w:rPr>
        <w:t>Caso García Ibarra y otros Vs. Ecuador</w:t>
      </w:r>
      <w:r w:rsidRPr="00D93236">
        <w:rPr>
          <w:rStyle w:val="Strong"/>
          <w:rFonts w:asciiTheme="majorHAnsi" w:hAnsiTheme="majorHAnsi"/>
          <w:b w:val="0"/>
          <w:sz w:val="16"/>
          <w:szCs w:val="16"/>
          <w:shd w:val="clear" w:color="auto" w:fill="FFFFFF"/>
          <w:lang w:val="es-AR"/>
        </w:rPr>
        <w:t xml:space="preserve">. Excepciones Preliminares, Fondo, Reparaciones y Costas. Sentencia de 17 de noviembre de 2015. Serie C No. 306. Párr.  132. </w:t>
      </w:r>
    </w:p>
  </w:footnote>
  <w:footnote w:id="113">
    <w:p w14:paraId="48645606" w14:textId="77777777" w:rsidR="005B3F8C" w:rsidRPr="00D93236" w:rsidRDefault="005B3F8C" w:rsidP="00E27260">
      <w:pPr>
        <w:pStyle w:val="FootnoteText"/>
        <w:jc w:val="both"/>
        <w:rPr>
          <w:rFonts w:asciiTheme="majorHAnsi" w:hAnsiTheme="majorHAnsi"/>
          <w:sz w:val="16"/>
          <w:szCs w:val="16"/>
          <w:lang w:val="es-US"/>
        </w:rPr>
      </w:pPr>
      <w:r w:rsidRPr="00D93236">
        <w:rPr>
          <w:rStyle w:val="FootnoteReference"/>
          <w:rFonts w:asciiTheme="majorHAnsi" w:hAnsiTheme="majorHAnsi"/>
          <w:sz w:val="16"/>
          <w:szCs w:val="16"/>
        </w:rPr>
        <w:footnoteRef/>
      </w:r>
      <w:r w:rsidRPr="00D93236">
        <w:rPr>
          <w:rFonts w:asciiTheme="majorHAnsi" w:hAnsiTheme="majorHAnsi"/>
          <w:sz w:val="16"/>
          <w:szCs w:val="16"/>
          <w:lang w:val="es-US"/>
        </w:rPr>
        <w:t xml:space="preserve"> </w:t>
      </w:r>
      <w:r w:rsidRPr="00D93236">
        <w:rPr>
          <w:rFonts w:asciiTheme="majorHAnsi" w:eastAsia="Times New Roman" w:hAnsiTheme="majorHAnsi"/>
          <w:bCs/>
          <w:sz w:val="16"/>
          <w:szCs w:val="16"/>
          <w:shd w:val="clear" w:color="auto" w:fill="FFFFFF"/>
          <w:lang w:val="es-ES"/>
        </w:rPr>
        <w:t xml:space="preserve">Corte IDH. </w:t>
      </w:r>
      <w:r w:rsidRPr="00D93236">
        <w:rPr>
          <w:rFonts w:asciiTheme="majorHAnsi" w:eastAsia="Times New Roman" w:hAnsiTheme="majorHAnsi"/>
          <w:bCs/>
          <w:i/>
          <w:sz w:val="16"/>
          <w:szCs w:val="16"/>
          <w:shd w:val="clear" w:color="auto" w:fill="FFFFFF"/>
          <w:lang w:val="es-ES"/>
        </w:rPr>
        <w:t>Caso Rodríguez Vera y otros (Desaparecidos del Palacio de Justicia) Vs. Colombia</w:t>
      </w:r>
      <w:r w:rsidRPr="00D93236">
        <w:rPr>
          <w:rFonts w:asciiTheme="majorHAnsi" w:eastAsia="Times New Roman" w:hAnsiTheme="majorHAnsi"/>
          <w:bCs/>
          <w:sz w:val="16"/>
          <w:szCs w:val="16"/>
          <w:shd w:val="clear" w:color="auto" w:fill="FFFFFF"/>
          <w:lang w:val="es-ES"/>
        </w:rPr>
        <w:t>. Excepciones Preliminares, Fondo, Reparaciones y Costas. Sentencia de 14 de noviembre de 2014. Serie C No. 287. Párr. 500.</w:t>
      </w:r>
    </w:p>
  </w:footnote>
  <w:footnote w:id="114">
    <w:p w14:paraId="4C44F600" w14:textId="77777777" w:rsidR="005B3F8C" w:rsidRPr="00D93236" w:rsidRDefault="005B3F8C" w:rsidP="00E27260">
      <w:pPr>
        <w:pStyle w:val="FootnoteText"/>
        <w:jc w:val="both"/>
        <w:rPr>
          <w:rFonts w:asciiTheme="majorHAnsi" w:hAnsiTheme="majorHAnsi"/>
          <w:b/>
          <w:sz w:val="16"/>
          <w:szCs w:val="16"/>
          <w:lang w:val="es-AR"/>
        </w:rPr>
      </w:pPr>
      <w:r w:rsidRPr="00D93236">
        <w:rPr>
          <w:rStyle w:val="FootnoteReference"/>
          <w:rFonts w:asciiTheme="majorHAnsi" w:hAnsiTheme="majorHAnsi"/>
          <w:sz w:val="16"/>
          <w:szCs w:val="16"/>
        </w:rPr>
        <w:footnoteRef/>
      </w:r>
      <w:r w:rsidRPr="00D93236">
        <w:rPr>
          <w:rFonts w:asciiTheme="majorHAnsi" w:hAnsiTheme="majorHAnsi"/>
          <w:sz w:val="16"/>
          <w:szCs w:val="16"/>
          <w:lang w:val="es-US"/>
        </w:rPr>
        <w:t xml:space="preserve"> </w:t>
      </w:r>
      <w:r w:rsidRPr="00D93236">
        <w:rPr>
          <w:rStyle w:val="Strong"/>
          <w:rFonts w:asciiTheme="majorHAnsi" w:hAnsiTheme="majorHAnsi"/>
          <w:b w:val="0"/>
          <w:sz w:val="16"/>
          <w:szCs w:val="16"/>
          <w:shd w:val="clear" w:color="auto" w:fill="FFFFFF"/>
          <w:lang w:val="es-US"/>
        </w:rPr>
        <w:t xml:space="preserve">Corte IDH. </w:t>
      </w:r>
      <w:r w:rsidRPr="00D93236">
        <w:rPr>
          <w:rStyle w:val="Strong"/>
          <w:rFonts w:asciiTheme="majorHAnsi" w:hAnsiTheme="majorHAnsi"/>
          <w:b w:val="0"/>
          <w:i/>
          <w:sz w:val="16"/>
          <w:szCs w:val="16"/>
          <w:shd w:val="clear" w:color="auto" w:fill="FFFFFF"/>
          <w:lang w:val="es-US"/>
        </w:rPr>
        <w:t>Caso Herrera Ulloa Vs. Costa Rica</w:t>
      </w:r>
      <w:r w:rsidRPr="00D93236">
        <w:rPr>
          <w:rStyle w:val="Strong"/>
          <w:rFonts w:asciiTheme="majorHAnsi" w:hAnsiTheme="majorHAnsi"/>
          <w:b w:val="0"/>
          <w:sz w:val="16"/>
          <w:szCs w:val="16"/>
          <w:shd w:val="clear" w:color="auto" w:fill="FFFFFF"/>
          <w:lang w:val="es-US"/>
        </w:rPr>
        <w:t xml:space="preserve">. </w:t>
      </w:r>
      <w:r w:rsidRPr="00D93236">
        <w:rPr>
          <w:rStyle w:val="Strong"/>
          <w:rFonts w:asciiTheme="majorHAnsi" w:hAnsiTheme="majorHAnsi"/>
          <w:b w:val="0"/>
          <w:sz w:val="16"/>
          <w:szCs w:val="16"/>
          <w:shd w:val="clear" w:color="auto" w:fill="FFFFFF"/>
          <w:lang w:val="es-AR"/>
        </w:rPr>
        <w:t>Excepciones Preliminares, Fondo, Reparaciones y Costas. Sentencia de 2 de julio de 2004. Serie C No. 107. Párrs 169 a 171.</w:t>
      </w:r>
    </w:p>
  </w:footnote>
  <w:footnote w:id="115">
    <w:p w14:paraId="0C9E4554" w14:textId="77777777" w:rsidR="005B3F8C" w:rsidRPr="00386E47" w:rsidRDefault="005B3F8C" w:rsidP="00A57D5E">
      <w:pPr>
        <w:pStyle w:val="FootnoteText"/>
        <w:jc w:val="both"/>
        <w:rPr>
          <w:rFonts w:asciiTheme="majorHAnsi" w:hAnsiTheme="majorHAnsi"/>
          <w:sz w:val="16"/>
          <w:szCs w:val="16"/>
          <w:lang w:val="pt-BR"/>
        </w:rPr>
      </w:pPr>
      <w:r w:rsidRPr="00D93236">
        <w:rPr>
          <w:rStyle w:val="FootnoteReference"/>
          <w:rFonts w:asciiTheme="majorHAnsi" w:hAnsiTheme="majorHAnsi"/>
          <w:sz w:val="16"/>
          <w:szCs w:val="16"/>
          <w:lang w:val="es-ES"/>
        </w:rPr>
        <w:footnoteRef/>
      </w:r>
      <w:r w:rsidRPr="00386E47">
        <w:rPr>
          <w:rFonts w:asciiTheme="majorHAnsi" w:hAnsiTheme="majorHAnsi" w:cs="Verdana-Bold"/>
          <w:bCs/>
          <w:i/>
          <w:sz w:val="16"/>
          <w:szCs w:val="16"/>
          <w:lang w:val="es-AR" w:bidi="en-US"/>
        </w:rPr>
        <w:t xml:space="preserve"> </w:t>
      </w:r>
      <w:r w:rsidRPr="00386E47">
        <w:rPr>
          <w:rFonts w:asciiTheme="majorHAnsi" w:hAnsiTheme="majorHAnsi" w:cs="Verdana-Bold"/>
          <w:bCs/>
          <w:sz w:val="16"/>
          <w:szCs w:val="16"/>
          <w:lang w:val="es-AR" w:bidi="en-US"/>
        </w:rPr>
        <w:t xml:space="preserve">Corte IDH. </w:t>
      </w:r>
      <w:r w:rsidRPr="00386E47">
        <w:rPr>
          <w:rFonts w:asciiTheme="majorHAnsi" w:hAnsiTheme="majorHAnsi" w:cs="Verdana-Bold"/>
          <w:bCs/>
          <w:i/>
          <w:sz w:val="16"/>
          <w:szCs w:val="16"/>
          <w:lang w:val="es-AR" w:bidi="en-US"/>
        </w:rPr>
        <w:t xml:space="preserve">Caso Nogueira de Carvalho y otro Vs. </w:t>
      </w:r>
      <w:r w:rsidRPr="00D93236">
        <w:rPr>
          <w:rFonts w:asciiTheme="majorHAnsi" w:hAnsiTheme="majorHAnsi" w:cs="Verdana-Bold"/>
          <w:bCs/>
          <w:i/>
          <w:sz w:val="16"/>
          <w:szCs w:val="16"/>
          <w:lang w:val="es-ES" w:bidi="en-US"/>
        </w:rPr>
        <w:t xml:space="preserve">Brasil. </w:t>
      </w:r>
      <w:r w:rsidRPr="00D93236">
        <w:rPr>
          <w:rFonts w:asciiTheme="majorHAnsi" w:hAnsiTheme="majorHAnsi" w:cs="Verdana"/>
          <w:sz w:val="16"/>
          <w:szCs w:val="16"/>
          <w:lang w:val="es-ES" w:bidi="en-US"/>
        </w:rPr>
        <w:t xml:space="preserve">Excepciones Preliminares y Fondo. Sentencia de 28 de Noviembre de 2006. </w:t>
      </w:r>
      <w:r w:rsidRPr="00386E47">
        <w:rPr>
          <w:rFonts w:asciiTheme="majorHAnsi" w:hAnsiTheme="majorHAnsi" w:cs="Verdana"/>
          <w:sz w:val="16"/>
          <w:szCs w:val="16"/>
          <w:lang w:val="pt-BR" w:bidi="en-US"/>
        </w:rPr>
        <w:t>Serie C No. 161</w:t>
      </w:r>
      <w:r w:rsidRPr="00386E47">
        <w:rPr>
          <w:rFonts w:asciiTheme="majorHAnsi" w:hAnsiTheme="majorHAnsi"/>
          <w:sz w:val="16"/>
          <w:szCs w:val="16"/>
          <w:lang w:val="pt-BR"/>
        </w:rPr>
        <w:t xml:space="preserve">, </w:t>
      </w:r>
      <w:r w:rsidRPr="00386E47">
        <w:rPr>
          <w:rFonts w:asciiTheme="majorHAnsi" w:hAnsiTheme="majorHAnsi" w:cs="Verdana"/>
          <w:sz w:val="16"/>
          <w:szCs w:val="16"/>
          <w:lang w:val="pt-BR"/>
        </w:rPr>
        <w:t>párr. 80.</w:t>
      </w:r>
      <w:r w:rsidRPr="00386E47">
        <w:rPr>
          <w:rFonts w:asciiTheme="majorHAnsi" w:hAnsiTheme="majorHAnsi"/>
          <w:sz w:val="16"/>
          <w:szCs w:val="16"/>
          <w:lang w:val="pt-BR"/>
        </w:rPr>
        <w:t xml:space="preserve"> </w:t>
      </w:r>
    </w:p>
  </w:footnote>
  <w:footnote w:id="116">
    <w:p w14:paraId="2ED66D80" w14:textId="77777777" w:rsidR="005B3F8C" w:rsidRPr="00D93236" w:rsidRDefault="005B3F8C" w:rsidP="00A57D5E">
      <w:pPr>
        <w:pStyle w:val="FootnoteText"/>
        <w:jc w:val="both"/>
        <w:rPr>
          <w:rFonts w:asciiTheme="majorHAnsi" w:hAnsiTheme="majorHAnsi"/>
          <w:sz w:val="16"/>
          <w:szCs w:val="16"/>
          <w:lang w:val="es-ES"/>
        </w:rPr>
      </w:pPr>
      <w:r w:rsidRPr="00D93236">
        <w:rPr>
          <w:rStyle w:val="FootnoteReference"/>
          <w:rFonts w:asciiTheme="majorHAnsi" w:hAnsiTheme="majorHAnsi"/>
          <w:sz w:val="16"/>
          <w:szCs w:val="16"/>
          <w:lang w:val="es-ES"/>
        </w:rPr>
        <w:footnoteRef/>
      </w:r>
      <w:r w:rsidRPr="00386E47">
        <w:rPr>
          <w:rFonts w:asciiTheme="majorHAnsi" w:hAnsiTheme="majorHAnsi"/>
          <w:sz w:val="16"/>
          <w:szCs w:val="16"/>
          <w:lang w:val="pt-BR"/>
        </w:rPr>
        <w:t xml:space="preserve"> Corte IDH., </w:t>
      </w:r>
      <w:r w:rsidRPr="00386E47">
        <w:rPr>
          <w:rFonts w:asciiTheme="majorHAnsi" w:hAnsiTheme="majorHAnsi"/>
          <w:i/>
          <w:sz w:val="16"/>
          <w:szCs w:val="16"/>
          <w:lang w:val="pt-BR"/>
        </w:rPr>
        <w:t xml:space="preserve">Caso Kawas Fernández Vs. </w:t>
      </w:r>
      <w:r w:rsidRPr="00D93236">
        <w:rPr>
          <w:rFonts w:asciiTheme="majorHAnsi" w:hAnsiTheme="majorHAnsi"/>
          <w:i/>
          <w:sz w:val="16"/>
          <w:szCs w:val="16"/>
          <w:lang w:val="es-ES"/>
        </w:rPr>
        <w:t>Honduras</w:t>
      </w:r>
      <w:r w:rsidRPr="00D93236">
        <w:rPr>
          <w:rFonts w:asciiTheme="majorHAnsi" w:hAnsiTheme="majorHAnsi"/>
          <w:sz w:val="16"/>
          <w:szCs w:val="16"/>
          <w:lang w:val="es-ES"/>
        </w:rPr>
        <w:t xml:space="preserve">. Fondo, Reparaciones y Costas. Sentencia de 3 de abril de 2009. Serie C No. 196, párr.112.  </w:t>
      </w:r>
    </w:p>
  </w:footnote>
  <w:footnote w:id="117">
    <w:p w14:paraId="73339400" w14:textId="77777777" w:rsidR="005B3F8C" w:rsidRPr="00D93236" w:rsidRDefault="005B3F8C" w:rsidP="00A57D5E">
      <w:pPr>
        <w:pStyle w:val="FootnoteText"/>
        <w:jc w:val="both"/>
        <w:rPr>
          <w:rFonts w:asciiTheme="majorHAnsi" w:hAnsiTheme="majorHAnsi"/>
          <w:sz w:val="16"/>
          <w:szCs w:val="16"/>
          <w:lang w:val="es-ES"/>
        </w:rPr>
      </w:pPr>
      <w:r w:rsidRPr="00D93236">
        <w:rPr>
          <w:rStyle w:val="FootnoteReference"/>
          <w:rFonts w:asciiTheme="majorHAnsi" w:hAnsiTheme="majorHAnsi"/>
          <w:sz w:val="16"/>
          <w:szCs w:val="16"/>
          <w:lang w:val="es-ES"/>
        </w:rPr>
        <w:footnoteRef/>
      </w:r>
      <w:r w:rsidRPr="00D93236">
        <w:rPr>
          <w:rFonts w:asciiTheme="majorHAnsi" w:hAnsiTheme="majorHAnsi"/>
          <w:sz w:val="16"/>
          <w:szCs w:val="16"/>
          <w:lang w:val="es-ES"/>
        </w:rPr>
        <w:t xml:space="preserve"> Corte IDH. </w:t>
      </w:r>
      <w:r w:rsidRPr="00D93236">
        <w:rPr>
          <w:rFonts w:asciiTheme="majorHAnsi" w:hAnsiTheme="majorHAnsi" w:cs="Univers,Italic"/>
          <w:i/>
          <w:iCs/>
          <w:sz w:val="16"/>
          <w:szCs w:val="16"/>
          <w:lang w:val="es-ES"/>
        </w:rPr>
        <w:t xml:space="preserve">Caso Tiu Tojín Vs. Guatemala. </w:t>
      </w:r>
      <w:r w:rsidRPr="00D93236">
        <w:rPr>
          <w:rFonts w:asciiTheme="majorHAnsi" w:hAnsiTheme="majorHAnsi"/>
          <w:sz w:val="16"/>
          <w:szCs w:val="16"/>
          <w:lang w:val="es-ES"/>
        </w:rPr>
        <w:t xml:space="preserve">Fondo, Reparaciones y Costas. Sentencia de 26 de noviembre de 2008. Serie C No. 190, párr. 77. </w:t>
      </w:r>
    </w:p>
  </w:footnote>
  <w:footnote w:id="118">
    <w:p w14:paraId="1CC1AF4D" w14:textId="77777777" w:rsidR="005B3F8C" w:rsidRPr="00D93236" w:rsidRDefault="005B3F8C" w:rsidP="00A57D5E">
      <w:pPr>
        <w:jc w:val="both"/>
        <w:rPr>
          <w:rFonts w:asciiTheme="majorHAnsi" w:hAnsiTheme="majorHAnsi" w:cs="Arial"/>
          <w:sz w:val="16"/>
          <w:szCs w:val="16"/>
          <w:lang w:val="pt-BR"/>
        </w:rPr>
      </w:pPr>
      <w:r w:rsidRPr="00D93236">
        <w:rPr>
          <w:rStyle w:val="FootnoteReference"/>
          <w:rFonts w:asciiTheme="majorHAnsi" w:hAnsiTheme="majorHAnsi"/>
          <w:sz w:val="16"/>
          <w:szCs w:val="16"/>
          <w:lang w:val="es-ES"/>
        </w:rPr>
        <w:footnoteRef/>
      </w:r>
      <w:r w:rsidRPr="00D93236">
        <w:rPr>
          <w:rFonts w:asciiTheme="majorHAnsi" w:hAnsiTheme="majorHAnsi"/>
          <w:sz w:val="16"/>
          <w:szCs w:val="16"/>
          <w:lang w:val="es-ES"/>
        </w:rPr>
        <w:t xml:space="preserve"> CIDH, Informe de Fondo, N˚ 55/97, </w:t>
      </w:r>
      <w:r w:rsidRPr="00D93236">
        <w:rPr>
          <w:rFonts w:asciiTheme="majorHAnsi" w:hAnsiTheme="majorHAnsi"/>
          <w:i/>
          <w:sz w:val="16"/>
          <w:szCs w:val="16"/>
          <w:lang w:val="es-ES"/>
        </w:rPr>
        <w:t xml:space="preserve">Juan Carlos Abella y Otros </w:t>
      </w:r>
      <w:r w:rsidRPr="00D93236">
        <w:rPr>
          <w:rFonts w:asciiTheme="majorHAnsi" w:hAnsiTheme="majorHAnsi"/>
          <w:sz w:val="16"/>
          <w:szCs w:val="16"/>
          <w:lang w:val="es-ES"/>
        </w:rPr>
        <w:t>(Argentina)</w:t>
      </w:r>
      <w:r w:rsidRPr="00D93236">
        <w:rPr>
          <w:rFonts w:asciiTheme="majorHAnsi" w:hAnsiTheme="majorHAnsi"/>
          <w:i/>
          <w:sz w:val="16"/>
          <w:szCs w:val="16"/>
          <w:lang w:val="es-ES"/>
        </w:rPr>
        <w:t xml:space="preserve">, </w:t>
      </w:r>
      <w:r w:rsidRPr="00D93236">
        <w:rPr>
          <w:rFonts w:asciiTheme="majorHAnsi" w:hAnsiTheme="majorHAnsi"/>
          <w:sz w:val="16"/>
          <w:szCs w:val="16"/>
          <w:lang w:val="es-ES"/>
        </w:rPr>
        <w:t xml:space="preserve">18 de noviembre de 1997, párr. </w:t>
      </w:r>
      <w:r w:rsidRPr="00D93236">
        <w:rPr>
          <w:rFonts w:asciiTheme="majorHAnsi" w:hAnsiTheme="majorHAnsi"/>
          <w:sz w:val="16"/>
          <w:szCs w:val="16"/>
          <w:lang w:val="pt-BR"/>
        </w:rPr>
        <w:t>412.</w:t>
      </w:r>
    </w:p>
  </w:footnote>
  <w:footnote w:id="119">
    <w:p w14:paraId="4D6ED4A5" w14:textId="77777777" w:rsidR="005B3F8C" w:rsidRPr="00D93236" w:rsidRDefault="005B3F8C" w:rsidP="00A57D5E">
      <w:pPr>
        <w:pStyle w:val="FootnoteText"/>
        <w:jc w:val="both"/>
        <w:rPr>
          <w:rFonts w:asciiTheme="majorHAnsi" w:hAnsiTheme="majorHAnsi"/>
          <w:sz w:val="16"/>
          <w:szCs w:val="16"/>
          <w:lang w:val="es-ES"/>
        </w:rPr>
      </w:pPr>
      <w:r w:rsidRPr="00D93236">
        <w:rPr>
          <w:rStyle w:val="FootnoteReference"/>
          <w:rFonts w:asciiTheme="majorHAnsi" w:hAnsiTheme="majorHAnsi"/>
          <w:sz w:val="16"/>
          <w:szCs w:val="16"/>
          <w:lang w:val="es-ES"/>
        </w:rPr>
        <w:footnoteRef/>
      </w:r>
      <w:r w:rsidRPr="00D93236">
        <w:rPr>
          <w:rFonts w:asciiTheme="majorHAnsi" w:hAnsiTheme="majorHAnsi"/>
          <w:sz w:val="16"/>
          <w:szCs w:val="16"/>
          <w:lang w:val="pt-BR"/>
        </w:rPr>
        <w:t xml:space="preserve"> CIDH, Informe No. 25/09 Fondo. Sebastião Camargo Filho. </w:t>
      </w:r>
      <w:r w:rsidRPr="003E67F8">
        <w:rPr>
          <w:rFonts w:asciiTheme="majorHAnsi" w:hAnsiTheme="majorHAnsi"/>
          <w:sz w:val="16"/>
          <w:szCs w:val="16"/>
          <w:lang w:val="pt-BR"/>
        </w:rPr>
        <w:t xml:space="preserve">Brasil, 19 de marzo de 2009, párr. </w:t>
      </w:r>
      <w:r w:rsidRPr="00D93236">
        <w:rPr>
          <w:rFonts w:asciiTheme="majorHAnsi" w:hAnsiTheme="majorHAnsi"/>
          <w:sz w:val="16"/>
          <w:szCs w:val="16"/>
          <w:lang w:val="es-ES"/>
        </w:rPr>
        <w:t xml:space="preserve">109. Ver también, CIDH, </w:t>
      </w:r>
      <w:r w:rsidRPr="00D93236">
        <w:rPr>
          <w:rFonts w:asciiTheme="majorHAnsi" w:hAnsiTheme="majorHAnsi"/>
          <w:i/>
          <w:sz w:val="16"/>
          <w:szCs w:val="16"/>
          <w:lang w:val="es-ES"/>
        </w:rPr>
        <w:t>Acceso a la Justicia para las Mujeres Víctimas de Violencia en las Américas</w:t>
      </w:r>
      <w:r w:rsidRPr="00D93236">
        <w:rPr>
          <w:rFonts w:asciiTheme="majorHAnsi" w:hAnsiTheme="majorHAnsi"/>
          <w:sz w:val="16"/>
          <w:szCs w:val="16"/>
          <w:lang w:val="es-ES"/>
        </w:rPr>
        <w:t>, OEA/Ser. L/V/II. doc.68, 20 de enero de 2007, párr. 41.</w:t>
      </w:r>
    </w:p>
  </w:footnote>
  <w:footnote w:id="120">
    <w:p w14:paraId="2FE09635" w14:textId="77777777" w:rsidR="005B3F8C" w:rsidRPr="00D93236" w:rsidRDefault="005B3F8C" w:rsidP="00A57D5E">
      <w:pPr>
        <w:pStyle w:val="FootnoteText"/>
        <w:jc w:val="both"/>
        <w:rPr>
          <w:rFonts w:asciiTheme="majorHAnsi" w:hAnsiTheme="majorHAnsi"/>
          <w:sz w:val="16"/>
          <w:szCs w:val="16"/>
          <w:lang w:val="es-ES"/>
        </w:rPr>
      </w:pPr>
      <w:r w:rsidRPr="00D93236">
        <w:rPr>
          <w:rStyle w:val="FootnoteReference"/>
          <w:rFonts w:asciiTheme="majorHAnsi" w:hAnsiTheme="majorHAnsi"/>
          <w:sz w:val="16"/>
          <w:szCs w:val="16"/>
          <w:lang w:val="es-ES"/>
        </w:rPr>
        <w:footnoteRef/>
      </w:r>
      <w:r w:rsidRPr="00D93236">
        <w:rPr>
          <w:rFonts w:asciiTheme="majorHAnsi" w:hAnsiTheme="majorHAnsi"/>
          <w:sz w:val="16"/>
          <w:szCs w:val="16"/>
          <w:lang w:val="es-ES"/>
        </w:rPr>
        <w:t xml:space="preserve"> Corte IDH., </w:t>
      </w:r>
      <w:r w:rsidRPr="00D93236">
        <w:rPr>
          <w:rFonts w:asciiTheme="majorHAnsi" w:hAnsiTheme="majorHAnsi"/>
          <w:i/>
          <w:iCs/>
          <w:sz w:val="16"/>
          <w:szCs w:val="16"/>
          <w:lang w:val="es-ES"/>
        </w:rPr>
        <w:t>Caso de los “Niños de la Calle” (Villagrán Morales y otros) Vs. Guatemala.</w:t>
      </w:r>
      <w:r w:rsidRPr="00D93236">
        <w:rPr>
          <w:rFonts w:asciiTheme="majorHAnsi" w:hAnsiTheme="majorHAnsi"/>
          <w:sz w:val="16"/>
          <w:szCs w:val="16"/>
          <w:lang w:val="es-ES"/>
        </w:rPr>
        <w:t xml:space="preserve"> Sentencia de 19 de noviembre de 1999. Serie C No. 63, párr. 230. Ver también, CIDH, </w:t>
      </w:r>
      <w:r w:rsidRPr="00D93236">
        <w:rPr>
          <w:rFonts w:asciiTheme="majorHAnsi" w:hAnsiTheme="majorHAnsi"/>
          <w:i/>
          <w:sz w:val="16"/>
          <w:szCs w:val="16"/>
          <w:lang w:val="es-ES"/>
        </w:rPr>
        <w:t>Acceso a la Justicia para las Mujeres Víctimas de Violencia en las Américas</w:t>
      </w:r>
      <w:r w:rsidRPr="00D93236">
        <w:rPr>
          <w:rFonts w:asciiTheme="majorHAnsi" w:hAnsiTheme="majorHAnsi"/>
          <w:sz w:val="16"/>
          <w:szCs w:val="16"/>
          <w:lang w:val="es-ES"/>
        </w:rPr>
        <w:t>, OEA/Ser. L/V/II. doc.68, 20 de enero de 2007, párr. 41.</w:t>
      </w:r>
    </w:p>
  </w:footnote>
  <w:footnote w:id="121">
    <w:p w14:paraId="55EF480B" w14:textId="77777777" w:rsidR="005B3F8C" w:rsidRPr="00D93236" w:rsidRDefault="005B3F8C" w:rsidP="00E27260">
      <w:pPr>
        <w:pStyle w:val="FootnoteText"/>
        <w:jc w:val="both"/>
        <w:rPr>
          <w:rFonts w:asciiTheme="majorHAnsi" w:hAnsiTheme="majorHAnsi"/>
          <w:sz w:val="16"/>
          <w:szCs w:val="16"/>
          <w:lang w:val="es-AR"/>
        </w:rPr>
      </w:pPr>
      <w:r w:rsidRPr="00D93236">
        <w:rPr>
          <w:rStyle w:val="FootnoteReference"/>
          <w:rFonts w:asciiTheme="majorHAnsi" w:hAnsiTheme="majorHAnsi"/>
          <w:sz w:val="16"/>
          <w:szCs w:val="16"/>
          <w:lang w:val="es-ES"/>
        </w:rPr>
        <w:footnoteRef/>
      </w:r>
      <w:r w:rsidRPr="00D93236">
        <w:rPr>
          <w:rFonts w:asciiTheme="majorHAnsi" w:hAnsiTheme="majorHAnsi"/>
          <w:b/>
          <w:sz w:val="16"/>
          <w:szCs w:val="16"/>
          <w:lang w:val="es-AR"/>
        </w:rPr>
        <w:t xml:space="preserve"> </w:t>
      </w:r>
      <w:r w:rsidRPr="00D93236">
        <w:rPr>
          <w:rStyle w:val="Strong"/>
          <w:rFonts w:asciiTheme="majorHAnsi" w:hAnsiTheme="majorHAnsi"/>
          <w:b w:val="0"/>
          <w:sz w:val="16"/>
          <w:szCs w:val="16"/>
          <w:shd w:val="clear" w:color="auto" w:fill="FFFFFF"/>
          <w:lang w:val="es-AR"/>
        </w:rPr>
        <w:t xml:space="preserve">Corte IDH. </w:t>
      </w:r>
      <w:r w:rsidRPr="00D93236">
        <w:rPr>
          <w:rStyle w:val="Strong"/>
          <w:rFonts w:asciiTheme="majorHAnsi" w:hAnsiTheme="majorHAnsi"/>
          <w:b w:val="0"/>
          <w:i/>
          <w:sz w:val="16"/>
          <w:szCs w:val="16"/>
          <w:shd w:val="clear" w:color="auto" w:fill="FFFFFF"/>
          <w:lang w:val="es-ES"/>
        </w:rPr>
        <w:t>Caso del Caracazo Vs. Venezuela</w:t>
      </w:r>
      <w:r w:rsidRPr="00D93236">
        <w:rPr>
          <w:rStyle w:val="Strong"/>
          <w:rFonts w:asciiTheme="majorHAnsi" w:hAnsiTheme="majorHAnsi"/>
          <w:b w:val="0"/>
          <w:sz w:val="16"/>
          <w:szCs w:val="16"/>
          <w:shd w:val="clear" w:color="auto" w:fill="FFFFFF"/>
          <w:lang w:val="es-ES"/>
        </w:rPr>
        <w:t xml:space="preserve">. Reparaciones y Costas. Sentencia de 29 de agosto de 2002. Serie C No. 95. </w:t>
      </w:r>
      <w:r w:rsidRPr="00D93236">
        <w:rPr>
          <w:rStyle w:val="Strong"/>
          <w:rFonts w:asciiTheme="majorHAnsi" w:hAnsiTheme="majorHAnsi"/>
          <w:b w:val="0"/>
          <w:sz w:val="16"/>
          <w:szCs w:val="16"/>
          <w:shd w:val="clear" w:color="auto" w:fill="FFFFFF"/>
          <w:lang w:val="pt-BR"/>
        </w:rPr>
        <w:t xml:space="preserve">Párr. </w:t>
      </w:r>
      <w:r w:rsidRPr="00D93236">
        <w:rPr>
          <w:rFonts w:asciiTheme="majorHAnsi" w:hAnsiTheme="majorHAnsi"/>
          <w:sz w:val="16"/>
          <w:szCs w:val="16"/>
          <w:lang w:val="pt-BR"/>
        </w:rPr>
        <w:t>119;</w:t>
      </w:r>
      <w:r w:rsidRPr="00D93236">
        <w:rPr>
          <w:rFonts w:asciiTheme="majorHAnsi" w:hAnsiTheme="majorHAnsi"/>
          <w:b/>
          <w:sz w:val="16"/>
          <w:szCs w:val="16"/>
          <w:lang w:val="pt-BR"/>
        </w:rPr>
        <w:t xml:space="preserve"> </w:t>
      </w:r>
      <w:r w:rsidRPr="00D93236">
        <w:rPr>
          <w:rStyle w:val="Strong"/>
          <w:rFonts w:asciiTheme="majorHAnsi" w:hAnsiTheme="majorHAnsi"/>
          <w:b w:val="0"/>
          <w:sz w:val="16"/>
          <w:szCs w:val="16"/>
          <w:shd w:val="clear" w:color="auto" w:fill="FFFFFF"/>
          <w:lang w:val="pt-BR"/>
        </w:rPr>
        <w:t xml:space="preserve">Corte IDH. </w:t>
      </w:r>
      <w:r w:rsidRPr="00D93236">
        <w:rPr>
          <w:rStyle w:val="Strong"/>
          <w:rFonts w:asciiTheme="majorHAnsi" w:hAnsiTheme="majorHAnsi"/>
          <w:b w:val="0"/>
          <w:i/>
          <w:sz w:val="16"/>
          <w:szCs w:val="16"/>
          <w:shd w:val="clear" w:color="auto" w:fill="FFFFFF"/>
          <w:lang w:val="pt-BR"/>
        </w:rPr>
        <w:t>Caso Masacres de Río Negro Vs. Guatemala</w:t>
      </w:r>
      <w:r w:rsidRPr="00D93236">
        <w:rPr>
          <w:rStyle w:val="Strong"/>
          <w:rFonts w:asciiTheme="majorHAnsi" w:hAnsiTheme="majorHAnsi"/>
          <w:b w:val="0"/>
          <w:sz w:val="16"/>
          <w:szCs w:val="16"/>
          <w:shd w:val="clear" w:color="auto" w:fill="FFFFFF"/>
          <w:lang w:val="pt-BR"/>
        </w:rPr>
        <w:t xml:space="preserve">. </w:t>
      </w:r>
      <w:r w:rsidRPr="00D93236">
        <w:rPr>
          <w:rStyle w:val="Strong"/>
          <w:rFonts w:asciiTheme="majorHAnsi" w:hAnsiTheme="majorHAnsi"/>
          <w:b w:val="0"/>
          <w:sz w:val="16"/>
          <w:szCs w:val="16"/>
          <w:shd w:val="clear" w:color="auto" w:fill="FFFFFF"/>
          <w:lang w:val="es-AR"/>
        </w:rPr>
        <w:t>Excepción Preliminar, Fondo, Reparaciones y Costas. Sentencia de 4 de septiembre de 2012. Serie C No. 250. Parr 257.</w:t>
      </w:r>
      <w:r w:rsidRPr="00D93236">
        <w:rPr>
          <w:rStyle w:val="Strong"/>
          <w:rFonts w:asciiTheme="majorHAnsi" w:hAnsiTheme="majorHAnsi"/>
          <w:sz w:val="16"/>
          <w:szCs w:val="16"/>
          <w:shd w:val="clear" w:color="auto" w:fill="FFFFFF"/>
          <w:lang w:val="es-AR"/>
        </w:rPr>
        <w:t xml:space="preserve"> </w:t>
      </w:r>
    </w:p>
  </w:footnote>
  <w:footnote w:id="122">
    <w:p w14:paraId="57ABB133" w14:textId="77777777" w:rsidR="005B3F8C" w:rsidRPr="00D93236" w:rsidRDefault="005B3F8C" w:rsidP="00E27260">
      <w:pPr>
        <w:pStyle w:val="FootnoteText"/>
        <w:jc w:val="both"/>
        <w:rPr>
          <w:rFonts w:asciiTheme="majorHAnsi" w:hAnsiTheme="majorHAnsi"/>
          <w:b/>
          <w:sz w:val="16"/>
          <w:szCs w:val="16"/>
          <w:lang w:val="es-AR"/>
        </w:rPr>
      </w:pPr>
      <w:r w:rsidRPr="00D93236">
        <w:rPr>
          <w:rStyle w:val="FootnoteReference"/>
          <w:rFonts w:asciiTheme="majorHAnsi" w:hAnsiTheme="majorHAnsi"/>
          <w:sz w:val="16"/>
          <w:szCs w:val="16"/>
        </w:rPr>
        <w:footnoteRef/>
      </w:r>
      <w:r w:rsidRPr="00D93236">
        <w:rPr>
          <w:rFonts w:asciiTheme="majorHAnsi" w:hAnsiTheme="majorHAnsi"/>
          <w:sz w:val="16"/>
          <w:szCs w:val="16"/>
          <w:lang w:val="es-AR"/>
        </w:rPr>
        <w:t xml:space="preserve"> </w:t>
      </w:r>
      <w:r w:rsidRPr="00D93236">
        <w:rPr>
          <w:rStyle w:val="Strong"/>
          <w:rFonts w:asciiTheme="majorHAnsi" w:hAnsiTheme="majorHAnsi"/>
          <w:b w:val="0"/>
          <w:sz w:val="16"/>
          <w:szCs w:val="16"/>
          <w:shd w:val="clear" w:color="auto" w:fill="FFFFFF"/>
          <w:lang w:val="es-AR"/>
        </w:rPr>
        <w:t xml:space="preserve">Corte IDH. </w:t>
      </w:r>
      <w:r w:rsidRPr="00D93236">
        <w:rPr>
          <w:rStyle w:val="Strong"/>
          <w:rFonts w:asciiTheme="majorHAnsi" w:hAnsiTheme="majorHAnsi"/>
          <w:b w:val="0"/>
          <w:i/>
          <w:sz w:val="16"/>
          <w:szCs w:val="16"/>
          <w:shd w:val="clear" w:color="auto" w:fill="FFFFFF"/>
          <w:lang w:val="es-AR"/>
        </w:rPr>
        <w:t>Caso González Medina y familiares Vs. República Dominicana</w:t>
      </w:r>
      <w:r w:rsidRPr="00D93236">
        <w:rPr>
          <w:rStyle w:val="Strong"/>
          <w:rFonts w:asciiTheme="majorHAnsi" w:hAnsiTheme="majorHAnsi"/>
          <w:b w:val="0"/>
          <w:sz w:val="16"/>
          <w:szCs w:val="16"/>
          <w:shd w:val="clear" w:color="auto" w:fill="FFFFFF"/>
          <w:lang w:val="es-AR"/>
        </w:rPr>
        <w:t xml:space="preserve">. Excepciones Preliminares, Fondo, Reparaciones y Costas. Sentencia de 27 de febrero de 2012. Serie C No. 240. Párr. 251. Ver también: CIDH. </w:t>
      </w:r>
      <w:r w:rsidRPr="00D93236">
        <w:rPr>
          <w:rStyle w:val="Strong"/>
          <w:rFonts w:asciiTheme="majorHAnsi" w:hAnsiTheme="majorHAnsi"/>
          <w:b w:val="0"/>
          <w:i/>
          <w:sz w:val="16"/>
          <w:szCs w:val="16"/>
          <w:shd w:val="clear" w:color="auto" w:fill="FFFFFF"/>
          <w:lang w:val="es-AR"/>
        </w:rPr>
        <w:t>Derecho a la Verdad en las Américas</w:t>
      </w:r>
      <w:r w:rsidRPr="00D93236">
        <w:rPr>
          <w:rStyle w:val="Strong"/>
          <w:rFonts w:asciiTheme="majorHAnsi" w:hAnsiTheme="majorHAnsi"/>
          <w:b w:val="0"/>
          <w:sz w:val="16"/>
          <w:szCs w:val="16"/>
          <w:shd w:val="clear" w:color="auto" w:fill="FFFFFF"/>
          <w:lang w:val="es-AR"/>
        </w:rPr>
        <w:t xml:space="preserve">. </w:t>
      </w:r>
      <w:r w:rsidRPr="00D93236">
        <w:rPr>
          <w:rFonts w:asciiTheme="majorHAnsi" w:hAnsiTheme="majorHAnsi"/>
          <w:sz w:val="16"/>
          <w:szCs w:val="16"/>
          <w:lang w:val="es-AR"/>
        </w:rPr>
        <w:t>OEA/Ser.L/V/II.152 Doc. 2. 13 agosto 2014 Original: español. Párr. 80.</w:t>
      </w:r>
      <w:r w:rsidRPr="00D93236">
        <w:rPr>
          <w:rFonts w:asciiTheme="majorHAnsi" w:hAnsiTheme="majorHAnsi"/>
          <w:b/>
          <w:sz w:val="16"/>
          <w:szCs w:val="16"/>
          <w:lang w:val="es-AR"/>
        </w:rPr>
        <w:t xml:space="preserve"> </w:t>
      </w:r>
    </w:p>
  </w:footnote>
  <w:footnote w:id="123">
    <w:p w14:paraId="70B9DE3F" w14:textId="77777777" w:rsidR="005B3F8C" w:rsidRPr="00D93236" w:rsidRDefault="005B3F8C" w:rsidP="00E27260">
      <w:pPr>
        <w:pStyle w:val="FootnoteText"/>
        <w:jc w:val="both"/>
        <w:rPr>
          <w:rFonts w:asciiTheme="majorHAnsi" w:hAnsiTheme="majorHAnsi"/>
          <w:b/>
          <w:sz w:val="16"/>
          <w:szCs w:val="16"/>
          <w:lang w:val="es-AR"/>
        </w:rPr>
      </w:pPr>
      <w:r w:rsidRPr="00D93236">
        <w:rPr>
          <w:rStyle w:val="FootnoteReference"/>
          <w:rFonts w:asciiTheme="majorHAnsi" w:hAnsiTheme="majorHAnsi"/>
          <w:sz w:val="16"/>
          <w:szCs w:val="16"/>
        </w:rPr>
        <w:footnoteRef/>
      </w:r>
      <w:r w:rsidRPr="00D93236">
        <w:rPr>
          <w:rStyle w:val="Strong"/>
          <w:rFonts w:asciiTheme="majorHAnsi" w:hAnsiTheme="majorHAnsi"/>
          <w:sz w:val="16"/>
          <w:szCs w:val="16"/>
          <w:shd w:val="clear" w:color="auto" w:fill="FFFFFF"/>
          <w:lang w:val="es-AR"/>
        </w:rPr>
        <w:t xml:space="preserve"> </w:t>
      </w:r>
      <w:r w:rsidRPr="00D93236">
        <w:rPr>
          <w:rStyle w:val="Strong"/>
          <w:rFonts w:asciiTheme="majorHAnsi" w:hAnsiTheme="majorHAnsi"/>
          <w:b w:val="0"/>
          <w:sz w:val="16"/>
          <w:szCs w:val="16"/>
          <w:shd w:val="clear" w:color="auto" w:fill="FFFFFF"/>
          <w:lang w:val="es-AR"/>
        </w:rPr>
        <w:t xml:space="preserve">Corte IDH. </w:t>
      </w:r>
      <w:r w:rsidRPr="00D93236">
        <w:rPr>
          <w:rStyle w:val="Strong"/>
          <w:rFonts w:asciiTheme="majorHAnsi" w:hAnsiTheme="majorHAnsi"/>
          <w:b w:val="0"/>
          <w:i/>
          <w:sz w:val="16"/>
          <w:szCs w:val="16"/>
          <w:shd w:val="clear" w:color="auto" w:fill="FFFFFF"/>
          <w:lang w:val="es-AR"/>
        </w:rPr>
        <w:t>Caso Radilla Pacheco Vs. México</w:t>
      </w:r>
      <w:r w:rsidRPr="00D93236">
        <w:rPr>
          <w:rStyle w:val="Strong"/>
          <w:rFonts w:asciiTheme="majorHAnsi" w:hAnsiTheme="majorHAnsi"/>
          <w:b w:val="0"/>
          <w:sz w:val="16"/>
          <w:szCs w:val="16"/>
          <w:shd w:val="clear" w:color="auto" w:fill="FFFFFF"/>
          <w:lang w:val="es-AR"/>
        </w:rPr>
        <w:t xml:space="preserve">. Excepciones Preliminares, Fondo, Reparaciones y Costas. Sentencia de 23 de noviembre de 2009. Serie C No. 209. Parr 252. </w:t>
      </w:r>
    </w:p>
  </w:footnote>
  <w:footnote w:id="124">
    <w:p w14:paraId="2590063B" w14:textId="77777777" w:rsidR="005B3F8C" w:rsidRPr="00D93236" w:rsidRDefault="005B3F8C" w:rsidP="00E27260">
      <w:pPr>
        <w:pStyle w:val="FootnoteText"/>
        <w:jc w:val="both"/>
        <w:rPr>
          <w:rFonts w:asciiTheme="majorHAnsi" w:hAnsiTheme="majorHAnsi"/>
          <w:b/>
          <w:sz w:val="16"/>
          <w:szCs w:val="16"/>
          <w:lang w:val="es-AR"/>
        </w:rPr>
      </w:pPr>
      <w:r w:rsidRPr="00D93236">
        <w:rPr>
          <w:rStyle w:val="FootnoteReference"/>
          <w:rFonts w:asciiTheme="majorHAnsi" w:hAnsiTheme="majorHAnsi"/>
          <w:sz w:val="16"/>
          <w:szCs w:val="16"/>
          <w:lang w:val="es-ES"/>
        </w:rPr>
        <w:footnoteRef/>
      </w:r>
      <w:r w:rsidRPr="00D93236">
        <w:rPr>
          <w:rFonts w:asciiTheme="majorHAnsi" w:hAnsiTheme="majorHAnsi"/>
          <w:sz w:val="16"/>
          <w:szCs w:val="16"/>
          <w:lang w:val="es-ES"/>
        </w:rPr>
        <w:t xml:space="preserve"> </w:t>
      </w:r>
      <w:r w:rsidRPr="00D93236">
        <w:rPr>
          <w:rStyle w:val="Strong"/>
          <w:rFonts w:asciiTheme="majorHAnsi" w:hAnsiTheme="majorHAnsi"/>
          <w:b w:val="0"/>
          <w:sz w:val="16"/>
          <w:szCs w:val="16"/>
          <w:shd w:val="clear" w:color="auto" w:fill="FFFFFF"/>
          <w:lang w:val="es-AR"/>
        </w:rPr>
        <w:t xml:space="preserve">Corte IDH. </w:t>
      </w:r>
      <w:r w:rsidRPr="00D93236">
        <w:rPr>
          <w:rStyle w:val="Strong"/>
          <w:rFonts w:asciiTheme="majorHAnsi" w:hAnsiTheme="majorHAnsi"/>
          <w:b w:val="0"/>
          <w:i/>
          <w:sz w:val="16"/>
          <w:szCs w:val="16"/>
          <w:shd w:val="clear" w:color="auto" w:fill="FFFFFF"/>
          <w:lang w:val="es-AR"/>
        </w:rPr>
        <w:t>Caso Contreras y otros Vs. El Salvador</w:t>
      </w:r>
      <w:r w:rsidRPr="00D93236">
        <w:rPr>
          <w:rStyle w:val="Strong"/>
          <w:rFonts w:asciiTheme="majorHAnsi" w:hAnsiTheme="majorHAnsi"/>
          <w:b w:val="0"/>
          <w:sz w:val="16"/>
          <w:szCs w:val="16"/>
          <w:shd w:val="clear" w:color="auto" w:fill="FFFFFF"/>
          <w:lang w:val="es-AR"/>
        </w:rPr>
        <w:t xml:space="preserve">. Fondo, Reparaciones y Costas. Sentencia de 31 de agosto de 2011. Serie C No. 232. Párr. 145. </w:t>
      </w:r>
    </w:p>
  </w:footnote>
  <w:footnote w:id="125">
    <w:p w14:paraId="214BDC47" w14:textId="77777777" w:rsidR="005B3F8C" w:rsidRPr="00D93236" w:rsidRDefault="005B3F8C" w:rsidP="00E27260">
      <w:pPr>
        <w:pStyle w:val="FootnoteText"/>
        <w:jc w:val="both"/>
        <w:rPr>
          <w:rFonts w:asciiTheme="majorHAnsi" w:hAnsiTheme="majorHAnsi"/>
          <w:b/>
          <w:sz w:val="16"/>
          <w:szCs w:val="16"/>
          <w:lang w:val="es-AR"/>
        </w:rPr>
      </w:pPr>
      <w:r w:rsidRPr="00D93236">
        <w:rPr>
          <w:rStyle w:val="FootnoteReference"/>
          <w:rFonts w:asciiTheme="majorHAnsi" w:hAnsiTheme="majorHAnsi"/>
          <w:sz w:val="16"/>
          <w:szCs w:val="16"/>
        </w:rPr>
        <w:footnoteRef/>
      </w:r>
      <w:r w:rsidRPr="00D93236">
        <w:rPr>
          <w:rFonts w:asciiTheme="majorHAnsi" w:hAnsiTheme="majorHAnsi"/>
          <w:b/>
          <w:sz w:val="16"/>
          <w:szCs w:val="16"/>
          <w:lang w:val="es-AR"/>
        </w:rPr>
        <w:t xml:space="preserve"> </w:t>
      </w:r>
      <w:r w:rsidRPr="00D93236">
        <w:rPr>
          <w:rStyle w:val="Strong"/>
          <w:rFonts w:asciiTheme="majorHAnsi" w:hAnsiTheme="majorHAnsi"/>
          <w:b w:val="0"/>
          <w:sz w:val="16"/>
          <w:szCs w:val="16"/>
          <w:shd w:val="clear" w:color="auto" w:fill="FFFFFF"/>
          <w:lang w:val="es-AR"/>
        </w:rPr>
        <w:t xml:space="preserve">Corte IDH. </w:t>
      </w:r>
      <w:r w:rsidRPr="00D93236">
        <w:rPr>
          <w:rStyle w:val="Strong"/>
          <w:rFonts w:asciiTheme="majorHAnsi" w:hAnsiTheme="majorHAnsi"/>
          <w:b w:val="0"/>
          <w:i/>
          <w:sz w:val="16"/>
          <w:szCs w:val="16"/>
          <w:shd w:val="clear" w:color="auto" w:fill="FFFFFF"/>
          <w:lang w:val="es-AR"/>
        </w:rPr>
        <w:t>Caso de las Hermanas Serrano Cruz Vs. El Salvador</w:t>
      </w:r>
      <w:r w:rsidRPr="00D93236">
        <w:rPr>
          <w:rStyle w:val="Strong"/>
          <w:rFonts w:asciiTheme="majorHAnsi" w:hAnsiTheme="majorHAnsi"/>
          <w:b w:val="0"/>
          <w:sz w:val="16"/>
          <w:szCs w:val="16"/>
          <w:shd w:val="clear" w:color="auto" w:fill="FFFFFF"/>
          <w:lang w:val="es-AR"/>
        </w:rPr>
        <w:t xml:space="preserve">. Fondo, Reparaciones y Costas. Sentencia de 1 de marzo de 2005. Serie C No. 120. Párr. 66. </w:t>
      </w:r>
    </w:p>
  </w:footnote>
  <w:footnote w:id="126">
    <w:p w14:paraId="764E5746" w14:textId="77777777" w:rsidR="005B3F8C" w:rsidRPr="00D93236" w:rsidRDefault="005B3F8C" w:rsidP="00E27260">
      <w:pPr>
        <w:pStyle w:val="FootnoteText"/>
        <w:jc w:val="both"/>
        <w:rPr>
          <w:rFonts w:asciiTheme="majorHAnsi" w:hAnsiTheme="majorHAnsi"/>
          <w:b/>
          <w:sz w:val="16"/>
          <w:szCs w:val="16"/>
          <w:lang w:val="es-ES"/>
        </w:rPr>
      </w:pPr>
      <w:r w:rsidRPr="00D93236">
        <w:rPr>
          <w:rStyle w:val="FootnoteReference"/>
          <w:rFonts w:asciiTheme="majorHAnsi" w:hAnsiTheme="majorHAnsi"/>
          <w:sz w:val="16"/>
          <w:szCs w:val="16"/>
          <w:lang w:val="es-ES"/>
        </w:rPr>
        <w:footnoteRef/>
      </w:r>
      <w:r w:rsidRPr="00D93236">
        <w:rPr>
          <w:rFonts w:asciiTheme="majorHAnsi" w:hAnsiTheme="majorHAnsi"/>
          <w:b/>
          <w:sz w:val="16"/>
          <w:szCs w:val="16"/>
          <w:lang w:val="es-ES"/>
        </w:rPr>
        <w:t xml:space="preserve"> </w:t>
      </w:r>
      <w:r w:rsidRPr="00D93236">
        <w:rPr>
          <w:rStyle w:val="Strong"/>
          <w:rFonts w:asciiTheme="majorHAnsi" w:hAnsiTheme="majorHAnsi"/>
          <w:b w:val="0"/>
          <w:sz w:val="16"/>
          <w:szCs w:val="16"/>
          <w:shd w:val="clear" w:color="auto" w:fill="FFFFFF"/>
          <w:lang w:val="es-ES"/>
        </w:rPr>
        <w:t xml:space="preserve">Corte IDH. </w:t>
      </w:r>
      <w:r w:rsidRPr="00D93236">
        <w:rPr>
          <w:rStyle w:val="Strong"/>
          <w:rFonts w:asciiTheme="majorHAnsi" w:hAnsiTheme="majorHAnsi"/>
          <w:b w:val="0"/>
          <w:i/>
          <w:sz w:val="16"/>
          <w:szCs w:val="16"/>
          <w:shd w:val="clear" w:color="auto" w:fill="FFFFFF"/>
          <w:lang w:val="es-ES"/>
        </w:rPr>
        <w:t>Caso de las Hermanas Serrano Cruz Vs. El Salvador</w:t>
      </w:r>
      <w:r w:rsidRPr="00D93236">
        <w:rPr>
          <w:rStyle w:val="Strong"/>
          <w:rFonts w:asciiTheme="majorHAnsi" w:hAnsiTheme="majorHAnsi"/>
          <w:b w:val="0"/>
          <w:sz w:val="16"/>
          <w:szCs w:val="16"/>
          <w:shd w:val="clear" w:color="auto" w:fill="FFFFFF"/>
          <w:lang w:val="es-ES"/>
        </w:rPr>
        <w:t>. Fondo, Reparaciones y Costas. Sentencia de 1 de marzo de 2005. Serie C No. 120. Párr. 65.</w:t>
      </w:r>
      <w:r w:rsidRPr="00D93236">
        <w:rPr>
          <w:rStyle w:val="Strong"/>
          <w:rFonts w:asciiTheme="majorHAnsi" w:hAnsiTheme="majorHAnsi"/>
          <w:sz w:val="16"/>
          <w:szCs w:val="16"/>
          <w:shd w:val="clear" w:color="auto" w:fill="FFFFFF"/>
          <w:lang w:val="es-ES"/>
        </w:rPr>
        <w:t xml:space="preserve"> </w:t>
      </w:r>
    </w:p>
  </w:footnote>
  <w:footnote w:id="127">
    <w:p w14:paraId="3676FD36" w14:textId="77777777" w:rsidR="005B3F8C" w:rsidRPr="00D93236" w:rsidRDefault="005B3F8C" w:rsidP="00E27260">
      <w:pPr>
        <w:jc w:val="both"/>
        <w:rPr>
          <w:rFonts w:asciiTheme="majorHAnsi" w:eastAsia="Times New Roman" w:hAnsiTheme="majorHAnsi"/>
          <w:b/>
          <w:sz w:val="16"/>
          <w:szCs w:val="16"/>
          <w:lang w:val="es-AR"/>
        </w:rPr>
      </w:pPr>
      <w:r w:rsidRPr="00D93236">
        <w:rPr>
          <w:rStyle w:val="FootnoteReference"/>
          <w:rFonts w:asciiTheme="majorHAnsi" w:hAnsiTheme="majorHAnsi"/>
          <w:sz w:val="16"/>
          <w:szCs w:val="16"/>
          <w:lang w:val="es-ES"/>
        </w:rPr>
        <w:footnoteRef/>
      </w:r>
      <w:r w:rsidRPr="00D93236">
        <w:rPr>
          <w:rFonts w:asciiTheme="majorHAnsi" w:hAnsiTheme="majorHAnsi"/>
          <w:sz w:val="16"/>
          <w:szCs w:val="16"/>
          <w:lang w:val="es-ES"/>
        </w:rPr>
        <w:t xml:space="preserve"> </w:t>
      </w:r>
      <w:r w:rsidRPr="00D93236">
        <w:rPr>
          <w:rFonts w:asciiTheme="majorHAnsi" w:eastAsia="Times New Roman" w:hAnsiTheme="majorHAnsi"/>
          <w:sz w:val="16"/>
          <w:szCs w:val="16"/>
          <w:lang w:val="es-ES"/>
        </w:rPr>
        <w:t xml:space="preserve">CIDH. Informe de Fondo No. 77/02, </w:t>
      </w:r>
      <w:r w:rsidRPr="00D93236">
        <w:rPr>
          <w:rFonts w:asciiTheme="majorHAnsi" w:eastAsia="Times New Roman" w:hAnsiTheme="majorHAnsi"/>
          <w:i/>
          <w:sz w:val="16"/>
          <w:szCs w:val="16"/>
          <w:lang w:val="es-ES"/>
        </w:rPr>
        <w:t>Waldemar Gerónimo Pinheiro y José Víctor dos Santos</w:t>
      </w:r>
      <w:r w:rsidRPr="00D93236">
        <w:rPr>
          <w:rFonts w:asciiTheme="majorHAnsi" w:eastAsia="Times New Roman" w:hAnsiTheme="majorHAnsi"/>
          <w:sz w:val="16"/>
          <w:szCs w:val="16"/>
          <w:lang w:val="es-ES"/>
        </w:rPr>
        <w:t xml:space="preserve"> (Caso 11.506), 27 de diciembre de 2002, párr. 76. Ver también </w:t>
      </w:r>
      <w:r w:rsidRPr="00D93236">
        <w:rPr>
          <w:rStyle w:val="Strong"/>
          <w:rFonts w:asciiTheme="majorHAnsi" w:hAnsiTheme="majorHAnsi"/>
          <w:b w:val="0"/>
          <w:color w:val="000000"/>
          <w:sz w:val="16"/>
          <w:szCs w:val="16"/>
          <w:shd w:val="clear" w:color="auto" w:fill="FFFFFF"/>
          <w:lang w:val="es-AR"/>
        </w:rPr>
        <w:t xml:space="preserve">Corte IDH. </w:t>
      </w:r>
      <w:r w:rsidRPr="00D93236">
        <w:rPr>
          <w:rStyle w:val="Strong"/>
          <w:rFonts w:asciiTheme="majorHAnsi" w:hAnsiTheme="majorHAnsi"/>
          <w:b w:val="0"/>
          <w:i/>
          <w:color w:val="000000"/>
          <w:sz w:val="16"/>
          <w:szCs w:val="16"/>
          <w:shd w:val="clear" w:color="auto" w:fill="FFFFFF"/>
          <w:lang w:val="es-AR"/>
        </w:rPr>
        <w:t>Caso López Álvarez Vs. Honduras</w:t>
      </w:r>
      <w:r w:rsidRPr="00D93236">
        <w:rPr>
          <w:rStyle w:val="Strong"/>
          <w:rFonts w:asciiTheme="majorHAnsi" w:hAnsiTheme="majorHAnsi"/>
          <w:b w:val="0"/>
          <w:color w:val="000000"/>
          <w:sz w:val="16"/>
          <w:szCs w:val="16"/>
          <w:shd w:val="clear" w:color="auto" w:fill="FFFFFF"/>
          <w:lang w:val="es-AR"/>
        </w:rPr>
        <w:t>. Fondo, Reparaciones y Costas. Sentencia de 1 de febrero de 2006. Serie C No. 141. Párr. 132;</w:t>
      </w:r>
      <w:r w:rsidRPr="00D93236">
        <w:rPr>
          <w:rFonts w:asciiTheme="majorHAnsi" w:eastAsia="Times New Roman" w:hAnsiTheme="majorHAnsi"/>
          <w:b/>
          <w:sz w:val="16"/>
          <w:szCs w:val="16"/>
          <w:lang w:val="es-ES"/>
        </w:rPr>
        <w:t xml:space="preserve"> </w:t>
      </w:r>
      <w:r w:rsidRPr="00D93236">
        <w:rPr>
          <w:rStyle w:val="Strong"/>
          <w:rFonts w:asciiTheme="majorHAnsi" w:hAnsiTheme="majorHAnsi"/>
          <w:b w:val="0"/>
          <w:color w:val="000000"/>
          <w:sz w:val="16"/>
          <w:szCs w:val="16"/>
          <w:shd w:val="clear" w:color="auto" w:fill="FFFFFF"/>
          <w:lang w:val="es-AR"/>
        </w:rPr>
        <w:t xml:space="preserve">Corte IDH. </w:t>
      </w:r>
      <w:r w:rsidRPr="00D93236">
        <w:rPr>
          <w:rStyle w:val="Strong"/>
          <w:rFonts w:asciiTheme="majorHAnsi" w:hAnsiTheme="majorHAnsi"/>
          <w:b w:val="0"/>
          <w:i/>
          <w:color w:val="000000"/>
          <w:sz w:val="16"/>
          <w:szCs w:val="16"/>
          <w:shd w:val="clear" w:color="auto" w:fill="FFFFFF"/>
          <w:lang w:val="es-AR"/>
        </w:rPr>
        <w:t>Caso Acosta Calderón Vs. Ecuador</w:t>
      </w:r>
      <w:r w:rsidRPr="00D93236">
        <w:rPr>
          <w:rStyle w:val="Strong"/>
          <w:rFonts w:asciiTheme="majorHAnsi" w:hAnsiTheme="majorHAnsi"/>
          <w:b w:val="0"/>
          <w:color w:val="000000"/>
          <w:sz w:val="16"/>
          <w:szCs w:val="16"/>
          <w:shd w:val="clear" w:color="auto" w:fill="FFFFFF"/>
          <w:lang w:val="es-AR"/>
        </w:rPr>
        <w:t xml:space="preserve">. Fondo, Reparaciones y Costas. Sentencia de 24 de junio de 2005. Serie C No. 129. Párr. 105. </w:t>
      </w:r>
    </w:p>
  </w:footnote>
  <w:footnote w:id="128">
    <w:p w14:paraId="0DDCBFEF" w14:textId="77777777" w:rsidR="005B3F8C" w:rsidRPr="00D93236" w:rsidRDefault="005B3F8C" w:rsidP="00E27260">
      <w:pPr>
        <w:jc w:val="both"/>
        <w:rPr>
          <w:rFonts w:asciiTheme="majorHAnsi" w:eastAsia="Times New Roman" w:hAnsiTheme="majorHAnsi"/>
          <w:sz w:val="16"/>
          <w:szCs w:val="16"/>
          <w:lang w:val="es-ES"/>
        </w:rPr>
      </w:pPr>
      <w:r w:rsidRPr="00D93236">
        <w:rPr>
          <w:rStyle w:val="FootnoteReference"/>
          <w:rFonts w:asciiTheme="majorHAnsi" w:hAnsiTheme="majorHAnsi"/>
          <w:sz w:val="16"/>
          <w:szCs w:val="16"/>
          <w:lang w:val="es-ES"/>
        </w:rPr>
        <w:footnoteRef/>
      </w:r>
      <w:r w:rsidRPr="00D93236">
        <w:rPr>
          <w:rFonts w:asciiTheme="majorHAnsi" w:hAnsiTheme="majorHAnsi"/>
          <w:sz w:val="16"/>
          <w:szCs w:val="16"/>
          <w:lang w:val="es-ES"/>
        </w:rPr>
        <w:t xml:space="preserve"> </w:t>
      </w:r>
      <w:r w:rsidRPr="00D93236">
        <w:rPr>
          <w:rFonts w:asciiTheme="majorHAnsi" w:eastAsia="Times New Roman" w:hAnsiTheme="majorHAnsi"/>
          <w:sz w:val="16"/>
          <w:szCs w:val="16"/>
          <w:lang w:val="es-ES"/>
        </w:rPr>
        <w:t xml:space="preserve">Corte IDH. </w:t>
      </w:r>
      <w:r w:rsidRPr="00D93236">
        <w:rPr>
          <w:rFonts w:asciiTheme="majorHAnsi" w:eastAsia="Times New Roman" w:hAnsiTheme="majorHAnsi"/>
          <w:i/>
          <w:sz w:val="16"/>
          <w:szCs w:val="16"/>
          <w:lang w:val="es-ES"/>
        </w:rPr>
        <w:t>Caso Andrade Salmón Vs. Bolivia</w:t>
      </w:r>
      <w:r w:rsidRPr="00D93236">
        <w:rPr>
          <w:rFonts w:asciiTheme="majorHAnsi" w:eastAsia="Times New Roman" w:hAnsiTheme="majorHAnsi"/>
          <w:sz w:val="16"/>
          <w:szCs w:val="16"/>
          <w:lang w:val="es-ES"/>
        </w:rPr>
        <w:t>. Fondo, Reparaciones y Costas. Sentencia de 1 de diciembre de 2016. Serie C No. 330. Párr. 200.</w:t>
      </w:r>
    </w:p>
  </w:footnote>
  <w:footnote w:id="129">
    <w:p w14:paraId="68BBF9F4" w14:textId="77777777" w:rsidR="005B3F8C" w:rsidRPr="00D93236" w:rsidRDefault="005B3F8C" w:rsidP="00473F91">
      <w:pPr>
        <w:pStyle w:val="FootnoteText"/>
        <w:jc w:val="both"/>
        <w:rPr>
          <w:rFonts w:asciiTheme="majorHAnsi" w:hAnsiTheme="majorHAnsi"/>
          <w:sz w:val="16"/>
          <w:szCs w:val="16"/>
          <w:lang w:val="es-AR"/>
        </w:rPr>
      </w:pPr>
      <w:r w:rsidRPr="00D93236">
        <w:rPr>
          <w:rStyle w:val="FootnoteReference"/>
          <w:rFonts w:asciiTheme="majorHAnsi" w:hAnsiTheme="majorHAnsi"/>
          <w:sz w:val="16"/>
          <w:szCs w:val="16"/>
        </w:rPr>
        <w:footnoteRef/>
      </w:r>
      <w:r w:rsidRPr="00D93236">
        <w:rPr>
          <w:rFonts w:asciiTheme="majorHAnsi" w:hAnsiTheme="majorHAnsi"/>
          <w:sz w:val="16"/>
          <w:szCs w:val="16"/>
          <w:lang w:val="es-AR"/>
        </w:rPr>
        <w:t xml:space="preserve"> Corte IDH. </w:t>
      </w:r>
      <w:r w:rsidRPr="00D93236">
        <w:rPr>
          <w:rFonts w:asciiTheme="majorHAnsi" w:hAnsiTheme="majorHAnsi"/>
          <w:i/>
          <w:sz w:val="16"/>
          <w:szCs w:val="16"/>
          <w:lang w:val="es-AR"/>
        </w:rPr>
        <w:t>Caso Valle Jaramillo y otros Vs. Colombia</w:t>
      </w:r>
      <w:r w:rsidRPr="00D93236">
        <w:rPr>
          <w:rFonts w:asciiTheme="majorHAnsi" w:hAnsiTheme="majorHAnsi"/>
          <w:sz w:val="16"/>
          <w:szCs w:val="16"/>
          <w:lang w:val="es-AR"/>
        </w:rPr>
        <w:t xml:space="preserve">. Fondo, Reparaciones y Costas. Sentencia de 27 de noviembre de 2008. Serie C No. 192, párr. 155. Véase, asimismo, Corte IDH. </w:t>
      </w:r>
      <w:r w:rsidRPr="00D93236">
        <w:rPr>
          <w:rFonts w:asciiTheme="majorHAnsi" w:hAnsiTheme="majorHAnsi"/>
          <w:i/>
          <w:sz w:val="16"/>
          <w:szCs w:val="16"/>
          <w:lang w:val="es-AR"/>
        </w:rPr>
        <w:t>Caso Kawas Fernández Vs. Honduras</w:t>
      </w:r>
      <w:r w:rsidRPr="00D93236">
        <w:rPr>
          <w:rFonts w:asciiTheme="majorHAnsi" w:hAnsiTheme="majorHAnsi"/>
          <w:sz w:val="16"/>
          <w:szCs w:val="16"/>
          <w:lang w:val="es-AR"/>
        </w:rPr>
        <w:t xml:space="preserve">. Fondo, Reparaciones y Costas. Sentencia de 3 de abril de 2009 Serie C No. 196, párrs. 112 y 115; Corte IDH, </w:t>
      </w:r>
      <w:r w:rsidRPr="00D93236">
        <w:rPr>
          <w:rFonts w:asciiTheme="majorHAnsi" w:hAnsiTheme="majorHAnsi"/>
          <w:i/>
          <w:sz w:val="16"/>
          <w:szCs w:val="16"/>
          <w:lang w:val="es-AR"/>
        </w:rPr>
        <w:t>Caso Anzualdo Castro Vs. Perú</w:t>
      </w:r>
      <w:r w:rsidRPr="00D93236">
        <w:rPr>
          <w:rFonts w:asciiTheme="majorHAnsi" w:hAnsiTheme="majorHAnsi"/>
          <w:sz w:val="16"/>
          <w:szCs w:val="16"/>
          <w:lang w:val="es-AR"/>
        </w:rPr>
        <w:t>. Excepción Preliminar, Fondo, Reparaciones y Costas. Sentencia de 22 de septiembre de 2009. Serie C No. 202, párr. 156</w:t>
      </w:r>
    </w:p>
  </w:footnote>
  <w:footnote w:id="130">
    <w:p w14:paraId="0E710672" w14:textId="77777777" w:rsidR="005B3F8C" w:rsidRPr="00D93236" w:rsidRDefault="005B3F8C" w:rsidP="00473F91">
      <w:pPr>
        <w:jc w:val="both"/>
        <w:rPr>
          <w:rFonts w:asciiTheme="majorHAnsi" w:eastAsia="Times New Roman" w:hAnsiTheme="majorHAnsi"/>
          <w:sz w:val="16"/>
          <w:szCs w:val="16"/>
          <w:lang w:val="es-ES"/>
        </w:rPr>
      </w:pPr>
      <w:r w:rsidRPr="00D93236">
        <w:rPr>
          <w:rStyle w:val="FootnoteReference"/>
          <w:rFonts w:asciiTheme="majorHAnsi" w:hAnsiTheme="majorHAnsi"/>
          <w:sz w:val="16"/>
          <w:szCs w:val="16"/>
          <w:lang w:val="es-ES"/>
        </w:rPr>
        <w:footnoteRef/>
      </w:r>
      <w:r w:rsidRPr="00D93236">
        <w:rPr>
          <w:rFonts w:asciiTheme="majorHAnsi" w:hAnsiTheme="majorHAnsi"/>
          <w:sz w:val="16"/>
          <w:szCs w:val="16"/>
          <w:lang w:val="es-ES"/>
        </w:rPr>
        <w:t xml:space="preserve"> </w:t>
      </w:r>
      <w:r w:rsidRPr="00D93236">
        <w:rPr>
          <w:rFonts w:asciiTheme="majorHAnsi" w:eastAsia="Times New Roman" w:hAnsiTheme="majorHAnsi"/>
          <w:sz w:val="16"/>
          <w:szCs w:val="16"/>
          <w:lang w:val="es-ES"/>
        </w:rPr>
        <w:t xml:space="preserve">CIDH. Informe No. 3/16. Caso 12.916. Fondo. </w:t>
      </w:r>
      <w:r w:rsidRPr="00D93236">
        <w:rPr>
          <w:rFonts w:asciiTheme="majorHAnsi" w:eastAsia="Times New Roman" w:hAnsiTheme="majorHAnsi"/>
          <w:i/>
          <w:sz w:val="16"/>
          <w:szCs w:val="16"/>
          <w:lang w:val="es-ES"/>
        </w:rPr>
        <w:t>Nitza Paola Alvarado Espinoza, Rocío Irene Alvarado Reyes, José Angel Alvarado Herrera y otros</w:t>
      </w:r>
      <w:r w:rsidRPr="00D93236">
        <w:rPr>
          <w:rFonts w:asciiTheme="majorHAnsi" w:eastAsia="Times New Roman" w:hAnsiTheme="majorHAnsi"/>
          <w:sz w:val="16"/>
          <w:szCs w:val="16"/>
          <w:lang w:val="es-ES"/>
        </w:rPr>
        <w:t>. México. 13 de abril de 2016. Párr. 271</w:t>
      </w:r>
    </w:p>
  </w:footnote>
  <w:footnote w:id="131">
    <w:p w14:paraId="2111001C" w14:textId="77777777" w:rsidR="005B3F8C" w:rsidRPr="00D93236" w:rsidRDefault="005B3F8C" w:rsidP="00473F91">
      <w:pPr>
        <w:pStyle w:val="FootnoteText"/>
        <w:jc w:val="both"/>
        <w:rPr>
          <w:rFonts w:asciiTheme="majorHAnsi" w:hAnsiTheme="majorHAnsi"/>
          <w:sz w:val="16"/>
          <w:szCs w:val="16"/>
          <w:lang w:val="es-ES"/>
        </w:rPr>
      </w:pPr>
      <w:r w:rsidRPr="00D93236">
        <w:rPr>
          <w:rStyle w:val="FootnoteReference"/>
          <w:rFonts w:asciiTheme="majorHAnsi" w:hAnsiTheme="majorHAnsi"/>
          <w:sz w:val="16"/>
          <w:szCs w:val="16"/>
          <w:lang w:val="es-ES"/>
        </w:rPr>
        <w:footnoteRef/>
      </w:r>
      <w:r w:rsidRPr="00D93236">
        <w:rPr>
          <w:rFonts w:asciiTheme="majorHAnsi" w:hAnsiTheme="majorHAnsi"/>
          <w:sz w:val="16"/>
          <w:szCs w:val="16"/>
          <w:lang w:val="es-ES"/>
        </w:rPr>
        <w:t xml:space="preserve"> </w:t>
      </w:r>
      <w:r w:rsidRPr="00D93236">
        <w:rPr>
          <w:rStyle w:val="Strong"/>
          <w:rFonts w:asciiTheme="majorHAnsi" w:hAnsiTheme="majorHAnsi"/>
          <w:b w:val="0"/>
          <w:sz w:val="16"/>
          <w:szCs w:val="16"/>
          <w:shd w:val="clear" w:color="auto" w:fill="FFFFFF"/>
          <w:lang w:val="es-AR"/>
        </w:rPr>
        <w:t xml:space="preserve">Corte IDH. </w:t>
      </w:r>
      <w:r w:rsidRPr="00D93236">
        <w:rPr>
          <w:rStyle w:val="Strong"/>
          <w:rFonts w:asciiTheme="majorHAnsi" w:hAnsiTheme="majorHAnsi"/>
          <w:b w:val="0"/>
          <w:i/>
          <w:sz w:val="16"/>
          <w:szCs w:val="16"/>
          <w:shd w:val="clear" w:color="auto" w:fill="FFFFFF"/>
          <w:lang w:val="es-AR"/>
        </w:rPr>
        <w:t>Caso Tenorio Roca y otros Vs. Perú</w:t>
      </w:r>
      <w:r w:rsidRPr="00D93236">
        <w:rPr>
          <w:rStyle w:val="Strong"/>
          <w:rFonts w:asciiTheme="majorHAnsi" w:hAnsiTheme="majorHAnsi"/>
          <w:b w:val="0"/>
          <w:sz w:val="16"/>
          <w:szCs w:val="16"/>
          <w:shd w:val="clear" w:color="auto" w:fill="FFFFFF"/>
          <w:lang w:val="es-AR"/>
        </w:rPr>
        <w:t xml:space="preserve">. Excepciones Preliminares, Fondo, Reparaciones y Costas. Sentencia de 22 de junio de </w:t>
      </w:r>
      <w:r w:rsidRPr="00D93236">
        <w:rPr>
          <w:rStyle w:val="Strong"/>
          <w:rFonts w:asciiTheme="majorHAnsi" w:hAnsiTheme="majorHAnsi"/>
          <w:b w:val="0"/>
          <w:sz w:val="16"/>
          <w:szCs w:val="16"/>
          <w:shd w:val="clear" w:color="auto" w:fill="FFFFFF"/>
          <w:lang w:val="es-ES"/>
        </w:rPr>
        <w:t>2016. Serie C No. 314. Párr. 239.</w:t>
      </w:r>
      <w:r w:rsidRPr="00D93236">
        <w:rPr>
          <w:rStyle w:val="Strong"/>
          <w:rFonts w:asciiTheme="majorHAnsi" w:hAnsiTheme="majorHAnsi"/>
          <w:sz w:val="16"/>
          <w:szCs w:val="16"/>
          <w:shd w:val="clear" w:color="auto" w:fill="FFFFFF"/>
          <w:lang w:val="es-ES"/>
        </w:rPr>
        <w:t xml:space="preserve"> </w:t>
      </w:r>
    </w:p>
  </w:footnote>
  <w:footnote w:id="132">
    <w:p w14:paraId="243DEA98" w14:textId="77777777" w:rsidR="005B3F8C" w:rsidRPr="00D93236" w:rsidRDefault="005B3F8C" w:rsidP="00473F91">
      <w:pPr>
        <w:pStyle w:val="FootnoteText"/>
        <w:jc w:val="both"/>
        <w:rPr>
          <w:lang w:val="es-US"/>
        </w:rPr>
      </w:pPr>
      <w:r w:rsidRPr="00D93236">
        <w:rPr>
          <w:rStyle w:val="FootnoteReference"/>
          <w:rFonts w:asciiTheme="majorHAnsi" w:hAnsiTheme="majorHAnsi"/>
          <w:sz w:val="16"/>
          <w:szCs w:val="16"/>
          <w:lang w:val="es-ES"/>
        </w:rPr>
        <w:footnoteRef/>
      </w:r>
      <w:r w:rsidRPr="00D93236">
        <w:rPr>
          <w:rFonts w:asciiTheme="majorHAnsi" w:hAnsiTheme="majorHAnsi"/>
          <w:sz w:val="16"/>
          <w:szCs w:val="16"/>
          <w:lang w:val="es-ES"/>
        </w:rPr>
        <w:t xml:space="preserve"> Convención Interamericana contra el Terrorismo. Aprobada por la Asamblea General de la Organización de los Estados Americanos en la primea sesión plenaria celebrada el 3 de junio de 2002. AG/RES. 1840 (XXXII-0/02) art 1.</w:t>
      </w:r>
      <w:r w:rsidRPr="00D93236">
        <w:rPr>
          <w:lang w:val="es-US"/>
        </w:rPr>
        <w:t xml:space="preserve"> </w:t>
      </w:r>
    </w:p>
  </w:footnote>
  <w:footnote w:id="133">
    <w:p w14:paraId="765D9A70" w14:textId="77777777" w:rsidR="005B3F8C" w:rsidRPr="00D93236" w:rsidRDefault="005B3F8C" w:rsidP="00473F91">
      <w:pPr>
        <w:pStyle w:val="FootnoteText"/>
        <w:jc w:val="both"/>
        <w:rPr>
          <w:rFonts w:asciiTheme="majorHAnsi" w:hAnsiTheme="majorHAnsi"/>
          <w:sz w:val="16"/>
          <w:szCs w:val="16"/>
          <w:lang w:val="pt-BR"/>
        </w:rPr>
      </w:pPr>
      <w:r w:rsidRPr="00D93236">
        <w:rPr>
          <w:rStyle w:val="FootnoteReference"/>
          <w:rFonts w:asciiTheme="majorHAnsi" w:hAnsiTheme="majorHAnsi"/>
          <w:sz w:val="16"/>
          <w:szCs w:val="16"/>
        </w:rPr>
        <w:footnoteRef/>
      </w:r>
      <w:r w:rsidRPr="00D93236">
        <w:rPr>
          <w:rFonts w:asciiTheme="majorHAnsi" w:hAnsiTheme="majorHAnsi"/>
          <w:sz w:val="16"/>
          <w:szCs w:val="16"/>
          <w:lang w:val="es-US"/>
        </w:rPr>
        <w:t xml:space="preserve"> </w:t>
      </w:r>
      <w:r w:rsidRPr="00D93236">
        <w:rPr>
          <w:rFonts w:asciiTheme="majorHAnsi" w:hAnsiTheme="majorHAnsi"/>
          <w:sz w:val="16"/>
          <w:szCs w:val="16"/>
          <w:lang w:val="es-ES"/>
        </w:rPr>
        <w:t xml:space="preserve">CIDH, Informe sobre Terrorismo y Derechos Humanos. </w:t>
      </w:r>
      <w:r w:rsidRPr="00D93236">
        <w:rPr>
          <w:rFonts w:asciiTheme="majorHAnsi" w:hAnsiTheme="majorHAnsi"/>
          <w:sz w:val="16"/>
          <w:szCs w:val="16"/>
          <w:lang w:val="pt-BR"/>
        </w:rPr>
        <w:t>22 octubre 2002. Capítulo II A Párr. 33. Capítulo I A, Párr. 3.</w:t>
      </w:r>
    </w:p>
  </w:footnote>
  <w:footnote w:id="134">
    <w:p w14:paraId="7FFAB6FD" w14:textId="77777777" w:rsidR="005B3F8C" w:rsidRPr="00D93236" w:rsidRDefault="005B3F8C" w:rsidP="00473F91">
      <w:pPr>
        <w:pStyle w:val="FootnoteText"/>
        <w:jc w:val="both"/>
        <w:rPr>
          <w:rFonts w:asciiTheme="majorHAnsi" w:hAnsiTheme="majorHAnsi"/>
          <w:sz w:val="16"/>
          <w:szCs w:val="16"/>
          <w:lang w:val="es-US"/>
        </w:rPr>
      </w:pPr>
      <w:r w:rsidRPr="00D93236">
        <w:rPr>
          <w:rStyle w:val="FootnoteReference"/>
          <w:rFonts w:asciiTheme="majorHAnsi" w:hAnsiTheme="majorHAnsi"/>
          <w:sz w:val="16"/>
          <w:szCs w:val="16"/>
        </w:rPr>
        <w:footnoteRef/>
      </w:r>
      <w:r w:rsidRPr="00D93236">
        <w:rPr>
          <w:rFonts w:asciiTheme="majorHAnsi" w:hAnsiTheme="majorHAnsi"/>
          <w:sz w:val="16"/>
          <w:szCs w:val="16"/>
          <w:lang w:val="es-US"/>
        </w:rPr>
        <w:t xml:space="preserve">Asamblea General de las Naciones Unidas, Consejo de Derechos Humanos, Informe del </w:t>
      </w:r>
      <w:r w:rsidRPr="00D93236">
        <w:rPr>
          <w:rFonts w:asciiTheme="majorHAnsi" w:hAnsiTheme="majorHAnsi"/>
          <w:sz w:val="16"/>
          <w:szCs w:val="16"/>
          <w:lang w:val="es-ES_tradnl"/>
        </w:rPr>
        <w:t>Relator Especial sobre la promoción y la protección de los derechos humanos y las libertades fundamentales en la lucha contra el terrorismo, Ben Emmerson, A/HRC/20/14, 4 de junio de 2012.</w:t>
      </w:r>
    </w:p>
  </w:footnote>
  <w:footnote w:id="135">
    <w:p w14:paraId="504B154D" w14:textId="77777777" w:rsidR="005B3F8C" w:rsidRPr="00D93236" w:rsidRDefault="005B3F8C" w:rsidP="00E27260">
      <w:pPr>
        <w:pStyle w:val="FootnoteText"/>
        <w:jc w:val="both"/>
        <w:rPr>
          <w:rFonts w:asciiTheme="majorHAnsi" w:hAnsiTheme="majorHAnsi"/>
          <w:sz w:val="16"/>
          <w:szCs w:val="16"/>
          <w:lang w:val="es-US"/>
        </w:rPr>
      </w:pPr>
      <w:r w:rsidRPr="00D93236">
        <w:rPr>
          <w:rStyle w:val="FootnoteReference"/>
          <w:rFonts w:asciiTheme="majorHAnsi" w:hAnsiTheme="majorHAnsi"/>
          <w:sz w:val="16"/>
          <w:szCs w:val="16"/>
        </w:rPr>
        <w:footnoteRef/>
      </w:r>
      <w:r w:rsidRPr="00D93236">
        <w:rPr>
          <w:rFonts w:asciiTheme="majorHAnsi" w:hAnsiTheme="majorHAnsi"/>
          <w:sz w:val="16"/>
          <w:szCs w:val="16"/>
          <w:lang w:val="es-US"/>
        </w:rPr>
        <w:t xml:space="preserve"> </w:t>
      </w:r>
      <w:r w:rsidRPr="00DC05C6">
        <w:rPr>
          <w:rFonts w:asciiTheme="majorHAnsi" w:hAnsiTheme="majorHAnsi"/>
          <w:sz w:val="16"/>
          <w:szCs w:val="16"/>
          <w:lang w:val="es-AR"/>
        </w:rPr>
        <w:t>Anexo 2.</w:t>
      </w:r>
      <w:r w:rsidRPr="00D93236">
        <w:rPr>
          <w:rFonts w:asciiTheme="majorHAnsi" w:hAnsiTheme="majorHAnsi"/>
          <w:sz w:val="16"/>
          <w:szCs w:val="16"/>
          <w:lang w:val="es-AR"/>
        </w:rPr>
        <w:t xml:space="preserve"> Sentencia del TOF 3. Capítulo V.B “Nulidades”, pág. 2696. Anexo 1 a la comunicación de la parte peticionaria de fecha 11 de noviembre de 2019</w:t>
      </w:r>
    </w:p>
  </w:footnote>
  <w:footnote w:id="136">
    <w:p w14:paraId="6B7CFB85" w14:textId="77777777" w:rsidR="005B3F8C" w:rsidRPr="00D93236" w:rsidRDefault="005B3F8C" w:rsidP="00E27260">
      <w:pPr>
        <w:pStyle w:val="FootnoteText"/>
        <w:jc w:val="both"/>
        <w:rPr>
          <w:rFonts w:asciiTheme="majorHAnsi" w:hAnsiTheme="majorHAnsi"/>
          <w:sz w:val="16"/>
          <w:szCs w:val="16"/>
          <w:lang w:val="es-US"/>
        </w:rPr>
      </w:pPr>
      <w:r w:rsidRPr="00D93236">
        <w:rPr>
          <w:rStyle w:val="FootnoteReference"/>
          <w:rFonts w:asciiTheme="majorHAnsi" w:hAnsiTheme="majorHAnsi"/>
          <w:sz w:val="16"/>
          <w:szCs w:val="16"/>
        </w:rPr>
        <w:footnoteRef/>
      </w:r>
      <w:r w:rsidRPr="00D93236">
        <w:rPr>
          <w:rFonts w:asciiTheme="majorHAnsi" w:hAnsiTheme="majorHAnsi"/>
          <w:sz w:val="16"/>
          <w:szCs w:val="16"/>
          <w:lang w:val="es-US"/>
        </w:rPr>
        <w:t xml:space="preserve"> </w:t>
      </w:r>
      <w:r>
        <w:rPr>
          <w:rFonts w:asciiTheme="majorHAnsi" w:hAnsiTheme="majorHAnsi"/>
          <w:sz w:val="16"/>
          <w:szCs w:val="16"/>
          <w:lang w:val="es-US"/>
        </w:rPr>
        <w:t>Anexo</w:t>
      </w:r>
      <w:r w:rsidRPr="00DC05C6">
        <w:rPr>
          <w:rFonts w:asciiTheme="majorHAnsi" w:hAnsiTheme="majorHAnsi"/>
          <w:sz w:val="16"/>
          <w:szCs w:val="16"/>
          <w:lang w:val="es-US"/>
        </w:rPr>
        <w:t xml:space="preserve"> 3.</w:t>
      </w:r>
      <w:r w:rsidRPr="00D93236">
        <w:rPr>
          <w:rFonts w:asciiTheme="majorHAnsi" w:hAnsiTheme="majorHAnsi"/>
          <w:sz w:val="16"/>
          <w:szCs w:val="16"/>
          <w:lang w:val="es-US"/>
        </w:rPr>
        <w:t xml:space="preserve"> Sentencia de la Sala II de la Cámara Nacional de Casación Penal de fecha 19 de mayo de 2006, pág. 271. Anexo 7 a la comunicación de la parte peticionaria de fecha 11 de noviembre de 2019. </w:t>
      </w:r>
    </w:p>
  </w:footnote>
  <w:footnote w:id="137">
    <w:p w14:paraId="34CA0146" w14:textId="77777777" w:rsidR="005B3F8C" w:rsidRPr="00D93236" w:rsidRDefault="005B3F8C" w:rsidP="00E27260">
      <w:pPr>
        <w:pStyle w:val="FootnoteText"/>
        <w:jc w:val="both"/>
        <w:rPr>
          <w:rFonts w:asciiTheme="majorHAnsi" w:hAnsiTheme="majorHAnsi"/>
          <w:sz w:val="16"/>
          <w:szCs w:val="16"/>
          <w:lang w:val="es-US"/>
        </w:rPr>
      </w:pPr>
      <w:r w:rsidRPr="00D93236">
        <w:rPr>
          <w:rStyle w:val="FootnoteReference"/>
          <w:rFonts w:asciiTheme="majorHAnsi" w:hAnsiTheme="majorHAnsi"/>
          <w:sz w:val="16"/>
          <w:szCs w:val="16"/>
        </w:rPr>
        <w:footnoteRef/>
      </w:r>
      <w:r w:rsidRPr="00D93236">
        <w:rPr>
          <w:rFonts w:asciiTheme="majorHAnsi" w:hAnsiTheme="majorHAnsi"/>
          <w:sz w:val="16"/>
          <w:szCs w:val="16"/>
          <w:lang w:val="es-US"/>
        </w:rPr>
        <w:t xml:space="preserve"> </w:t>
      </w:r>
      <w:r w:rsidRPr="00DC05C6">
        <w:rPr>
          <w:rFonts w:asciiTheme="majorHAnsi" w:hAnsiTheme="majorHAnsi"/>
          <w:sz w:val="16"/>
          <w:szCs w:val="16"/>
          <w:lang w:val="es-US"/>
        </w:rPr>
        <w:t>Anexo 3.</w:t>
      </w:r>
      <w:r w:rsidRPr="00D93236">
        <w:rPr>
          <w:rFonts w:asciiTheme="majorHAnsi" w:hAnsiTheme="majorHAnsi"/>
          <w:sz w:val="16"/>
          <w:szCs w:val="16"/>
          <w:lang w:val="es-US"/>
        </w:rPr>
        <w:t xml:space="preserve"> Sentencia de la Sala II de la Cámara Nacional de Casación Penal de fecha 19 de mayo de 2006, pág. 277. Anexo 7 a la comunicación de la parte peticionaria de fecha 11 de noviembre de 2019.</w:t>
      </w:r>
    </w:p>
  </w:footnote>
  <w:footnote w:id="138">
    <w:p w14:paraId="449F99E5" w14:textId="77777777" w:rsidR="005B3F8C" w:rsidRPr="00D93236" w:rsidRDefault="005B3F8C" w:rsidP="00E27260">
      <w:pPr>
        <w:pStyle w:val="FootnoteText"/>
        <w:jc w:val="both"/>
        <w:rPr>
          <w:rFonts w:asciiTheme="majorHAnsi" w:hAnsiTheme="majorHAnsi"/>
          <w:sz w:val="16"/>
          <w:szCs w:val="16"/>
          <w:lang w:val="es-AR"/>
        </w:rPr>
      </w:pPr>
      <w:r w:rsidRPr="00D93236">
        <w:rPr>
          <w:rStyle w:val="FootnoteReference"/>
          <w:rFonts w:asciiTheme="majorHAnsi" w:hAnsiTheme="majorHAnsi"/>
          <w:sz w:val="16"/>
          <w:szCs w:val="16"/>
        </w:rPr>
        <w:footnoteRef/>
      </w:r>
      <w:r w:rsidRPr="00D93236">
        <w:rPr>
          <w:rFonts w:asciiTheme="majorHAnsi" w:hAnsiTheme="majorHAnsi"/>
          <w:sz w:val="16"/>
          <w:szCs w:val="16"/>
          <w:lang w:val="es-AR"/>
        </w:rPr>
        <w:t xml:space="preserve"> </w:t>
      </w:r>
      <w:r w:rsidRPr="00DC05C6">
        <w:rPr>
          <w:rFonts w:asciiTheme="majorHAnsi" w:hAnsiTheme="majorHAnsi"/>
          <w:sz w:val="16"/>
          <w:szCs w:val="16"/>
          <w:lang w:val="es-AR"/>
        </w:rPr>
        <w:t>Anexo 2.</w:t>
      </w:r>
      <w:r w:rsidRPr="00D93236">
        <w:rPr>
          <w:rFonts w:asciiTheme="majorHAnsi" w:hAnsiTheme="majorHAnsi"/>
          <w:sz w:val="16"/>
          <w:szCs w:val="16"/>
          <w:lang w:val="es-AR"/>
        </w:rPr>
        <w:t xml:space="preserve"> Sentencia del TOF 3. Capítulo V.B “Nulidades”, pág. 2670. Anexo 1 a la comunicación de la parte peticionaria de fecha 11 de noviembre de 2019. Para un desarrollo de los diversos testimonios brindados por aquellos que suscribieron el acta de secuestro, ver:  </w:t>
      </w:r>
      <w:r w:rsidRPr="00DC05C6">
        <w:rPr>
          <w:rFonts w:asciiTheme="majorHAnsi" w:hAnsiTheme="majorHAnsi"/>
          <w:sz w:val="16"/>
          <w:szCs w:val="16"/>
          <w:lang w:val="es-AR"/>
        </w:rPr>
        <w:t>Anexo 2</w:t>
      </w:r>
      <w:r w:rsidRPr="00D93236">
        <w:rPr>
          <w:rFonts w:asciiTheme="majorHAnsi" w:hAnsiTheme="majorHAnsi"/>
          <w:b/>
          <w:sz w:val="16"/>
          <w:szCs w:val="16"/>
          <w:lang w:val="es-AR"/>
        </w:rPr>
        <w:t>.</w:t>
      </w:r>
      <w:r w:rsidRPr="00D93236">
        <w:rPr>
          <w:rFonts w:asciiTheme="majorHAnsi" w:hAnsiTheme="majorHAnsi"/>
          <w:sz w:val="16"/>
          <w:szCs w:val="16"/>
          <w:lang w:val="es-AR"/>
        </w:rPr>
        <w:t xml:space="preserve"> Sentencia del TOF 3. Capítulo V.B “Nulidades”, pág. 2650-2672. Anexo 1 a la comunicación de la parte peticionaria de fecha 11 de noviembre de 2019</w:t>
      </w:r>
    </w:p>
  </w:footnote>
  <w:footnote w:id="139">
    <w:p w14:paraId="39DFBA43" w14:textId="77777777" w:rsidR="005B3F8C" w:rsidRPr="00D93236" w:rsidRDefault="005B3F8C" w:rsidP="00E27260">
      <w:pPr>
        <w:pStyle w:val="FootnoteText"/>
        <w:jc w:val="both"/>
        <w:rPr>
          <w:rFonts w:asciiTheme="majorHAnsi" w:hAnsiTheme="majorHAnsi"/>
          <w:sz w:val="16"/>
          <w:szCs w:val="16"/>
          <w:lang w:val="es-AR"/>
        </w:rPr>
      </w:pPr>
      <w:r w:rsidRPr="00D93236">
        <w:rPr>
          <w:rStyle w:val="FootnoteReference"/>
          <w:rFonts w:asciiTheme="majorHAnsi" w:hAnsiTheme="majorHAnsi"/>
          <w:sz w:val="16"/>
          <w:szCs w:val="16"/>
        </w:rPr>
        <w:footnoteRef/>
      </w:r>
      <w:r w:rsidRPr="00D93236">
        <w:rPr>
          <w:rFonts w:asciiTheme="majorHAnsi" w:hAnsiTheme="majorHAnsi"/>
          <w:sz w:val="16"/>
          <w:szCs w:val="16"/>
          <w:lang w:val="es-AR"/>
        </w:rPr>
        <w:t xml:space="preserve"> </w:t>
      </w:r>
      <w:r w:rsidRPr="00DC05C6">
        <w:rPr>
          <w:rFonts w:asciiTheme="majorHAnsi" w:hAnsiTheme="majorHAnsi"/>
          <w:sz w:val="16"/>
          <w:szCs w:val="16"/>
          <w:lang w:val="es-AR"/>
        </w:rPr>
        <w:t>Anexo 2</w:t>
      </w:r>
      <w:r w:rsidRPr="00D93236">
        <w:rPr>
          <w:rFonts w:asciiTheme="majorHAnsi" w:hAnsiTheme="majorHAnsi"/>
          <w:b/>
          <w:sz w:val="16"/>
          <w:szCs w:val="16"/>
          <w:lang w:val="es-AR"/>
        </w:rPr>
        <w:t>.</w:t>
      </w:r>
      <w:r w:rsidRPr="00D93236">
        <w:rPr>
          <w:rFonts w:asciiTheme="majorHAnsi" w:hAnsiTheme="majorHAnsi"/>
          <w:sz w:val="16"/>
          <w:szCs w:val="16"/>
          <w:lang w:val="es-AR"/>
        </w:rPr>
        <w:t xml:space="preserve"> Sentencia del TOF 3. Capítulo V.B “Nulidades”, pág. 2676-77. Anexo 1 a la comunicación de la parte peticionaria de fecha 11 de noviembre de 2019</w:t>
      </w:r>
    </w:p>
  </w:footnote>
  <w:footnote w:id="140">
    <w:p w14:paraId="56F96E89" w14:textId="77777777" w:rsidR="005B3F8C" w:rsidRPr="00D93236" w:rsidRDefault="005B3F8C" w:rsidP="00E27260">
      <w:pPr>
        <w:pStyle w:val="FootnoteText"/>
        <w:jc w:val="both"/>
        <w:rPr>
          <w:rFonts w:asciiTheme="majorHAnsi" w:hAnsiTheme="majorHAnsi"/>
          <w:sz w:val="16"/>
          <w:szCs w:val="16"/>
          <w:lang w:val="es-AR"/>
        </w:rPr>
      </w:pPr>
      <w:r w:rsidRPr="00D93236">
        <w:rPr>
          <w:rStyle w:val="FootnoteReference"/>
          <w:rFonts w:asciiTheme="majorHAnsi" w:hAnsiTheme="majorHAnsi"/>
          <w:sz w:val="16"/>
          <w:szCs w:val="16"/>
        </w:rPr>
        <w:footnoteRef/>
      </w:r>
      <w:r w:rsidRPr="00D93236">
        <w:rPr>
          <w:rFonts w:asciiTheme="majorHAnsi" w:hAnsiTheme="majorHAnsi"/>
          <w:sz w:val="16"/>
          <w:szCs w:val="16"/>
          <w:lang w:val="es-AR"/>
        </w:rPr>
        <w:t xml:space="preserve"> </w:t>
      </w:r>
      <w:r w:rsidRPr="00DC05C6">
        <w:rPr>
          <w:rFonts w:asciiTheme="majorHAnsi" w:hAnsiTheme="majorHAnsi"/>
          <w:sz w:val="16"/>
          <w:szCs w:val="16"/>
          <w:lang w:val="es-AR"/>
        </w:rPr>
        <w:t>Anexo 2.</w:t>
      </w:r>
      <w:r w:rsidRPr="00D93236">
        <w:rPr>
          <w:rFonts w:asciiTheme="majorHAnsi" w:hAnsiTheme="majorHAnsi"/>
          <w:sz w:val="16"/>
          <w:szCs w:val="16"/>
          <w:lang w:val="es-AR"/>
        </w:rPr>
        <w:t xml:space="preserve"> Sentencia del TOF 3. Capítulo V.B “Nulidades”, pág. 2677. Anexo 1 a la comunicación de la parte peticionaria de fecha 11 de noviembre de 2019</w:t>
      </w:r>
    </w:p>
  </w:footnote>
  <w:footnote w:id="141">
    <w:p w14:paraId="3A126193" w14:textId="77777777" w:rsidR="005B3F8C" w:rsidRPr="00D93236" w:rsidRDefault="005B3F8C" w:rsidP="00E27260">
      <w:pPr>
        <w:pStyle w:val="FootnoteText"/>
        <w:jc w:val="both"/>
        <w:rPr>
          <w:rFonts w:asciiTheme="majorHAnsi" w:hAnsiTheme="majorHAnsi"/>
          <w:sz w:val="16"/>
          <w:szCs w:val="16"/>
          <w:lang w:val="es-AR"/>
        </w:rPr>
      </w:pPr>
      <w:r w:rsidRPr="00D93236">
        <w:rPr>
          <w:rStyle w:val="FootnoteReference"/>
          <w:rFonts w:asciiTheme="majorHAnsi" w:hAnsiTheme="majorHAnsi"/>
          <w:sz w:val="16"/>
          <w:szCs w:val="16"/>
        </w:rPr>
        <w:footnoteRef/>
      </w:r>
      <w:r w:rsidRPr="00D93236">
        <w:rPr>
          <w:rFonts w:asciiTheme="majorHAnsi" w:hAnsiTheme="majorHAnsi"/>
          <w:sz w:val="16"/>
          <w:szCs w:val="16"/>
          <w:lang w:val="es-AR"/>
        </w:rPr>
        <w:t xml:space="preserve"> Para un relato del derrotero que condujo a los agentes de la SIDE desde Messin S.R.L hasta el domicilio de Telleldin, pasando por “Automotores Alejandro”, ver: </w:t>
      </w:r>
      <w:r w:rsidRPr="00DC05C6">
        <w:rPr>
          <w:rFonts w:asciiTheme="majorHAnsi" w:hAnsiTheme="majorHAnsi"/>
          <w:sz w:val="16"/>
          <w:szCs w:val="16"/>
          <w:lang w:val="es-AR"/>
        </w:rPr>
        <w:t>Anexo 2.</w:t>
      </w:r>
      <w:r w:rsidRPr="00D93236">
        <w:rPr>
          <w:rFonts w:asciiTheme="majorHAnsi" w:hAnsiTheme="majorHAnsi"/>
          <w:sz w:val="16"/>
          <w:szCs w:val="16"/>
          <w:lang w:val="es-AR"/>
        </w:rPr>
        <w:t xml:space="preserve"> Sentencia del TOF 3. Capítulo IX, pág. 3678 a 3679. Anexo 1 a la comunicación de la parte peticionaria de fecha 11 de noviembre de 2019</w:t>
      </w:r>
    </w:p>
  </w:footnote>
  <w:footnote w:id="142">
    <w:p w14:paraId="6E361C24" w14:textId="77777777" w:rsidR="005B3F8C" w:rsidRPr="001F5F81" w:rsidRDefault="005B3F8C" w:rsidP="00E27260">
      <w:pPr>
        <w:pStyle w:val="FootnoteText"/>
        <w:jc w:val="both"/>
        <w:rPr>
          <w:rFonts w:asciiTheme="majorHAnsi" w:hAnsiTheme="majorHAnsi"/>
          <w:sz w:val="16"/>
          <w:szCs w:val="16"/>
          <w:lang w:val="es-US"/>
        </w:rPr>
      </w:pPr>
      <w:r w:rsidRPr="00D93236">
        <w:rPr>
          <w:rStyle w:val="FootnoteReference"/>
          <w:rFonts w:asciiTheme="majorHAnsi" w:hAnsiTheme="majorHAnsi"/>
          <w:sz w:val="16"/>
          <w:szCs w:val="16"/>
        </w:rPr>
        <w:footnoteRef/>
      </w:r>
      <w:r w:rsidRPr="001F5F81">
        <w:rPr>
          <w:rFonts w:asciiTheme="majorHAnsi" w:hAnsiTheme="majorHAnsi"/>
          <w:sz w:val="16"/>
          <w:szCs w:val="16"/>
          <w:lang w:val="es-US"/>
        </w:rPr>
        <w:t xml:space="preserve"> ver </w:t>
      </w:r>
      <w:r w:rsidRPr="001F5F81">
        <w:rPr>
          <w:rFonts w:asciiTheme="majorHAnsi" w:hAnsiTheme="majorHAnsi"/>
          <w:i/>
          <w:sz w:val="16"/>
          <w:szCs w:val="16"/>
          <w:lang w:val="es-US"/>
        </w:rPr>
        <w:t xml:space="preserve">infra </w:t>
      </w:r>
      <w:r w:rsidRPr="001F5F81">
        <w:rPr>
          <w:rFonts w:asciiTheme="majorHAnsi" w:hAnsiTheme="majorHAnsi"/>
          <w:sz w:val="16"/>
          <w:szCs w:val="16"/>
          <w:lang w:val="es-US"/>
        </w:rPr>
        <w:t>parr 57</w:t>
      </w:r>
    </w:p>
  </w:footnote>
  <w:footnote w:id="143">
    <w:p w14:paraId="2CE285D1" w14:textId="77777777" w:rsidR="005B3F8C" w:rsidRPr="00D93236" w:rsidRDefault="005B3F8C" w:rsidP="00E27260">
      <w:pPr>
        <w:pStyle w:val="FootnoteText"/>
        <w:jc w:val="both"/>
        <w:rPr>
          <w:rFonts w:asciiTheme="majorHAnsi" w:hAnsiTheme="majorHAnsi"/>
          <w:sz w:val="16"/>
          <w:szCs w:val="16"/>
          <w:lang w:val="es-AR"/>
        </w:rPr>
      </w:pPr>
      <w:r w:rsidRPr="00D93236">
        <w:rPr>
          <w:rStyle w:val="FootnoteReference"/>
          <w:rFonts w:asciiTheme="majorHAnsi" w:hAnsiTheme="majorHAnsi"/>
          <w:sz w:val="16"/>
          <w:szCs w:val="16"/>
        </w:rPr>
        <w:footnoteRef/>
      </w:r>
      <w:r w:rsidRPr="001F5F81">
        <w:rPr>
          <w:rFonts w:asciiTheme="majorHAnsi" w:hAnsiTheme="majorHAnsi"/>
          <w:sz w:val="16"/>
          <w:szCs w:val="16"/>
          <w:lang w:val="es-US"/>
        </w:rPr>
        <w:t xml:space="preserve"> Anexo 2. </w:t>
      </w:r>
      <w:r w:rsidRPr="00D93236">
        <w:rPr>
          <w:rFonts w:asciiTheme="majorHAnsi" w:hAnsiTheme="majorHAnsi"/>
          <w:sz w:val="16"/>
          <w:szCs w:val="16"/>
          <w:lang w:val="es-AR"/>
        </w:rPr>
        <w:t>Sentencia del TOF 3. Capítulo IX, pág. 3730. Anexo 1 a la comunicación de la parte peticionaria de fecha 11 de noviembre de 2019</w:t>
      </w:r>
    </w:p>
  </w:footnote>
  <w:footnote w:id="144">
    <w:p w14:paraId="09347CC5" w14:textId="77777777" w:rsidR="005B3F8C" w:rsidRPr="00D93236" w:rsidRDefault="005B3F8C" w:rsidP="00E27260">
      <w:pPr>
        <w:pStyle w:val="FootnoteText"/>
        <w:jc w:val="both"/>
        <w:rPr>
          <w:rFonts w:asciiTheme="majorHAnsi" w:hAnsiTheme="majorHAnsi"/>
          <w:sz w:val="16"/>
          <w:szCs w:val="16"/>
          <w:lang w:val="es-AR"/>
        </w:rPr>
      </w:pPr>
      <w:r w:rsidRPr="00D93236">
        <w:rPr>
          <w:rStyle w:val="FootnoteReference"/>
          <w:rFonts w:asciiTheme="majorHAnsi" w:hAnsiTheme="majorHAnsi"/>
          <w:sz w:val="16"/>
          <w:szCs w:val="16"/>
        </w:rPr>
        <w:footnoteRef/>
      </w:r>
      <w:r>
        <w:rPr>
          <w:rFonts w:asciiTheme="majorHAnsi" w:hAnsiTheme="majorHAnsi"/>
          <w:b/>
          <w:sz w:val="16"/>
          <w:szCs w:val="16"/>
          <w:lang w:val="es-AR"/>
        </w:rPr>
        <w:t xml:space="preserve"> </w:t>
      </w:r>
      <w:r w:rsidRPr="00DC05C6">
        <w:rPr>
          <w:rFonts w:asciiTheme="majorHAnsi" w:hAnsiTheme="majorHAnsi"/>
          <w:sz w:val="16"/>
          <w:szCs w:val="16"/>
          <w:lang w:val="es-AR"/>
        </w:rPr>
        <w:t>Anexo 2</w:t>
      </w:r>
      <w:r w:rsidRPr="00D93236">
        <w:rPr>
          <w:rFonts w:asciiTheme="majorHAnsi" w:hAnsiTheme="majorHAnsi"/>
          <w:sz w:val="16"/>
          <w:szCs w:val="16"/>
          <w:lang w:val="es-AR"/>
        </w:rPr>
        <w:t>. Sentencia del TOF 3. Capítulo IX, pág. 3726. Anexo 1 a la comunicación de la parte peticionaria de fecha 11 de noviembre de 2019</w:t>
      </w:r>
    </w:p>
  </w:footnote>
  <w:footnote w:id="145">
    <w:p w14:paraId="3DA33CE0" w14:textId="77777777" w:rsidR="005B3F8C" w:rsidRPr="00D93236" w:rsidRDefault="005B3F8C" w:rsidP="00E27260">
      <w:pPr>
        <w:pStyle w:val="FootnoteText"/>
        <w:jc w:val="both"/>
        <w:rPr>
          <w:rFonts w:asciiTheme="majorHAnsi" w:hAnsiTheme="majorHAnsi"/>
          <w:sz w:val="16"/>
          <w:szCs w:val="16"/>
          <w:lang w:val="es-AR"/>
        </w:rPr>
      </w:pPr>
      <w:r w:rsidRPr="00D93236">
        <w:rPr>
          <w:rStyle w:val="FootnoteReference"/>
          <w:rFonts w:asciiTheme="majorHAnsi" w:hAnsiTheme="majorHAnsi"/>
          <w:sz w:val="16"/>
          <w:szCs w:val="16"/>
        </w:rPr>
        <w:footnoteRef/>
      </w:r>
      <w:r w:rsidRPr="00D93236">
        <w:rPr>
          <w:rFonts w:asciiTheme="majorHAnsi" w:hAnsiTheme="majorHAnsi"/>
          <w:sz w:val="16"/>
          <w:szCs w:val="16"/>
          <w:lang w:val="es-AR"/>
        </w:rPr>
        <w:t xml:space="preserve"> </w:t>
      </w:r>
      <w:r w:rsidRPr="00DC05C6">
        <w:rPr>
          <w:rFonts w:asciiTheme="majorHAnsi" w:hAnsiTheme="majorHAnsi"/>
          <w:sz w:val="16"/>
          <w:szCs w:val="16"/>
          <w:lang w:val="es-AR"/>
        </w:rPr>
        <w:t>Anexo 2</w:t>
      </w:r>
      <w:r>
        <w:rPr>
          <w:rFonts w:asciiTheme="majorHAnsi" w:hAnsiTheme="majorHAnsi"/>
          <w:sz w:val="16"/>
          <w:szCs w:val="16"/>
          <w:lang w:val="es-AR"/>
        </w:rPr>
        <w:t xml:space="preserve">. </w:t>
      </w:r>
      <w:r w:rsidRPr="00D93236">
        <w:rPr>
          <w:rFonts w:asciiTheme="majorHAnsi" w:hAnsiTheme="majorHAnsi"/>
          <w:sz w:val="16"/>
          <w:szCs w:val="16"/>
          <w:lang w:val="es-AR"/>
        </w:rPr>
        <w:t>Sentencia del TOF 3. Capítulo IX, pág. 3706. Anexo 1 a la comunicación de la parte peticionaria de fecha 11 de noviembre de 2019</w:t>
      </w:r>
    </w:p>
  </w:footnote>
  <w:footnote w:id="146">
    <w:p w14:paraId="3A6336C4" w14:textId="77777777" w:rsidR="005B3F8C" w:rsidRPr="00D93236" w:rsidRDefault="005B3F8C" w:rsidP="00E27260">
      <w:pPr>
        <w:pStyle w:val="FootnoteText"/>
        <w:jc w:val="both"/>
        <w:rPr>
          <w:rFonts w:asciiTheme="majorHAnsi" w:hAnsiTheme="majorHAnsi"/>
          <w:sz w:val="16"/>
          <w:szCs w:val="16"/>
          <w:lang w:val="es-AR"/>
        </w:rPr>
      </w:pPr>
      <w:r w:rsidRPr="00D93236">
        <w:rPr>
          <w:rStyle w:val="FootnoteReference"/>
          <w:rFonts w:asciiTheme="majorHAnsi" w:hAnsiTheme="majorHAnsi"/>
          <w:sz w:val="16"/>
          <w:szCs w:val="16"/>
        </w:rPr>
        <w:footnoteRef/>
      </w:r>
      <w:r w:rsidRPr="00D93236">
        <w:rPr>
          <w:rFonts w:asciiTheme="majorHAnsi" w:hAnsiTheme="majorHAnsi"/>
          <w:sz w:val="16"/>
          <w:szCs w:val="16"/>
          <w:lang w:val="es-AR"/>
        </w:rPr>
        <w:t xml:space="preserve"> </w:t>
      </w:r>
      <w:r w:rsidRPr="00DC05C6">
        <w:rPr>
          <w:rFonts w:asciiTheme="majorHAnsi" w:hAnsiTheme="majorHAnsi"/>
          <w:sz w:val="16"/>
          <w:szCs w:val="16"/>
          <w:lang w:val="es-AR"/>
        </w:rPr>
        <w:t>Anexo 2</w:t>
      </w:r>
      <w:r>
        <w:rPr>
          <w:rFonts w:asciiTheme="majorHAnsi" w:hAnsiTheme="majorHAnsi"/>
          <w:sz w:val="16"/>
          <w:szCs w:val="16"/>
          <w:lang w:val="es-AR"/>
        </w:rPr>
        <w:t xml:space="preserve">. </w:t>
      </w:r>
      <w:r w:rsidRPr="00D93236">
        <w:rPr>
          <w:rFonts w:asciiTheme="majorHAnsi" w:hAnsiTheme="majorHAnsi"/>
          <w:sz w:val="16"/>
          <w:szCs w:val="16"/>
          <w:lang w:val="es-AR"/>
        </w:rPr>
        <w:t>Sentencia del TOF 3. Capítulo IX, pág. 3707. Anexo 1 a la comunicación de la parte peticionaria de fecha 11 de noviembre de 2019</w:t>
      </w:r>
    </w:p>
  </w:footnote>
  <w:footnote w:id="147">
    <w:p w14:paraId="0B38CB6F" w14:textId="77777777" w:rsidR="005B3F8C" w:rsidRPr="00D93236" w:rsidRDefault="005B3F8C" w:rsidP="00E27260">
      <w:pPr>
        <w:pStyle w:val="FootnoteText"/>
        <w:jc w:val="both"/>
        <w:rPr>
          <w:rFonts w:asciiTheme="majorHAnsi" w:hAnsiTheme="majorHAnsi"/>
          <w:sz w:val="16"/>
          <w:szCs w:val="16"/>
          <w:lang w:val="es-AR"/>
        </w:rPr>
      </w:pPr>
      <w:r w:rsidRPr="00D93236">
        <w:rPr>
          <w:rStyle w:val="FootnoteReference"/>
          <w:rFonts w:asciiTheme="majorHAnsi" w:hAnsiTheme="majorHAnsi"/>
          <w:sz w:val="16"/>
          <w:szCs w:val="16"/>
        </w:rPr>
        <w:footnoteRef/>
      </w:r>
      <w:r w:rsidRPr="00D93236">
        <w:rPr>
          <w:rFonts w:asciiTheme="majorHAnsi" w:hAnsiTheme="majorHAnsi"/>
          <w:sz w:val="16"/>
          <w:szCs w:val="16"/>
          <w:lang w:val="es-AR"/>
        </w:rPr>
        <w:t xml:space="preserve"> </w:t>
      </w:r>
      <w:r w:rsidRPr="00DC05C6">
        <w:rPr>
          <w:rFonts w:asciiTheme="majorHAnsi" w:hAnsiTheme="majorHAnsi"/>
          <w:sz w:val="16"/>
          <w:szCs w:val="16"/>
          <w:lang w:val="es-AR"/>
        </w:rPr>
        <w:t>Anexo 2</w:t>
      </w:r>
      <w:r>
        <w:rPr>
          <w:rFonts w:asciiTheme="majorHAnsi" w:hAnsiTheme="majorHAnsi"/>
          <w:sz w:val="16"/>
          <w:szCs w:val="16"/>
          <w:lang w:val="es-AR"/>
        </w:rPr>
        <w:t xml:space="preserve">. </w:t>
      </w:r>
      <w:r w:rsidRPr="00D93236">
        <w:rPr>
          <w:rFonts w:asciiTheme="majorHAnsi" w:hAnsiTheme="majorHAnsi"/>
          <w:sz w:val="16"/>
          <w:szCs w:val="16"/>
          <w:lang w:val="es-AR"/>
        </w:rPr>
        <w:t xml:space="preserve">Sentencia del TOF 3. Capítulo IX, pág. 3699. Anexo 1 a la comunicación de la parte peticionaria de fecha 11 de noviembre de 2019 </w:t>
      </w:r>
    </w:p>
  </w:footnote>
  <w:footnote w:id="148">
    <w:p w14:paraId="1CE106B7" w14:textId="77777777" w:rsidR="005B3F8C" w:rsidRPr="00D93236" w:rsidRDefault="005B3F8C" w:rsidP="00E27260">
      <w:pPr>
        <w:pStyle w:val="FootnoteText"/>
        <w:jc w:val="both"/>
        <w:rPr>
          <w:rFonts w:asciiTheme="majorHAnsi" w:hAnsiTheme="majorHAnsi"/>
          <w:sz w:val="16"/>
          <w:szCs w:val="16"/>
          <w:lang w:val="es-AR"/>
        </w:rPr>
      </w:pPr>
      <w:r w:rsidRPr="00D93236">
        <w:rPr>
          <w:rStyle w:val="FootnoteReference"/>
          <w:rFonts w:asciiTheme="majorHAnsi" w:hAnsiTheme="majorHAnsi"/>
          <w:sz w:val="16"/>
          <w:szCs w:val="16"/>
        </w:rPr>
        <w:footnoteRef/>
      </w:r>
      <w:r w:rsidRPr="00DC05C6">
        <w:rPr>
          <w:rFonts w:asciiTheme="majorHAnsi" w:hAnsiTheme="majorHAnsi"/>
          <w:sz w:val="16"/>
          <w:szCs w:val="16"/>
          <w:lang w:val="es-AR"/>
        </w:rPr>
        <w:t>Anexo 2</w:t>
      </w:r>
      <w:r>
        <w:rPr>
          <w:rFonts w:asciiTheme="majorHAnsi" w:hAnsiTheme="majorHAnsi"/>
          <w:sz w:val="16"/>
          <w:szCs w:val="16"/>
          <w:lang w:val="es-AR"/>
        </w:rPr>
        <w:t xml:space="preserve">. </w:t>
      </w:r>
      <w:r w:rsidRPr="00D93236">
        <w:rPr>
          <w:rFonts w:asciiTheme="majorHAnsi" w:hAnsiTheme="majorHAnsi"/>
          <w:sz w:val="16"/>
          <w:szCs w:val="16"/>
          <w:lang w:val="es-AR"/>
        </w:rPr>
        <w:t xml:space="preserve">Sentencia del TOF 3. Capítulo IX, pág. 3676. Anexo 1 a la comunicación de la parte peticionaria de fecha 11 de noviembre de 2019 </w:t>
      </w:r>
    </w:p>
  </w:footnote>
  <w:footnote w:id="149">
    <w:p w14:paraId="7FCB6674" w14:textId="77777777" w:rsidR="005B3F8C" w:rsidRPr="00D93236" w:rsidRDefault="005B3F8C" w:rsidP="00E27260">
      <w:pPr>
        <w:pStyle w:val="FootnoteText"/>
        <w:jc w:val="both"/>
        <w:rPr>
          <w:rFonts w:asciiTheme="majorHAnsi" w:hAnsiTheme="majorHAnsi"/>
          <w:sz w:val="16"/>
          <w:szCs w:val="16"/>
          <w:lang w:val="es-AR"/>
        </w:rPr>
      </w:pPr>
      <w:r w:rsidRPr="00D93236">
        <w:rPr>
          <w:rStyle w:val="FootnoteReference"/>
          <w:rFonts w:asciiTheme="majorHAnsi" w:hAnsiTheme="majorHAnsi"/>
          <w:sz w:val="16"/>
          <w:szCs w:val="16"/>
        </w:rPr>
        <w:footnoteRef/>
      </w:r>
      <w:r w:rsidRPr="00DC05C6">
        <w:rPr>
          <w:rFonts w:asciiTheme="majorHAnsi" w:hAnsiTheme="majorHAnsi"/>
          <w:sz w:val="16"/>
          <w:szCs w:val="16"/>
          <w:lang w:val="es-AR"/>
        </w:rPr>
        <w:t>Anexo 2</w:t>
      </w:r>
      <w:r>
        <w:rPr>
          <w:rFonts w:asciiTheme="majorHAnsi" w:hAnsiTheme="majorHAnsi"/>
          <w:sz w:val="16"/>
          <w:szCs w:val="16"/>
          <w:lang w:val="es-AR"/>
        </w:rPr>
        <w:t xml:space="preserve">. </w:t>
      </w:r>
      <w:r w:rsidRPr="00D93236">
        <w:rPr>
          <w:rFonts w:asciiTheme="majorHAnsi" w:hAnsiTheme="majorHAnsi"/>
          <w:sz w:val="16"/>
          <w:szCs w:val="16"/>
          <w:lang w:val="es-AR"/>
        </w:rPr>
        <w:t xml:space="preserve">Sentencia del TOF 3. Capítulo IX, pág. 3731. Anexo 1 a la comunicación de la parte peticionaria de fecha 11 de noviembre de 2019 </w:t>
      </w:r>
    </w:p>
  </w:footnote>
  <w:footnote w:id="150">
    <w:p w14:paraId="39267763" w14:textId="77777777" w:rsidR="005B3F8C" w:rsidRPr="00D93236" w:rsidRDefault="005B3F8C" w:rsidP="00E27260">
      <w:pPr>
        <w:pStyle w:val="FootnoteText"/>
        <w:jc w:val="both"/>
        <w:rPr>
          <w:rFonts w:asciiTheme="majorHAnsi" w:hAnsiTheme="majorHAnsi"/>
          <w:sz w:val="16"/>
          <w:szCs w:val="16"/>
          <w:lang w:val="es-AR"/>
        </w:rPr>
      </w:pPr>
      <w:r w:rsidRPr="00D93236">
        <w:rPr>
          <w:rStyle w:val="FootnoteReference"/>
          <w:rFonts w:asciiTheme="majorHAnsi" w:hAnsiTheme="majorHAnsi"/>
          <w:sz w:val="16"/>
          <w:szCs w:val="16"/>
        </w:rPr>
        <w:footnoteRef/>
      </w:r>
      <w:r w:rsidRPr="00D93236">
        <w:rPr>
          <w:rFonts w:asciiTheme="majorHAnsi" w:hAnsiTheme="majorHAnsi"/>
          <w:sz w:val="16"/>
          <w:szCs w:val="16"/>
          <w:lang w:val="es-AR"/>
        </w:rPr>
        <w:t xml:space="preserve"> </w:t>
      </w:r>
      <w:r w:rsidRPr="00DC05C6">
        <w:rPr>
          <w:rFonts w:asciiTheme="majorHAnsi" w:hAnsiTheme="majorHAnsi"/>
          <w:sz w:val="16"/>
          <w:szCs w:val="16"/>
          <w:lang w:val="es-AR"/>
        </w:rPr>
        <w:t>Anexo 2</w:t>
      </w:r>
      <w:r>
        <w:rPr>
          <w:rFonts w:asciiTheme="majorHAnsi" w:hAnsiTheme="majorHAnsi"/>
          <w:sz w:val="16"/>
          <w:szCs w:val="16"/>
          <w:lang w:val="es-AR"/>
        </w:rPr>
        <w:t xml:space="preserve">. </w:t>
      </w:r>
      <w:r w:rsidRPr="00D93236">
        <w:rPr>
          <w:rFonts w:asciiTheme="majorHAnsi" w:hAnsiTheme="majorHAnsi"/>
          <w:sz w:val="16"/>
          <w:szCs w:val="16"/>
          <w:lang w:val="es-AR"/>
        </w:rPr>
        <w:t>Sentencia del TOF 3. Capítulo IX, pág. 3732. Anexo 1 a la comunicación de la parte peticionaria de fecha 11 de noviembre de 2019</w:t>
      </w:r>
    </w:p>
  </w:footnote>
  <w:footnote w:id="151">
    <w:p w14:paraId="13BEE590" w14:textId="77777777" w:rsidR="005B3F8C" w:rsidRPr="00D93236" w:rsidRDefault="005B3F8C" w:rsidP="00E27260">
      <w:pPr>
        <w:pStyle w:val="FootnoteText"/>
        <w:jc w:val="both"/>
        <w:rPr>
          <w:rFonts w:asciiTheme="majorHAnsi" w:hAnsiTheme="majorHAnsi"/>
          <w:sz w:val="16"/>
          <w:szCs w:val="16"/>
          <w:lang w:val="es-AR"/>
        </w:rPr>
      </w:pPr>
      <w:r w:rsidRPr="00D93236">
        <w:rPr>
          <w:rStyle w:val="FootnoteReference"/>
          <w:rFonts w:asciiTheme="majorHAnsi" w:hAnsiTheme="majorHAnsi"/>
          <w:sz w:val="16"/>
          <w:szCs w:val="16"/>
        </w:rPr>
        <w:footnoteRef/>
      </w:r>
      <w:r w:rsidRPr="00D93236">
        <w:rPr>
          <w:rFonts w:asciiTheme="majorHAnsi" w:hAnsiTheme="majorHAnsi"/>
          <w:b/>
          <w:sz w:val="16"/>
          <w:szCs w:val="16"/>
          <w:lang w:val="es-AR"/>
        </w:rPr>
        <w:t xml:space="preserve"> </w:t>
      </w:r>
      <w:r w:rsidRPr="00DC05C6">
        <w:rPr>
          <w:rFonts w:asciiTheme="majorHAnsi" w:hAnsiTheme="majorHAnsi"/>
          <w:sz w:val="16"/>
          <w:szCs w:val="16"/>
          <w:lang w:val="es-AR"/>
        </w:rPr>
        <w:t>Anexo 2</w:t>
      </w:r>
      <w:r>
        <w:rPr>
          <w:rFonts w:asciiTheme="majorHAnsi" w:hAnsiTheme="majorHAnsi"/>
          <w:sz w:val="16"/>
          <w:szCs w:val="16"/>
          <w:lang w:val="es-AR"/>
        </w:rPr>
        <w:t xml:space="preserve">. </w:t>
      </w:r>
      <w:r w:rsidRPr="00D93236">
        <w:rPr>
          <w:rFonts w:asciiTheme="majorHAnsi" w:hAnsiTheme="majorHAnsi"/>
          <w:sz w:val="16"/>
          <w:szCs w:val="16"/>
          <w:lang w:val="es-AR"/>
        </w:rPr>
        <w:t xml:space="preserve">Sentencia del TOF 3. Capítulo IX, pág. 3736 y 3737. Anexo 1 a la comunicación de la parte peticionaria de fecha 11 de noviembre de 2019 </w:t>
      </w:r>
    </w:p>
  </w:footnote>
  <w:footnote w:id="152">
    <w:p w14:paraId="1D797B90" w14:textId="77777777" w:rsidR="005B3F8C" w:rsidRPr="00D93236" w:rsidRDefault="005B3F8C" w:rsidP="00E27260">
      <w:pPr>
        <w:pStyle w:val="FootnoteText"/>
        <w:jc w:val="both"/>
        <w:rPr>
          <w:rFonts w:asciiTheme="majorHAnsi" w:hAnsiTheme="majorHAnsi"/>
          <w:sz w:val="16"/>
          <w:szCs w:val="16"/>
          <w:lang w:val="es-AR"/>
        </w:rPr>
      </w:pPr>
      <w:r w:rsidRPr="00D93236">
        <w:rPr>
          <w:rStyle w:val="FootnoteReference"/>
          <w:rFonts w:asciiTheme="majorHAnsi" w:hAnsiTheme="majorHAnsi"/>
          <w:sz w:val="16"/>
          <w:szCs w:val="16"/>
        </w:rPr>
        <w:footnoteRef/>
      </w:r>
      <w:r w:rsidRPr="00DC05C6">
        <w:rPr>
          <w:rFonts w:asciiTheme="majorHAnsi" w:hAnsiTheme="majorHAnsi"/>
          <w:sz w:val="16"/>
          <w:szCs w:val="16"/>
          <w:lang w:val="es-AR"/>
        </w:rPr>
        <w:t>Anexo 2</w:t>
      </w:r>
      <w:r>
        <w:rPr>
          <w:rFonts w:asciiTheme="majorHAnsi" w:hAnsiTheme="majorHAnsi"/>
          <w:sz w:val="16"/>
          <w:szCs w:val="16"/>
          <w:lang w:val="es-AR"/>
        </w:rPr>
        <w:t xml:space="preserve">. </w:t>
      </w:r>
      <w:r w:rsidRPr="00D93236">
        <w:rPr>
          <w:rFonts w:asciiTheme="majorHAnsi" w:hAnsiTheme="majorHAnsi"/>
          <w:sz w:val="16"/>
          <w:szCs w:val="16"/>
          <w:lang w:val="es-AR"/>
        </w:rPr>
        <w:t xml:space="preserve">Sentencia del TOF 3. Capitulo V.B. </w:t>
      </w:r>
      <w:r w:rsidRPr="00D93236">
        <w:rPr>
          <w:rFonts w:asciiTheme="majorHAnsi" w:hAnsiTheme="majorHAnsi"/>
          <w:sz w:val="16"/>
          <w:szCs w:val="16"/>
          <w:lang w:val="es-US"/>
        </w:rPr>
        <w:t xml:space="preserve">Pág. 2696. </w:t>
      </w:r>
      <w:r w:rsidRPr="00D93236">
        <w:rPr>
          <w:rFonts w:asciiTheme="majorHAnsi" w:hAnsiTheme="majorHAnsi"/>
          <w:sz w:val="16"/>
          <w:szCs w:val="16"/>
          <w:lang w:val="es-AR"/>
        </w:rPr>
        <w:t xml:space="preserve">Anexo 1 a la comunicación de la parte peticionaria de fecha 11 de noviembre de 2019; </w:t>
      </w:r>
      <w:r w:rsidRPr="00DC05C6">
        <w:rPr>
          <w:rFonts w:asciiTheme="majorHAnsi" w:hAnsiTheme="majorHAnsi"/>
          <w:sz w:val="16"/>
          <w:szCs w:val="16"/>
          <w:lang w:val="es-AR"/>
        </w:rPr>
        <w:t>Anexo 3</w:t>
      </w:r>
      <w:r w:rsidRPr="00DC05C6">
        <w:rPr>
          <w:rFonts w:asciiTheme="majorHAnsi" w:hAnsiTheme="majorHAnsi"/>
          <w:sz w:val="16"/>
          <w:szCs w:val="16"/>
          <w:lang w:val="es-US"/>
        </w:rPr>
        <w:t>.</w:t>
      </w:r>
      <w:r w:rsidRPr="00D93236">
        <w:rPr>
          <w:rFonts w:asciiTheme="majorHAnsi" w:hAnsiTheme="majorHAnsi"/>
          <w:sz w:val="16"/>
          <w:szCs w:val="16"/>
          <w:lang w:val="es-US"/>
        </w:rPr>
        <w:t xml:space="preserve"> Sentencia de la Sala II de la Cámara Nacional de Casación Penal de fecha 19 de mayo de 2006, págs. 271 a 277. Anexo 7 a la comunicación de la parte peticionaria de fecha 11 de noviembre de 2019.</w:t>
      </w:r>
    </w:p>
  </w:footnote>
  <w:footnote w:id="153">
    <w:p w14:paraId="58860A45" w14:textId="77777777" w:rsidR="005B3F8C" w:rsidRPr="00D93236" w:rsidRDefault="005B3F8C" w:rsidP="00E27260">
      <w:pPr>
        <w:pStyle w:val="FootnoteText"/>
        <w:jc w:val="both"/>
        <w:rPr>
          <w:rFonts w:asciiTheme="majorHAnsi" w:hAnsiTheme="majorHAnsi"/>
          <w:sz w:val="16"/>
          <w:szCs w:val="16"/>
          <w:lang w:val="es-AR"/>
        </w:rPr>
      </w:pPr>
      <w:r w:rsidRPr="00D93236">
        <w:rPr>
          <w:rStyle w:val="FootnoteReference"/>
          <w:rFonts w:asciiTheme="majorHAnsi" w:hAnsiTheme="majorHAnsi"/>
          <w:sz w:val="16"/>
          <w:szCs w:val="16"/>
        </w:rPr>
        <w:footnoteRef/>
      </w:r>
      <w:r w:rsidRPr="00D93236">
        <w:rPr>
          <w:rFonts w:asciiTheme="majorHAnsi" w:hAnsiTheme="majorHAnsi"/>
          <w:sz w:val="16"/>
          <w:szCs w:val="16"/>
          <w:lang w:val="es-AR"/>
        </w:rPr>
        <w:t xml:space="preserve"> </w:t>
      </w:r>
      <w:r w:rsidRPr="00D93236">
        <w:rPr>
          <w:rStyle w:val="Strong"/>
          <w:rFonts w:asciiTheme="majorHAnsi" w:hAnsiTheme="majorHAnsi"/>
          <w:b w:val="0"/>
          <w:sz w:val="16"/>
          <w:szCs w:val="16"/>
          <w:shd w:val="clear" w:color="auto" w:fill="FFFFFF"/>
          <w:lang w:val="es-AR"/>
        </w:rPr>
        <w:t xml:space="preserve">Corte IDH. </w:t>
      </w:r>
      <w:r w:rsidRPr="00D93236">
        <w:rPr>
          <w:rStyle w:val="Strong"/>
          <w:rFonts w:asciiTheme="majorHAnsi" w:hAnsiTheme="majorHAnsi"/>
          <w:b w:val="0"/>
          <w:i/>
          <w:sz w:val="16"/>
          <w:szCs w:val="16"/>
          <w:shd w:val="clear" w:color="auto" w:fill="FFFFFF"/>
          <w:lang w:val="es-AR"/>
        </w:rPr>
        <w:t>Caso Velásquez Paiz y otros Vs. Guatemala</w:t>
      </w:r>
      <w:r w:rsidRPr="00D93236">
        <w:rPr>
          <w:rStyle w:val="Strong"/>
          <w:rFonts w:asciiTheme="majorHAnsi" w:hAnsiTheme="majorHAnsi"/>
          <w:b w:val="0"/>
          <w:sz w:val="16"/>
          <w:szCs w:val="16"/>
          <w:shd w:val="clear" w:color="auto" w:fill="FFFFFF"/>
          <w:lang w:val="es-AR"/>
        </w:rPr>
        <w:t>. Excepciones Preliminares, Fondo, Reparaciones y Costas. Sentencia de 19 de noviembre de 2015. Serie C No. 307. Párr. 152</w:t>
      </w:r>
      <w:r w:rsidRPr="00D93236">
        <w:rPr>
          <w:rFonts w:asciiTheme="majorHAnsi" w:hAnsiTheme="majorHAnsi"/>
          <w:sz w:val="16"/>
          <w:szCs w:val="16"/>
          <w:lang w:val="es-AR"/>
        </w:rPr>
        <w:t xml:space="preserve">; </w:t>
      </w:r>
      <w:r w:rsidRPr="00D93236">
        <w:rPr>
          <w:rStyle w:val="Strong"/>
          <w:rFonts w:asciiTheme="majorHAnsi" w:hAnsiTheme="majorHAnsi"/>
          <w:b w:val="0"/>
          <w:sz w:val="16"/>
          <w:szCs w:val="16"/>
          <w:shd w:val="clear" w:color="auto" w:fill="FFFFFF"/>
          <w:lang w:val="es-AR"/>
        </w:rPr>
        <w:t xml:space="preserve">Corte IDH. </w:t>
      </w:r>
      <w:r w:rsidRPr="00D93236">
        <w:rPr>
          <w:rStyle w:val="Strong"/>
          <w:rFonts w:asciiTheme="majorHAnsi" w:hAnsiTheme="majorHAnsi"/>
          <w:b w:val="0"/>
          <w:i/>
          <w:sz w:val="16"/>
          <w:szCs w:val="16"/>
          <w:shd w:val="clear" w:color="auto" w:fill="FFFFFF"/>
          <w:lang w:val="es-AR"/>
        </w:rPr>
        <w:t>Caso de los “Niños de la Calle” (Villagrán Morales y otros) Vs. Guatemala</w:t>
      </w:r>
      <w:r w:rsidRPr="00D93236">
        <w:rPr>
          <w:rStyle w:val="Strong"/>
          <w:rFonts w:asciiTheme="majorHAnsi" w:hAnsiTheme="majorHAnsi"/>
          <w:b w:val="0"/>
          <w:sz w:val="16"/>
          <w:szCs w:val="16"/>
          <w:shd w:val="clear" w:color="auto" w:fill="FFFFFF"/>
          <w:lang w:val="es-AR"/>
        </w:rPr>
        <w:t>. Fondo. Sentencia de 19 de noviembre de 1999. Serie C No. 63. Párr. 231 a 233.</w:t>
      </w:r>
    </w:p>
  </w:footnote>
  <w:footnote w:id="154">
    <w:p w14:paraId="2944D36E" w14:textId="77777777" w:rsidR="005B3F8C" w:rsidRPr="00D93236" w:rsidRDefault="005B3F8C" w:rsidP="00E27260">
      <w:pPr>
        <w:pStyle w:val="FootnoteText"/>
        <w:jc w:val="both"/>
        <w:rPr>
          <w:rFonts w:asciiTheme="majorHAnsi" w:hAnsiTheme="majorHAnsi"/>
          <w:sz w:val="16"/>
          <w:szCs w:val="16"/>
          <w:lang w:val="es-AR"/>
        </w:rPr>
      </w:pPr>
      <w:r w:rsidRPr="00D93236">
        <w:rPr>
          <w:rStyle w:val="FootnoteReference"/>
          <w:rFonts w:asciiTheme="majorHAnsi" w:hAnsiTheme="majorHAnsi"/>
          <w:sz w:val="16"/>
          <w:szCs w:val="16"/>
        </w:rPr>
        <w:footnoteRef/>
      </w:r>
      <w:r w:rsidRPr="00D93236">
        <w:rPr>
          <w:rFonts w:asciiTheme="majorHAnsi" w:hAnsiTheme="majorHAnsi"/>
          <w:sz w:val="16"/>
          <w:szCs w:val="16"/>
          <w:lang w:val="es-AR"/>
        </w:rPr>
        <w:t xml:space="preserve">Corte IDH. </w:t>
      </w:r>
      <w:r w:rsidRPr="00D93236">
        <w:rPr>
          <w:rFonts w:asciiTheme="majorHAnsi" w:hAnsiTheme="majorHAnsi"/>
          <w:i/>
          <w:sz w:val="16"/>
          <w:szCs w:val="16"/>
          <w:lang w:val="es-AR"/>
        </w:rPr>
        <w:t>Caso González y otras (“Campo Algodonero”) Vs. México</w:t>
      </w:r>
      <w:r w:rsidRPr="00D93236">
        <w:rPr>
          <w:rFonts w:asciiTheme="majorHAnsi" w:hAnsiTheme="majorHAnsi"/>
          <w:sz w:val="16"/>
          <w:szCs w:val="16"/>
          <w:lang w:val="es-AR"/>
        </w:rPr>
        <w:t>. Excepción Preliminar, Fondo, Reparaciones y Costas. Sentencia de 16 de noviembre de 2009. Serie C No. 205, párr. 305. Ver, asimismo: ONU. Oficina del Alto Comisionado de las Naciones Unidas para los Derechos Humanos. Protocolo de Minnesota sobre la Investigación de Muertes Potencialmente Ilícitas (2016) Párr. 65: “</w:t>
      </w:r>
      <w:r w:rsidRPr="00D93236">
        <w:rPr>
          <w:rFonts w:asciiTheme="majorHAnsi" w:hAnsiTheme="majorHAnsi"/>
          <w:i/>
          <w:sz w:val="16"/>
          <w:szCs w:val="16"/>
          <w:lang w:val="es-AR"/>
        </w:rPr>
        <w:t>Debe dejarse constancia de cada una de las etapas de recuperación, almacenamiento, transporte y análisis forense de las pruebas, desde el lugar del delito, pasando por el tribunal y hasta el final del proceso judicial, para asegurar la integridad de las pruebas. Esto se suele denominar la “cadena de pruebas” o “cadena de custodia”. La cadena de custodia es un concepto jurídico relativo a las pruebas, por el que se exige que todo potencial elemento probatorio se documente de forma concluyente para que pueda ser admitido como prueba en un procedimiento judicial. Eso incluye la identidad y la secuencia de todas las personas que hayan tenido en su poder ese objeto desde que las autoridades lo obtuvieron hasta que se presentó ante el tribunal. Cualquier interrupción de esa cadena de posesión o de custodia puede impedir la presentación del objeto como prueba contra un acusado en un proceso penal. El material probatorio debe transportarse de forma que esté protegido contra la manipulación, la degradación y la contaminación cruzada con otras pruebas</w:t>
      </w:r>
      <w:r w:rsidRPr="00D93236">
        <w:rPr>
          <w:rFonts w:asciiTheme="majorHAnsi" w:hAnsiTheme="majorHAnsi"/>
          <w:sz w:val="16"/>
          <w:szCs w:val="16"/>
          <w:lang w:val="es-AR"/>
        </w:rPr>
        <w:t xml:space="preserve">”. </w:t>
      </w:r>
    </w:p>
  </w:footnote>
  <w:footnote w:id="155">
    <w:p w14:paraId="506FFF0C" w14:textId="77777777" w:rsidR="005B3F8C" w:rsidRPr="00D93236" w:rsidRDefault="005B3F8C" w:rsidP="00E27260">
      <w:pPr>
        <w:pStyle w:val="FootnoteText"/>
        <w:jc w:val="both"/>
        <w:rPr>
          <w:rFonts w:asciiTheme="majorHAnsi" w:hAnsiTheme="majorHAnsi" w:cs="Arial"/>
          <w:sz w:val="16"/>
          <w:szCs w:val="16"/>
          <w:lang w:val="es-AR"/>
        </w:rPr>
      </w:pPr>
      <w:r w:rsidRPr="00D93236">
        <w:rPr>
          <w:rStyle w:val="FootnoteReference"/>
          <w:rFonts w:asciiTheme="majorHAnsi" w:hAnsiTheme="majorHAnsi" w:cs="Arial"/>
          <w:sz w:val="16"/>
          <w:szCs w:val="16"/>
        </w:rPr>
        <w:footnoteRef/>
      </w:r>
      <w:r w:rsidRPr="00D93236">
        <w:rPr>
          <w:rFonts w:asciiTheme="majorHAnsi" w:hAnsiTheme="majorHAnsi" w:cs="Arial"/>
          <w:sz w:val="16"/>
          <w:szCs w:val="16"/>
          <w:lang w:val="es-AR"/>
        </w:rPr>
        <w:t xml:space="preserve"> Ver, entre otros: </w:t>
      </w:r>
      <w:r w:rsidRPr="00D93236">
        <w:rPr>
          <w:rStyle w:val="Strong"/>
          <w:rFonts w:asciiTheme="majorHAnsi" w:hAnsiTheme="majorHAnsi" w:cs="Arial"/>
          <w:b w:val="0"/>
          <w:sz w:val="16"/>
          <w:szCs w:val="16"/>
          <w:shd w:val="clear" w:color="auto" w:fill="FFFFFF"/>
          <w:lang w:val="es-AR"/>
        </w:rPr>
        <w:t xml:space="preserve">Corte IDH. </w:t>
      </w:r>
      <w:r w:rsidRPr="00D93236">
        <w:rPr>
          <w:rStyle w:val="Strong"/>
          <w:rFonts w:asciiTheme="majorHAnsi" w:hAnsiTheme="majorHAnsi" w:cs="Arial"/>
          <w:b w:val="0"/>
          <w:i/>
          <w:sz w:val="16"/>
          <w:szCs w:val="16"/>
          <w:shd w:val="clear" w:color="auto" w:fill="FFFFFF"/>
          <w:lang w:val="es-AR"/>
        </w:rPr>
        <w:t>Caso Ximenes Lopes Vs. Brasil</w:t>
      </w:r>
      <w:r w:rsidRPr="00D93236">
        <w:rPr>
          <w:rStyle w:val="Strong"/>
          <w:rFonts w:asciiTheme="majorHAnsi" w:hAnsiTheme="majorHAnsi" w:cs="Arial"/>
          <w:b w:val="0"/>
          <w:sz w:val="16"/>
          <w:szCs w:val="16"/>
          <w:shd w:val="clear" w:color="auto" w:fill="FFFFFF"/>
          <w:lang w:val="es-AR"/>
        </w:rPr>
        <w:t xml:space="preserve">. Sentencia de 4 de julio de 2006. Serie C No. 149. Párr. 189; </w:t>
      </w:r>
      <w:r w:rsidRPr="00D93236">
        <w:rPr>
          <w:rStyle w:val="Strong"/>
          <w:rFonts w:asciiTheme="majorHAnsi" w:hAnsiTheme="majorHAnsi"/>
          <w:b w:val="0"/>
          <w:sz w:val="16"/>
          <w:szCs w:val="16"/>
          <w:shd w:val="clear" w:color="auto" w:fill="FFFFFF"/>
          <w:lang w:val="es-AR"/>
        </w:rPr>
        <w:t xml:space="preserve">Corte IDH. </w:t>
      </w:r>
      <w:r w:rsidRPr="00D93236">
        <w:rPr>
          <w:rStyle w:val="Strong"/>
          <w:rFonts w:asciiTheme="majorHAnsi" w:hAnsiTheme="majorHAnsi"/>
          <w:b w:val="0"/>
          <w:i/>
          <w:sz w:val="16"/>
          <w:szCs w:val="16"/>
          <w:shd w:val="clear" w:color="auto" w:fill="FFFFFF"/>
          <w:lang w:val="es-AR"/>
        </w:rPr>
        <w:t>Caso García Prieto y otro Vs. El Salvador</w:t>
      </w:r>
      <w:r w:rsidRPr="00D93236">
        <w:rPr>
          <w:rStyle w:val="Strong"/>
          <w:rFonts w:asciiTheme="majorHAnsi" w:hAnsiTheme="majorHAnsi"/>
          <w:b w:val="0"/>
          <w:sz w:val="16"/>
          <w:szCs w:val="16"/>
          <w:shd w:val="clear" w:color="auto" w:fill="FFFFFF"/>
          <w:lang w:val="es-AR"/>
        </w:rPr>
        <w:t>. Excepciones Preliminares, Fondo, Reparaciones y Costas. Sentencia de 20 de noviembre de 2007. Serie C No. 168. Parrs 112 y 113</w:t>
      </w:r>
      <w:r w:rsidRPr="00D93236">
        <w:rPr>
          <w:rStyle w:val="Strong"/>
          <w:rFonts w:asciiTheme="majorHAnsi" w:hAnsiTheme="majorHAnsi"/>
          <w:sz w:val="16"/>
          <w:szCs w:val="16"/>
          <w:shd w:val="clear" w:color="auto" w:fill="FFFFFF"/>
          <w:lang w:val="es-AR"/>
        </w:rPr>
        <w:t xml:space="preserve">; </w:t>
      </w:r>
      <w:r w:rsidRPr="00D93236">
        <w:rPr>
          <w:rStyle w:val="Strong"/>
          <w:rFonts w:asciiTheme="majorHAnsi" w:hAnsiTheme="majorHAnsi"/>
          <w:b w:val="0"/>
          <w:sz w:val="16"/>
          <w:szCs w:val="16"/>
          <w:shd w:val="clear" w:color="auto" w:fill="FFFFFF"/>
          <w:lang w:val="es-AR"/>
        </w:rPr>
        <w:t xml:space="preserve">Corte IDH. </w:t>
      </w:r>
      <w:r w:rsidRPr="00D93236">
        <w:rPr>
          <w:rStyle w:val="Strong"/>
          <w:rFonts w:asciiTheme="majorHAnsi" w:hAnsiTheme="majorHAnsi"/>
          <w:b w:val="0"/>
          <w:i/>
          <w:sz w:val="16"/>
          <w:szCs w:val="16"/>
          <w:shd w:val="clear" w:color="auto" w:fill="FFFFFF"/>
          <w:lang w:val="es-AR"/>
        </w:rPr>
        <w:t>Caso Myrna Mack Chang Vs. Guatemala</w:t>
      </w:r>
      <w:r w:rsidRPr="00D93236">
        <w:rPr>
          <w:rStyle w:val="Strong"/>
          <w:rFonts w:asciiTheme="majorHAnsi" w:hAnsiTheme="majorHAnsi"/>
          <w:b w:val="0"/>
          <w:sz w:val="16"/>
          <w:szCs w:val="16"/>
          <w:shd w:val="clear" w:color="auto" w:fill="FFFFFF"/>
          <w:lang w:val="es-AR"/>
        </w:rPr>
        <w:t xml:space="preserve">. Fondo, Reparaciones y Costas. Sentencia de 25 de noviembre de 2003. Serie C No. 101. Párrs. 173 y 174. </w:t>
      </w:r>
    </w:p>
  </w:footnote>
  <w:footnote w:id="156">
    <w:p w14:paraId="73985243" w14:textId="77777777" w:rsidR="005B3F8C" w:rsidRPr="00D93236" w:rsidRDefault="005B3F8C" w:rsidP="00E27260">
      <w:pPr>
        <w:pStyle w:val="FootnoteText"/>
        <w:jc w:val="both"/>
        <w:rPr>
          <w:rFonts w:asciiTheme="majorHAnsi" w:hAnsiTheme="majorHAnsi"/>
          <w:sz w:val="16"/>
          <w:szCs w:val="16"/>
          <w:lang w:val="es-AR"/>
        </w:rPr>
      </w:pPr>
      <w:r w:rsidRPr="00D93236">
        <w:rPr>
          <w:rStyle w:val="FootnoteReference"/>
          <w:rFonts w:asciiTheme="majorHAnsi" w:hAnsiTheme="majorHAnsi"/>
          <w:sz w:val="16"/>
          <w:szCs w:val="16"/>
        </w:rPr>
        <w:footnoteRef/>
      </w:r>
      <w:r w:rsidRPr="00D93236">
        <w:rPr>
          <w:rFonts w:asciiTheme="majorHAnsi" w:hAnsiTheme="majorHAnsi"/>
          <w:sz w:val="16"/>
          <w:szCs w:val="16"/>
          <w:lang w:val="es-AR"/>
        </w:rPr>
        <w:t xml:space="preserve"> </w:t>
      </w:r>
      <w:r w:rsidRPr="00DC05C6">
        <w:rPr>
          <w:rFonts w:asciiTheme="majorHAnsi" w:hAnsiTheme="majorHAnsi"/>
          <w:sz w:val="16"/>
          <w:szCs w:val="16"/>
          <w:lang w:val="es-AR"/>
        </w:rPr>
        <w:t>Anexo 2.</w:t>
      </w:r>
      <w:r w:rsidRPr="00D93236">
        <w:rPr>
          <w:rFonts w:asciiTheme="majorHAnsi" w:hAnsiTheme="majorHAnsi"/>
          <w:b/>
          <w:sz w:val="16"/>
          <w:szCs w:val="16"/>
          <w:lang w:val="es-AR"/>
        </w:rPr>
        <w:t xml:space="preserve"> </w:t>
      </w:r>
      <w:r w:rsidRPr="00D93236">
        <w:rPr>
          <w:rFonts w:asciiTheme="majorHAnsi" w:hAnsiTheme="majorHAnsi"/>
          <w:sz w:val="16"/>
          <w:szCs w:val="16"/>
          <w:lang w:val="es-AR"/>
        </w:rPr>
        <w:t>Sentencia del TOF 3. Capítulo X</w:t>
      </w:r>
      <w:r>
        <w:rPr>
          <w:rFonts w:asciiTheme="majorHAnsi" w:hAnsiTheme="majorHAnsi"/>
          <w:sz w:val="16"/>
          <w:szCs w:val="16"/>
          <w:lang w:val="es-AR"/>
        </w:rPr>
        <w:t>.B,</w:t>
      </w:r>
      <w:r w:rsidRPr="00D93236">
        <w:rPr>
          <w:rFonts w:asciiTheme="majorHAnsi" w:hAnsiTheme="majorHAnsi"/>
          <w:sz w:val="16"/>
          <w:szCs w:val="16"/>
          <w:lang w:val="es-AR"/>
        </w:rPr>
        <w:t xml:space="preserve"> pág 3846. Anexo 1 a la comunicación de la parte peticionaria de fecha 11 de noviembre de 2019</w:t>
      </w:r>
    </w:p>
  </w:footnote>
  <w:footnote w:id="157">
    <w:p w14:paraId="3598CB8D" w14:textId="77777777" w:rsidR="005B3F8C" w:rsidRPr="00D93236" w:rsidRDefault="005B3F8C" w:rsidP="00E27260">
      <w:pPr>
        <w:pStyle w:val="FootnoteText"/>
        <w:jc w:val="both"/>
        <w:rPr>
          <w:rFonts w:asciiTheme="majorHAnsi" w:hAnsiTheme="majorHAnsi"/>
          <w:sz w:val="16"/>
          <w:szCs w:val="16"/>
          <w:lang w:val="es-AR"/>
        </w:rPr>
      </w:pPr>
      <w:r w:rsidRPr="00D93236">
        <w:rPr>
          <w:rStyle w:val="FootnoteReference"/>
          <w:rFonts w:asciiTheme="majorHAnsi" w:hAnsiTheme="majorHAnsi"/>
          <w:sz w:val="16"/>
          <w:szCs w:val="16"/>
        </w:rPr>
        <w:footnoteRef/>
      </w:r>
      <w:r w:rsidRPr="00D93236">
        <w:rPr>
          <w:rFonts w:asciiTheme="majorHAnsi" w:hAnsiTheme="majorHAnsi"/>
          <w:sz w:val="16"/>
          <w:szCs w:val="16"/>
          <w:lang w:val="es-AR"/>
        </w:rPr>
        <w:t xml:space="preserve"> </w:t>
      </w:r>
      <w:r w:rsidRPr="00DD1075">
        <w:rPr>
          <w:rFonts w:asciiTheme="majorHAnsi" w:hAnsiTheme="majorHAnsi"/>
          <w:sz w:val="16"/>
          <w:szCs w:val="16"/>
          <w:lang w:val="es-AR"/>
        </w:rPr>
        <w:t>Anexo 12</w:t>
      </w:r>
      <w:r w:rsidRPr="00D93236">
        <w:rPr>
          <w:rFonts w:asciiTheme="majorHAnsi" w:hAnsiTheme="majorHAnsi"/>
          <w:b/>
          <w:sz w:val="16"/>
          <w:szCs w:val="16"/>
          <w:lang w:val="es-AR"/>
        </w:rPr>
        <w:t xml:space="preserve">. </w:t>
      </w:r>
      <w:r w:rsidRPr="00D93236">
        <w:rPr>
          <w:rFonts w:asciiTheme="majorHAnsi" w:hAnsiTheme="majorHAnsi"/>
          <w:sz w:val="16"/>
          <w:szCs w:val="16"/>
          <w:lang w:val="es-AR"/>
        </w:rPr>
        <w:t>Sentencia del Tribunal Oral en lo Criminal Federal Nro. 2 de fecha 3 de mayo de 2019, pág. 345. Anexo 2 a la comunicación de la parte peticionaria de fecha 11 de noviembre de 2019.</w:t>
      </w:r>
    </w:p>
  </w:footnote>
  <w:footnote w:id="158">
    <w:p w14:paraId="41C5B9C3" w14:textId="77777777" w:rsidR="005B3F8C" w:rsidRPr="00D93236" w:rsidRDefault="005B3F8C" w:rsidP="00E27260">
      <w:pPr>
        <w:pStyle w:val="FootnoteText"/>
        <w:jc w:val="both"/>
        <w:rPr>
          <w:rFonts w:asciiTheme="majorHAnsi" w:hAnsiTheme="majorHAnsi"/>
          <w:sz w:val="16"/>
          <w:szCs w:val="16"/>
          <w:lang w:val="es-AR"/>
        </w:rPr>
      </w:pPr>
      <w:r w:rsidRPr="00D93236">
        <w:rPr>
          <w:rStyle w:val="FootnoteReference"/>
          <w:rFonts w:asciiTheme="majorHAnsi" w:hAnsiTheme="majorHAnsi"/>
          <w:sz w:val="16"/>
          <w:szCs w:val="16"/>
        </w:rPr>
        <w:footnoteRef/>
      </w:r>
      <w:r w:rsidRPr="00DD1075">
        <w:rPr>
          <w:rFonts w:asciiTheme="majorHAnsi" w:hAnsiTheme="majorHAnsi"/>
          <w:sz w:val="16"/>
          <w:szCs w:val="16"/>
          <w:lang w:val="es-AR"/>
        </w:rPr>
        <w:t>Anexo 12.</w:t>
      </w:r>
      <w:r w:rsidRPr="00D93236">
        <w:rPr>
          <w:rFonts w:asciiTheme="majorHAnsi" w:hAnsiTheme="majorHAnsi"/>
          <w:b/>
          <w:sz w:val="16"/>
          <w:szCs w:val="16"/>
          <w:lang w:val="es-AR"/>
        </w:rPr>
        <w:t xml:space="preserve"> </w:t>
      </w:r>
      <w:r w:rsidRPr="00D93236">
        <w:rPr>
          <w:rFonts w:asciiTheme="majorHAnsi" w:hAnsiTheme="majorHAnsi"/>
          <w:sz w:val="16"/>
          <w:szCs w:val="16"/>
          <w:lang w:val="es-AR"/>
        </w:rPr>
        <w:t>Sentencia del Tribunal Oral en lo Criminal Federal Nro. 2 de fecha 3 de mayo de 2019, pág. 354. Anexo 2 a la comunicación de la parte peticionaria de fecha 11 de noviembre de 2019.</w:t>
      </w:r>
    </w:p>
  </w:footnote>
  <w:footnote w:id="159">
    <w:p w14:paraId="59744A00" w14:textId="77777777" w:rsidR="005B3F8C" w:rsidRPr="00D93236" w:rsidRDefault="005B3F8C" w:rsidP="00E27260">
      <w:pPr>
        <w:pStyle w:val="FootnoteText"/>
        <w:jc w:val="both"/>
        <w:rPr>
          <w:rFonts w:asciiTheme="majorHAnsi" w:hAnsiTheme="majorHAnsi"/>
          <w:sz w:val="16"/>
          <w:szCs w:val="16"/>
          <w:lang w:val="es-US"/>
        </w:rPr>
      </w:pPr>
      <w:r w:rsidRPr="00D93236">
        <w:rPr>
          <w:rStyle w:val="FootnoteReference"/>
          <w:rFonts w:asciiTheme="majorHAnsi" w:hAnsiTheme="majorHAnsi"/>
          <w:sz w:val="16"/>
          <w:szCs w:val="16"/>
        </w:rPr>
        <w:footnoteRef/>
      </w:r>
      <w:r w:rsidRPr="00DD1075">
        <w:rPr>
          <w:rFonts w:asciiTheme="majorHAnsi" w:hAnsiTheme="majorHAnsi"/>
          <w:sz w:val="16"/>
          <w:szCs w:val="16"/>
          <w:lang w:val="es-AR"/>
        </w:rPr>
        <w:t>Anexo 12.</w:t>
      </w:r>
      <w:r>
        <w:rPr>
          <w:rFonts w:asciiTheme="majorHAnsi" w:hAnsiTheme="majorHAnsi"/>
          <w:b/>
          <w:sz w:val="16"/>
          <w:szCs w:val="16"/>
          <w:lang w:val="es-AR"/>
        </w:rPr>
        <w:t xml:space="preserve"> </w:t>
      </w:r>
      <w:r w:rsidRPr="00D93236">
        <w:rPr>
          <w:rFonts w:asciiTheme="majorHAnsi" w:hAnsiTheme="majorHAnsi"/>
          <w:sz w:val="16"/>
          <w:szCs w:val="16"/>
          <w:lang w:val="es-AR"/>
        </w:rPr>
        <w:t>Sentencia del Tribunal Oral en lo Criminal Federal Nro. 2 de fecha 3 de mayo de 2019, pág. 335. Anexo 2 a la comunicación de la parte peticionaria de fecha 11 de noviembre de 2019.</w:t>
      </w:r>
    </w:p>
  </w:footnote>
  <w:footnote w:id="160">
    <w:p w14:paraId="5D47CBDF" w14:textId="77777777" w:rsidR="005B3F8C" w:rsidRPr="00D93236" w:rsidRDefault="005B3F8C" w:rsidP="00E27260">
      <w:pPr>
        <w:pStyle w:val="FootnoteText"/>
        <w:jc w:val="both"/>
        <w:rPr>
          <w:rFonts w:asciiTheme="majorHAnsi" w:hAnsiTheme="majorHAnsi"/>
          <w:sz w:val="16"/>
          <w:szCs w:val="16"/>
          <w:lang w:val="es-AR"/>
        </w:rPr>
      </w:pPr>
      <w:r w:rsidRPr="00D93236">
        <w:rPr>
          <w:rStyle w:val="FootnoteReference"/>
          <w:rFonts w:asciiTheme="majorHAnsi" w:hAnsiTheme="majorHAnsi"/>
          <w:sz w:val="16"/>
          <w:szCs w:val="16"/>
        </w:rPr>
        <w:footnoteRef/>
      </w:r>
      <w:r>
        <w:rPr>
          <w:rFonts w:asciiTheme="majorHAnsi" w:hAnsiTheme="majorHAnsi"/>
          <w:b/>
          <w:sz w:val="16"/>
          <w:szCs w:val="16"/>
          <w:lang w:val="es-AR"/>
        </w:rPr>
        <w:t xml:space="preserve"> </w:t>
      </w:r>
      <w:r w:rsidRPr="00DD1075">
        <w:rPr>
          <w:rFonts w:asciiTheme="majorHAnsi" w:hAnsiTheme="majorHAnsi"/>
          <w:sz w:val="16"/>
          <w:szCs w:val="16"/>
          <w:lang w:val="es-AR"/>
        </w:rPr>
        <w:t>Anexo 12</w:t>
      </w:r>
      <w:r>
        <w:rPr>
          <w:rFonts w:asciiTheme="majorHAnsi" w:hAnsiTheme="majorHAnsi"/>
          <w:b/>
          <w:sz w:val="16"/>
          <w:szCs w:val="16"/>
          <w:lang w:val="es-AR"/>
        </w:rPr>
        <w:t xml:space="preserve">. </w:t>
      </w:r>
      <w:r w:rsidRPr="00D93236">
        <w:rPr>
          <w:rFonts w:asciiTheme="majorHAnsi" w:hAnsiTheme="majorHAnsi"/>
          <w:sz w:val="16"/>
          <w:szCs w:val="16"/>
          <w:lang w:val="es-AR"/>
        </w:rPr>
        <w:t>Sentencia del Tribunal Oral en lo Criminal Federal Nro. 2 de fecha 3 de mayo de 2019, pág. 373. Anexo 2 a la comunicación de la parte peticionaria de fecha 11 de noviembre de 2019.</w:t>
      </w:r>
    </w:p>
  </w:footnote>
  <w:footnote w:id="161">
    <w:p w14:paraId="26651D1A" w14:textId="77777777" w:rsidR="005B3F8C" w:rsidRPr="00D93236" w:rsidRDefault="005B3F8C" w:rsidP="00E27260">
      <w:pPr>
        <w:pStyle w:val="FootnoteText"/>
        <w:jc w:val="both"/>
        <w:rPr>
          <w:rFonts w:asciiTheme="majorHAnsi" w:hAnsiTheme="majorHAnsi"/>
          <w:sz w:val="16"/>
          <w:szCs w:val="16"/>
          <w:lang w:val="es-AR"/>
        </w:rPr>
      </w:pPr>
      <w:r w:rsidRPr="00D93236">
        <w:rPr>
          <w:rStyle w:val="FootnoteReference"/>
          <w:rFonts w:asciiTheme="majorHAnsi" w:hAnsiTheme="majorHAnsi"/>
          <w:sz w:val="16"/>
          <w:szCs w:val="16"/>
        </w:rPr>
        <w:footnoteRef/>
      </w:r>
      <w:r w:rsidRPr="00D93236">
        <w:rPr>
          <w:rFonts w:asciiTheme="majorHAnsi" w:hAnsiTheme="majorHAnsi"/>
          <w:sz w:val="16"/>
          <w:szCs w:val="16"/>
          <w:lang w:val="es-AR"/>
        </w:rPr>
        <w:t xml:space="preserve"> </w:t>
      </w:r>
      <w:r w:rsidRPr="00DD1075">
        <w:rPr>
          <w:rFonts w:asciiTheme="majorHAnsi" w:hAnsiTheme="majorHAnsi"/>
          <w:sz w:val="16"/>
          <w:szCs w:val="16"/>
          <w:lang w:val="es-AR"/>
        </w:rPr>
        <w:t>Anexo 12.</w:t>
      </w:r>
      <w:r>
        <w:rPr>
          <w:rFonts w:asciiTheme="majorHAnsi" w:hAnsiTheme="majorHAnsi"/>
          <w:b/>
          <w:sz w:val="16"/>
          <w:szCs w:val="16"/>
          <w:lang w:val="es-AR"/>
        </w:rPr>
        <w:t xml:space="preserve"> </w:t>
      </w:r>
      <w:r w:rsidRPr="00D93236">
        <w:rPr>
          <w:rFonts w:asciiTheme="majorHAnsi" w:hAnsiTheme="majorHAnsi"/>
          <w:sz w:val="16"/>
          <w:szCs w:val="16"/>
          <w:lang w:val="es-AR"/>
        </w:rPr>
        <w:t>Sentencia del Tribunal Oral en lo Criminal Federal Nro. 2 de fecha 3 de mayo de 2019, pág. 374. Anexo 2 a la comunicación de la parte peticionaria de fecha 11 de noviembre de 2019.</w:t>
      </w:r>
    </w:p>
  </w:footnote>
  <w:footnote w:id="162">
    <w:p w14:paraId="101A484A" w14:textId="77777777" w:rsidR="005B3F8C" w:rsidRPr="00D93236" w:rsidRDefault="005B3F8C" w:rsidP="00E27260">
      <w:pPr>
        <w:pStyle w:val="FootnoteText"/>
        <w:jc w:val="both"/>
        <w:rPr>
          <w:rFonts w:asciiTheme="majorHAnsi" w:hAnsiTheme="majorHAnsi"/>
          <w:sz w:val="16"/>
          <w:szCs w:val="16"/>
          <w:lang w:val="es-AR"/>
        </w:rPr>
      </w:pPr>
      <w:r w:rsidRPr="00D93236">
        <w:rPr>
          <w:rStyle w:val="FootnoteReference"/>
          <w:rFonts w:asciiTheme="majorHAnsi" w:hAnsiTheme="majorHAnsi"/>
          <w:sz w:val="16"/>
          <w:szCs w:val="16"/>
        </w:rPr>
        <w:footnoteRef/>
      </w:r>
      <w:r w:rsidRPr="00D93236">
        <w:rPr>
          <w:rFonts w:asciiTheme="majorHAnsi" w:hAnsiTheme="majorHAnsi"/>
          <w:sz w:val="16"/>
          <w:szCs w:val="16"/>
          <w:lang w:val="es-AR"/>
        </w:rPr>
        <w:t xml:space="preserve"> </w:t>
      </w:r>
      <w:r w:rsidRPr="00DD1075">
        <w:rPr>
          <w:rFonts w:asciiTheme="majorHAnsi" w:hAnsiTheme="majorHAnsi"/>
          <w:sz w:val="16"/>
          <w:szCs w:val="16"/>
          <w:lang w:val="es-AR"/>
        </w:rPr>
        <w:t>Anexo 12.</w:t>
      </w:r>
      <w:r>
        <w:rPr>
          <w:rFonts w:asciiTheme="majorHAnsi" w:hAnsiTheme="majorHAnsi"/>
          <w:b/>
          <w:sz w:val="16"/>
          <w:szCs w:val="16"/>
          <w:lang w:val="es-AR"/>
        </w:rPr>
        <w:t xml:space="preserve"> </w:t>
      </w:r>
      <w:r w:rsidRPr="00D93236">
        <w:rPr>
          <w:rFonts w:asciiTheme="majorHAnsi" w:hAnsiTheme="majorHAnsi"/>
          <w:sz w:val="16"/>
          <w:szCs w:val="16"/>
          <w:lang w:val="es-AR"/>
        </w:rPr>
        <w:t>Sentencia del Tribunal Oral en lo Criminal Federal Nro. 2 de fecha 3 de mayo de 2019, pág. 376. Anexo 2 a la comunicación de la parte peticionaria de fecha 11 de noviembre de 2019.</w:t>
      </w:r>
    </w:p>
  </w:footnote>
  <w:footnote w:id="163">
    <w:p w14:paraId="5B53EA31" w14:textId="77777777" w:rsidR="005B3F8C" w:rsidRPr="00D93236" w:rsidRDefault="005B3F8C" w:rsidP="00E27260">
      <w:pPr>
        <w:pStyle w:val="FootnoteText"/>
        <w:jc w:val="both"/>
        <w:rPr>
          <w:rFonts w:asciiTheme="majorHAnsi" w:hAnsiTheme="majorHAnsi"/>
          <w:sz w:val="16"/>
          <w:szCs w:val="16"/>
          <w:lang w:val="es-AR"/>
        </w:rPr>
      </w:pPr>
      <w:r w:rsidRPr="00D93236">
        <w:rPr>
          <w:rStyle w:val="FootnoteReference"/>
          <w:rFonts w:asciiTheme="majorHAnsi" w:hAnsiTheme="majorHAnsi"/>
          <w:sz w:val="16"/>
          <w:szCs w:val="16"/>
        </w:rPr>
        <w:footnoteRef/>
      </w:r>
      <w:r w:rsidRPr="00D93236">
        <w:rPr>
          <w:rFonts w:asciiTheme="majorHAnsi" w:hAnsiTheme="majorHAnsi"/>
          <w:sz w:val="16"/>
          <w:szCs w:val="16"/>
          <w:lang w:val="es-AR"/>
        </w:rPr>
        <w:t xml:space="preserve"> </w:t>
      </w:r>
      <w:r w:rsidRPr="00DC05C6">
        <w:rPr>
          <w:rFonts w:asciiTheme="majorHAnsi" w:hAnsiTheme="majorHAnsi"/>
          <w:sz w:val="16"/>
          <w:szCs w:val="16"/>
          <w:lang w:val="es-AR"/>
        </w:rPr>
        <w:t xml:space="preserve">Anexo </w:t>
      </w:r>
      <w:r>
        <w:rPr>
          <w:rFonts w:asciiTheme="majorHAnsi" w:hAnsiTheme="majorHAnsi"/>
          <w:sz w:val="16"/>
          <w:szCs w:val="16"/>
          <w:lang w:val="es-AR"/>
        </w:rPr>
        <w:t>1</w:t>
      </w:r>
      <w:r w:rsidRPr="00DC05C6">
        <w:rPr>
          <w:rFonts w:asciiTheme="majorHAnsi" w:hAnsiTheme="majorHAnsi"/>
          <w:sz w:val="16"/>
          <w:szCs w:val="16"/>
          <w:lang w:val="es-AR"/>
        </w:rPr>
        <w:t>2.</w:t>
      </w:r>
      <w:r w:rsidRPr="00D93236">
        <w:rPr>
          <w:rFonts w:asciiTheme="majorHAnsi" w:hAnsiTheme="majorHAnsi"/>
          <w:sz w:val="16"/>
          <w:szCs w:val="16"/>
          <w:lang w:val="es-AR"/>
        </w:rPr>
        <w:t xml:space="preserve"> Sentencia del Tribunal Oral en lo Criminal Federal Nro. 2 de fecha 3 de mayo de 2019. Págs 336 Y 337. Anexo 2 a la comunicación de la parte peticionaria de fecha 11 de noviembre de 2019</w:t>
      </w:r>
    </w:p>
  </w:footnote>
  <w:footnote w:id="164">
    <w:p w14:paraId="3D4C3331" w14:textId="77777777" w:rsidR="005B3F8C" w:rsidRPr="00D93236" w:rsidRDefault="005B3F8C" w:rsidP="00E27260">
      <w:pPr>
        <w:pStyle w:val="FootnoteText"/>
        <w:jc w:val="both"/>
        <w:rPr>
          <w:rFonts w:asciiTheme="majorHAnsi" w:hAnsiTheme="majorHAnsi"/>
          <w:sz w:val="16"/>
          <w:szCs w:val="16"/>
          <w:lang w:val="es-AR"/>
        </w:rPr>
      </w:pPr>
      <w:r w:rsidRPr="00D93236">
        <w:rPr>
          <w:rStyle w:val="FootnoteReference"/>
          <w:rFonts w:asciiTheme="majorHAnsi" w:hAnsiTheme="majorHAnsi"/>
          <w:sz w:val="16"/>
          <w:szCs w:val="16"/>
        </w:rPr>
        <w:footnoteRef/>
      </w:r>
      <w:r w:rsidRPr="00D93236">
        <w:rPr>
          <w:rFonts w:asciiTheme="majorHAnsi" w:hAnsiTheme="majorHAnsi"/>
          <w:sz w:val="16"/>
          <w:szCs w:val="16"/>
          <w:lang w:val="es-AR"/>
        </w:rPr>
        <w:t xml:space="preserve"> Decreto 1801/92 de fecha 29 de septiembre de 1992. Accesible en: </w:t>
      </w:r>
      <w:r w:rsidRPr="00D93236">
        <w:rPr>
          <w:rFonts w:asciiTheme="majorHAnsi" w:eastAsia="Arial Unicode MS" w:hAnsiTheme="majorHAnsi" w:cs="Times New Roman"/>
          <w:color w:val="0000FF"/>
          <w:sz w:val="16"/>
          <w:szCs w:val="16"/>
          <w:u w:val="single"/>
          <w:lang w:val="es-AR" w:eastAsia="en-US"/>
        </w:rPr>
        <w:t>http://mepriv.mecon.gov.ar/Normas/1801-92.htm</w:t>
      </w:r>
      <w:r w:rsidRPr="00D93236">
        <w:rPr>
          <w:rFonts w:asciiTheme="majorHAnsi" w:eastAsia="Arial Unicode MS" w:hAnsiTheme="majorHAnsi" w:cs="Times New Roman"/>
          <w:color w:val="auto"/>
          <w:sz w:val="16"/>
          <w:szCs w:val="16"/>
          <w:lang w:val="es-AR" w:eastAsia="en-US"/>
        </w:rPr>
        <w:t xml:space="preserve"> </w:t>
      </w:r>
    </w:p>
  </w:footnote>
  <w:footnote w:id="165">
    <w:p w14:paraId="2F54AD07" w14:textId="77777777" w:rsidR="005B3F8C" w:rsidRPr="00D93236" w:rsidRDefault="005B3F8C" w:rsidP="00E27260">
      <w:pPr>
        <w:pStyle w:val="FootnoteText"/>
        <w:jc w:val="both"/>
        <w:rPr>
          <w:rFonts w:asciiTheme="majorHAnsi" w:hAnsiTheme="majorHAnsi"/>
          <w:sz w:val="16"/>
          <w:szCs w:val="16"/>
          <w:lang w:val="es-AR"/>
        </w:rPr>
      </w:pPr>
      <w:r w:rsidRPr="00D93236">
        <w:rPr>
          <w:rStyle w:val="FootnoteReference"/>
          <w:rFonts w:asciiTheme="majorHAnsi" w:hAnsiTheme="majorHAnsi"/>
          <w:sz w:val="16"/>
          <w:szCs w:val="16"/>
        </w:rPr>
        <w:footnoteRef/>
      </w:r>
      <w:r w:rsidRPr="00D93236">
        <w:rPr>
          <w:rFonts w:asciiTheme="majorHAnsi" w:hAnsiTheme="majorHAnsi"/>
          <w:sz w:val="16"/>
          <w:szCs w:val="16"/>
          <w:lang w:val="es-AR"/>
        </w:rPr>
        <w:t xml:space="preserve"> Ver, por ejemplo, oficio de la Secretaria de Inteligencia del Estado dirigido al juez Galeano de fecha 8 de agosto de 1994, transcripto en: </w:t>
      </w:r>
      <w:r w:rsidRPr="001C71C9">
        <w:rPr>
          <w:rFonts w:asciiTheme="majorHAnsi" w:hAnsiTheme="majorHAnsi"/>
          <w:sz w:val="16"/>
          <w:szCs w:val="16"/>
          <w:lang w:val="es-AR"/>
        </w:rPr>
        <w:t xml:space="preserve">Anexo </w:t>
      </w:r>
      <w:r>
        <w:rPr>
          <w:rFonts w:asciiTheme="majorHAnsi" w:hAnsiTheme="majorHAnsi"/>
          <w:sz w:val="16"/>
          <w:szCs w:val="16"/>
          <w:lang w:val="es-AR"/>
        </w:rPr>
        <w:t>1</w:t>
      </w:r>
      <w:r w:rsidRPr="001C71C9">
        <w:rPr>
          <w:rFonts w:asciiTheme="majorHAnsi" w:hAnsiTheme="majorHAnsi"/>
          <w:sz w:val="16"/>
          <w:szCs w:val="16"/>
          <w:lang w:val="es-AR"/>
        </w:rPr>
        <w:t>2.</w:t>
      </w:r>
      <w:r w:rsidRPr="00D93236">
        <w:rPr>
          <w:rFonts w:asciiTheme="majorHAnsi" w:hAnsiTheme="majorHAnsi"/>
          <w:sz w:val="16"/>
          <w:szCs w:val="16"/>
          <w:lang w:val="es-AR"/>
        </w:rPr>
        <w:t xml:space="preserve"> Sentencia del Tribunal Oral en lo Criminal Federal Nro. 2 de fecha 3 de mayo de 2019, pág. 381. Anexo 2 a la comunicación de la parte peticionaria de fecha 11 de noviembre de 2019.</w:t>
      </w:r>
    </w:p>
  </w:footnote>
  <w:footnote w:id="166">
    <w:p w14:paraId="5E7EB14B" w14:textId="77777777" w:rsidR="005B3F8C" w:rsidRPr="00D93236" w:rsidRDefault="005B3F8C" w:rsidP="00E27260">
      <w:pPr>
        <w:pStyle w:val="FootnoteText"/>
        <w:jc w:val="both"/>
        <w:rPr>
          <w:rFonts w:asciiTheme="majorHAnsi" w:hAnsiTheme="majorHAnsi"/>
          <w:sz w:val="16"/>
          <w:szCs w:val="16"/>
          <w:lang w:val="es-AR"/>
        </w:rPr>
      </w:pPr>
      <w:r w:rsidRPr="00D93236">
        <w:rPr>
          <w:rStyle w:val="FootnoteReference"/>
          <w:rFonts w:asciiTheme="majorHAnsi" w:hAnsiTheme="majorHAnsi"/>
          <w:sz w:val="16"/>
          <w:szCs w:val="16"/>
        </w:rPr>
        <w:footnoteRef/>
      </w:r>
      <w:r w:rsidRPr="00D93236">
        <w:rPr>
          <w:rFonts w:asciiTheme="majorHAnsi" w:hAnsiTheme="majorHAnsi"/>
          <w:sz w:val="16"/>
          <w:szCs w:val="16"/>
          <w:lang w:val="es-AR"/>
        </w:rPr>
        <w:t xml:space="preserve"> Respecto a la línea del abonado 449-4706, ver: </w:t>
      </w:r>
      <w:r w:rsidRPr="001C71C9">
        <w:rPr>
          <w:rFonts w:asciiTheme="majorHAnsi" w:hAnsiTheme="majorHAnsi"/>
          <w:sz w:val="16"/>
          <w:szCs w:val="16"/>
          <w:lang w:val="es-AR"/>
        </w:rPr>
        <w:t>Anexo 12</w:t>
      </w:r>
      <w:r w:rsidRPr="00D93236">
        <w:rPr>
          <w:rFonts w:asciiTheme="majorHAnsi" w:hAnsiTheme="majorHAnsi"/>
          <w:b/>
          <w:sz w:val="16"/>
          <w:szCs w:val="16"/>
          <w:lang w:val="es-AR"/>
        </w:rPr>
        <w:t>.</w:t>
      </w:r>
      <w:r w:rsidRPr="00D93236">
        <w:rPr>
          <w:rFonts w:asciiTheme="majorHAnsi" w:hAnsiTheme="majorHAnsi"/>
          <w:sz w:val="16"/>
          <w:szCs w:val="16"/>
          <w:lang w:val="es-AR"/>
        </w:rPr>
        <w:t xml:space="preserve"> Sentencia del Tribunal Oral en lo Criminal Federal Nro. 2 de fecha 3 de mayo de 2019, pág. 381. Anexo 2 a la comunicación de la parte peticionaria de fecha 11 de noviembre de 2019. Con respecto a la línea perteneciente al abonado 942-9181, ver: </w:t>
      </w:r>
      <w:r w:rsidRPr="001C71C9">
        <w:rPr>
          <w:rFonts w:asciiTheme="majorHAnsi" w:hAnsiTheme="majorHAnsi"/>
          <w:sz w:val="16"/>
          <w:szCs w:val="16"/>
          <w:lang w:val="es-AR"/>
        </w:rPr>
        <w:t>Anexo 12</w:t>
      </w:r>
      <w:r w:rsidRPr="00D93236">
        <w:rPr>
          <w:rFonts w:asciiTheme="majorHAnsi" w:hAnsiTheme="majorHAnsi"/>
          <w:b/>
          <w:sz w:val="16"/>
          <w:szCs w:val="16"/>
          <w:lang w:val="es-AR"/>
        </w:rPr>
        <w:t>.</w:t>
      </w:r>
      <w:r w:rsidRPr="00D93236">
        <w:rPr>
          <w:rFonts w:asciiTheme="majorHAnsi" w:hAnsiTheme="majorHAnsi"/>
          <w:sz w:val="16"/>
          <w:szCs w:val="16"/>
          <w:lang w:val="es-AR"/>
        </w:rPr>
        <w:t xml:space="preserve"> Sentencia del Tribunal Oral en lo Criminal Federal Nro. 2 de fecha 3 de mayo de 2019, pág. 388. Anexo 2 a la comunicación de la parte peticionaria de fecha 11 de noviembre de 2019; </w:t>
      </w:r>
    </w:p>
  </w:footnote>
  <w:footnote w:id="167">
    <w:p w14:paraId="3D647C96" w14:textId="77777777" w:rsidR="005B3F8C" w:rsidRPr="00D93236" w:rsidRDefault="005B3F8C" w:rsidP="00E27260">
      <w:pPr>
        <w:pStyle w:val="FootnoteText"/>
        <w:jc w:val="both"/>
        <w:rPr>
          <w:rFonts w:asciiTheme="majorHAnsi" w:hAnsiTheme="majorHAnsi"/>
          <w:sz w:val="16"/>
          <w:szCs w:val="16"/>
          <w:lang w:val="es-AR"/>
        </w:rPr>
      </w:pPr>
      <w:r w:rsidRPr="00D93236">
        <w:rPr>
          <w:rStyle w:val="FootnoteReference"/>
          <w:rFonts w:asciiTheme="majorHAnsi" w:hAnsiTheme="majorHAnsi"/>
          <w:sz w:val="16"/>
          <w:szCs w:val="16"/>
        </w:rPr>
        <w:footnoteRef/>
      </w:r>
      <w:r w:rsidRPr="00D93236">
        <w:rPr>
          <w:rFonts w:asciiTheme="majorHAnsi" w:hAnsiTheme="majorHAnsi"/>
          <w:sz w:val="16"/>
          <w:szCs w:val="16"/>
          <w:lang w:val="es-AR"/>
        </w:rPr>
        <w:t xml:space="preserve"> </w:t>
      </w:r>
      <w:r w:rsidRPr="001C71C9">
        <w:rPr>
          <w:rFonts w:asciiTheme="majorHAnsi" w:hAnsiTheme="majorHAnsi"/>
          <w:sz w:val="16"/>
          <w:szCs w:val="16"/>
          <w:lang w:val="es-AR"/>
        </w:rPr>
        <w:t>Anexo 12</w:t>
      </w:r>
      <w:r w:rsidRPr="00D93236">
        <w:rPr>
          <w:rFonts w:asciiTheme="majorHAnsi" w:hAnsiTheme="majorHAnsi"/>
          <w:b/>
          <w:sz w:val="16"/>
          <w:szCs w:val="16"/>
          <w:lang w:val="es-AR"/>
        </w:rPr>
        <w:t>.</w:t>
      </w:r>
      <w:r w:rsidRPr="00D93236">
        <w:rPr>
          <w:rFonts w:asciiTheme="majorHAnsi" w:hAnsiTheme="majorHAnsi"/>
          <w:sz w:val="16"/>
          <w:szCs w:val="16"/>
          <w:lang w:val="es-AR"/>
        </w:rPr>
        <w:t xml:space="preserve"> Sentencia del Tribunal Oral en lo Criminal Federal Nro. 2 de fecha 3 de mayo de 2019, pág. 394. Anexo 2 a la comunicación de la parte peticionaria de fecha 11 de noviembre de 2019.</w:t>
      </w:r>
    </w:p>
  </w:footnote>
  <w:footnote w:id="168">
    <w:p w14:paraId="530C6760" w14:textId="77777777" w:rsidR="005B3F8C" w:rsidRPr="00D93236" w:rsidRDefault="005B3F8C" w:rsidP="00E27260">
      <w:pPr>
        <w:pStyle w:val="FootnoteText"/>
        <w:jc w:val="both"/>
        <w:rPr>
          <w:rFonts w:asciiTheme="majorHAnsi" w:hAnsiTheme="majorHAnsi"/>
          <w:sz w:val="16"/>
          <w:szCs w:val="16"/>
          <w:lang w:val="es-AR"/>
        </w:rPr>
      </w:pPr>
      <w:r w:rsidRPr="00D93236">
        <w:rPr>
          <w:rStyle w:val="FootnoteReference"/>
          <w:rFonts w:asciiTheme="majorHAnsi" w:hAnsiTheme="majorHAnsi"/>
          <w:sz w:val="16"/>
          <w:szCs w:val="16"/>
        </w:rPr>
        <w:footnoteRef/>
      </w:r>
      <w:r w:rsidRPr="00D93236">
        <w:rPr>
          <w:rFonts w:asciiTheme="majorHAnsi" w:hAnsiTheme="majorHAnsi"/>
          <w:sz w:val="16"/>
          <w:szCs w:val="16"/>
          <w:lang w:val="es-AR"/>
        </w:rPr>
        <w:t xml:space="preserve"> </w:t>
      </w:r>
      <w:r w:rsidRPr="001C71C9">
        <w:rPr>
          <w:rFonts w:asciiTheme="majorHAnsi" w:hAnsiTheme="majorHAnsi"/>
          <w:sz w:val="16"/>
          <w:szCs w:val="16"/>
          <w:lang w:val="es-AR"/>
        </w:rPr>
        <w:t>Anexo 12</w:t>
      </w:r>
      <w:r>
        <w:rPr>
          <w:rFonts w:asciiTheme="majorHAnsi" w:hAnsiTheme="majorHAnsi"/>
          <w:b/>
          <w:sz w:val="16"/>
          <w:szCs w:val="16"/>
          <w:lang w:val="es-AR"/>
        </w:rPr>
        <w:t>.</w:t>
      </w:r>
      <w:r w:rsidRPr="00D93236">
        <w:rPr>
          <w:rFonts w:asciiTheme="majorHAnsi" w:hAnsiTheme="majorHAnsi"/>
          <w:sz w:val="16"/>
          <w:szCs w:val="16"/>
          <w:lang w:val="es-AR"/>
        </w:rPr>
        <w:t xml:space="preserve"> Sentencia del Tribunal Oral en lo Criminal Federal Nro. 2 de fecha 3 de mayo de 2019, pág. 402 a 411. Anexo 2 a la comunicación de la parte peticionaria de fecha 11 de noviembre de 2019.</w:t>
      </w:r>
    </w:p>
  </w:footnote>
  <w:footnote w:id="169">
    <w:p w14:paraId="1DE6A266" w14:textId="77777777" w:rsidR="005B3F8C" w:rsidRPr="00D93236" w:rsidRDefault="005B3F8C" w:rsidP="00E27260">
      <w:pPr>
        <w:pStyle w:val="FootnoteText"/>
        <w:jc w:val="both"/>
        <w:rPr>
          <w:rFonts w:asciiTheme="majorHAnsi" w:hAnsiTheme="majorHAnsi"/>
          <w:sz w:val="16"/>
          <w:szCs w:val="16"/>
          <w:lang w:val="es-US"/>
        </w:rPr>
      </w:pPr>
      <w:r w:rsidRPr="00D93236">
        <w:rPr>
          <w:rStyle w:val="FootnoteReference"/>
          <w:rFonts w:asciiTheme="majorHAnsi" w:hAnsiTheme="majorHAnsi"/>
          <w:sz w:val="16"/>
          <w:szCs w:val="16"/>
        </w:rPr>
        <w:footnoteRef/>
      </w:r>
      <w:r w:rsidRPr="00D93236">
        <w:rPr>
          <w:rFonts w:asciiTheme="majorHAnsi" w:hAnsiTheme="majorHAnsi"/>
          <w:sz w:val="16"/>
          <w:szCs w:val="16"/>
          <w:lang w:val="es-US"/>
        </w:rPr>
        <w:t xml:space="preserve"> </w:t>
      </w:r>
      <w:r w:rsidRPr="001C71C9">
        <w:rPr>
          <w:rFonts w:asciiTheme="majorHAnsi" w:hAnsiTheme="majorHAnsi"/>
          <w:sz w:val="16"/>
          <w:szCs w:val="16"/>
          <w:lang w:val="es-AR"/>
        </w:rPr>
        <w:t>Anexo 12</w:t>
      </w:r>
      <w:r>
        <w:rPr>
          <w:rFonts w:asciiTheme="majorHAnsi" w:hAnsiTheme="majorHAnsi"/>
          <w:sz w:val="16"/>
          <w:szCs w:val="16"/>
          <w:lang w:val="es-AR"/>
        </w:rPr>
        <w:t xml:space="preserve">. </w:t>
      </w:r>
      <w:r w:rsidRPr="00D93236">
        <w:rPr>
          <w:rFonts w:asciiTheme="majorHAnsi" w:hAnsiTheme="majorHAnsi"/>
          <w:sz w:val="16"/>
          <w:szCs w:val="16"/>
          <w:lang w:val="es-AR"/>
        </w:rPr>
        <w:t>Sentencia del Tribunal Oral en lo Criminal Federal Nro. 2 de fecha 3 de mayo de 2019, pág. 401. Anexo 2 a la comunicación de la parte peticionaria de fecha 11 de noviembre de 2019.</w:t>
      </w:r>
    </w:p>
  </w:footnote>
  <w:footnote w:id="170">
    <w:p w14:paraId="33F0D256" w14:textId="77777777" w:rsidR="005B3F8C" w:rsidRPr="00D93236" w:rsidRDefault="005B3F8C" w:rsidP="00E27260">
      <w:pPr>
        <w:pStyle w:val="FootnoteText"/>
        <w:jc w:val="both"/>
        <w:rPr>
          <w:rFonts w:asciiTheme="majorHAnsi" w:hAnsiTheme="majorHAnsi"/>
          <w:sz w:val="16"/>
          <w:szCs w:val="16"/>
          <w:lang w:val="es-AR"/>
        </w:rPr>
      </w:pPr>
      <w:r w:rsidRPr="00D93236">
        <w:rPr>
          <w:rStyle w:val="FootnoteReference"/>
          <w:rFonts w:asciiTheme="majorHAnsi" w:hAnsiTheme="majorHAnsi"/>
          <w:sz w:val="16"/>
          <w:szCs w:val="16"/>
        </w:rPr>
        <w:footnoteRef/>
      </w:r>
      <w:r w:rsidRPr="00D93236">
        <w:rPr>
          <w:rFonts w:asciiTheme="majorHAnsi" w:hAnsiTheme="majorHAnsi"/>
          <w:sz w:val="16"/>
          <w:szCs w:val="16"/>
          <w:lang w:val="es-US"/>
        </w:rPr>
        <w:t xml:space="preserve"> </w:t>
      </w:r>
      <w:r w:rsidRPr="001C71C9">
        <w:rPr>
          <w:rFonts w:asciiTheme="majorHAnsi" w:hAnsiTheme="majorHAnsi"/>
          <w:sz w:val="16"/>
          <w:szCs w:val="16"/>
          <w:lang w:val="es-AR"/>
        </w:rPr>
        <w:t>Anexo 12.</w:t>
      </w:r>
      <w:r w:rsidRPr="00D93236">
        <w:rPr>
          <w:rFonts w:asciiTheme="majorHAnsi" w:hAnsiTheme="majorHAnsi"/>
          <w:sz w:val="16"/>
          <w:szCs w:val="16"/>
          <w:lang w:val="es-AR"/>
        </w:rPr>
        <w:t xml:space="preserve"> Sentencia del Tribunal Oral en lo Criminal Federal Nro. 2 de fecha 3 de mayo de 2019, pág. 412. Anexo 2 a la comunicación de la parte peticionaria de fecha 11 de noviembre de 2019.</w:t>
      </w:r>
    </w:p>
  </w:footnote>
  <w:footnote w:id="171">
    <w:p w14:paraId="38C1F852" w14:textId="77777777" w:rsidR="005B3F8C" w:rsidRPr="00D93236" w:rsidRDefault="005B3F8C" w:rsidP="00E27260">
      <w:pPr>
        <w:pStyle w:val="FootnoteText"/>
        <w:jc w:val="both"/>
        <w:rPr>
          <w:rFonts w:asciiTheme="majorHAnsi" w:hAnsiTheme="majorHAnsi"/>
          <w:sz w:val="16"/>
          <w:szCs w:val="16"/>
          <w:lang w:val="es-AR"/>
        </w:rPr>
      </w:pPr>
      <w:r w:rsidRPr="00D93236">
        <w:rPr>
          <w:rStyle w:val="FootnoteReference"/>
          <w:rFonts w:asciiTheme="majorHAnsi" w:hAnsiTheme="majorHAnsi"/>
          <w:sz w:val="16"/>
          <w:szCs w:val="16"/>
        </w:rPr>
        <w:footnoteRef/>
      </w:r>
      <w:r w:rsidRPr="00D93236">
        <w:rPr>
          <w:rFonts w:asciiTheme="majorHAnsi" w:hAnsiTheme="majorHAnsi"/>
          <w:sz w:val="16"/>
          <w:szCs w:val="16"/>
          <w:lang w:val="es-AR"/>
        </w:rPr>
        <w:t xml:space="preserve"> </w:t>
      </w:r>
      <w:r w:rsidRPr="00F80736">
        <w:rPr>
          <w:rFonts w:asciiTheme="majorHAnsi" w:hAnsiTheme="majorHAnsi"/>
          <w:sz w:val="16"/>
          <w:szCs w:val="16"/>
          <w:lang w:val="es-AR"/>
        </w:rPr>
        <w:t>Anexo 12</w:t>
      </w:r>
      <w:r w:rsidRPr="00D93236">
        <w:rPr>
          <w:rFonts w:asciiTheme="majorHAnsi" w:hAnsiTheme="majorHAnsi"/>
          <w:sz w:val="16"/>
          <w:szCs w:val="16"/>
          <w:lang w:val="es-AR"/>
        </w:rPr>
        <w:t xml:space="preserve">. Sentencia del </w:t>
      </w:r>
      <w:r>
        <w:rPr>
          <w:rFonts w:asciiTheme="majorHAnsi" w:hAnsiTheme="majorHAnsi"/>
          <w:sz w:val="16"/>
          <w:szCs w:val="16"/>
          <w:lang w:val="es-AR"/>
        </w:rPr>
        <w:t>Tribunal Oral en lo Criminal Federal Nro. 2</w:t>
      </w:r>
      <w:r w:rsidRPr="00D93236">
        <w:rPr>
          <w:rFonts w:asciiTheme="majorHAnsi" w:hAnsiTheme="majorHAnsi"/>
          <w:sz w:val="16"/>
          <w:szCs w:val="16"/>
          <w:lang w:val="es-AR"/>
        </w:rPr>
        <w:t>. Pág. 354. Anexo 2 a la comunicación de la parte peticionaria de fecha 11 de noviembre de 2019.</w:t>
      </w:r>
    </w:p>
  </w:footnote>
  <w:footnote w:id="172">
    <w:p w14:paraId="04603BC8" w14:textId="77777777" w:rsidR="005B3F8C" w:rsidRPr="00D93236" w:rsidRDefault="005B3F8C" w:rsidP="00E27260">
      <w:pPr>
        <w:pStyle w:val="FootnoteText"/>
        <w:jc w:val="both"/>
        <w:rPr>
          <w:rFonts w:asciiTheme="majorHAnsi" w:hAnsiTheme="majorHAnsi"/>
          <w:sz w:val="16"/>
          <w:szCs w:val="16"/>
          <w:lang w:val="es-AR"/>
        </w:rPr>
      </w:pPr>
      <w:r w:rsidRPr="00D93236">
        <w:rPr>
          <w:rStyle w:val="FootnoteReference"/>
          <w:rFonts w:asciiTheme="majorHAnsi" w:hAnsiTheme="majorHAnsi"/>
          <w:sz w:val="16"/>
          <w:szCs w:val="16"/>
        </w:rPr>
        <w:footnoteRef/>
      </w:r>
      <w:r w:rsidRPr="00D93236">
        <w:rPr>
          <w:rFonts w:asciiTheme="majorHAnsi" w:hAnsiTheme="majorHAnsi"/>
          <w:sz w:val="16"/>
          <w:szCs w:val="16"/>
          <w:lang w:val="es-AR"/>
        </w:rPr>
        <w:t xml:space="preserve"> Corte IDH. </w:t>
      </w:r>
      <w:r w:rsidRPr="00D93236">
        <w:rPr>
          <w:rFonts w:asciiTheme="majorHAnsi" w:hAnsiTheme="majorHAnsi"/>
          <w:i/>
          <w:sz w:val="16"/>
          <w:szCs w:val="16"/>
          <w:lang w:val="es-AR"/>
        </w:rPr>
        <w:t>Caso de los “Niños de la Calle” (Villagrán Morales y otros)</w:t>
      </w:r>
      <w:r w:rsidRPr="00D93236">
        <w:rPr>
          <w:rFonts w:asciiTheme="majorHAnsi" w:hAnsiTheme="majorHAnsi"/>
          <w:sz w:val="16"/>
          <w:szCs w:val="16"/>
          <w:lang w:val="es-AR"/>
        </w:rPr>
        <w:t xml:space="preserve">. Sentencia de 19 de noviembre de 1999. Serie C No. 63, párr. 230; Corte IDH, </w:t>
      </w:r>
      <w:r w:rsidRPr="00D93236">
        <w:rPr>
          <w:rFonts w:asciiTheme="majorHAnsi" w:hAnsiTheme="majorHAnsi"/>
          <w:i/>
          <w:sz w:val="16"/>
          <w:szCs w:val="16"/>
          <w:lang w:val="es-AR"/>
        </w:rPr>
        <w:t>Caso J. vs. Perú</w:t>
      </w:r>
      <w:r w:rsidRPr="00D93236">
        <w:rPr>
          <w:rFonts w:asciiTheme="majorHAnsi" w:hAnsiTheme="majorHAnsi"/>
          <w:sz w:val="16"/>
          <w:szCs w:val="16"/>
          <w:lang w:val="es-AR"/>
        </w:rPr>
        <w:t xml:space="preserve">. Excepción preliminar, Fondo, Reparaciones y Costas. Sentencia de 27 de noviembre de 2013. Serie C No. 275, párr. 344, citando Corte IDH. </w:t>
      </w:r>
      <w:r w:rsidRPr="00D93236">
        <w:rPr>
          <w:rFonts w:asciiTheme="majorHAnsi" w:hAnsiTheme="majorHAnsi"/>
          <w:i/>
          <w:sz w:val="16"/>
          <w:szCs w:val="16"/>
          <w:lang w:val="es-AR"/>
        </w:rPr>
        <w:t>Juan Humberto Sánchez vs. Honduras</w:t>
      </w:r>
      <w:r w:rsidRPr="00D93236">
        <w:rPr>
          <w:rFonts w:asciiTheme="majorHAnsi" w:hAnsiTheme="majorHAnsi"/>
          <w:sz w:val="16"/>
          <w:szCs w:val="16"/>
          <w:lang w:val="es-AR"/>
        </w:rPr>
        <w:t xml:space="preserve">. Excepción Preliminar, Fondo, Reparaciones y Costas. Sentencia de 7 de junio de 2003. Serie C. No. 99, párr. 128. Ver asimismo CIDH. Informe No. 33/16, Caso 12.797. Fondo. </w:t>
      </w:r>
      <w:r w:rsidRPr="00D93236">
        <w:rPr>
          <w:rFonts w:asciiTheme="majorHAnsi" w:hAnsiTheme="majorHAnsi"/>
          <w:i/>
          <w:sz w:val="16"/>
          <w:szCs w:val="16"/>
          <w:lang w:val="es-AR"/>
        </w:rPr>
        <w:t>Linda Loaiza López Soto y familiares</w:t>
      </w:r>
      <w:r w:rsidRPr="00D93236">
        <w:rPr>
          <w:rFonts w:asciiTheme="majorHAnsi" w:hAnsiTheme="majorHAnsi"/>
          <w:sz w:val="16"/>
          <w:szCs w:val="16"/>
          <w:lang w:val="es-AR"/>
        </w:rPr>
        <w:t>. Venezuela. 29 de Julio de 2016</w:t>
      </w:r>
    </w:p>
  </w:footnote>
  <w:footnote w:id="173">
    <w:p w14:paraId="7AE220E6" w14:textId="77777777" w:rsidR="005B3F8C" w:rsidRPr="00D93236" w:rsidRDefault="005B3F8C" w:rsidP="00E27260">
      <w:pPr>
        <w:pStyle w:val="FootnoteText"/>
        <w:jc w:val="both"/>
        <w:rPr>
          <w:rFonts w:asciiTheme="majorHAnsi" w:hAnsiTheme="majorHAnsi"/>
          <w:sz w:val="16"/>
          <w:szCs w:val="16"/>
          <w:lang w:val="es-US"/>
        </w:rPr>
      </w:pPr>
      <w:r w:rsidRPr="00D93236">
        <w:rPr>
          <w:rStyle w:val="FootnoteReference"/>
          <w:rFonts w:asciiTheme="majorHAnsi" w:hAnsiTheme="majorHAnsi"/>
          <w:sz w:val="16"/>
          <w:szCs w:val="16"/>
        </w:rPr>
        <w:footnoteRef/>
      </w:r>
      <w:r>
        <w:rPr>
          <w:rFonts w:asciiTheme="majorHAnsi" w:hAnsiTheme="majorHAnsi"/>
          <w:sz w:val="16"/>
          <w:szCs w:val="16"/>
          <w:lang w:val="es-US"/>
        </w:rPr>
        <w:t xml:space="preserve"> V</w:t>
      </w:r>
      <w:r w:rsidRPr="00D93236">
        <w:rPr>
          <w:rFonts w:asciiTheme="majorHAnsi" w:hAnsiTheme="majorHAnsi"/>
          <w:sz w:val="16"/>
          <w:szCs w:val="16"/>
          <w:lang w:val="es-US"/>
        </w:rPr>
        <w:t xml:space="preserve">er </w:t>
      </w:r>
      <w:r w:rsidRPr="00D93236">
        <w:rPr>
          <w:rFonts w:asciiTheme="majorHAnsi" w:hAnsiTheme="majorHAnsi"/>
          <w:i/>
          <w:sz w:val="16"/>
          <w:szCs w:val="16"/>
          <w:lang w:val="es-US"/>
        </w:rPr>
        <w:t>infra</w:t>
      </w:r>
      <w:r w:rsidRPr="00D93236">
        <w:rPr>
          <w:rFonts w:asciiTheme="majorHAnsi" w:hAnsiTheme="majorHAnsi"/>
          <w:sz w:val="16"/>
          <w:szCs w:val="16"/>
          <w:lang w:val="es-US"/>
        </w:rPr>
        <w:t xml:space="preserve"> parr 61 y 62</w:t>
      </w:r>
    </w:p>
  </w:footnote>
  <w:footnote w:id="174">
    <w:p w14:paraId="50150F11" w14:textId="77777777" w:rsidR="005B3F8C" w:rsidRPr="00D93236" w:rsidRDefault="005B3F8C" w:rsidP="00E27260">
      <w:pPr>
        <w:pStyle w:val="FootnoteText"/>
        <w:jc w:val="both"/>
        <w:rPr>
          <w:rFonts w:asciiTheme="majorHAnsi" w:hAnsiTheme="majorHAnsi"/>
          <w:sz w:val="16"/>
          <w:szCs w:val="16"/>
          <w:lang w:val="es-AR"/>
        </w:rPr>
      </w:pPr>
      <w:r w:rsidRPr="00D93236">
        <w:rPr>
          <w:rStyle w:val="FootnoteReference"/>
          <w:rFonts w:asciiTheme="majorHAnsi" w:hAnsiTheme="majorHAnsi"/>
          <w:sz w:val="16"/>
          <w:szCs w:val="16"/>
        </w:rPr>
        <w:footnoteRef/>
      </w:r>
      <w:r w:rsidRPr="00D93236">
        <w:rPr>
          <w:rFonts w:asciiTheme="majorHAnsi" w:hAnsiTheme="majorHAnsi"/>
          <w:sz w:val="16"/>
          <w:szCs w:val="16"/>
          <w:lang w:val="es-AR"/>
        </w:rPr>
        <w:t xml:space="preserve"> </w:t>
      </w:r>
      <w:r w:rsidRPr="00F80736">
        <w:rPr>
          <w:rFonts w:asciiTheme="majorHAnsi" w:hAnsiTheme="majorHAnsi"/>
          <w:sz w:val="16"/>
          <w:szCs w:val="16"/>
          <w:lang w:val="es-AR"/>
        </w:rPr>
        <w:t>Anexo 2.</w:t>
      </w:r>
      <w:r w:rsidRPr="00D93236">
        <w:rPr>
          <w:rFonts w:asciiTheme="majorHAnsi" w:hAnsiTheme="majorHAnsi"/>
          <w:sz w:val="16"/>
          <w:szCs w:val="16"/>
          <w:lang w:val="es-AR"/>
        </w:rPr>
        <w:t xml:space="preserve"> Sentencia del TOF 3. </w:t>
      </w:r>
      <w:r w:rsidRPr="00D93236">
        <w:rPr>
          <w:rFonts w:asciiTheme="majorHAnsi" w:hAnsiTheme="majorHAnsi"/>
          <w:sz w:val="16"/>
          <w:szCs w:val="16"/>
          <w:lang w:val="es-US"/>
        </w:rPr>
        <w:t>Capítulo VIII.C.</w:t>
      </w:r>
      <w:r w:rsidRPr="00D93236">
        <w:rPr>
          <w:rFonts w:asciiTheme="majorHAnsi" w:hAnsiTheme="majorHAnsi"/>
          <w:sz w:val="16"/>
          <w:szCs w:val="16"/>
          <w:lang w:val="es-AR"/>
        </w:rPr>
        <w:t xml:space="preserve"> Págs. 2995 a 3023. Anexo 1 a la comunicación de la parte peticionaria de fecha 11 de noviembre de 2019.</w:t>
      </w:r>
    </w:p>
  </w:footnote>
  <w:footnote w:id="175">
    <w:p w14:paraId="52EFCE39" w14:textId="77777777" w:rsidR="005B3F8C" w:rsidRPr="00D93236" w:rsidRDefault="005B3F8C" w:rsidP="00E27260">
      <w:pPr>
        <w:pStyle w:val="FootnoteText"/>
        <w:jc w:val="both"/>
        <w:rPr>
          <w:rFonts w:asciiTheme="majorHAnsi" w:hAnsiTheme="majorHAnsi"/>
          <w:sz w:val="16"/>
          <w:szCs w:val="16"/>
          <w:lang w:val="es-ES"/>
        </w:rPr>
      </w:pPr>
      <w:r w:rsidRPr="00D93236">
        <w:rPr>
          <w:rStyle w:val="FootnoteReference"/>
          <w:rFonts w:asciiTheme="majorHAnsi" w:hAnsiTheme="majorHAnsi"/>
          <w:sz w:val="16"/>
          <w:szCs w:val="16"/>
          <w:lang w:val="es-ES"/>
        </w:rPr>
        <w:footnoteRef/>
      </w:r>
      <w:r w:rsidRPr="00D93236">
        <w:rPr>
          <w:rFonts w:asciiTheme="majorHAnsi" w:hAnsiTheme="majorHAnsi"/>
          <w:sz w:val="16"/>
          <w:szCs w:val="16"/>
          <w:lang w:val="es-ES"/>
        </w:rPr>
        <w:t xml:space="preserve"> </w:t>
      </w:r>
      <w:r w:rsidRPr="00F80736">
        <w:rPr>
          <w:rFonts w:asciiTheme="majorHAnsi" w:hAnsiTheme="majorHAnsi"/>
          <w:sz w:val="16"/>
          <w:szCs w:val="16"/>
          <w:lang w:val="es-ES"/>
        </w:rPr>
        <w:t>Anexo 2.</w:t>
      </w:r>
      <w:r w:rsidRPr="00D93236">
        <w:rPr>
          <w:rFonts w:asciiTheme="majorHAnsi" w:hAnsiTheme="majorHAnsi"/>
          <w:sz w:val="16"/>
          <w:szCs w:val="16"/>
          <w:lang w:val="es-ES"/>
        </w:rPr>
        <w:t xml:space="preserve"> Sentencia del TOF 3. </w:t>
      </w:r>
      <w:r w:rsidRPr="001F5F81">
        <w:rPr>
          <w:rFonts w:asciiTheme="majorHAnsi" w:hAnsiTheme="majorHAnsi"/>
          <w:sz w:val="16"/>
          <w:szCs w:val="16"/>
          <w:lang w:val="es-US"/>
        </w:rPr>
        <w:t xml:space="preserve">Capítulo VIII.C. </w:t>
      </w:r>
      <w:r w:rsidRPr="00D93236">
        <w:rPr>
          <w:rFonts w:asciiTheme="majorHAnsi" w:hAnsiTheme="majorHAnsi"/>
          <w:sz w:val="16"/>
          <w:szCs w:val="16"/>
          <w:lang w:val="es-ES"/>
        </w:rPr>
        <w:t>Pág. 3004. Anexo 1 a la comunicación de la parte peticionaria de fecha 11 de noviembre de 2019.</w:t>
      </w:r>
    </w:p>
  </w:footnote>
  <w:footnote w:id="176">
    <w:p w14:paraId="54C752BF" w14:textId="77777777" w:rsidR="005B3F8C" w:rsidRPr="00D93236" w:rsidRDefault="005B3F8C" w:rsidP="00E27260">
      <w:pPr>
        <w:pStyle w:val="FootnoteText"/>
        <w:jc w:val="both"/>
        <w:rPr>
          <w:rFonts w:asciiTheme="majorHAnsi" w:hAnsiTheme="majorHAnsi"/>
          <w:sz w:val="16"/>
          <w:szCs w:val="16"/>
          <w:lang w:val="es-ES"/>
        </w:rPr>
      </w:pPr>
      <w:r w:rsidRPr="00D93236">
        <w:rPr>
          <w:rStyle w:val="FootnoteReference"/>
          <w:rFonts w:asciiTheme="majorHAnsi" w:hAnsiTheme="majorHAnsi"/>
          <w:sz w:val="16"/>
          <w:szCs w:val="16"/>
          <w:lang w:val="es-ES"/>
        </w:rPr>
        <w:footnoteRef/>
      </w:r>
      <w:r w:rsidRPr="00D93236">
        <w:rPr>
          <w:rFonts w:asciiTheme="majorHAnsi" w:hAnsiTheme="majorHAnsi"/>
          <w:sz w:val="16"/>
          <w:szCs w:val="16"/>
          <w:lang w:val="es-ES"/>
        </w:rPr>
        <w:t xml:space="preserve"> </w:t>
      </w:r>
      <w:r w:rsidRPr="00F80736">
        <w:rPr>
          <w:rFonts w:asciiTheme="majorHAnsi" w:hAnsiTheme="majorHAnsi"/>
          <w:sz w:val="16"/>
          <w:szCs w:val="16"/>
          <w:lang w:val="es-ES"/>
        </w:rPr>
        <w:t>Anexo 2.</w:t>
      </w:r>
      <w:r w:rsidRPr="00D93236">
        <w:rPr>
          <w:rFonts w:asciiTheme="majorHAnsi" w:hAnsiTheme="majorHAnsi"/>
          <w:sz w:val="16"/>
          <w:szCs w:val="16"/>
          <w:lang w:val="es-ES"/>
        </w:rPr>
        <w:t xml:space="preserve"> Sentencia del TOF 3. </w:t>
      </w:r>
      <w:r w:rsidRPr="001F5F81">
        <w:rPr>
          <w:rFonts w:asciiTheme="majorHAnsi" w:hAnsiTheme="majorHAnsi"/>
          <w:sz w:val="16"/>
          <w:szCs w:val="16"/>
          <w:lang w:val="es-US"/>
        </w:rPr>
        <w:t xml:space="preserve">Capítulo VIII.C. </w:t>
      </w:r>
      <w:r w:rsidRPr="00D93236">
        <w:rPr>
          <w:rFonts w:asciiTheme="majorHAnsi" w:hAnsiTheme="majorHAnsi"/>
          <w:sz w:val="16"/>
          <w:szCs w:val="16"/>
          <w:lang w:val="es-ES"/>
        </w:rPr>
        <w:t>Págs. 3008 y 3009. Anexo 1 a la comunicación de la parte peticionaria de fecha 11 de noviembre de 2019.</w:t>
      </w:r>
    </w:p>
  </w:footnote>
  <w:footnote w:id="177">
    <w:p w14:paraId="7DBE54C1" w14:textId="77777777" w:rsidR="005B3F8C" w:rsidRPr="00D93236" w:rsidRDefault="005B3F8C" w:rsidP="00E27260">
      <w:pPr>
        <w:pStyle w:val="FootnoteText"/>
        <w:jc w:val="both"/>
        <w:rPr>
          <w:rFonts w:asciiTheme="majorHAnsi" w:hAnsiTheme="majorHAnsi"/>
          <w:sz w:val="16"/>
          <w:szCs w:val="16"/>
          <w:lang w:val="es-ES"/>
        </w:rPr>
      </w:pPr>
      <w:r w:rsidRPr="00D93236">
        <w:rPr>
          <w:rStyle w:val="FootnoteReference"/>
          <w:rFonts w:asciiTheme="majorHAnsi" w:hAnsiTheme="majorHAnsi"/>
          <w:sz w:val="16"/>
          <w:szCs w:val="16"/>
          <w:lang w:val="es-ES"/>
        </w:rPr>
        <w:footnoteRef/>
      </w:r>
      <w:r w:rsidRPr="00D93236">
        <w:rPr>
          <w:rFonts w:asciiTheme="majorHAnsi" w:hAnsiTheme="majorHAnsi"/>
          <w:sz w:val="16"/>
          <w:szCs w:val="16"/>
          <w:lang w:val="es-ES"/>
        </w:rPr>
        <w:t xml:space="preserve"> </w:t>
      </w:r>
      <w:r w:rsidRPr="00F80736">
        <w:rPr>
          <w:rFonts w:asciiTheme="majorHAnsi" w:hAnsiTheme="majorHAnsi"/>
          <w:sz w:val="16"/>
          <w:szCs w:val="16"/>
          <w:lang w:val="es-ES"/>
        </w:rPr>
        <w:t>Anexo 2.</w:t>
      </w:r>
      <w:r w:rsidRPr="00D93236">
        <w:rPr>
          <w:rFonts w:asciiTheme="majorHAnsi" w:hAnsiTheme="majorHAnsi"/>
          <w:sz w:val="16"/>
          <w:szCs w:val="16"/>
          <w:lang w:val="es-ES"/>
        </w:rPr>
        <w:t xml:space="preserve"> Sentencia del TOF 3. </w:t>
      </w:r>
      <w:r w:rsidRPr="001F5F81">
        <w:rPr>
          <w:rFonts w:asciiTheme="majorHAnsi" w:hAnsiTheme="majorHAnsi"/>
          <w:sz w:val="16"/>
          <w:szCs w:val="16"/>
          <w:lang w:val="es-US"/>
        </w:rPr>
        <w:t>Capítulo VIII.C.</w:t>
      </w:r>
      <w:r w:rsidRPr="00D93236">
        <w:rPr>
          <w:rFonts w:asciiTheme="majorHAnsi" w:hAnsiTheme="majorHAnsi"/>
          <w:sz w:val="16"/>
          <w:szCs w:val="16"/>
          <w:lang w:val="es-ES"/>
        </w:rPr>
        <w:t xml:space="preserve"> Pág. 3002. Anexo 1 a la comunicación de la parte peticionaria de fecha 11 de noviembre de 2019.</w:t>
      </w:r>
    </w:p>
  </w:footnote>
  <w:footnote w:id="178">
    <w:p w14:paraId="09C67B7C" w14:textId="77777777" w:rsidR="005B3F8C" w:rsidRPr="00D93236" w:rsidRDefault="005B3F8C" w:rsidP="00E27260">
      <w:pPr>
        <w:pStyle w:val="FootnoteText"/>
        <w:jc w:val="both"/>
        <w:rPr>
          <w:rFonts w:asciiTheme="majorHAnsi" w:hAnsiTheme="majorHAnsi"/>
          <w:sz w:val="16"/>
          <w:szCs w:val="16"/>
          <w:lang w:val="es-US"/>
        </w:rPr>
      </w:pPr>
      <w:r w:rsidRPr="00D93236">
        <w:rPr>
          <w:rStyle w:val="FootnoteReference"/>
          <w:rFonts w:asciiTheme="majorHAnsi" w:hAnsiTheme="majorHAnsi"/>
          <w:sz w:val="16"/>
          <w:szCs w:val="16"/>
          <w:lang w:val="es-ES"/>
        </w:rPr>
        <w:footnoteRef/>
      </w:r>
      <w:r w:rsidRPr="00D93236">
        <w:rPr>
          <w:rFonts w:asciiTheme="majorHAnsi" w:hAnsiTheme="majorHAnsi"/>
          <w:sz w:val="16"/>
          <w:szCs w:val="16"/>
          <w:lang w:val="es-ES"/>
        </w:rPr>
        <w:t xml:space="preserve"> </w:t>
      </w:r>
      <w:r w:rsidRPr="00F80736">
        <w:rPr>
          <w:rFonts w:asciiTheme="majorHAnsi" w:hAnsiTheme="majorHAnsi"/>
          <w:sz w:val="16"/>
          <w:szCs w:val="16"/>
          <w:lang w:val="es-ES"/>
        </w:rPr>
        <w:t>Anexo 2.</w:t>
      </w:r>
      <w:r w:rsidRPr="00D93236">
        <w:rPr>
          <w:rFonts w:asciiTheme="majorHAnsi" w:hAnsiTheme="majorHAnsi"/>
          <w:sz w:val="16"/>
          <w:szCs w:val="16"/>
          <w:lang w:val="es-ES"/>
        </w:rPr>
        <w:t xml:space="preserve"> Sentencia del TOF 3. </w:t>
      </w:r>
      <w:r w:rsidRPr="001F5F81">
        <w:rPr>
          <w:rFonts w:asciiTheme="majorHAnsi" w:hAnsiTheme="majorHAnsi"/>
          <w:sz w:val="16"/>
          <w:szCs w:val="16"/>
          <w:lang w:val="es-US"/>
        </w:rPr>
        <w:t xml:space="preserve">Capítulo VIII.C. </w:t>
      </w:r>
      <w:r w:rsidRPr="00D93236">
        <w:rPr>
          <w:rFonts w:asciiTheme="majorHAnsi" w:hAnsiTheme="majorHAnsi"/>
          <w:sz w:val="16"/>
          <w:szCs w:val="16"/>
          <w:lang w:val="es-ES"/>
        </w:rPr>
        <w:t xml:space="preserve">Pág. 3014. Anexo 1 a la comunicación de la parte peticionaria de fecha 11 de noviembre de 2019; </w:t>
      </w:r>
      <w:r w:rsidRPr="00F80736">
        <w:rPr>
          <w:rFonts w:asciiTheme="majorHAnsi" w:hAnsiTheme="majorHAnsi"/>
          <w:sz w:val="16"/>
          <w:szCs w:val="16"/>
          <w:lang w:val="es-ES"/>
        </w:rPr>
        <w:t>Anexo 12</w:t>
      </w:r>
      <w:r w:rsidRPr="00D93236">
        <w:rPr>
          <w:rFonts w:asciiTheme="majorHAnsi" w:hAnsiTheme="majorHAnsi"/>
          <w:b/>
          <w:sz w:val="16"/>
          <w:szCs w:val="16"/>
          <w:lang w:val="es-ES"/>
        </w:rPr>
        <w:t>.</w:t>
      </w:r>
      <w:r w:rsidRPr="00D93236">
        <w:rPr>
          <w:rFonts w:asciiTheme="majorHAnsi" w:hAnsiTheme="majorHAnsi"/>
          <w:sz w:val="16"/>
          <w:szCs w:val="16"/>
          <w:lang w:val="es-ES"/>
        </w:rPr>
        <w:t xml:space="preserve"> Sentencia del</w:t>
      </w:r>
      <w:r>
        <w:rPr>
          <w:rFonts w:asciiTheme="majorHAnsi" w:hAnsiTheme="majorHAnsi"/>
          <w:sz w:val="16"/>
          <w:szCs w:val="16"/>
          <w:lang w:val="es-ES"/>
        </w:rPr>
        <w:t xml:space="preserve"> Tribunal Oral en lo Criminal Federal Nro. 2. </w:t>
      </w:r>
      <w:r w:rsidRPr="00D93236">
        <w:rPr>
          <w:rFonts w:asciiTheme="majorHAnsi" w:hAnsiTheme="majorHAnsi"/>
          <w:sz w:val="16"/>
          <w:szCs w:val="16"/>
          <w:lang w:val="es-ES"/>
        </w:rPr>
        <w:t>Pág. 583. Anexo 2 a la comunicación de la parte peticionaria de fecha 11 de noviembre de 2019</w:t>
      </w:r>
      <w:r w:rsidRPr="00D93236">
        <w:rPr>
          <w:rFonts w:asciiTheme="majorHAnsi" w:hAnsiTheme="majorHAnsi"/>
          <w:sz w:val="16"/>
          <w:szCs w:val="16"/>
          <w:lang w:val="es-AR"/>
        </w:rPr>
        <w:t>.</w:t>
      </w:r>
    </w:p>
  </w:footnote>
  <w:footnote w:id="179">
    <w:p w14:paraId="1E7BF1D5" w14:textId="77777777" w:rsidR="005B3F8C" w:rsidRPr="00D93236" w:rsidRDefault="005B3F8C" w:rsidP="00E27260">
      <w:pPr>
        <w:pStyle w:val="FootnoteText"/>
        <w:jc w:val="both"/>
        <w:rPr>
          <w:rFonts w:asciiTheme="majorHAnsi" w:hAnsiTheme="majorHAnsi"/>
          <w:sz w:val="16"/>
          <w:szCs w:val="16"/>
          <w:lang w:val="es-AR"/>
        </w:rPr>
      </w:pPr>
      <w:r w:rsidRPr="00D93236">
        <w:rPr>
          <w:rStyle w:val="FootnoteReference"/>
          <w:rFonts w:asciiTheme="majorHAnsi" w:hAnsiTheme="majorHAnsi"/>
          <w:sz w:val="16"/>
          <w:szCs w:val="16"/>
        </w:rPr>
        <w:footnoteRef/>
      </w:r>
      <w:r w:rsidRPr="00D93236">
        <w:rPr>
          <w:rFonts w:asciiTheme="majorHAnsi" w:hAnsiTheme="majorHAnsi"/>
          <w:sz w:val="16"/>
          <w:szCs w:val="16"/>
          <w:lang w:val="es-AR"/>
        </w:rPr>
        <w:t xml:space="preserve"> </w:t>
      </w:r>
      <w:r w:rsidRPr="00F80736">
        <w:rPr>
          <w:rFonts w:asciiTheme="majorHAnsi" w:hAnsiTheme="majorHAnsi"/>
          <w:sz w:val="16"/>
          <w:szCs w:val="16"/>
          <w:lang w:val="es-AR"/>
        </w:rPr>
        <w:t>Anexo 2.</w:t>
      </w:r>
      <w:r w:rsidRPr="00D93236">
        <w:rPr>
          <w:rFonts w:asciiTheme="majorHAnsi" w:hAnsiTheme="majorHAnsi"/>
          <w:sz w:val="16"/>
          <w:szCs w:val="16"/>
          <w:lang w:val="es-AR"/>
        </w:rPr>
        <w:t xml:space="preserve"> Sente</w:t>
      </w:r>
      <w:r>
        <w:rPr>
          <w:rFonts w:asciiTheme="majorHAnsi" w:hAnsiTheme="majorHAnsi"/>
          <w:sz w:val="16"/>
          <w:szCs w:val="16"/>
          <w:lang w:val="es-AR"/>
        </w:rPr>
        <w:t>ncia del TOF 3. Capítulo VIII.E</w:t>
      </w:r>
      <w:r w:rsidRPr="00D93236">
        <w:rPr>
          <w:rFonts w:asciiTheme="majorHAnsi" w:hAnsiTheme="majorHAnsi"/>
          <w:sz w:val="16"/>
          <w:szCs w:val="16"/>
          <w:lang w:val="es-AR"/>
        </w:rPr>
        <w:t>. Pág. 3036 a 3046. Anexo 2 a la comunicación de la parte peticionaria de fecha 11 de noviembre de 2019.</w:t>
      </w:r>
    </w:p>
  </w:footnote>
  <w:footnote w:id="180">
    <w:p w14:paraId="13F92B2F" w14:textId="77777777" w:rsidR="005B3F8C" w:rsidRPr="00D93236" w:rsidRDefault="005B3F8C" w:rsidP="00E27260">
      <w:pPr>
        <w:pStyle w:val="FootnoteText"/>
        <w:jc w:val="both"/>
        <w:rPr>
          <w:rFonts w:asciiTheme="majorHAnsi" w:hAnsiTheme="majorHAnsi"/>
          <w:sz w:val="16"/>
          <w:szCs w:val="16"/>
          <w:lang w:val="es-AR"/>
        </w:rPr>
      </w:pPr>
      <w:r w:rsidRPr="00D93236">
        <w:rPr>
          <w:rStyle w:val="FootnoteReference"/>
          <w:rFonts w:asciiTheme="majorHAnsi" w:hAnsiTheme="majorHAnsi"/>
          <w:sz w:val="16"/>
          <w:szCs w:val="16"/>
        </w:rPr>
        <w:footnoteRef/>
      </w:r>
      <w:r w:rsidRPr="00D93236">
        <w:rPr>
          <w:rFonts w:asciiTheme="majorHAnsi" w:hAnsiTheme="majorHAnsi"/>
          <w:sz w:val="16"/>
          <w:szCs w:val="16"/>
          <w:lang w:val="es-AR"/>
        </w:rPr>
        <w:t xml:space="preserve"> </w:t>
      </w:r>
      <w:r w:rsidRPr="00F80736">
        <w:rPr>
          <w:rFonts w:asciiTheme="majorHAnsi" w:hAnsiTheme="majorHAnsi"/>
          <w:sz w:val="16"/>
          <w:szCs w:val="16"/>
          <w:lang w:val="es-AR"/>
        </w:rPr>
        <w:t>Anexo 2.</w:t>
      </w:r>
      <w:r w:rsidRPr="00D93236">
        <w:rPr>
          <w:rFonts w:asciiTheme="majorHAnsi" w:hAnsiTheme="majorHAnsi"/>
          <w:sz w:val="16"/>
          <w:szCs w:val="16"/>
          <w:lang w:val="es-AR"/>
        </w:rPr>
        <w:t xml:space="preserve"> Sentencia del TOF 3. Capítulo VIII.E. Págs. 3038 a 3046. Anexo 1 a la comunicación de la parte peticionaria de fecha 11 de noviembre de 2019; </w:t>
      </w:r>
    </w:p>
  </w:footnote>
  <w:footnote w:id="181">
    <w:p w14:paraId="58FA6365" w14:textId="77777777" w:rsidR="005B3F8C" w:rsidRPr="00D93236" w:rsidRDefault="005B3F8C" w:rsidP="00E27260">
      <w:pPr>
        <w:pStyle w:val="FootnoteText"/>
        <w:jc w:val="both"/>
        <w:rPr>
          <w:rFonts w:asciiTheme="majorHAnsi" w:hAnsiTheme="majorHAnsi"/>
          <w:sz w:val="16"/>
          <w:szCs w:val="16"/>
          <w:lang w:val="es-AR"/>
        </w:rPr>
      </w:pPr>
      <w:r w:rsidRPr="00D93236">
        <w:rPr>
          <w:rStyle w:val="FootnoteReference"/>
          <w:rFonts w:asciiTheme="majorHAnsi" w:hAnsiTheme="majorHAnsi"/>
          <w:sz w:val="16"/>
          <w:szCs w:val="16"/>
        </w:rPr>
        <w:footnoteRef/>
      </w:r>
      <w:r w:rsidRPr="00D93236">
        <w:rPr>
          <w:rFonts w:asciiTheme="majorHAnsi" w:hAnsiTheme="majorHAnsi"/>
          <w:sz w:val="16"/>
          <w:szCs w:val="16"/>
          <w:lang w:val="es-AR"/>
        </w:rPr>
        <w:t xml:space="preserve"> </w:t>
      </w:r>
      <w:r w:rsidRPr="00F80736">
        <w:rPr>
          <w:rFonts w:asciiTheme="majorHAnsi" w:hAnsiTheme="majorHAnsi"/>
          <w:sz w:val="16"/>
          <w:szCs w:val="16"/>
          <w:lang w:val="es-AR"/>
        </w:rPr>
        <w:t xml:space="preserve">Anexo </w:t>
      </w:r>
      <w:r>
        <w:rPr>
          <w:rFonts w:asciiTheme="majorHAnsi" w:hAnsiTheme="majorHAnsi"/>
          <w:sz w:val="16"/>
          <w:szCs w:val="16"/>
          <w:lang w:val="es-AR"/>
        </w:rPr>
        <w:t>1</w:t>
      </w:r>
      <w:r w:rsidRPr="00F80736">
        <w:rPr>
          <w:rFonts w:asciiTheme="majorHAnsi" w:hAnsiTheme="majorHAnsi"/>
          <w:sz w:val="16"/>
          <w:szCs w:val="16"/>
          <w:lang w:val="es-AR"/>
        </w:rPr>
        <w:t>2</w:t>
      </w:r>
      <w:r>
        <w:rPr>
          <w:rFonts w:asciiTheme="majorHAnsi" w:hAnsiTheme="majorHAnsi"/>
          <w:sz w:val="16"/>
          <w:szCs w:val="16"/>
          <w:lang w:val="es-AR"/>
        </w:rPr>
        <w:t>. Sentencia del Tribunal Oral en lo Criminal Federal Nro.</w:t>
      </w:r>
      <w:r w:rsidRPr="00D93236">
        <w:rPr>
          <w:rFonts w:asciiTheme="majorHAnsi" w:hAnsiTheme="majorHAnsi"/>
          <w:sz w:val="16"/>
          <w:szCs w:val="16"/>
          <w:lang w:val="es-AR"/>
        </w:rPr>
        <w:t xml:space="preserve"> 2. Pág. 590. Anexo 2 a la comunicación de la parte peticionaria de fecha 11 de noviembre de 2019.</w:t>
      </w:r>
    </w:p>
  </w:footnote>
  <w:footnote w:id="182">
    <w:p w14:paraId="18C3F1CF" w14:textId="77777777" w:rsidR="005B3F8C" w:rsidRPr="00D93236" w:rsidRDefault="005B3F8C" w:rsidP="00E27260">
      <w:pPr>
        <w:pStyle w:val="FootnoteText"/>
        <w:jc w:val="both"/>
        <w:rPr>
          <w:rFonts w:asciiTheme="majorHAnsi" w:hAnsiTheme="majorHAnsi"/>
          <w:sz w:val="16"/>
          <w:szCs w:val="16"/>
          <w:lang w:val="es-AR"/>
        </w:rPr>
      </w:pPr>
      <w:r w:rsidRPr="00D93236">
        <w:rPr>
          <w:rStyle w:val="FootnoteReference"/>
          <w:rFonts w:asciiTheme="majorHAnsi" w:hAnsiTheme="majorHAnsi"/>
          <w:sz w:val="16"/>
          <w:szCs w:val="16"/>
        </w:rPr>
        <w:footnoteRef/>
      </w:r>
      <w:r w:rsidRPr="00D93236">
        <w:rPr>
          <w:rFonts w:asciiTheme="majorHAnsi" w:hAnsiTheme="majorHAnsi"/>
          <w:sz w:val="16"/>
          <w:szCs w:val="16"/>
          <w:lang w:val="es-AR"/>
        </w:rPr>
        <w:t xml:space="preserve"> </w:t>
      </w:r>
      <w:r w:rsidRPr="00F80736">
        <w:rPr>
          <w:rFonts w:asciiTheme="majorHAnsi" w:hAnsiTheme="majorHAnsi"/>
          <w:sz w:val="16"/>
          <w:szCs w:val="16"/>
          <w:lang w:val="es-AR"/>
        </w:rPr>
        <w:t>Anexo 2.</w:t>
      </w:r>
      <w:r w:rsidRPr="00D93236">
        <w:rPr>
          <w:rFonts w:asciiTheme="majorHAnsi" w:hAnsiTheme="majorHAnsi"/>
          <w:sz w:val="16"/>
          <w:szCs w:val="16"/>
          <w:lang w:val="es-AR"/>
        </w:rPr>
        <w:t xml:space="preserve"> Sentencia del TOF 3. Capítulo VIII.E. Págs. 3039 a 3040. Anexo 1 a la comunicación de la parte peticionaria de fecha 11 de noviembre de 2019</w:t>
      </w:r>
    </w:p>
  </w:footnote>
  <w:footnote w:id="183">
    <w:p w14:paraId="30205D0E" w14:textId="77777777" w:rsidR="005B3F8C" w:rsidRPr="00D93236" w:rsidRDefault="005B3F8C" w:rsidP="00E27260">
      <w:pPr>
        <w:pStyle w:val="FootnoteText"/>
        <w:jc w:val="both"/>
        <w:rPr>
          <w:rFonts w:asciiTheme="majorHAnsi" w:hAnsiTheme="majorHAnsi"/>
          <w:sz w:val="16"/>
          <w:szCs w:val="16"/>
          <w:lang w:val="es-AR"/>
        </w:rPr>
      </w:pPr>
      <w:r w:rsidRPr="00D93236">
        <w:rPr>
          <w:rStyle w:val="FootnoteReference"/>
          <w:rFonts w:asciiTheme="majorHAnsi" w:hAnsiTheme="majorHAnsi"/>
          <w:sz w:val="16"/>
          <w:szCs w:val="16"/>
        </w:rPr>
        <w:footnoteRef/>
      </w:r>
      <w:r w:rsidRPr="00D93236">
        <w:rPr>
          <w:rFonts w:asciiTheme="majorHAnsi" w:hAnsiTheme="majorHAnsi"/>
          <w:sz w:val="16"/>
          <w:szCs w:val="16"/>
          <w:lang w:val="es-AR"/>
        </w:rPr>
        <w:t xml:space="preserve"> </w:t>
      </w:r>
      <w:r w:rsidRPr="00F80736">
        <w:rPr>
          <w:rFonts w:asciiTheme="majorHAnsi" w:hAnsiTheme="majorHAnsi"/>
          <w:sz w:val="16"/>
          <w:szCs w:val="16"/>
          <w:lang w:val="es-AR"/>
        </w:rPr>
        <w:t>Anexo 2</w:t>
      </w:r>
      <w:r w:rsidRPr="00D93236">
        <w:rPr>
          <w:rFonts w:asciiTheme="majorHAnsi" w:hAnsiTheme="majorHAnsi"/>
          <w:sz w:val="16"/>
          <w:szCs w:val="16"/>
          <w:lang w:val="es-AR"/>
        </w:rPr>
        <w:t>. Senten</w:t>
      </w:r>
      <w:r>
        <w:rPr>
          <w:rFonts w:asciiTheme="majorHAnsi" w:hAnsiTheme="majorHAnsi"/>
          <w:sz w:val="16"/>
          <w:szCs w:val="16"/>
          <w:lang w:val="es-AR"/>
        </w:rPr>
        <w:t xml:space="preserve">cia del TOF 3. Capítulo X.C. </w:t>
      </w:r>
      <w:r w:rsidRPr="00D93236">
        <w:rPr>
          <w:rFonts w:asciiTheme="majorHAnsi" w:hAnsiTheme="majorHAnsi"/>
          <w:sz w:val="16"/>
          <w:szCs w:val="16"/>
          <w:lang w:val="es-AR"/>
        </w:rPr>
        <w:t xml:space="preserve">Pág. 4212. Anexo 1 a la comunicación de la parte peticionaria de fecha 11 de noviembre de 2019; </w:t>
      </w:r>
      <w:r w:rsidRPr="00F80736">
        <w:rPr>
          <w:rFonts w:asciiTheme="majorHAnsi" w:hAnsiTheme="majorHAnsi"/>
          <w:sz w:val="16"/>
          <w:szCs w:val="16"/>
          <w:lang w:val="es-AR"/>
        </w:rPr>
        <w:t>Anexo 12</w:t>
      </w:r>
      <w:r w:rsidRPr="00D93236">
        <w:rPr>
          <w:rFonts w:asciiTheme="majorHAnsi" w:hAnsiTheme="majorHAnsi"/>
          <w:sz w:val="16"/>
          <w:szCs w:val="16"/>
          <w:lang w:val="es-AR"/>
        </w:rPr>
        <w:t xml:space="preserve"> Sentencia del </w:t>
      </w:r>
      <w:r>
        <w:rPr>
          <w:rFonts w:asciiTheme="majorHAnsi" w:hAnsiTheme="majorHAnsi"/>
          <w:sz w:val="16"/>
          <w:szCs w:val="16"/>
          <w:lang w:val="es-AR"/>
        </w:rPr>
        <w:t>Tribunal Oral en lo Criminal Federal Nro.</w:t>
      </w:r>
      <w:r w:rsidRPr="00D93236">
        <w:rPr>
          <w:rFonts w:asciiTheme="majorHAnsi" w:hAnsiTheme="majorHAnsi"/>
          <w:sz w:val="16"/>
          <w:szCs w:val="16"/>
          <w:lang w:val="es-AR"/>
        </w:rPr>
        <w:t xml:space="preserve"> 2. Pág. 590. Anexo 2 a la comunicación de la parte peticionaria de fecha 11 de noviembre de 2019, pág. 677. </w:t>
      </w:r>
    </w:p>
  </w:footnote>
  <w:footnote w:id="184">
    <w:p w14:paraId="649EA72B" w14:textId="77777777" w:rsidR="005B3F8C" w:rsidRPr="00D93236" w:rsidRDefault="005B3F8C" w:rsidP="00E27260">
      <w:pPr>
        <w:pStyle w:val="FootnoteText"/>
        <w:jc w:val="both"/>
        <w:rPr>
          <w:rFonts w:asciiTheme="majorHAnsi" w:hAnsiTheme="majorHAnsi"/>
          <w:sz w:val="16"/>
          <w:szCs w:val="16"/>
          <w:lang w:val="es-AR"/>
        </w:rPr>
      </w:pPr>
      <w:r w:rsidRPr="00D93236">
        <w:rPr>
          <w:rStyle w:val="FootnoteReference"/>
          <w:rFonts w:asciiTheme="majorHAnsi" w:hAnsiTheme="majorHAnsi"/>
          <w:sz w:val="16"/>
          <w:szCs w:val="16"/>
        </w:rPr>
        <w:footnoteRef/>
      </w:r>
      <w:r w:rsidRPr="00D93236">
        <w:rPr>
          <w:rFonts w:asciiTheme="majorHAnsi" w:hAnsiTheme="majorHAnsi"/>
          <w:sz w:val="16"/>
          <w:szCs w:val="16"/>
          <w:lang w:val="es-AR"/>
        </w:rPr>
        <w:t xml:space="preserve"> </w:t>
      </w:r>
      <w:r w:rsidRPr="00F80736">
        <w:rPr>
          <w:rFonts w:asciiTheme="majorHAnsi" w:hAnsiTheme="majorHAnsi"/>
          <w:sz w:val="16"/>
          <w:szCs w:val="16"/>
          <w:lang w:val="es-AR"/>
        </w:rPr>
        <w:t>Anexo 2</w:t>
      </w:r>
      <w:r w:rsidRPr="00D93236">
        <w:rPr>
          <w:rFonts w:asciiTheme="majorHAnsi" w:hAnsiTheme="majorHAnsi"/>
          <w:sz w:val="16"/>
          <w:szCs w:val="16"/>
          <w:lang w:val="es-AR"/>
        </w:rPr>
        <w:t xml:space="preserve"> Sentencia del TOF 3. Capítulo VIII.E. Pág. 3036. Anexo 1 a la comunicación de la parte peticionaria de fecha 11 de noviembre de 2019</w:t>
      </w:r>
    </w:p>
  </w:footnote>
  <w:footnote w:id="185">
    <w:p w14:paraId="35800898" w14:textId="77777777" w:rsidR="005B3F8C" w:rsidRPr="001F5F81" w:rsidRDefault="005B3F8C" w:rsidP="00E27260">
      <w:pPr>
        <w:pStyle w:val="FootnoteText"/>
        <w:jc w:val="both"/>
        <w:rPr>
          <w:rFonts w:asciiTheme="majorHAnsi" w:hAnsiTheme="majorHAnsi"/>
          <w:sz w:val="16"/>
          <w:szCs w:val="16"/>
          <w:lang w:val="es-US"/>
        </w:rPr>
      </w:pPr>
      <w:r w:rsidRPr="00D93236">
        <w:rPr>
          <w:rStyle w:val="FootnoteReference"/>
          <w:rFonts w:asciiTheme="majorHAnsi" w:hAnsiTheme="majorHAnsi"/>
          <w:sz w:val="16"/>
          <w:szCs w:val="16"/>
        </w:rPr>
        <w:footnoteRef/>
      </w:r>
      <w:r w:rsidRPr="001F5F81">
        <w:rPr>
          <w:rFonts w:asciiTheme="majorHAnsi" w:hAnsiTheme="majorHAnsi"/>
          <w:sz w:val="16"/>
          <w:szCs w:val="16"/>
          <w:lang w:val="es-US"/>
        </w:rPr>
        <w:t xml:space="preserve"> Ver </w:t>
      </w:r>
      <w:r w:rsidRPr="001F5F81">
        <w:rPr>
          <w:rFonts w:asciiTheme="majorHAnsi" w:hAnsiTheme="majorHAnsi"/>
          <w:i/>
          <w:sz w:val="16"/>
          <w:szCs w:val="16"/>
          <w:lang w:val="es-US"/>
        </w:rPr>
        <w:t>infra</w:t>
      </w:r>
      <w:r w:rsidRPr="001F5F81">
        <w:rPr>
          <w:rFonts w:asciiTheme="majorHAnsi" w:hAnsiTheme="majorHAnsi"/>
          <w:sz w:val="16"/>
          <w:szCs w:val="16"/>
          <w:lang w:val="es-US"/>
        </w:rPr>
        <w:t xml:space="preserve"> parr 138. </w:t>
      </w:r>
    </w:p>
  </w:footnote>
  <w:footnote w:id="186">
    <w:p w14:paraId="0BD67F3F" w14:textId="77777777" w:rsidR="005B3F8C" w:rsidRPr="00D93236" w:rsidRDefault="005B3F8C" w:rsidP="00E27260">
      <w:pPr>
        <w:pStyle w:val="FootnoteText"/>
        <w:jc w:val="both"/>
        <w:rPr>
          <w:rFonts w:asciiTheme="majorHAnsi" w:hAnsiTheme="majorHAnsi"/>
          <w:sz w:val="16"/>
          <w:szCs w:val="16"/>
          <w:lang w:val="es-US"/>
        </w:rPr>
      </w:pPr>
      <w:r w:rsidRPr="00D93236">
        <w:rPr>
          <w:rStyle w:val="FootnoteReference"/>
          <w:rFonts w:asciiTheme="majorHAnsi" w:hAnsiTheme="majorHAnsi"/>
          <w:sz w:val="16"/>
          <w:szCs w:val="16"/>
        </w:rPr>
        <w:footnoteRef/>
      </w:r>
      <w:r w:rsidRPr="001F5F81">
        <w:rPr>
          <w:rFonts w:asciiTheme="majorHAnsi" w:hAnsiTheme="majorHAnsi"/>
          <w:sz w:val="16"/>
          <w:szCs w:val="16"/>
          <w:lang w:val="es-US"/>
        </w:rPr>
        <w:t xml:space="preserve"> Anexo 2. </w:t>
      </w:r>
      <w:r w:rsidRPr="00D93236">
        <w:rPr>
          <w:rFonts w:asciiTheme="majorHAnsi" w:hAnsiTheme="majorHAnsi"/>
          <w:sz w:val="16"/>
          <w:szCs w:val="16"/>
          <w:lang w:val="es-AR"/>
        </w:rPr>
        <w:t>Senten</w:t>
      </w:r>
      <w:r>
        <w:rPr>
          <w:rFonts w:asciiTheme="majorHAnsi" w:hAnsiTheme="majorHAnsi"/>
          <w:sz w:val="16"/>
          <w:szCs w:val="16"/>
          <w:lang w:val="es-AR"/>
        </w:rPr>
        <w:t xml:space="preserve">cia del TOF 3. Capítulo VIII.E. </w:t>
      </w:r>
      <w:r w:rsidRPr="00D93236">
        <w:rPr>
          <w:rFonts w:asciiTheme="majorHAnsi" w:hAnsiTheme="majorHAnsi"/>
          <w:sz w:val="16"/>
          <w:szCs w:val="16"/>
          <w:lang w:val="es-AR"/>
        </w:rPr>
        <w:t>Pág. 3060 a 3061. Anexo 1 a la comunicación de la parte peticionaria de fecha 11 de noviembre de 2019.</w:t>
      </w:r>
    </w:p>
  </w:footnote>
  <w:footnote w:id="187">
    <w:p w14:paraId="3EDC4710" w14:textId="77777777" w:rsidR="005B3F8C" w:rsidRPr="00D93236" w:rsidRDefault="005B3F8C" w:rsidP="00E27260">
      <w:pPr>
        <w:pStyle w:val="FootnoteText"/>
        <w:jc w:val="both"/>
        <w:rPr>
          <w:rFonts w:asciiTheme="majorHAnsi" w:hAnsiTheme="majorHAnsi"/>
          <w:sz w:val="16"/>
          <w:szCs w:val="16"/>
          <w:lang w:val="es-US"/>
        </w:rPr>
      </w:pPr>
      <w:r w:rsidRPr="00D93236">
        <w:rPr>
          <w:rStyle w:val="FootnoteReference"/>
          <w:rFonts w:asciiTheme="majorHAnsi" w:hAnsiTheme="majorHAnsi"/>
          <w:sz w:val="16"/>
          <w:szCs w:val="16"/>
        </w:rPr>
        <w:footnoteRef/>
      </w:r>
      <w:r w:rsidRPr="00D93236">
        <w:rPr>
          <w:rFonts w:asciiTheme="majorHAnsi" w:hAnsiTheme="majorHAnsi"/>
          <w:sz w:val="16"/>
          <w:szCs w:val="16"/>
          <w:lang w:val="es-US"/>
        </w:rPr>
        <w:t xml:space="preserve"> </w:t>
      </w:r>
      <w:r w:rsidRPr="00F80736">
        <w:rPr>
          <w:rFonts w:asciiTheme="majorHAnsi" w:hAnsiTheme="majorHAnsi"/>
          <w:sz w:val="16"/>
          <w:szCs w:val="16"/>
          <w:lang w:val="es-AR"/>
        </w:rPr>
        <w:t>Anexo 2. Sentencia</w:t>
      </w:r>
      <w:r w:rsidRPr="00D93236">
        <w:rPr>
          <w:rFonts w:asciiTheme="majorHAnsi" w:hAnsiTheme="majorHAnsi"/>
          <w:sz w:val="16"/>
          <w:szCs w:val="16"/>
          <w:lang w:val="es-AR"/>
        </w:rPr>
        <w:t xml:space="preserve"> del TOF 3. Capítulo VIII.G. Pág. 3096. Anexo 1 a la comunicación de la parte peticionaria de fecha 11 de noviembre de 2019.</w:t>
      </w:r>
    </w:p>
  </w:footnote>
  <w:footnote w:id="188">
    <w:p w14:paraId="239F0CFA" w14:textId="77777777" w:rsidR="005B3F8C" w:rsidRPr="00D93236" w:rsidRDefault="005B3F8C" w:rsidP="00E27260">
      <w:pPr>
        <w:pStyle w:val="FootnoteText"/>
        <w:jc w:val="both"/>
        <w:rPr>
          <w:rFonts w:asciiTheme="majorHAnsi" w:hAnsiTheme="majorHAnsi"/>
          <w:sz w:val="16"/>
          <w:szCs w:val="16"/>
          <w:lang w:val="es-US"/>
        </w:rPr>
      </w:pPr>
      <w:r w:rsidRPr="00D93236">
        <w:rPr>
          <w:rStyle w:val="FootnoteReference"/>
          <w:rFonts w:asciiTheme="majorHAnsi" w:hAnsiTheme="majorHAnsi"/>
          <w:sz w:val="16"/>
          <w:szCs w:val="16"/>
        </w:rPr>
        <w:footnoteRef/>
      </w:r>
      <w:r w:rsidRPr="00D93236">
        <w:rPr>
          <w:rFonts w:asciiTheme="majorHAnsi" w:hAnsiTheme="majorHAnsi"/>
          <w:sz w:val="16"/>
          <w:szCs w:val="16"/>
          <w:lang w:val="es-US"/>
        </w:rPr>
        <w:t xml:space="preserve"> </w:t>
      </w:r>
      <w:r w:rsidRPr="00F80736">
        <w:rPr>
          <w:rFonts w:asciiTheme="majorHAnsi" w:hAnsiTheme="majorHAnsi"/>
          <w:sz w:val="16"/>
          <w:szCs w:val="16"/>
          <w:lang w:val="es-AR"/>
        </w:rPr>
        <w:t>Anexo 2.</w:t>
      </w:r>
      <w:r w:rsidRPr="00D93236">
        <w:rPr>
          <w:rFonts w:asciiTheme="majorHAnsi" w:hAnsiTheme="majorHAnsi"/>
          <w:sz w:val="16"/>
          <w:szCs w:val="16"/>
          <w:lang w:val="es-AR"/>
        </w:rPr>
        <w:t xml:space="preserve"> Sentencia del TOF 3. Capítulo VIII.G. Pág. 3096 y 3097. Anexo 1 a la comunicación de la parte peticionaria de fecha 11 de noviembre de 2019.</w:t>
      </w:r>
    </w:p>
  </w:footnote>
  <w:footnote w:id="189">
    <w:p w14:paraId="27C19655" w14:textId="77777777" w:rsidR="005B3F8C" w:rsidRPr="00D93236" w:rsidRDefault="005B3F8C" w:rsidP="00E27260">
      <w:pPr>
        <w:pStyle w:val="FootnoteText"/>
        <w:jc w:val="both"/>
        <w:rPr>
          <w:rFonts w:asciiTheme="majorHAnsi" w:hAnsiTheme="majorHAnsi"/>
          <w:sz w:val="16"/>
          <w:szCs w:val="16"/>
          <w:lang w:val="es-AR"/>
        </w:rPr>
      </w:pPr>
      <w:r w:rsidRPr="00D93236">
        <w:rPr>
          <w:rStyle w:val="FootnoteReference"/>
          <w:rFonts w:asciiTheme="majorHAnsi" w:hAnsiTheme="majorHAnsi"/>
          <w:sz w:val="16"/>
          <w:szCs w:val="16"/>
        </w:rPr>
        <w:footnoteRef/>
      </w:r>
      <w:r w:rsidRPr="00D93236">
        <w:rPr>
          <w:rFonts w:asciiTheme="majorHAnsi" w:hAnsiTheme="majorHAnsi"/>
          <w:sz w:val="16"/>
          <w:szCs w:val="16"/>
          <w:lang w:val="es-AR"/>
        </w:rPr>
        <w:t xml:space="preserve"> </w:t>
      </w:r>
      <w:r w:rsidRPr="00F80736">
        <w:rPr>
          <w:rFonts w:asciiTheme="majorHAnsi" w:hAnsiTheme="majorHAnsi"/>
          <w:sz w:val="16"/>
          <w:szCs w:val="16"/>
          <w:lang w:val="es-AR"/>
        </w:rPr>
        <w:t>Anexo 2.</w:t>
      </w:r>
      <w:r w:rsidRPr="00D93236">
        <w:rPr>
          <w:rFonts w:asciiTheme="majorHAnsi" w:hAnsiTheme="majorHAnsi"/>
          <w:sz w:val="16"/>
          <w:szCs w:val="16"/>
          <w:lang w:val="es-AR"/>
        </w:rPr>
        <w:t xml:space="preserve"> Sentencia del TOF 3. </w:t>
      </w:r>
      <w:r w:rsidRPr="001F5F81">
        <w:rPr>
          <w:rFonts w:asciiTheme="majorHAnsi" w:hAnsiTheme="majorHAnsi"/>
          <w:sz w:val="16"/>
          <w:szCs w:val="16"/>
          <w:lang w:val="es-US"/>
        </w:rPr>
        <w:t xml:space="preserve">Título II. Capítulo II. Pág. 4746. </w:t>
      </w:r>
      <w:r w:rsidRPr="00D93236">
        <w:rPr>
          <w:rFonts w:asciiTheme="majorHAnsi" w:hAnsiTheme="majorHAnsi"/>
          <w:sz w:val="16"/>
          <w:szCs w:val="16"/>
          <w:lang w:val="es-AR"/>
        </w:rPr>
        <w:t>Anexo 1 a la comunicación de la parte peticionaria de fecha 11 de noviembre de 2019.</w:t>
      </w:r>
    </w:p>
  </w:footnote>
  <w:footnote w:id="190">
    <w:p w14:paraId="48B1079B" w14:textId="77777777" w:rsidR="005B3F8C" w:rsidRPr="00D93236" w:rsidRDefault="005B3F8C" w:rsidP="00E27260">
      <w:pPr>
        <w:pStyle w:val="FootnoteText"/>
        <w:jc w:val="both"/>
        <w:rPr>
          <w:rFonts w:asciiTheme="majorHAnsi" w:hAnsiTheme="majorHAnsi"/>
          <w:sz w:val="16"/>
          <w:szCs w:val="16"/>
          <w:lang w:val="es-AR"/>
        </w:rPr>
      </w:pPr>
      <w:r w:rsidRPr="00D93236">
        <w:rPr>
          <w:rStyle w:val="FootnoteReference"/>
          <w:rFonts w:asciiTheme="majorHAnsi" w:hAnsiTheme="majorHAnsi"/>
          <w:sz w:val="16"/>
          <w:szCs w:val="16"/>
        </w:rPr>
        <w:footnoteRef/>
      </w:r>
      <w:r w:rsidRPr="00D93236">
        <w:rPr>
          <w:rFonts w:asciiTheme="majorHAnsi" w:hAnsiTheme="majorHAnsi"/>
          <w:sz w:val="16"/>
          <w:szCs w:val="16"/>
          <w:lang w:val="es-AR"/>
        </w:rPr>
        <w:t xml:space="preserve"> </w:t>
      </w:r>
      <w:r w:rsidRPr="00F80736">
        <w:rPr>
          <w:rFonts w:asciiTheme="majorHAnsi" w:hAnsiTheme="majorHAnsi"/>
          <w:sz w:val="16"/>
          <w:szCs w:val="16"/>
          <w:lang w:val="es-AR"/>
        </w:rPr>
        <w:t>Anexo 2.</w:t>
      </w:r>
      <w:r w:rsidRPr="00D93236">
        <w:rPr>
          <w:rFonts w:asciiTheme="majorHAnsi" w:hAnsiTheme="majorHAnsi"/>
          <w:sz w:val="16"/>
          <w:szCs w:val="16"/>
          <w:lang w:val="es-AR"/>
        </w:rPr>
        <w:t xml:space="preserve"> Sentencia del TOF 3. Capítulo VIII.G.. Pág.3099. Anexo 1 a la comunicación de la parte peticionaria de fecha 11 de noviembre de 2019.</w:t>
      </w:r>
    </w:p>
  </w:footnote>
  <w:footnote w:id="191">
    <w:p w14:paraId="4A7D9F26" w14:textId="77777777" w:rsidR="005B3F8C" w:rsidRPr="00D93236" w:rsidRDefault="005B3F8C" w:rsidP="00E27260">
      <w:pPr>
        <w:pStyle w:val="FootnoteText"/>
        <w:jc w:val="both"/>
        <w:rPr>
          <w:rFonts w:asciiTheme="majorHAnsi" w:hAnsiTheme="majorHAnsi"/>
          <w:sz w:val="16"/>
          <w:szCs w:val="16"/>
          <w:lang w:val="es-AR"/>
        </w:rPr>
      </w:pPr>
      <w:r w:rsidRPr="00D93236">
        <w:rPr>
          <w:rStyle w:val="FootnoteReference"/>
          <w:rFonts w:asciiTheme="majorHAnsi" w:hAnsiTheme="majorHAnsi"/>
          <w:sz w:val="16"/>
          <w:szCs w:val="16"/>
        </w:rPr>
        <w:footnoteRef/>
      </w:r>
      <w:r w:rsidRPr="00D93236">
        <w:rPr>
          <w:rFonts w:asciiTheme="majorHAnsi" w:hAnsiTheme="majorHAnsi"/>
          <w:sz w:val="16"/>
          <w:szCs w:val="16"/>
          <w:lang w:val="es-AR"/>
        </w:rPr>
        <w:t xml:space="preserve"> </w:t>
      </w:r>
      <w:r w:rsidRPr="00F80736">
        <w:rPr>
          <w:rFonts w:asciiTheme="majorHAnsi" w:hAnsiTheme="majorHAnsi"/>
          <w:sz w:val="16"/>
          <w:szCs w:val="16"/>
          <w:lang w:val="es-AR"/>
        </w:rPr>
        <w:t>Anexo 2</w:t>
      </w:r>
      <w:r w:rsidRPr="00D93236">
        <w:rPr>
          <w:rFonts w:asciiTheme="majorHAnsi" w:hAnsiTheme="majorHAnsi"/>
          <w:sz w:val="16"/>
          <w:szCs w:val="16"/>
          <w:lang w:val="es-AR"/>
        </w:rPr>
        <w:t>. Sente</w:t>
      </w:r>
      <w:r>
        <w:rPr>
          <w:rFonts w:asciiTheme="majorHAnsi" w:hAnsiTheme="majorHAnsi"/>
          <w:sz w:val="16"/>
          <w:szCs w:val="16"/>
          <w:lang w:val="es-AR"/>
        </w:rPr>
        <w:t>ncia del TOF 3. Capítulo VIII.G</w:t>
      </w:r>
      <w:r w:rsidRPr="00D93236">
        <w:rPr>
          <w:rFonts w:asciiTheme="majorHAnsi" w:hAnsiTheme="majorHAnsi"/>
          <w:sz w:val="16"/>
          <w:szCs w:val="16"/>
          <w:lang w:val="es-AR"/>
        </w:rPr>
        <w:t>. Pág.3132. Anexo 1 a la comunicación de la parte peticionaria de fecha 11 de noviembre de 2019.</w:t>
      </w:r>
    </w:p>
  </w:footnote>
  <w:footnote w:id="192">
    <w:p w14:paraId="504F467A" w14:textId="77777777" w:rsidR="005B3F8C" w:rsidRPr="00D93236" w:rsidRDefault="005B3F8C" w:rsidP="00E27260">
      <w:pPr>
        <w:pStyle w:val="FootnoteText"/>
        <w:jc w:val="both"/>
        <w:rPr>
          <w:rFonts w:asciiTheme="majorHAnsi" w:hAnsiTheme="majorHAnsi"/>
          <w:sz w:val="16"/>
          <w:szCs w:val="16"/>
          <w:lang w:val="es-AR"/>
        </w:rPr>
      </w:pPr>
      <w:r w:rsidRPr="00D93236">
        <w:rPr>
          <w:rStyle w:val="FootnoteReference"/>
          <w:rFonts w:asciiTheme="majorHAnsi" w:hAnsiTheme="majorHAnsi"/>
          <w:sz w:val="16"/>
          <w:szCs w:val="16"/>
        </w:rPr>
        <w:footnoteRef/>
      </w:r>
      <w:r w:rsidRPr="00D93236">
        <w:rPr>
          <w:rFonts w:asciiTheme="majorHAnsi" w:hAnsiTheme="majorHAnsi"/>
          <w:sz w:val="16"/>
          <w:szCs w:val="16"/>
          <w:lang w:val="es-AR"/>
        </w:rPr>
        <w:t xml:space="preserve"> </w:t>
      </w:r>
      <w:r w:rsidRPr="00F80736">
        <w:rPr>
          <w:rFonts w:asciiTheme="majorHAnsi" w:hAnsiTheme="majorHAnsi"/>
          <w:sz w:val="16"/>
          <w:szCs w:val="16"/>
          <w:lang w:val="es-AR"/>
        </w:rPr>
        <w:t>Anexo 2.</w:t>
      </w:r>
      <w:r w:rsidRPr="00D93236">
        <w:rPr>
          <w:rFonts w:asciiTheme="majorHAnsi" w:hAnsiTheme="majorHAnsi"/>
          <w:sz w:val="16"/>
          <w:szCs w:val="16"/>
          <w:lang w:val="es-AR"/>
        </w:rPr>
        <w:t xml:space="preserve"> Sente</w:t>
      </w:r>
      <w:r>
        <w:rPr>
          <w:rFonts w:asciiTheme="majorHAnsi" w:hAnsiTheme="majorHAnsi"/>
          <w:sz w:val="16"/>
          <w:szCs w:val="16"/>
          <w:lang w:val="es-AR"/>
        </w:rPr>
        <w:t>ncia del TOF 3. Capítulo VIII.G</w:t>
      </w:r>
      <w:r w:rsidRPr="00D93236">
        <w:rPr>
          <w:rFonts w:asciiTheme="majorHAnsi" w:hAnsiTheme="majorHAnsi"/>
          <w:sz w:val="16"/>
          <w:szCs w:val="16"/>
          <w:lang w:val="es-AR"/>
        </w:rPr>
        <w:t>. Pág.3132. Anexo 1 a la comunicación de la parte peticionaria de fecha 11 de noviembre de 2019.</w:t>
      </w:r>
    </w:p>
  </w:footnote>
  <w:footnote w:id="193">
    <w:p w14:paraId="0C4F8FB7" w14:textId="77777777" w:rsidR="005B3F8C" w:rsidRPr="00D93236" w:rsidRDefault="005B3F8C" w:rsidP="00E27260">
      <w:pPr>
        <w:pStyle w:val="FootnoteText"/>
        <w:jc w:val="both"/>
        <w:rPr>
          <w:rFonts w:asciiTheme="majorHAnsi" w:hAnsiTheme="majorHAnsi"/>
          <w:sz w:val="16"/>
          <w:szCs w:val="16"/>
          <w:lang w:val="es-US"/>
        </w:rPr>
      </w:pPr>
      <w:r w:rsidRPr="00D93236">
        <w:rPr>
          <w:rStyle w:val="FootnoteReference"/>
          <w:rFonts w:asciiTheme="majorHAnsi" w:hAnsiTheme="majorHAnsi"/>
          <w:sz w:val="16"/>
          <w:szCs w:val="16"/>
        </w:rPr>
        <w:footnoteRef/>
      </w:r>
      <w:r w:rsidRPr="00D93236">
        <w:rPr>
          <w:rFonts w:asciiTheme="majorHAnsi" w:hAnsiTheme="majorHAnsi"/>
          <w:sz w:val="16"/>
          <w:szCs w:val="16"/>
          <w:lang w:val="es-US"/>
        </w:rPr>
        <w:t xml:space="preserve"> Con respecto a la manera en que se efectivizó el pago a la pareja de Telleldin, véase las declaraciones de los agentes de la SIDE Isaac Eduardo Garcia, Juan Carlos Legascue, Héctor Salvador Maiolo, Alejandro Alberto Brousson, Patricio Miguel Finnen, Rodrigo Toranzo, Daniel Alberto Fernandez, Carlos Aníbal Molina Quiroga y Luis Nelson Gonzalez, reseñadas en </w:t>
      </w:r>
      <w:r w:rsidRPr="00F80736">
        <w:rPr>
          <w:rFonts w:asciiTheme="majorHAnsi" w:hAnsiTheme="majorHAnsi"/>
          <w:sz w:val="16"/>
          <w:szCs w:val="16"/>
          <w:lang w:val="es-US"/>
        </w:rPr>
        <w:t>Anexo 2</w:t>
      </w:r>
      <w:r w:rsidRPr="00D93236">
        <w:rPr>
          <w:rFonts w:asciiTheme="majorHAnsi" w:hAnsiTheme="majorHAnsi"/>
          <w:b/>
          <w:sz w:val="16"/>
          <w:szCs w:val="16"/>
          <w:lang w:val="es-US"/>
        </w:rPr>
        <w:t>.</w:t>
      </w:r>
      <w:r w:rsidRPr="00D93236">
        <w:rPr>
          <w:rFonts w:asciiTheme="majorHAnsi" w:hAnsiTheme="majorHAnsi"/>
          <w:sz w:val="16"/>
          <w:szCs w:val="16"/>
          <w:lang w:val="es-US"/>
        </w:rPr>
        <w:t xml:space="preserve"> </w:t>
      </w:r>
      <w:r w:rsidRPr="00D93236">
        <w:rPr>
          <w:rFonts w:asciiTheme="majorHAnsi" w:hAnsiTheme="majorHAnsi"/>
          <w:sz w:val="16"/>
          <w:szCs w:val="16"/>
          <w:lang w:val="es-AR"/>
        </w:rPr>
        <w:t>Sente</w:t>
      </w:r>
      <w:r>
        <w:rPr>
          <w:rFonts w:asciiTheme="majorHAnsi" w:hAnsiTheme="majorHAnsi"/>
          <w:sz w:val="16"/>
          <w:szCs w:val="16"/>
          <w:lang w:val="es-AR"/>
        </w:rPr>
        <w:t>ncia del TOF 3. Capítulo VIII.G</w:t>
      </w:r>
      <w:r w:rsidRPr="00D93236">
        <w:rPr>
          <w:rFonts w:asciiTheme="majorHAnsi" w:hAnsiTheme="majorHAnsi"/>
          <w:sz w:val="16"/>
          <w:szCs w:val="16"/>
          <w:lang w:val="es-AR"/>
        </w:rPr>
        <w:t>. Anexo 1 a la comunicación de la parte peticionaria de fecha 11 de noviembre de 2019.</w:t>
      </w:r>
      <w:r w:rsidRPr="00D93236">
        <w:rPr>
          <w:rFonts w:asciiTheme="majorHAnsi" w:hAnsiTheme="majorHAnsi"/>
          <w:sz w:val="16"/>
          <w:szCs w:val="16"/>
          <w:lang w:val="es-US"/>
        </w:rPr>
        <w:t xml:space="preserve"> pág. 3110 a 3142. </w:t>
      </w:r>
    </w:p>
  </w:footnote>
  <w:footnote w:id="194">
    <w:p w14:paraId="63490757" w14:textId="77777777" w:rsidR="005B3F8C" w:rsidRPr="00D93236" w:rsidRDefault="005B3F8C" w:rsidP="00E27260">
      <w:pPr>
        <w:pStyle w:val="FootnoteText"/>
        <w:jc w:val="both"/>
        <w:rPr>
          <w:rFonts w:asciiTheme="majorHAnsi" w:hAnsiTheme="majorHAnsi"/>
          <w:sz w:val="16"/>
          <w:szCs w:val="16"/>
          <w:lang w:val="es-AR"/>
        </w:rPr>
      </w:pPr>
      <w:r w:rsidRPr="00D93236">
        <w:rPr>
          <w:rStyle w:val="FootnoteReference"/>
          <w:rFonts w:asciiTheme="majorHAnsi" w:hAnsiTheme="majorHAnsi"/>
          <w:sz w:val="16"/>
          <w:szCs w:val="16"/>
        </w:rPr>
        <w:footnoteRef/>
      </w:r>
      <w:r w:rsidRPr="00D93236">
        <w:rPr>
          <w:rFonts w:asciiTheme="majorHAnsi" w:hAnsiTheme="majorHAnsi"/>
          <w:sz w:val="16"/>
          <w:szCs w:val="16"/>
          <w:lang w:val="es-AR"/>
        </w:rPr>
        <w:t xml:space="preserve"> </w:t>
      </w:r>
      <w:r w:rsidRPr="00F80736">
        <w:rPr>
          <w:rFonts w:asciiTheme="majorHAnsi" w:hAnsiTheme="majorHAnsi"/>
          <w:sz w:val="16"/>
          <w:szCs w:val="16"/>
          <w:lang w:val="es-AR"/>
        </w:rPr>
        <w:t>Anexo 12</w:t>
      </w:r>
      <w:r>
        <w:rPr>
          <w:rFonts w:asciiTheme="majorHAnsi" w:hAnsiTheme="majorHAnsi"/>
          <w:sz w:val="16"/>
          <w:szCs w:val="16"/>
          <w:lang w:val="es-AR"/>
        </w:rPr>
        <w:t xml:space="preserve">. Sentencia del Tribunal Oral en lo Criminal Federal Nro. </w:t>
      </w:r>
      <w:r w:rsidRPr="00D93236">
        <w:rPr>
          <w:rFonts w:asciiTheme="majorHAnsi" w:hAnsiTheme="majorHAnsi"/>
          <w:sz w:val="16"/>
          <w:szCs w:val="16"/>
          <w:lang w:val="es-AR"/>
        </w:rPr>
        <w:t>2. Pág. 574. Anexo 2 a la comunicación de la parte peticionaria de fecha 11 de noviembre de 2019.</w:t>
      </w:r>
    </w:p>
  </w:footnote>
  <w:footnote w:id="195">
    <w:p w14:paraId="03AB86BA" w14:textId="77777777" w:rsidR="005B3F8C" w:rsidRPr="00D93236" w:rsidRDefault="005B3F8C" w:rsidP="00E27260">
      <w:pPr>
        <w:pStyle w:val="FootnoteText"/>
        <w:jc w:val="both"/>
        <w:rPr>
          <w:rFonts w:asciiTheme="majorHAnsi" w:hAnsiTheme="majorHAnsi"/>
          <w:sz w:val="16"/>
          <w:szCs w:val="16"/>
          <w:lang w:val="es-AR"/>
        </w:rPr>
      </w:pPr>
      <w:r w:rsidRPr="00D93236">
        <w:rPr>
          <w:rStyle w:val="FootnoteReference"/>
          <w:rFonts w:asciiTheme="majorHAnsi" w:hAnsiTheme="majorHAnsi"/>
          <w:sz w:val="16"/>
          <w:szCs w:val="16"/>
        </w:rPr>
        <w:footnoteRef/>
      </w:r>
      <w:r w:rsidRPr="00D93236">
        <w:rPr>
          <w:rFonts w:asciiTheme="majorHAnsi" w:hAnsiTheme="majorHAnsi"/>
          <w:sz w:val="16"/>
          <w:szCs w:val="16"/>
          <w:lang w:val="es-AR"/>
        </w:rPr>
        <w:t xml:space="preserve"> </w:t>
      </w:r>
      <w:r w:rsidRPr="00F80736">
        <w:rPr>
          <w:rFonts w:asciiTheme="majorHAnsi" w:hAnsiTheme="majorHAnsi"/>
          <w:sz w:val="16"/>
          <w:szCs w:val="16"/>
          <w:lang w:val="es-AR"/>
        </w:rPr>
        <w:t>Anexo 12</w:t>
      </w:r>
      <w:r>
        <w:rPr>
          <w:rFonts w:asciiTheme="majorHAnsi" w:hAnsiTheme="majorHAnsi"/>
          <w:b/>
          <w:sz w:val="16"/>
          <w:szCs w:val="16"/>
          <w:lang w:val="es-AR"/>
        </w:rPr>
        <w:t>.</w:t>
      </w:r>
      <w:r>
        <w:rPr>
          <w:rFonts w:asciiTheme="majorHAnsi" w:hAnsiTheme="majorHAnsi"/>
          <w:sz w:val="16"/>
          <w:szCs w:val="16"/>
          <w:lang w:val="es-AR"/>
        </w:rPr>
        <w:t xml:space="preserve"> Sentencia del Tribunal Oral en lo Criminal Federal Nro.</w:t>
      </w:r>
      <w:r w:rsidRPr="00D93236">
        <w:rPr>
          <w:rFonts w:asciiTheme="majorHAnsi" w:hAnsiTheme="majorHAnsi"/>
          <w:sz w:val="16"/>
          <w:szCs w:val="16"/>
          <w:lang w:val="es-AR"/>
        </w:rPr>
        <w:t xml:space="preserve"> 2. Pág. 644. Anexo 2 a la comunicación de la parte peticionaria de fecha 11 de noviembre de 2019.</w:t>
      </w:r>
    </w:p>
  </w:footnote>
  <w:footnote w:id="196">
    <w:p w14:paraId="665C332F" w14:textId="77777777" w:rsidR="005B3F8C" w:rsidRPr="00D93236" w:rsidRDefault="005B3F8C" w:rsidP="00E27260">
      <w:pPr>
        <w:pStyle w:val="FootnoteText"/>
        <w:jc w:val="both"/>
        <w:rPr>
          <w:rFonts w:asciiTheme="majorHAnsi" w:hAnsiTheme="majorHAnsi"/>
          <w:sz w:val="16"/>
          <w:szCs w:val="16"/>
          <w:lang w:val="es-US"/>
        </w:rPr>
      </w:pPr>
      <w:r w:rsidRPr="00D93236">
        <w:rPr>
          <w:rStyle w:val="FootnoteReference"/>
          <w:rFonts w:asciiTheme="majorHAnsi" w:hAnsiTheme="majorHAnsi"/>
          <w:sz w:val="16"/>
          <w:szCs w:val="16"/>
        </w:rPr>
        <w:footnoteRef/>
      </w:r>
      <w:r w:rsidRPr="00D93236">
        <w:rPr>
          <w:rFonts w:asciiTheme="majorHAnsi" w:hAnsiTheme="majorHAnsi"/>
          <w:sz w:val="16"/>
          <w:szCs w:val="16"/>
          <w:lang w:val="es-AR"/>
        </w:rPr>
        <w:t xml:space="preserve"> </w:t>
      </w:r>
      <w:r w:rsidRPr="00F80736">
        <w:rPr>
          <w:rFonts w:asciiTheme="majorHAnsi" w:hAnsiTheme="majorHAnsi"/>
          <w:sz w:val="16"/>
          <w:szCs w:val="16"/>
          <w:lang w:val="es-US"/>
        </w:rPr>
        <w:t>Anexo 2.</w:t>
      </w:r>
      <w:r w:rsidRPr="00D93236">
        <w:rPr>
          <w:rFonts w:asciiTheme="majorHAnsi" w:hAnsiTheme="majorHAnsi"/>
          <w:sz w:val="16"/>
          <w:szCs w:val="16"/>
          <w:lang w:val="es-US"/>
        </w:rPr>
        <w:t xml:space="preserve"> </w:t>
      </w:r>
      <w:r w:rsidRPr="00D93236">
        <w:rPr>
          <w:rFonts w:asciiTheme="majorHAnsi" w:hAnsiTheme="majorHAnsi"/>
          <w:sz w:val="16"/>
          <w:szCs w:val="16"/>
          <w:lang w:val="es-AR"/>
        </w:rPr>
        <w:t xml:space="preserve">Sentencia del TOF 3. Capítulo XVI. B Conclusión. </w:t>
      </w:r>
      <w:r w:rsidRPr="00D93236">
        <w:rPr>
          <w:rFonts w:asciiTheme="majorHAnsi" w:hAnsiTheme="majorHAnsi"/>
          <w:sz w:val="16"/>
          <w:szCs w:val="16"/>
          <w:lang w:val="es-US"/>
        </w:rPr>
        <w:t xml:space="preserve">Págs. 4696 a 4705. </w:t>
      </w:r>
      <w:r w:rsidRPr="00D93236">
        <w:rPr>
          <w:rFonts w:asciiTheme="majorHAnsi" w:hAnsiTheme="majorHAnsi"/>
          <w:sz w:val="16"/>
          <w:szCs w:val="16"/>
          <w:lang w:val="es-AR"/>
        </w:rPr>
        <w:t>Anexo 1 a la comunicación de la parte peticionaria de fecha 11 de noviembre de 2019.</w:t>
      </w:r>
      <w:r w:rsidRPr="00D93236">
        <w:rPr>
          <w:rFonts w:asciiTheme="majorHAnsi" w:hAnsiTheme="majorHAnsi"/>
          <w:sz w:val="16"/>
          <w:szCs w:val="16"/>
          <w:lang w:val="es-US"/>
        </w:rPr>
        <w:t xml:space="preserve"> </w:t>
      </w:r>
    </w:p>
  </w:footnote>
  <w:footnote w:id="197">
    <w:p w14:paraId="7A2472F4" w14:textId="77777777" w:rsidR="005B3F8C" w:rsidRPr="00D93236" w:rsidRDefault="005B3F8C" w:rsidP="00E27260">
      <w:pPr>
        <w:pStyle w:val="FootnoteText"/>
        <w:jc w:val="both"/>
        <w:rPr>
          <w:rFonts w:asciiTheme="majorHAnsi" w:hAnsiTheme="majorHAnsi"/>
          <w:sz w:val="16"/>
          <w:szCs w:val="16"/>
          <w:lang w:val="es-US"/>
        </w:rPr>
      </w:pPr>
      <w:r w:rsidRPr="00D93236">
        <w:rPr>
          <w:rStyle w:val="FootnoteReference"/>
          <w:rFonts w:asciiTheme="majorHAnsi" w:hAnsiTheme="majorHAnsi"/>
          <w:sz w:val="16"/>
          <w:szCs w:val="16"/>
        </w:rPr>
        <w:footnoteRef/>
      </w:r>
      <w:r w:rsidRPr="00D93236">
        <w:rPr>
          <w:rFonts w:asciiTheme="majorHAnsi" w:hAnsiTheme="majorHAnsi"/>
          <w:sz w:val="16"/>
          <w:szCs w:val="16"/>
          <w:lang w:val="es-AR"/>
        </w:rPr>
        <w:t xml:space="preserve"> </w:t>
      </w:r>
      <w:r w:rsidRPr="00F80736">
        <w:rPr>
          <w:rFonts w:asciiTheme="majorHAnsi" w:hAnsiTheme="majorHAnsi"/>
          <w:sz w:val="16"/>
          <w:szCs w:val="16"/>
          <w:lang w:val="es-US"/>
        </w:rPr>
        <w:t>Anexo 2.</w:t>
      </w:r>
      <w:r w:rsidRPr="00D93236">
        <w:rPr>
          <w:rFonts w:asciiTheme="majorHAnsi" w:hAnsiTheme="majorHAnsi"/>
          <w:sz w:val="16"/>
          <w:szCs w:val="16"/>
          <w:lang w:val="es-US"/>
        </w:rPr>
        <w:t xml:space="preserve"> </w:t>
      </w:r>
      <w:r w:rsidRPr="00D93236">
        <w:rPr>
          <w:rFonts w:asciiTheme="majorHAnsi" w:hAnsiTheme="majorHAnsi"/>
          <w:sz w:val="16"/>
          <w:szCs w:val="16"/>
          <w:lang w:val="es-AR"/>
        </w:rPr>
        <w:t xml:space="preserve">Sentencia del TOF 3. Capítulo X.A. Derecho a la Verdad. </w:t>
      </w:r>
      <w:r w:rsidRPr="00D93236">
        <w:rPr>
          <w:rFonts w:asciiTheme="majorHAnsi" w:hAnsiTheme="majorHAnsi"/>
          <w:sz w:val="16"/>
          <w:szCs w:val="16"/>
          <w:lang w:val="es-US"/>
        </w:rPr>
        <w:t xml:space="preserve">Pág. 3751. </w:t>
      </w:r>
      <w:r w:rsidRPr="00D93236">
        <w:rPr>
          <w:rFonts w:asciiTheme="majorHAnsi" w:hAnsiTheme="majorHAnsi"/>
          <w:sz w:val="16"/>
          <w:szCs w:val="16"/>
          <w:lang w:val="es-AR"/>
        </w:rPr>
        <w:t>Anexo 1 a la comunicación de la parte peticionaria de fecha 11 de noviembre de 2019.</w:t>
      </w:r>
      <w:r w:rsidRPr="00D93236">
        <w:rPr>
          <w:rFonts w:asciiTheme="majorHAnsi" w:hAnsiTheme="majorHAnsi"/>
          <w:sz w:val="16"/>
          <w:szCs w:val="16"/>
          <w:lang w:val="es-US"/>
        </w:rPr>
        <w:t xml:space="preserve"> </w:t>
      </w:r>
    </w:p>
  </w:footnote>
  <w:footnote w:id="198">
    <w:p w14:paraId="635AF585" w14:textId="77777777" w:rsidR="005B3F8C" w:rsidRPr="00D93236" w:rsidRDefault="005B3F8C" w:rsidP="00E27260">
      <w:pPr>
        <w:pStyle w:val="FootnoteText"/>
        <w:jc w:val="both"/>
        <w:rPr>
          <w:rFonts w:asciiTheme="majorHAnsi" w:hAnsiTheme="majorHAnsi"/>
          <w:sz w:val="16"/>
          <w:szCs w:val="16"/>
          <w:lang w:val="es-AR"/>
        </w:rPr>
      </w:pPr>
      <w:r w:rsidRPr="00D93236">
        <w:rPr>
          <w:rStyle w:val="FootnoteReference"/>
          <w:rFonts w:asciiTheme="majorHAnsi" w:hAnsiTheme="majorHAnsi"/>
          <w:sz w:val="16"/>
          <w:szCs w:val="16"/>
        </w:rPr>
        <w:footnoteRef/>
      </w:r>
      <w:r w:rsidRPr="00D93236">
        <w:rPr>
          <w:rFonts w:asciiTheme="majorHAnsi" w:hAnsiTheme="majorHAnsi"/>
          <w:sz w:val="16"/>
          <w:szCs w:val="16"/>
          <w:lang w:val="es-AR"/>
        </w:rPr>
        <w:t xml:space="preserve"> </w:t>
      </w:r>
      <w:r w:rsidRPr="001978D3">
        <w:rPr>
          <w:rFonts w:asciiTheme="majorHAnsi" w:hAnsiTheme="majorHAnsi"/>
          <w:sz w:val="16"/>
          <w:szCs w:val="16"/>
          <w:lang w:val="es-US"/>
        </w:rPr>
        <w:t>Anexo 2.</w:t>
      </w:r>
      <w:r w:rsidRPr="00D93236">
        <w:rPr>
          <w:rFonts w:asciiTheme="majorHAnsi" w:hAnsiTheme="majorHAnsi"/>
          <w:sz w:val="16"/>
          <w:szCs w:val="16"/>
          <w:lang w:val="es-US"/>
        </w:rPr>
        <w:t xml:space="preserve"> </w:t>
      </w:r>
      <w:r w:rsidRPr="00D93236">
        <w:rPr>
          <w:rFonts w:asciiTheme="majorHAnsi" w:hAnsiTheme="majorHAnsi"/>
          <w:sz w:val="16"/>
          <w:szCs w:val="16"/>
          <w:lang w:val="es-AR"/>
        </w:rPr>
        <w:t xml:space="preserve">Sentencia del TOF 3. Capítulo X. C. </w:t>
      </w:r>
      <w:r w:rsidRPr="00D93236">
        <w:rPr>
          <w:rFonts w:asciiTheme="majorHAnsi" w:hAnsiTheme="majorHAnsi"/>
          <w:sz w:val="16"/>
          <w:szCs w:val="16"/>
          <w:lang w:val="es-US"/>
        </w:rPr>
        <w:t xml:space="preserve">Pág. 4546. </w:t>
      </w:r>
      <w:r w:rsidRPr="00D93236">
        <w:rPr>
          <w:rFonts w:asciiTheme="majorHAnsi" w:hAnsiTheme="majorHAnsi"/>
          <w:sz w:val="16"/>
          <w:szCs w:val="16"/>
          <w:lang w:val="es-AR"/>
        </w:rPr>
        <w:t>Anexo 1 a la comunicación de la parte peticionaria de fecha 11 de noviembre de 2019.</w:t>
      </w:r>
    </w:p>
  </w:footnote>
  <w:footnote w:id="199">
    <w:p w14:paraId="3389EB53" w14:textId="77777777" w:rsidR="005B3F8C" w:rsidRPr="00D93236" w:rsidRDefault="005B3F8C" w:rsidP="00E27260">
      <w:pPr>
        <w:pStyle w:val="FootnoteText"/>
        <w:jc w:val="both"/>
        <w:rPr>
          <w:rFonts w:asciiTheme="majorHAnsi" w:hAnsiTheme="majorHAnsi"/>
          <w:sz w:val="16"/>
          <w:szCs w:val="16"/>
          <w:lang w:val="es-AR"/>
        </w:rPr>
      </w:pPr>
      <w:r w:rsidRPr="00D93236">
        <w:rPr>
          <w:rStyle w:val="FootnoteReference"/>
          <w:rFonts w:asciiTheme="majorHAnsi" w:hAnsiTheme="majorHAnsi"/>
          <w:sz w:val="16"/>
          <w:szCs w:val="16"/>
        </w:rPr>
        <w:footnoteRef/>
      </w:r>
      <w:r w:rsidRPr="00D93236">
        <w:rPr>
          <w:rFonts w:asciiTheme="majorHAnsi" w:hAnsiTheme="majorHAnsi"/>
          <w:sz w:val="16"/>
          <w:szCs w:val="16"/>
          <w:lang w:val="es-AR"/>
        </w:rPr>
        <w:t xml:space="preserve"> </w:t>
      </w:r>
      <w:r w:rsidRPr="001978D3">
        <w:rPr>
          <w:rFonts w:asciiTheme="majorHAnsi" w:hAnsiTheme="majorHAnsi"/>
          <w:sz w:val="16"/>
          <w:szCs w:val="16"/>
          <w:lang w:val="es-US"/>
        </w:rPr>
        <w:t>Anexo 2.</w:t>
      </w:r>
      <w:r w:rsidRPr="00D93236">
        <w:rPr>
          <w:rFonts w:asciiTheme="majorHAnsi" w:hAnsiTheme="majorHAnsi"/>
          <w:sz w:val="16"/>
          <w:szCs w:val="16"/>
          <w:lang w:val="es-US"/>
        </w:rPr>
        <w:t xml:space="preserve"> </w:t>
      </w:r>
      <w:r w:rsidRPr="00D93236">
        <w:rPr>
          <w:rFonts w:asciiTheme="majorHAnsi" w:hAnsiTheme="majorHAnsi"/>
          <w:sz w:val="16"/>
          <w:szCs w:val="16"/>
          <w:lang w:val="es-AR"/>
        </w:rPr>
        <w:t xml:space="preserve">Sentencia del TOF 3. Capítulo X. C. </w:t>
      </w:r>
      <w:r w:rsidRPr="00D93236">
        <w:rPr>
          <w:rFonts w:asciiTheme="majorHAnsi" w:hAnsiTheme="majorHAnsi"/>
          <w:sz w:val="16"/>
          <w:szCs w:val="16"/>
          <w:lang w:val="es-US"/>
        </w:rPr>
        <w:t xml:space="preserve">Pág. 4547. </w:t>
      </w:r>
      <w:r w:rsidRPr="00D93236">
        <w:rPr>
          <w:rFonts w:asciiTheme="majorHAnsi" w:hAnsiTheme="majorHAnsi"/>
          <w:sz w:val="16"/>
          <w:szCs w:val="16"/>
          <w:lang w:val="es-AR"/>
        </w:rPr>
        <w:t>Anexo 1 a la comunicación de la parte peticionaria de fecha 11 de noviembre de 2019.</w:t>
      </w:r>
    </w:p>
  </w:footnote>
  <w:footnote w:id="200">
    <w:p w14:paraId="4D159A3B" w14:textId="77777777" w:rsidR="005B3F8C" w:rsidRPr="00D93236" w:rsidRDefault="005B3F8C" w:rsidP="00E27260">
      <w:pPr>
        <w:pStyle w:val="FootnoteText"/>
        <w:jc w:val="both"/>
        <w:rPr>
          <w:rFonts w:asciiTheme="majorHAnsi" w:hAnsiTheme="majorHAnsi"/>
          <w:sz w:val="16"/>
          <w:szCs w:val="16"/>
          <w:lang w:val="pt-BR"/>
        </w:rPr>
      </w:pPr>
      <w:r w:rsidRPr="00D93236">
        <w:rPr>
          <w:rStyle w:val="FootnoteReference"/>
          <w:rFonts w:asciiTheme="majorHAnsi" w:hAnsiTheme="majorHAnsi"/>
          <w:sz w:val="16"/>
          <w:szCs w:val="16"/>
        </w:rPr>
        <w:footnoteRef/>
      </w:r>
      <w:r w:rsidRPr="00D93236">
        <w:rPr>
          <w:rFonts w:asciiTheme="majorHAnsi" w:hAnsiTheme="majorHAnsi"/>
          <w:sz w:val="16"/>
          <w:szCs w:val="16"/>
          <w:lang w:val="pt-BR"/>
        </w:rPr>
        <w:t xml:space="preserve"> Ver </w:t>
      </w:r>
      <w:r w:rsidRPr="00D93236">
        <w:rPr>
          <w:rFonts w:asciiTheme="majorHAnsi" w:hAnsiTheme="majorHAnsi"/>
          <w:i/>
          <w:sz w:val="16"/>
          <w:szCs w:val="16"/>
          <w:lang w:val="pt-BR"/>
        </w:rPr>
        <w:t xml:space="preserve">supra </w:t>
      </w:r>
      <w:r w:rsidRPr="00D93236">
        <w:rPr>
          <w:rFonts w:asciiTheme="majorHAnsi" w:hAnsiTheme="majorHAnsi"/>
          <w:sz w:val="16"/>
          <w:szCs w:val="16"/>
          <w:lang w:val="pt-BR"/>
        </w:rPr>
        <w:t xml:space="preserve">parr 130 a 136. </w:t>
      </w:r>
    </w:p>
  </w:footnote>
  <w:footnote w:id="201">
    <w:p w14:paraId="50CAA36C" w14:textId="77777777" w:rsidR="005B3F8C" w:rsidRPr="00D93236" w:rsidRDefault="005B3F8C" w:rsidP="00E27260">
      <w:pPr>
        <w:pStyle w:val="FootnoteText"/>
        <w:jc w:val="both"/>
        <w:rPr>
          <w:rFonts w:asciiTheme="majorHAnsi" w:hAnsiTheme="majorHAnsi"/>
          <w:sz w:val="16"/>
          <w:szCs w:val="16"/>
          <w:lang w:val="es-AR"/>
        </w:rPr>
      </w:pPr>
      <w:r w:rsidRPr="00D93236">
        <w:rPr>
          <w:rStyle w:val="FootnoteReference"/>
          <w:rFonts w:asciiTheme="majorHAnsi" w:hAnsiTheme="majorHAnsi"/>
          <w:sz w:val="16"/>
          <w:szCs w:val="16"/>
        </w:rPr>
        <w:footnoteRef/>
      </w:r>
      <w:r w:rsidRPr="001F5F81">
        <w:rPr>
          <w:rFonts w:asciiTheme="majorHAnsi" w:hAnsiTheme="majorHAnsi"/>
          <w:sz w:val="16"/>
          <w:szCs w:val="16"/>
          <w:lang w:val="pt-BR"/>
        </w:rPr>
        <w:t>Anexo 2</w:t>
      </w:r>
      <w:r w:rsidRPr="001F5F81">
        <w:rPr>
          <w:rFonts w:asciiTheme="majorHAnsi" w:hAnsiTheme="majorHAnsi"/>
          <w:b/>
          <w:sz w:val="16"/>
          <w:szCs w:val="16"/>
          <w:lang w:val="pt-BR"/>
        </w:rPr>
        <w:t>.</w:t>
      </w:r>
      <w:r w:rsidRPr="001F5F81">
        <w:rPr>
          <w:rFonts w:asciiTheme="majorHAnsi" w:hAnsiTheme="majorHAnsi"/>
          <w:sz w:val="16"/>
          <w:szCs w:val="16"/>
          <w:lang w:val="pt-BR"/>
        </w:rPr>
        <w:t xml:space="preserve"> </w:t>
      </w:r>
      <w:r w:rsidRPr="00D93236">
        <w:rPr>
          <w:rFonts w:asciiTheme="majorHAnsi" w:hAnsiTheme="majorHAnsi"/>
          <w:sz w:val="16"/>
          <w:szCs w:val="16"/>
          <w:lang w:val="es-AR"/>
        </w:rPr>
        <w:t>Sente</w:t>
      </w:r>
      <w:r>
        <w:rPr>
          <w:rFonts w:asciiTheme="majorHAnsi" w:hAnsiTheme="majorHAnsi"/>
          <w:sz w:val="16"/>
          <w:szCs w:val="16"/>
          <w:lang w:val="es-AR"/>
        </w:rPr>
        <w:t>ncia del TOF 3. Capitulo VIII.E</w:t>
      </w:r>
      <w:r w:rsidRPr="00D93236">
        <w:rPr>
          <w:rFonts w:asciiTheme="majorHAnsi" w:hAnsiTheme="majorHAnsi"/>
          <w:sz w:val="16"/>
          <w:szCs w:val="16"/>
          <w:lang w:val="es-AR"/>
        </w:rPr>
        <w:t xml:space="preserve">. </w:t>
      </w:r>
      <w:r w:rsidRPr="00D93236">
        <w:rPr>
          <w:rFonts w:asciiTheme="majorHAnsi" w:hAnsiTheme="majorHAnsi"/>
          <w:sz w:val="16"/>
          <w:szCs w:val="16"/>
          <w:lang w:val="es-US"/>
        </w:rPr>
        <w:t xml:space="preserve">Págs. 3046 a 3048. </w:t>
      </w:r>
      <w:r w:rsidRPr="00D93236">
        <w:rPr>
          <w:rFonts w:asciiTheme="majorHAnsi" w:hAnsiTheme="majorHAnsi"/>
          <w:sz w:val="16"/>
          <w:szCs w:val="16"/>
          <w:lang w:val="es-AR"/>
        </w:rPr>
        <w:t xml:space="preserve">Anexo 1 a la comunicación de la parte peticionaria de fecha 11 de noviembre de 2019 </w:t>
      </w:r>
    </w:p>
  </w:footnote>
  <w:footnote w:id="202">
    <w:p w14:paraId="08EC45D9" w14:textId="77777777" w:rsidR="005B3F8C" w:rsidRPr="00D93236" w:rsidRDefault="005B3F8C" w:rsidP="00BF041B">
      <w:pPr>
        <w:pStyle w:val="FootnoteText"/>
        <w:jc w:val="both"/>
        <w:rPr>
          <w:rFonts w:asciiTheme="majorHAnsi" w:hAnsiTheme="majorHAnsi"/>
          <w:sz w:val="16"/>
          <w:szCs w:val="16"/>
          <w:lang w:val="es-AR"/>
        </w:rPr>
      </w:pPr>
      <w:r w:rsidRPr="00D93236">
        <w:rPr>
          <w:rStyle w:val="FootnoteReference"/>
          <w:rFonts w:asciiTheme="majorHAnsi" w:hAnsiTheme="majorHAnsi"/>
          <w:sz w:val="16"/>
          <w:szCs w:val="16"/>
        </w:rPr>
        <w:footnoteRef/>
      </w:r>
      <w:r w:rsidRPr="00D93236">
        <w:rPr>
          <w:rFonts w:asciiTheme="majorHAnsi" w:hAnsiTheme="majorHAnsi"/>
          <w:sz w:val="16"/>
          <w:szCs w:val="16"/>
          <w:lang w:val="es-AR"/>
        </w:rPr>
        <w:t xml:space="preserve"> </w:t>
      </w:r>
      <w:r w:rsidRPr="001978D3">
        <w:rPr>
          <w:rFonts w:asciiTheme="majorHAnsi" w:hAnsiTheme="majorHAnsi"/>
          <w:sz w:val="16"/>
          <w:szCs w:val="16"/>
          <w:lang w:val="es-AR"/>
        </w:rPr>
        <w:t>Anexo 1.</w:t>
      </w:r>
      <w:r w:rsidRPr="00D93236">
        <w:rPr>
          <w:rFonts w:asciiTheme="majorHAnsi" w:hAnsiTheme="majorHAnsi"/>
          <w:sz w:val="16"/>
          <w:szCs w:val="16"/>
          <w:lang w:val="es-AR"/>
        </w:rPr>
        <w:t xml:space="preserve"> “Informe Grossman”, pág. 76 a 78. Anexo 5 a la comunicación de la parte peticionaria de fecha 11 de noviembre de 2019</w:t>
      </w:r>
    </w:p>
  </w:footnote>
  <w:footnote w:id="203">
    <w:p w14:paraId="6B40409D" w14:textId="77777777" w:rsidR="005B3F8C" w:rsidRPr="00D93236" w:rsidRDefault="005B3F8C" w:rsidP="00BF041B">
      <w:pPr>
        <w:pStyle w:val="FootnoteText"/>
        <w:jc w:val="both"/>
        <w:rPr>
          <w:rFonts w:asciiTheme="majorHAnsi" w:hAnsiTheme="majorHAnsi"/>
          <w:sz w:val="16"/>
          <w:szCs w:val="16"/>
          <w:lang w:val="es-AR"/>
        </w:rPr>
      </w:pPr>
      <w:r w:rsidRPr="00D93236">
        <w:rPr>
          <w:rStyle w:val="FootnoteReference"/>
          <w:rFonts w:asciiTheme="majorHAnsi" w:hAnsiTheme="majorHAnsi"/>
          <w:sz w:val="16"/>
          <w:szCs w:val="16"/>
        </w:rPr>
        <w:footnoteRef/>
      </w:r>
      <w:r w:rsidRPr="00263B86">
        <w:rPr>
          <w:rFonts w:asciiTheme="majorHAnsi" w:hAnsiTheme="majorHAnsi"/>
          <w:sz w:val="16"/>
          <w:szCs w:val="16"/>
          <w:lang w:val="es-AR"/>
        </w:rPr>
        <w:t xml:space="preserve"> Anexo 1</w:t>
      </w:r>
      <w:r w:rsidRPr="00263B86">
        <w:rPr>
          <w:rFonts w:asciiTheme="majorHAnsi" w:hAnsiTheme="majorHAnsi"/>
          <w:b/>
          <w:sz w:val="16"/>
          <w:szCs w:val="16"/>
          <w:lang w:val="es-AR"/>
        </w:rPr>
        <w:t>.</w:t>
      </w:r>
      <w:r w:rsidRPr="00263B86">
        <w:rPr>
          <w:rFonts w:asciiTheme="majorHAnsi" w:hAnsiTheme="majorHAnsi"/>
          <w:sz w:val="16"/>
          <w:szCs w:val="16"/>
          <w:lang w:val="es-AR"/>
        </w:rPr>
        <w:t xml:space="preserve"> Informe Grossman”, pag 73.  </w:t>
      </w:r>
      <w:r w:rsidRPr="00D93236">
        <w:rPr>
          <w:rFonts w:asciiTheme="majorHAnsi" w:hAnsiTheme="majorHAnsi"/>
          <w:sz w:val="16"/>
          <w:szCs w:val="16"/>
          <w:lang w:val="es-AR"/>
        </w:rPr>
        <w:t>Anexo 5 a la comunicación de la parte peticionaria de fecha 11 de noviembre de 2019</w:t>
      </w:r>
    </w:p>
  </w:footnote>
  <w:footnote w:id="204">
    <w:p w14:paraId="1AFBBC60" w14:textId="77777777" w:rsidR="005B3F8C" w:rsidRPr="00D93236" w:rsidRDefault="005B3F8C" w:rsidP="00BF041B">
      <w:pPr>
        <w:pStyle w:val="FootnoteText"/>
        <w:jc w:val="both"/>
        <w:rPr>
          <w:rFonts w:asciiTheme="majorHAnsi" w:hAnsiTheme="majorHAnsi"/>
          <w:sz w:val="16"/>
          <w:szCs w:val="16"/>
          <w:lang w:val="es-AR"/>
        </w:rPr>
      </w:pPr>
      <w:r w:rsidRPr="00D93236">
        <w:rPr>
          <w:rStyle w:val="FootnoteReference"/>
          <w:rFonts w:asciiTheme="majorHAnsi" w:hAnsiTheme="majorHAnsi"/>
          <w:sz w:val="16"/>
          <w:szCs w:val="16"/>
        </w:rPr>
        <w:footnoteRef/>
      </w:r>
      <w:r w:rsidRPr="00D93236">
        <w:rPr>
          <w:rFonts w:asciiTheme="majorHAnsi" w:hAnsiTheme="majorHAnsi"/>
          <w:sz w:val="16"/>
          <w:szCs w:val="16"/>
          <w:lang w:val="es-AR"/>
        </w:rPr>
        <w:t xml:space="preserve"> Ley 20.195, art 8. Accesible en:  </w:t>
      </w:r>
      <w:r w:rsidRPr="00D93236">
        <w:rPr>
          <w:rFonts w:asciiTheme="majorHAnsi" w:eastAsia="Arial Unicode MS" w:hAnsiTheme="majorHAnsi" w:cs="Times New Roman"/>
          <w:color w:val="0000FF"/>
          <w:sz w:val="16"/>
          <w:szCs w:val="16"/>
          <w:u w:val="single"/>
          <w:lang w:val="es-AR" w:eastAsia="en-US"/>
        </w:rPr>
        <w:t>http://servicios.infoleg.gob.ar/infolegInternet/anexos/115000-119999/119720/norma.htm</w:t>
      </w:r>
    </w:p>
  </w:footnote>
  <w:footnote w:id="205">
    <w:p w14:paraId="467673BC" w14:textId="77777777" w:rsidR="005B3F8C" w:rsidRPr="00D93236" w:rsidRDefault="005B3F8C" w:rsidP="00BF041B">
      <w:pPr>
        <w:pStyle w:val="FootnoteText"/>
        <w:jc w:val="both"/>
        <w:rPr>
          <w:rFonts w:asciiTheme="majorHAnsi" w:hAnsiTheme="majorHAnsi"/>
          <w:sz w:val="16"/>
          <w:szCs w:val="16"/>
          <w:lang w:val="es-AR"/>
        </w:rPr>
      </w:pPr>
      <w:r w:rsidRPr="00D93236">
        <w:rPr>
          <w:rStyle w:val="FootnoteReference"/>
          <w:rFonts w:asciiTheme="majorHAnsi" w:hAnsiTheme="majorHAnsi"/>
          <w:sz w:val="16"/>
          <w:szCs w:val="16"/>
        </w:rPr>
        <w:footnoteRef/>
      </w:r>
      <w:r w:rsidRPr="00D93236">
        <w:rPr>
          <w:rFonts w:asciiTheme="majorHAnsi" w:hAnsiTheme="majorHAnsi"/>
          <w:sz w:val="16"/>
          <w:szCs w:val="16"/>
          <w:lang w:val="es-AR"/>
        </w:rPr>
        <w:t xml:space="preserve"> Ver, por ejemplo, declaración testimonial del Director de Finanzas de la Secretaria de Inteligencia del Estado durante la gestión de Hugo Anzorreguy, identificado como testigo de identidad reservada nro. 5: “</w:t>
      </w:r>
      <w:r w:rsidRPr="00D93236">
        <w:rPr>
          <w:rFonts w:asciiTheme="majorHAnsi" w:hAnsiTheme="majorHAnsi"/>
          <w:i/>
          <w:sz w:val="16"/>
          <w:szCs w:val="16"/>
          <w:lang w:val="es-AR"/>
        </w:rPr>
        <w:t>hubo una operación de 200 mil dólares que estaba como operación especial del señor secretario de inteligencia, por eso de eso no había documentación. Lo único que había es un acta secreta…, ‘en virtud del decreto 5315 se da por rendida la suma de 200 mil dólares</w:t>
      </w:r>
      <w:r w:rsidRPr="00D93236">
        <w:rPr>
          <w:rFonts w:asciiTheme="majorHAnsi" w:hAnsiTheme="majorHAnsi"/>
          <w:sz w:val="16"/>
          <w:szCs w:val="16"/>
          <w:lang w:val="es-AR"/>
        </w:rPr>
        <w:t xml:space="preserve">’”.  </w:t>
      </w:r>
      <w:r w:rsidRPr="001978D3">
        <w:rPr>
          <w:rFonts w:asciiTheme="majorHAnsi" w:hAnsiTheme="majorHAnsi"/>
          <w:sz w:val="16"/>
          <w:szCs w:val="16"/>
          <w:lang w:val="es-AR"/>
        </w:rPr>
        <w:t>Anexo 12.</w:t>
      </w:r>
      <w:r>
        <w:rPr>
          <w:rFonts w:asciiTheme="majorHAnsi" w:hAnsiTheme="majorHAnsi"/>
          <w:sz w:val="16"/>
          <w:szCs w:val="16"/>
          <w:lang w:val="es-AR"/>
        </w:rPr>
        <w:t xml:space="preserve"> Sentencia del Tribunal Oral en lo Criminal Federal Nro.</w:t>
      </w:r>
      <w:r w:rsidRPr="00D93236">
        <w:rPr>
          <w:rFonts w:asciiTheme="majorHAnsi" w:hAnsiTheme="majorHAnsi"/>
          <w:sz w:val="16"/>
          <w:szCs w:val="16"/>
          <w:lang w:val="es-AR"/>
        </w:rPr>
        <w:t xml:space="preserve"> 2. Pág. 640. Anexo 2 a la comunicación de la parte peticionaria de fecha 11 de noviembre de 2019.</w:t>
      </w:r>
    </w:p>
  </w:footnote>
  <w:footnote w:id="206">
    <w:p w14:paraId="4942CA5D" w14:textId="77777777" w:rsidR="005B3F8C" w:rsidRPr="00D93236" w:rsidRDefault="005B3F8C" w:rsidP="00BF041B">
      <w:pPr>
        <w:jc w:val="both"/>
        <w:rPr>
          <w:rFonts w:asciiTheme="majorHAnsi" w:eastAsia="Times New Roman" w:hAnsiTheme="majorHAnsi"/>
          <w:sz w:val="16"/>
          <w:szCs w:val="16"/>
          <w:lang w:val="es-ES"/>
        </w:rPr>
      </w:pPr>
      <w:r w:rsidRPr="00D93236">
        <w:rPr>
          <w:rStyle w:val="FootnoteReference"/>
          <w:rFonts w:asciiTheme="majorHAnsi" w:hAnsiTheme="majorHAnsi"/>
          <w:sz w:val="16"/>
          <w:szCs w:val="16"/>
        </w:rPr>
        <w:footnoteRef/>
      </w:r>
      <w:r w:rsidRPr="00D93236">
        <w:rPr>
          <w:rFonts w:asciiTheme="majorHAnsi" w:hAnsiTheme="majorHAnsi"/>
          <w:sz w:val="16"/>
          <w:szCs w:val="16"/>
          <w:lang w:val="es-US"/>
        </w:rPr>
        <w:t xml:space="preserve"> </w:t>
      </w:r>
      <w:r w:rsidRPr="00D93236">
        <w:rPr>
          <w:rFonts w:asciiTheme="majorHAnsi" w:hAnsiTheme="majorHAnsi"/>
          <w:sz w:val="16"/>
          <w:szCs w:val="16"/>
          <w:lang w:val="es-ES"/>
        </w:rPr>
        <w:t xml:space="preserve">Ley 20.195 de fecha 28 de febrero de 1973. Accesible en: </w:t>
      </w:r>
      <w:r w:rsidRPr="00D93236">
        <w:rPr>
          <w:rFonts w:asciiTheme="majorHAnsi" w:eastAsia="Times New Roman" w:hAnsiTheme="majorHAnsi"/>
          <w:color w:val="0000FF"/>
          <w:sz w:val="16"/>
          <w:szCs w:val="16"/>
          <w:u w:val="single"/>
          <w:lang w:val="es-ES"/>
        </w:rPr>
        <w:t>http://servicios.infoleg.gob.ar/infolegInternet/verNorma.do?id=119720</w:t>
      </w:r>
    </w:p>
  </w:footnote>
  <w:footnote w:id="207">
    <w:p w14:paraId="225A2E2D" w14:textId="77777777" w:rsidR="005B3F8C" w:rsidRPr="00D93236" w:rsidRDefault="005B3F8C" w:rsidP="00BF041B">
      <w:pPr>
        <w:pStyle w:val="FootnoteText"/>
        <w:jc w:val="both"/>
        <w:rPr>
          <w:rFonts w:asciiTheme="majorHAnsi" w:hAnsiTheme="majorHAnsi"/>
          <w:sz w:val="16"/>
          <w:szCs w:val="16"/>
          <w:lang w:val="es-US"/>
        </w:rPr>
      </w:pPr>
      <w:r w:rsidRPr="00D93236">
        <w:rPr>
          <w:rStyle w:val="FootnoteReference"/>
          <w:rFonts w:asciiTheme="majorHAnsi" w:hAnsiTheme="majorHAnsi"/>
          <w:sz w:val="16"/>
          <w:szCs w:val="16"/>
        </w:rPr>
        <w:footnoteRef/>
      </w:r>
      <w:r w:rsidRPr="00D93236">
        <w:rPr>
          <w:rFonts w:asciiTheme="majorHAnsi" w:hAnsiTheme="majorHAnsi"/>
          <w:sz w:val="16"/>
          <w:szCs w:val="16"/>
          <w:lang w:val="es-AR"/>
        </w:rPr>
        <w:t xml:space="preserve"> </w:t>
      </w:r>
      <w:r w:rsidRPr="00D93236">
        <w:rPr>
          <w:rFonts w:asciiTheme="majorHAnsi" w:hAnsiTheme="majorHAnsi"/>
          <w:sz w:val="16"/>
          <w:szCs w:val="16"/>
          <w:lang w:val="es-US"/>
        </w:rPr>
        <w:t xml:space="preserve">Para un relato de las solicitudes cursadas por el TOF 3 a partir de septiembre de 2001 y de las respuestas negativas proporcionadas por las entonces autoridades de la SIDE, ver: </w:t>
      </w:r>
      <w:r w:rsidRPr="001978D3">
        <w:rPr>
          <w:rFonts w:asciiTheme="majorHAnsi" w:hAnsiTheme="majorHAnsi"/>
          <w:sz w:val="16"/>
          <w:szCs w:val="16"/>
          <w:lang w:val="es-US"/>
        </w:rPr>
        <w:t>Anexo 2.</w:t>
      </w:r>
      <w:r w:rsidRPr="00D93236">
        <w:rPr>
          <w:rFonts w:asciiTheme="majorHAnsi" w:hAnsiTheme="majorHAnsi"/>
          <w:sz w:val="16"/>
          <w:szCs w:val="16"/>
          <w:lang w:val="es-US"/>
        </w:rPr>
        <w:t xml:space="preserve"> </w:t>
      </w:r>
      <w:r w:rsidRPr="00D93236">
        <w:rPr>
          <w:rFonts w:asciiTheme="majorHAnsi" w:hAnsiTheme="majorHAnsi"/>
          <w:sz w:val="16"/>
          <w:szCs w:val="16"/>
          <w:lang w:val="es-AR"/>
        </w:rPr>
        <w:t xml:space="preserve">Sentencia del TOF 3. Capitulo VIII.V. </w:t>
      </w:r>
      <w:r w:rsidRPr="00D93236">
        <w:rPr>
          <w:rFonts w:asciiTheme="majorHAnsi" w:hAnsiTheme="majorHAnsi"/>
          <w:sz w:val="16"/>
          <w:szCs w:val="16"/>
          <w:lang w:val="es-US"/>
        </w:rPr>
        <w:t xml:space="preserve">Págs. 3588 a 3610. </w:t>
      </w:r>
      <w:r w:rsidRPr="00D93236">
        <w:rPr>
          <w:rFonts w:asciiTheme="majorHAnsi" w:hAnsiTheme="majorHAnsi"/>
          <w:sz w:val="16"/>
          <w:szCs w:val="16"/>
          <w:lang w:val="es-AR"/>
        </w:rPr>
        <w:t>Anexo 1 a la comunicación de la parte peticionaria de fecha 11 de noviembre de 2019.</w:t>
      </w:r>
    </w:p>
  </w:footnote>
  <w:footnote w:id="208">
    <w:p w14:paraId="78AA2666" w14:textId="77777777" w:rsidR="005B3F8C" w:rsidRPr="00D93236" w:rsidRDefault="005B3F8C" w:rsidP="00BF041B">
      <w:pPr>
        <w:pStyle w:val="FootnoteText"/>
        <w:jc w:val="both"/>
        <w:rPr>
          <w:rFonts w:asciiTheme="majorHAnsi" w:hAnsiTheme="majorHAnsi"/>
          <w:sz w:val="16"/>
          <w:szCs w:val="16"/>
          <w:lang w:val="es-US"/>
        </w:rPr>
      </w:pPr>
      <w:r w:rsidRPr="00D93236">
        <w:rPr>
          <w:rStyle w:val="FootnoteReference"/>
          <w:rFonts w:asciiTheme="majorHAnsi" w:hAnsiTheme="majorHAnsi"/>
          <w:sz w:val="16"/>
          <w:szCs w:val="16"/>
        </w:rPr>
        <w:footnoteRef/>
      </w:r>
      <w:r w:rsidRPr="00D93236">
        <w:rPr>
          <w:rFonts w:asciiTheme="majorHAnsi" w:hAnsiTheme="majorHAnsi"/>
          <w:sz w:val="16"/>
          <w:szCs w:val="16"/>
          <w:lang w:val="es-AR"/>
        </w:rPr>
        <w:t xml:space="preserve"> </w:t>
      </w:r>
      <w:r w:rsidRPr="001978D3">
        <w:rPr>
          <w:rFonts w:asciiTheme="majorHAnsi" w:hAnsiTheme="majorHAnsi"/>
          <w:sz w:val="16"/>
          <w:szCs w:val="16"/>
          <w:lang w:val="es-US"/>
        </w:rPr>
        <w:t>Anexo 2</w:t>
      </w:r>
      <w:r>
        <w:rPr>
          <w:rFonts w:asciiTheme="majorHAnsi" w:hAnsiTheme="majorHAnsi"/>
          <w:b/>
          <w:sz w:val="16"/>
          <w:szCs w:val="16"/>
          <w:lang w:val="es-US"/>
        </w:rPr>
        <w:t>.</w:t>
      </w:r>
      <w:r w:rsidRPr="00D93236">
        <w:rPr>
          <w:rFonts w:asciiTheme="majorHAnsi" w:hAnsiTheme="majorHAnsi"/>
          <w:sz w:val="16"/>
          <w:szCs w:val="16"/>
          <w:lang w:val="es-US"/>
        </w:rPr>
        <w:t xml:space="preserve"> </w:t>
      </w:r>
      <w:r w:rsidRPr="00D93236">
        <w:rPr>
          <w:rFonts w:asciiTheme="majorHAnsi" w:hAnsiTheme="majorHAnsi"/>
          <w:sz w:val="16"/>
          <w:szCs w:val="16"/>
          <w:lang w:val="es-AR"/>
        </w:rPr>
        <w:t xml:space="preserve">Sentencia del TOF 3. Capitulo VIII.B. </w:t>
      </w:r>
      <w:r w:rsidRPr="00D93236">
        <w:rPr>
          <w:rFonts w:asciiTheme="majorHAnsi" w:hAnsiTheme="majorHAnsi"/>
          <w:sz w:val="16"/>
          <w:szCs w:val="16"/>
          <w:lang w:val="es-US"/>
        </w:rPr>
        <w:t xml:space="preserve">Págs 2979 y 2980. </w:t>
      </w:r>
      <w:r w:rsidRPr="00D93236">
        <w:rPr>
          <w:rFonts w:asciiTheme="majorHAnsi" w:hAnsiTheme="majorHAnsi"/>
          <w:sz w:val="16"/>
          <w:szCs w:val="16"/>
          <w:lang w:val="es-AR"/>
        </w:rPr>
        <w:t>Anexo 1 a la comunicación de la parte peticionaria de fecha 11 de noviembre de 2019.</w:t>
      </w:r>
    </w:p>
  </w:footnote>
  <w:footnote w:id="209">
    <w:p w14:paraId="328FFDC8" w14:textId="77777777" w:rsidR="005B3F8C" w:rsidRPr="00D93236" w:rsidRDefault="005B3F8C" w:rsidP="00E27260">
      <w:pPr>
        <w:pStyle w:val="FootnoteText"/>
        <w:jc w:val="both"/>
        <w:rPr>
          <w:rFonts w:asciiTheme="majorHAnsi" w:hAnsiTheme="majorHAnsi"/>
          <w:sz w:val="16"/>
          <w:szCs w:val="16"/>
          <w:lang w:val="es-AR"/>
        </w:rPr>
      </w:pPr>
      <w:r w:rsidRPr="00D93236">
        <w:rPr>
          <w:rStyle w:val="FootnoteReference"/>
          <w:rFonts w:asciiTheme="majorHAnsi" w:hAnsiTheme="majorHAnsi"/>
          <w:sz w:val="16"/>
          <w:szCs w:val="16"/>
        </w:rPr>
        <w:footnoteRef/>
      </w:r>
      <w:r w:rsidRPr="00D93236">
        <w:rPr>
          <w:rFonts w:asciiTheme="majorHAnsi" w:hAnsiTheme="majorHAnsi"/>
          <w:sz w:val="16"/>
          <w:szCs w:val="16"/>
        </w:rPr>
        <w:t xml:space="preserve"> United Nations. Human Rights Council. </w:t>
      </w:r>
      <w:r w:rsidRPr="00D93236">
        <w:rPr>
          <w:rFonts w:asciiTheme="majorHAnsi" w:hAnsiTheme="majorHAnsi"/>
          <w:i/>
          <w:sz w:val="16"/>
          <w:szCs w:val="16"/>
        </w:rPr>
        <w:t>Report of the Special Rapporteur on the promotion and protection of human rights and fundamental freedoms while countering terrorism, Martin Scheinin</w:t>
      </w:r>
      <w:r w:rsidRPr="00D93236">
        <w:rPr>
          <w:rFonts w:asciiTheme="majorHAnsi" w:hAnsiTheme="majorHAnsi"/>
          <w:sz w:val="16"/>
          <w:szCs w:val="16"/>
        </w:rPr>
        <w:t xml:space="preserve">. </w:t>
      </w:r>
      <w:r w:rsidRPr="00D93236">
        <w:rPr>
          <w:rFonts w:asciiTheme="majorHAnsi" w:hAnsiTheme="majorHAnsi"/>
          <w:sz w:val="16"/>
          <w:szCs w:val="16"/>
          <w:lang w:val="es-AR"/>
        </w:rPr>
        <w:t xml:space="preserve">A/HRC/10/3. 4 February 2009. Párr. 26. Accesible en: </w:t>
      </w:r>
      <w:r w:rsidRPr="00D93236">
        <w:rPr>
          <w:rFonts w:asciiTheme="majorHAnsi" w:eastAsia="Arial Unicode MS" w:hAnsiTheme="majorHAnsi" w:cs="Times New Roman"/>
          <w:color w:val="0000FF"/>
          <w:sz w:val="16"/>
          <w:szCs w:val="16"/>
          <w:u w:val="single"/>
          <w:lang w:val="es-AR" w:eastAsia="en-US"/>
        </w:rPr>
        <w:t>https://documents-dds-ny.un.org/doc/UNDOC/GEN/G09/106/25/PDF/G0910625.pdf?OpenElement</w:t>
      </w:r>
      <w:r w:rsidRPr="00D93236">
        <w:rPr>
          <w:rFonts w:asciiTheme="majorHAnsi" w:eastAsia="Arial Unicode MS" w:hAnsiTheme="majorHAnsi" w:cs="Times New Roman"/>
          <w:color w:val="auto"/>
          <w:sz w:val="16"/>
          <w:szCs w:val="16"/>
          <w:lang w:val="es-AR" w:eastAsia="en-US"/>
        </w:rPr>
        <w:t xml:space="preserve"> </w:t>
      </w:r>
    </w:p>
  </w:footnote>
  <w:footnote w:id="210">
    <w:p w14:paraId="5907BCB1" w14:textId="77777777" w:rsidR="005B3F8C" w:rsidRPr="00EB6CB8" w:rsidRDefault="005B3F8C" w:rsidP="00E27260">
      <w:pPr>
        <w:pStyle w:val="FootnoteText"/>
        <w:jc w:val="both"/>
        <w:rPr>
          <w:rFonts w:ascii="Cambria" w:hAnsi="Cambria"/>
          <w:sz w:val="16"/>
          <w:szCs w:val="16"/>
          <w:lang w:val="es-AR"/>
        </w:rPr>
      </w:pPr>
      <w:r w:rsidRPr="00D93236">
        <w:rPr>
          <w:rStyle w:val="FootnoteReference"/>
          <w:rFonts w:asciiTheme="majorHAnsi" w:hAnsiTheme="majorHAnsi"/>
          <w:sz w:val="16"/>
          <w:szCs w:val="16"/>
        </w:rPr>
        <w:footnoteRef/>
      </w:r>
      <w:r w:rsidRPr="00D93236">
        <w:rPr>
          <w:rFonts w:asciiTheme="majorHAnsi" w:hAnsiTheme="majorHAnsi"/>
          <w:sz w:val="16"/>
          <w:szCs w:val="16"/>
          <w:lang w:val="es-AR"/>
        </w:rPr>
        <w:t xml:space="preserve"> Naciones Unidas. Consejo de Derechos Humanos. Informe de Martin Scheinin, Relator Especial sobre la promoción y la protección de los derechos humanos y las libertades fundamentales en la lucha contra el terrorismo. </w:t>
      </w:r>
      <w:r w:rsidRPr="00D93236">
        <w:rPr>
          <w:rFonts w:asciiTheme="majorHAnsi" w:hAnsiTheme="majorHAnsi"/>
          <w:i/>
          <w:sz w:val="16"/>
          <w:szCs w:val="16"/>
          <w:lang w:val="es-AR"/>
        </w:rPr>
        <w:t xml:space="preserve">Recopilación de buenas prácticas relacionadas con los marcos y las medidas de carácter jurídico e institucional que permitan garantizar el respeto de los derechos humanos por los servicios de </w:t>
      </w:r>
      <w:r w:rsidRPr="00EB6CB8">
        <w:rPr>
          <w:rFonts w:ascii="Cambria" w:hAnsi="Cambria"/>
          <w:i/>
          <w:sz w:val="16"/>
          <w:szCs w:val="16"/>
          <w:lang w:val="es-AR"/>
        </w:rPr>
        <w:t>inteligencia en la lucha contra el terrorismo, particularmente en lo que respecta a su supervisión.</w:t>
      </w:r>
      <w:r w:rsidRPr="00EB6CB8">
        <w:rPr>
          <w:rFonts w:ascii="Cambria" w:hAnsi="Cambria"/>
          <w:sz w:val="16"/>
          <w:szCs w:val="16"/>
          <w:lang w:val="es-AR"/>
        </w:rPr>
        <w:t xml:space="preserve"> A/HRC/14/46. 17 de mayo de 2010. Párr. 41. Accesible en </w:t>
      </w:r>
      <w:r w:rsidRPr="00EB6CB8">
        <w:rPr>
          <w:rFonts w:ascii="Cambria" w:eastAsia="Arial Unicode MS" w:hAnsi="Cambria" w:cs="Times New Roman"/>
          <w:color w:val="0000FF"/>
          <w:sz w:val="16"/>
          <w:szCs w:val="16"/>
          <w:u w:val="single"/>
          <w:lang w:val="es-US" w:eastAsia="en-US"/>
        </w:rPr>
        <w:t>https://documents-dds-ny.un.org/doc/UNDOC/GEN/G10/134/13/PDF/G1013413.pdf?OpenElement</w:t>
      </w:r>
    </w:p>
  </w:footnote>
  <w:footnote w:id="211">
    <w:p w14:paraId="18DEC6BE" w14:textId="77777777" w:rsidR="005B3F8C" w:rsidRPr="00EB6CB8" w:rsidRDefault="005B3F8C">
      <w:pPr>
        <w:pStyle w:val="FootnoteText"/>
        <w:rPr>
          <w:lang w:val="es-AR"/>
        </w:rPr>
      </w:pPr>
      <w:r w:rsidRPr="00EB6CB8">
        <w:rPr>
          <w:rStyle w:val="FootnoteReference"/>
          <w:rFonts w:ascii="Cambria" w:hAnsi="Cambria"/>
          <w:sz w:val="16"/>
          <w:szCs w:val="16"/>
        </w:rPr>
        <w:footnoteRef/>
      </w:r>
      <w:r w:rsidRPr="00EB6CB8">
        <w:rPr>
          <w:rFonts w:ascii="Cambria" w:hAnsi="Cambria"/>
          <w:sz w:val="16"/>
          <w:szCs w:val="16"/>
          <w:lang w:val="es-AR"/>
        </w:rPr>
        <w:t xml:space="preserve"> CIDH, Informe No. 22/15, Caso 12.792. Fondo. María Luisa Acosta y otros. Nicaragua. March 26, 2015. Parr 92.</w:t>
      </w:r>
      <w:r>
        <w:rPr>
          <w:lang w:val="es-AR"/>
        </w:rPr>
        <w:t xml:space="preserve"> </w:t>
      </w:r>
    </w:p>
  </w:footnote>
  <w:footnote w:id="212">
    <w:p w14:paraId="357B24D7" w14:textId="77777777" w:rsidR="005B3F8C" w:rsidRPr="00D93236" w:rsidRDefault="005B3F8C" w:rsidP="00E27260">
      <w:pPr>
        <w:pStyle w:val="FootnoteText"/>
        <w:jc w:val="both"/>
        <w:rPr>
          <w:rFonts w:asciiTheme="majorHAnsi" w:hAnsiTheme="majorHAnsi"/>
          <w:sz w:val="16"/>
          <w:szCs w:val="16"/>
          <w:lang w:val="es-AR"/>
        </w:rPr>
      </w:pPr>
      <w:r w:rsidRPr="00D93236">
        <w:rPr>
          <w:rStyle w:val="FootnoteReference"/>
          <w:rFonts w:asciiTheme="majorHAnsi" w:hAnsiTheme="majorHAnsi"/>
          <w:sz w:val="16"/>
          <w:szCs w:val="16"/>
          <w:lang w:val="es-ES"/>
        </w:rPr>
        <w:footnoteRef/>
      </w:r>
      <w:r w:rsidRPr="00D93236">
        <w:rPr>
          <w:rFonts w:asciiTheme="majorHAnsi" w:hAnsiTheme="majorHAnsi"/>
          <w:sz w:val="16"/>
          <w:szCs w:val="16"/>
          <w:lang w:val="es-US"/>
        </w:rPr>
        <w:t xml:space="preserve"> </w:t>
      </w:r>
      <w:r w:rsidRPr="001978D3">
        <w:rPr>
          <w:rFonts w:asciiTheme="majorHAnsi" w:hAnsiTheme="majorHAnsi"/>
          <w:sz w:val="16"/>
          <w:szCs w:val="16"/>
          <w:lang w:val="es-US"/>
        </w:rPr>
        <w:t>Anexo 2.</w:t>
      </w:r>
      <w:r w:rsidRPr="00D93236">
        <w:rPr>
          <w:rFonts w:asciiTheme="majorHAnsi" w:hAnsiTheme="majorHAnsi"/>
          <w:sz w:val="16"/>
          <w:szCs w:val="16"/>
          <w:lang w:val="es-US"/>
        </w:rPr>
        <w:t xml:space="preserve"> </w:t>
      </w:r>
      <w:r w:rsidRPr="00D93236">
        <w:rPr>
          <w:rFonts w:asciiTheme="majorHAnsi" w:hAnsiTheme="majorHAnsi"/>
          <w:sz w:val="16"/>
          <w:szCs w:val="16"/>
          <w:lang w:val="es-ES"/>
        </w:rPr>
        <w:t>Sentencia del TOF 3. Capítulo VIII.B. Págs 2974 y 2995. Anexo 1 a la comunicación</w:t>
      </w:r>
      <w:r w:rsidRPr="00D93236">
        <w:rPr>
          <w:rFonts w:asciiTheme="majorHAnsi" w:hAnsiTheme="majorHAnsi"/>
          <w:sz w:val="16"/>
          <w:szCs w:val="16"/>
          <w:lang w:val="es-AR"/>
        </w:rPr>
        <w:t xml:space="preserve"> de la parte peticionaria de fecha 11 de noviembre de 2019</w:t>
      </w:r>
    </w:p>
  </w:footnote>
  <w:footnote w:id="213">
    <w:p w14:paraId="50412053" w14:textId="77777777" w:rsidR="005B3F8C" w:rsidRPr="00D93236" w:rsidRDefault="005B3F8C" w:rsidP="00E27260">
      <w:pPr>
        <w:pStyle w:val="FootnoteText"/>
        <w:jc w:val="both"/>
        <w:rPr>
          <w:rFonts w:asciiTheme="majorHAnsi" w:hAnsiTheme="majorHAnsi"/>
          <w:sz w:val="16"/>
          <w:szCs w:val="16"/>
          <w:lang w:val="es-AR"/>
        </w:rPr>
      </w:pPr>
      <w:r w:rsidRPr="00D93236">
        <w:rPr>
          <w:rStyle w:val="FootnoteReference"/>
          <w:rFonts w:asciiTheme="majorHAnsi" w:hAnsiTheme="majorHAnsi"/>
          <w:sz w:val="16"/>
          <w:szCs w:val="16"/>
        </w:rPr>
        <w:footnoteRef/>
      </w:r>
      <w:r w:rsidRPr="00D93236">
        <w:rPr>
          <w:rFonts w:asciiTheme="majorHAnsi" w:hAnsiTheme="majorHAnsi"/>
          <w:sz w:val="16"/>
          <w:szCs w:val="16"/>
          <w:lang w:val="es-AR"/>
        </w:rPr>
        <w:t xml:space="preserve"> Ver al respecto: </w:t>
      </w:r>
      <w:r w:rsidRPr="001978D3">
        <w:rPr>
          <w:rFonts w:asciiTheme="majorHAnsi" w:hAnsiTheme="majorHAnsi"/>
          <w:sz w:val="16"/>
          <w:szCs w:val="16"/>
          <w:lang w:val="es-AR"/>
        </w:rPr>
        <w:t>Anexo 11</w:t>
      </w:r>
      <w:r w:rsidRPr="00D93236">
        <w:rPr>
          <w:rFonts w:asciiTheme="majorHAnsi" w:hAnsiTheme="majorHAnsi"/>
          <w:b/>
          <w:sz w:val="16"/>
          <w:szCs w:val="16"/>
          <w:lang w:val="es-AR"/>
        </w:rPr>
        <w:t>.</w:t>
      </w:r>
      <w:r>
        <w:rPr>
          <w:rFonts w:asciiTheme="majorHAnsi" w:hAnsiTheme="majorHAnsi"/>
          <w:sz w:val="16"/>
          <w:szCs w:val="16"/>
          <w:lang w:val="es-AR"/>
        </w:rPr>
        <w:t xml:space="preserve"> </w:t>
      </w:r>
      <w:r w:rsidRPr="00D93236">
        <w:rPr>
          <w:rFonts w:asciiTheme="majorHAnsi" w:hAnsiTheme="majorHAnsi"/>
          <w:sz w:val="16"/>
          <w:szCs w:val="16"/>
          <w:lang w:val="es-AR"/>
        </w:rPr>
        <w:t xml:space="preserve">Informe de Gestión de la UFI AMIA Julio 2016. Introducción. Anexo 13 a la comunicación de la parte peticionaria de fecha 11 de noviembre de 2019. </w:t>
      </w:r>
    </w:p>
  </w:footnote>
  <w:footnote w:id="214">
    <w:p w14:paraId="6D81F048" w14:textId="77777777" w:rsidR="005B3F8C" w:rsidRPr="00D93236" w:rsidRDefault="005B3F8C" w:rsidP="00E27260">
      <w:pPr>
        <w:pStyle w:val="FootnoteText"/>
        <w:jc w:val="both"/>
        <w:rPr>
          <w:rFonts w:asciiTheme="majorHAnsi" w:hAnsiTheme="majorHAnsi"/>
          <w:sz w:val="16"/>
          <w:szCs w:val="16"/>
          <w:lang w:val="es-AR"/>
        </w:rPr>
      </w:pPr>
      <w:r w:rsidRPr="00D93236">
        <w:rPr>
          <w:rStyle w:val="FootnoteReference"/>
          <w:rFonts w:asciiTheme="majorHAnsi" w:hAnsiTheme="majorHAnsi"/>
          <w:sz w:val="16"/>
          <w:szCs w:val="16"/>
        </w:rPr>
        <w:footnoteRef/>
      </w:r>
      <w:r w:rsidRPr="00D93236">
        <w:rPr>
          <w:rFonts w:asciiTheme="majorHAnsi" w:hAnsiTheme="majorHAnsi"/>
          <w:sz w:val="16"/>
          <w:szCs w:val="16"/>
          <w:lang w:val="es-AR"/>
        </w:rPr>
        <w:t xml:space="preserve"> </w:t>
      </w:r>
      <w:r w:rsidRPr="001978D3">
        <w:rPr>
          <w:rFonts w:asciiTheme="majorHAnsi" w:hAnsiTheme="majorHAnsi"/>
          <w:sz w:val="16"/>
          <w:szCs w:val="16"/>
          <w:lang w:val="es-AR"/>
        </w:rPr>
        <w:t>Anexo 5.</w:t>
      </w:r>
      <w:r>
        <w:rPr>
          <w:rFonts w:asciiTheme="majorHAnsi" w:hAnsiTheme="majorHAnsi"/>
          <w:sz w:val="16"/>
          <w:szCs w:val="16"/>
          <w:lang w:val="es-AR"/>
        </w:rPr>
        <w:t xml:space="preserve"> Dictamen UFI AMIA 2006. </w:t>
      </w:r>
      <w:r w:rsidRPr="00D93236">
        <w:rPr>
          <w:rFonts w:asciiTheme="majorHAnsi" w:hAnsiTheme="majorHAnsi"/>
          <w:sz w:val="16"/>
          <w:szCs w:val="16"/>
          <w:lang w:val="es-AR"/>
        </w:rPr>
        <w:t xml:space="preserve">Pág. 781. Anexo 12 a la comunicación de la parte peticionaria de fecha 11 de noviembre de 2019.  </w:t>
      </w:r>
    </w:p>
  </w:footnote>
  <w:footnote w:id="215">
    <w:p w14:paraId="2CEBFC15" w14:textId="77777777" w:rsidR="005B3F8C" w:rsidRPr="00D93236" w:rsidRDefault="005B3F8C" w:rsidP="00E27260">
      <w:pPr>
        <w:pStyle w:val="FootnoteText"/>
        <w:jc w:val="both"/>
        <w:rPr>
          <w:rFonts w:asciiTheme="majorHAnsi" w:hAnsiTheme="majorHAnsi"/>
          <w:sz w:val="16"/>
          <w:szCs w:val="16"/>
          <w:lang w:val="es-AR"/>
        </w:rPr>
      </w:pPr>
      <w:r w:rsidRPr="00D93236">
        <w:rPr>
          <w:rStyle w:val="FootnoteReference"/>
          <w:rFonts w:asciiTheme="majorHAnsi" w:hAnsiTheme="majorHAnsi"/>
          <w:sz w:val="16"/>
          <w:szCs w:val="16"/>
        </w:rPr>
        <w:footnoteRef/>
      </w:r>
      <w:r w:rsidRPr="00D93236">
        <w:rPr>
          <w:rFonts w:asciiTheme="majorHAnsi" w:hAnsiTheme="majorHAnsi"/>
          <w:sz w:val="16"/>
          <w:szCs w:val="16"/>
          <w:lang w:val="es-AR"/>
        </w:rPr>
        <w:t xml:space="preserve"> </w:t>
      </w:r>
      <w:r w:rsidRPr="001978D3">
        <w:rPr>
          <w:rFonts w:asciiTheme="majorHAnsi" w:hAnsiTheme="majorHAnsi"/>
          <w:sz w:val="16"/>
          <w:szCs w:val="16"/>
          <w:lang w:val="es-AR"/>
        </w:rPr>
        <w:t>Anexo 5</w:t>
      </w:r>
      <w:r w:rsidRPr="00D93236">
        <w:rPr>
          <w:rFonts w:asciiTheme="majorHAnsi" w:hAnsiTheme="majorHAnsi"/>
          <w:b/>
          <w:sz w:val="16"/>
          <w:szCs w:val="16"/>
          <w:lang w:val="es-AR"/>
        </w:rPr>
        <w:t>.</w:t>
      </w:r>
      <w:r w:rsidRPr="00D93236">
        <w:rPr>
          <w:rFonts w:asciiTheme="majorHAnsi" w:hAnsiTheme="majorHAnsi"/>
          <w:sz w:val="16"/>
          <w:szCs w:val="16"/>
          <w:lang w:val="es-AR"/>
        </w:rPr>
        <w:t xml:space="preserve"> </w:t>
      </w:r>
      <w:r>
        <w:rPr>
          <w:rFonts w:asciiTheme="majorHAnsi" w:hAnsiTheme="majorHAnsi"/>
          <w:sz w:val="16"/>
          <w:szCs w:val="16"/>
          <w:lang w:val="es-AR"/>
        </w:rPr>
        <w:t xml:space="preserve">Dictamen UFI AMIA 2006. </w:t>
      </w:r>
      <w:r w:rsidRPr="00D93236">
        <w:rPr>
          <w:rFonts w:asciiTheme="majorHAnsi" w:hAnsiTheme="majorHAnsi"/>
          <w:sz w:val="16"/>
          <w:szCs w:val="16"/>
          <w:lang w:val="es-AR"/>
        </w:rPr>
        <w:t xml:space="preserve">Pág 692.  Anexo 12 a la comunicación de la parte peticionaria de fecha 11 de noviembre de 2019.  </w:t>
      </w:r>
    </w:p>
  </w:footnote>
  <w:footnote w:id="216">
    <w:p w14:paraId="74328A44" w14:textId="77777777" w:rsidR="005B3F8C" w:rsidRPr="00D93236" w:rsidRDefault="005B3F8C" w:rsidP="00E27260">
      <w:pPr>
        <w:pStyle w:val="FootnoteText"/>
        <w:jc w:val="both"/>
        <w:rPr>
          <w:rFonts w:asciiTheme="majorHAnsi" w:hAnsiTheme="majorHAnsi"/>
          <w:sz w:val="16"/>
          <w:szCs w:val="16"/>
          <w:lang w:val="es-AR"/>
        </w:rPr>
      </w:pPr>
      <w:r w:rsidRPr="00D93236">
        <w:rPr>
          <w:rStyle w:val="FootnoteReference"/>
          <w:rFonts w:asciiTheme="majorHAnsi" w:hAnsiTheme="majorHAnsi"/>
          <w:sz w:val="16"/>
          <w:szCs w:val="16"/>
        </w:rPr>
        <w:footnoteRef/>
      </w:r>
      <w:r w:rsidRPr="00D93236">
        <w:rPr>
          <w:rFonts w:asciiTheme="majorHAnsi" w:hAnsiTheme="majorHAnsi"/>
          <w:sz w:val="16"/>
          <w:szCs w:val="16"/>
          <w:lang w:val="es-AR"/>
        </w:rPr>
        <w:t xml:space="preserve"> </w:t>
      </w:r>
      <w:r w:rsidRPr="001978D3">
        <w:rPr>
          <w:rFonts w:asciiTheme="majorHAnsi" w:hAnsiTheme="majorHAnsi"/>
          <w:sz w:val="16"/>
          <w:szCs w:val="16"/>
          <w:lang w:val="es-AR"/>
        </w:rPr>
        <w:t>Anexo 5</w:t>
      </w:r>
      <w:r>
        <w:rPr>
          <w:rFonts w:asciiTheme="majorHAnsi" w:hAnsiTheme="majorHAnsi"/>
          <w:b/>
          <w:sz w:val="16"/>
          <w:szCs w:val="16"/>
          <w:lang w:val="es-AR"/>
        </w:rPr>
        <w:t>.</w:t>
      </w:r>
      <w:r w:rsidRPr="00D93236">
        <w:rPr>
          <w:rFonts w:asciiTheme="majorHAnsi" w:hAnsiTheme="majorHAnsi"/>
          <w:sz w:val="16"/>
          <w:szCs w:val="16"/>
          <w:lang w:val="es-AR"/>
        </w:rPr>
        <w:t xml:space="preserve"> Dictamen UFI AMIA 2006 págs. 699 a 706. Anexo 12 a la comunicación de la parte peticionaria de fecha 11 de noviembre de 2019. </w:t>
      </w:r>
    </w:p>
  </w:footnote>
  <w:footnote w:id="217">
    <w:p w14:paraId="51EF4E56" w14:textId="77777777" w:rsidR="005B3F8C" w:rsidRPr="00D93236" w:rsidRDefault="005B3F8C" w:rsidP="00E27260">
      <w:pPr>
        <w:pStyle w:val="FootnoteText"/>
        <w:jc w:val="both"/>
        <w:rPr>
          <w:rFonts w:asciiTheme="majorHAnsi" w:hAnsiTheme="majorHAnsi"/>
          <w:sz w:val="16"/>
          <w:szCs w:val="16"/>
          <w:lang w:val="es-AR"/>
        </w:rPr>
      </w:pPr>
      <w:r w:rsidRPr="00D93236">
        <w:rPr>
          <w:rStyle w:val="FootnoteReference"/>
          <w:rFonts w:asciiTheme="majorHAnsi" w:hAnsiTheme="majorHAnsi"/>
          <w:sz w:val="16"/>
          <w:szCs w:val="16"/>
        </w:rPr>
        <w:footnoteRef/>
      </w:r>
      <w:r w:rsidRPr="00D93236">
        <w:rPr>
          <w:rFonts w:asciiTheme="majorHAnsi" w:hAnsiTheme="majorHAnsi"/>
          <w:sz w:val="16"/>
          <w:szCs w:val="16"/>
          <w:lang w:val="es-AR"/>
        </w:rPr>
        <w:t xml:space="preserve"> </w:t>
      </w:r>
      <w:r w:rsidRPr="001978D3">
        <w:rPr>
          <w:rFonts w:asciiTheme="majorHAnsi" w:hAnsiTheme="majorHAnsi"/>
          <w:sz w:val="16"/>
          <w:szCs w:val="16"/>
          <w:lang w:val="es-AR"/>
        </w:rPr>
        <w:t>Anexo 11</w:t>
      </w:r>
      <w:r>
        <w:rPr>
          <w:rFonts w:asciiTheme="majorHAnsi" w:hAnsiTheme="majorHAnsi"/>
          <w:b/>
          <w:sz w:val="16"/>
          <w:szCs w:val="16"/>
          <w:lang w:val="es-AR"/>
        </w:rPr>
        <w:t>.</w:t>
      </w:r>
      <w:r w:rsidRPr="00D93236">
        <w:rPr>
          <w:rFonts w:asciiTheme="majorHAnsi" w:hAnsiTheme="majorHAnsi"/>
          <w:sz w:val="16"/>
          <w:szCs w:val="16"/>
          <w:lang w:val="es-AR"/>
        </w:rPr>
        <w:t xml:space="preserve"> Informe de Gestión de la UFI AMIA Julio 2016. Pág. 7. Anexo 13 a la comunicación de la parte peticionaria de fecha 11 de noviembre de 2019.</w:t>
      </w:r>
    </w:p>
  </w:footnote>
  <w:footnote w:id="218">
    <w:p w14:paraId="649D07FD" w14:textId="77777777" w:rsidR="005B3F8C" w:rsidRPr="00D93236" w:rsidRDefault="005B3F8C" w:rsidP="00E27260">
      <w:pPr>
        <w:pStyle w:val="FootnoteText"/>
        <w:jc w:val="both"/>
        <w:rPr>
          <w:rFonts w:asciiTheme="majorHAnsi" w:hAnsiTheme="majorHAnsi"/>
          <w:sz w:val="16"/>
          <w:szCs w:val="16"/>
          <w:lang w:val="es-AR"/>
        </w:rPr>
      </w:pPr>
      <w:r w:rsidRPr="00D93236">
        <w:rPr>
          <w:rStyle w:val="FootnoteReference"/>
          <w:rFonts w:asciiTheme="majorHAnsi" w:hAnsiTheme="majorHAnsi"/>
          <w:sz w:val="16"/>
          <w:szCs w:val="16"/>
        </w:rPr>
        <w:footnoteRef/>
      </w:r>
      <w:r w:rsidRPr="00D93236">
        <w:rPr>
          <w:rFonts w:asciiTheme="majorHAnsi" w:hAnsiTheme="majorHAnsi"/>
          <w:sz w:val="16"/>
          <w:szCs w:val="16"/>
          <w:lang w:val="es-AR"/>
        </w:rPr>
        <w:t xml:space="preserve"> </w:t>
      </w:r>
      <w:r w:rsidRPr="001978D3">
        <w:rPr>
          <w:rFonts w:asciiTheme="majorHAnsi" w:hAnsiTheme="majorHAnsi"/>
          <w:sz w:val="16"/>
          <w:szCs w:val="16"/>
          <w:lang w:val="es-AR"/>
        </w:rPr>
        <w:t>Anexo 8.</w:t>
      </w:r>
      <w:r w:rsidRPr="00D93236">
        <w:rPr>
          <w:rFonts w:asciiTheme="majorHAnsi" w:hAnsiTheme="majorHAnsi"/>
          <w:sz w:val="16"/>
          <w:szCs w:val="16"/>
          <w:lang w:val="es-AR"/>
        </w:rPr>
        <w:t xml:space="preserve"> Informe de Gestió</w:t>
      </w:r>
      <w:r>
        <w:rPr>
          <w:rFonts w:asciiTheme="majorHAnsi" w:hAnsiTheme="majorHAnsi"/>
          <w:sz w:val="16"/>
          <w:szCs w:val="16"/>
          <w:lang w:val="es-AR"/>
        </w:rPr>
        <w:t>n de la UFI AMIA Diciembre 2016. P</w:t>
      </w:r>
      <w:r w:rsidRPr="00D93236">
        <w:rPr>
          <w:rFonts w:asciiTheme="majorHAnsi" w:hAnsiTheme="majorHAnsi"/>
          <w:sz w:val="16"/>
          <w:szCs w:val="16"/>
          <w:lang w:val="es-AR"/>
        </w:rPr>
        <w:t>ág. 18. Anexo 13 a la comunicación de la parte peticionaria de fecha 11 de noviembre de 2019.</w:t>
      </w:r>
    </w:p>
  </w:footnote>
  <w:footnote w:id="219">
    <w:p w14:paraId="77487170" w14:textId="77777777" w:rsidR="005B3F8C" w:rsidRPr="00D93236" w:rsidRDefault="005B3F8C" w:rsidP="00E27260">
      <w:pPr>
        <w:pStyle w:val="FootnoteText"/>
        <w:jc w:val="both"/>
        <w:rPr>
          <w:rFonts w:asciiTheme="majorHAnsi" w:hAnsiTheme="majorHAnsi"/>
          <w:sz w:val="16"/>
          <w:szCs w:val="16"/>
          <w:lang w:val="es-AR"/>
        </w:rPr>
      </w:pPr>
      <w:r w:rsidRPr="00D93236">
        <w:rPr>
          <w:rStyle w:val="FootnoteReference"/>
          <w:rFonts w:asciiTheme="majorHAnsi" w:hAnsiTheme="majorHAnsi"/>
          <w:sz w:val="16"/>
          <w:szCs w:val="16"/>
        </w:rPr>
        <w:footnoteRef/>
      </w:r>
      <w:r w:rsidRPr="00D93236">
        <w:rPr>
          <w:rFonts w:asciiTheme="majorHAnsi" w:hAnsiTheme="majorHAnsi"/>
          <w:sz w:val="16"/>
          <w:szCs w:val="16"/>
          <w:lang w:val="es-AR"/>
        </w:rPr>
        <w:t xml:space="preserve"> </w:t>
      </w:r>
      <w:r w:rsidRPr="001978D3">
        <w:rPr>
          <w:rFonts w:asciiTheme="majorHAnsi" w:hAnsiTheme="majorHAnsi"/>
          <w:sz w:val="16"/>
          <w:szCs w:val="16"/>
          <w:lang w:val="es-AR"/>
        </w:rPr>
        <w:t>Anexo 9.</w:t>
      </w:r>
      <w:r w:rsidRPr="00D93236">
        <w:rPr>
          <w:rFonts w:asciiTheme="majorHAnsi" w:hAnsiTheme="majorHAnsi"/>
          <w:sz w:val="16"/>
          <w:szCs w:val="16"/>
          <w:lang w:val="es-AR"/>
        </w:rPr>
        <w:t xml:space="preserve"> </w:t>
      </w:r>
      <w:r>
        <w:rPr>
          <w:rFonts w:asciiTheme="majorHAnsi" w:hAnsiTheme="majorHAnsi"/>
          <w:sz w:val="16"/>
          <w:szCs w:val="16"/>
          <w:lang w:val="es-AR"/>
        </w:rPr>
        <w:t xml:space="preserve">Dictamen UFI AMIA 2009. Pág. 4. </w:t>
      </w:r>
      <w:r w:rsidRPr="00D93236">
        <w:rPr>
          <w:rFonts w:asciiTheme="majorHAnsi" w:hAnsiTheme="majorHAnsi"/>
          <w:sz w:val="16"/>
          <w:szCs w:val="16"/>
          <w:lang w:val="es-AR"/>
        </w:rPr>
        <w:t xml:space="preserve">Anexo 16 a la comunicación de la parte peticionaria de fecha 11 de noviembre de 2019, </w:t>
      </w:r>
    </w:p>
  </w:footnote>
  <w:footnote w:id="220">
    <w:p w14:paraId="3134D18C" w14:textId="77777777" w:rsidR="005B3F8C" w:rsidRPr="00D93236" w:rsidRDefault="005B3F8C" w:rsidP="00E27260">
      <w:pPr>
        <w:pStyle w:val="FootnoteText"/>
        <w:jc w:val="both"/>
        <w:rPr>
          <w:rFonts w:asciiTheme="majorHAnsi" w:hAnsiTheme="majorHAnsi"/>
          <w:sz w:val="16"/>
          <w:szCs w:val="16"/>
          <w:lang w:val="es-AR"/>
        </w:rPr>
      </w:pPr>
      <w:r w:rsidRPr="00D93236">
        <w:rPr>
          <w:rStyle w:val="FootnoteReference"/>
          <w:rFonts w:asciiTheme="majorHAnsi" w:hAnsiTheme="majorHAnsi"/>
          <w:sz w:val="16"/>
          <w:szCs w:val="16"/>
        </w:rPr>
        <w:footnoteRef/>
      </w:r>
      <w:r w:rsidRPr="00D93236">
        <w:rPr>
          <w:rFonts w:asciiTheme="majorHAnsi" w:hAnsiTheme="majorHAnsi"/>
          <w:sz w:val="16"/>
          <w:szCs w:val="16"/>
          <w:lang w:val="es-AR"/>
        </w:rPr>
        <w:t xml:space="preserve"> </w:t>
      </w:r>
      <w:r w:rsidRPr="001978D3">
        <w:rPr>
          <w:rFonts w:asciiTheme="majorHAnsi" w:hAnsiTheme="majorHAnsi"/>
          <w:sz w:val="16"/>
          <w:szCs w:val="16"/>
          <w:lang w:val="es-AR"/>
        </w:rPr>
        <w:t>Anexo 8.</w:t>
      </w:r>
      <w:r w:rsidRPr="00D93236">
        <w:rPr>
          <w:rFonts w:asciiTheme="majorHAnsi" w:hAnsiTheme="majorHAnsi"/>
          <w:sz w:val="16"/>
          <w:szCs w:val="16"/>
          <w:lang w:val="es-AR"/>
        </w:rPr>
        <w:t xml:space="preserve"> Informe de Gestión de la UFI AMIA Diciembre 2016. Pág. 15. Anexo 11 a la comunicación de la parte peticionaria de fecha 11 de noviembre de 2019.</w:t>
      </w:r>
    </w:p>
  </w:footnote>
  <w:footnote w:id="221">
    <w:p w14:paraId="5257A513" w14:textId="77777777" w:rsidR="005B3F8C" w:rsidRPr="00D93236" w:rsidRDefault="005B3F8C" w:rsidP="00E27260">
      <w:pPr>
        <w:pStyle w:val="FootnoteText"/>
        <w:jc w:val="both"/>
        <w:rPr>
          <w:rFonts w:asciiTheme="majorHAnsi" w:hAnsiTheme="majorHAnsi"/>
          <w:sz w:val="16"/>
          <w:szCs w:val="16"/>
          <w:lang w:val="es-AR"/>
        </w:rPr>
      </w:pPr>
      <w:r w:rsidRPr="00D93236">
        <w:rPr>
          <w:rStyle w:val="FootnoteReference"/>
          <w:rFonts w:asciiTheme="majorHAnsi" w:hAnsiTheme="majorHAnsi"/>
          <w:sz w:val="16"/>
          <w:szCs w:val="16"/>
        </w:rPr>
        <w:footnoteRef/>
      </w:r>
      <w:r w:rsidRPr="00D93236">
        <w:rPr>
          <w:rFonts w:asciiTheme="majorHAnsi" w:hAnsiTheme="majorHAnsi"/>
          <w:sz w:val="16"/>
          <w:szCs w:val="16"/>
          <w:lang w:val="es-AR"/>
        </w:rPr>
        <w:t xml:space="preserve"> </w:t>
      </w:r>
      <w:r w:rsidRPr="001978D3">
        <w:rPr>
          <w:rFonts w:asciiTheme="majorHAnsi" w:hAnsiTheme="majorHAnsi"/>
          <w:sz w:val="16"/>
          <w:szCs w:val="16"/>
          <w:lang w:val="es-AR"/>
        </w:rPr>
        <w:t>Anexo 11.</w:t>
      </w:r>
      <w:r w:rsidRPr="00D93236">
        <w:rPr>
          <w:rFonts w:asciiTheme="majorHAnsi" w:hAnsiTheme="majorHAnsi"/>
          <w:sz w:val="16"/>
          <w:szCs w:val="16"/>
          <w:lang w:val="es-AR"/>
        </w:rPr>
        <w:t xml:space="preserve"> Informe de Gestión de la UFI AMIA Julio 2016, pág. 6. Anexo 13 a la comunicación de la parte peticionaria de fecha 11 de noviembre de 2019.</w:t>
      </w:r>
    </w:p>
  </w:footnote>
  <w:footnote w:id="222">
    <w:p w14:paraId="0764B31B" w14:textId="77777777" w:rsidR="005B3F8C" w:rsidRPr="00D93236" w:rsidRDefault="005B3F8C" w:rsidP="00E27260">
      <w:pPr>
        <w:pStyle w:val="FootnoteText"/>
        <w:jc w:val="both"/>
        <w:rPr>
          <w:rFonts w:asciiTheme="majorHAnsi" w:hAnsiTheme="majorHAnsi"/>
          <w:sz w:val="16"/>
          <w:szCs w:val="16"/>
          <w:lang w:val="es-AR"/>
        </w:rPr>
      </w:pPr>
      <w:r w:rsidRPr="00D93236">
        <w:rPr>
          <w:rStyle w:val="FootnoteReference"/>
          <w:rFonts w:asciiTheme="majorHAnsi" w:hAnsiTheme="majorHAnsi"/>
          <w:sz w:val="16"/>
          <w:szCs w:val="16"/>
        </w:rPr>
        <w:footnoteRef/>
      </w:r>
      <w:r w:rsidRPr="00D93236">
        <w:rPr>
          <w:rFonts w:asciiTheme="majorHAnsi" w:hAnsiTheme="majorHAnsi"/>
          <w:sz w:val="16"/>
          <w:szCs w:val="16"/>
          <w:lang w:val="es-AR"/>
        </w:rPr>
        <w:t xml:space="preserve"> </w:t>
      </w:r>
      <w:r w:rsidRPr="001978D3">
        <w:rPr>
          <w:rFonts w:asciiTheme="majorHAnsi" w:hAnsiTheme="majorHAnsi"/>
          <w:sz w:val="16"/>
          <w:szCs w:val="16"/>
          <w:lang w:val="es-AR"/>
        </w:rPr>
        <w:t>Anexo 11.</w:t>
      </w:r>
      <w:r w:rsidRPr="00D93236">
        <w:rPr>
          <w:rFonts w:asciiTheme="majorHAnsi" w:hAnsiTheme="majorHAnsi"/>
          <w:sz w:val="16"/>
          <w:szCs w:val="16"/>
          <w:lang w:val="es-AR"/>
        </w:rPr>
        <w:t xml:space="preserve"> Informe de Gestión de la UFI AMIA Julio 2016, pág. 9. Anexo 13 a la comunicación de la parte peticionaria de fecha 11 de noviembre de 2019.</w:t>
      </w:r>
    </w:p>
  </w:footnote>
  <w:footnote w:id="223">
    <w:p w14:paraId="3D37C72F" w14:textId="77777777" w:rsidR="005B3F8C" w:rsidRPr="00D93236" w:rsidRDefault="005B3F8C" w:rsidP="00E27260">
      <w:pPr>
        <w:pStyle w:val="FootnoteText"/>
        <w:jc w:val="both"/>
        <w:rPr>
          <w:rFonts w:asciiTheme="majorHAnsi" w:hAnsiTheme="majorHAnsi"/>
          <w:sz w:val="16"/>
          <w:szCs w:val="16"/>
          <w:lang w:val="es-ES"/>
        </w:rPr>
      </w:pPr>
      <w:r w:rsidRPr="00D93236">
        <w:rPr>
          <w:rStyle w:val="FootnoteReference"/>
          <w:rFonts w:asciiTheme="majorHAnsi" w:hAnsiTheme="majorHAnsi"/>
          <w:sz w:val="16"/>
          <w:szCs w:val="16"/>
          <w:lang w:val="es-ES"/>
        </w:rPr>
        <w:footnoteRef/>
      </w:r>
      <w:r w:rsidRPr="00D93236">
        <w:rPr>
          <w:rFonts w:asciiTheme="majorHAnsi" w:hAnsiTheme="majorHAnsi"/>
          <w:sz w:val="16"/>
          <w:szCs w:val="16"/>
          <w:lang w:val="es-ES"/>
        </w:rPr>
        <w:t xml:space="preserve"> </w:t>
      </w:r>
      <w:r w:rsidRPr="001978D3">
        <w:rPr>
          <w:rFonts w:asciiTheme="majorHAnsi" w:hAnsiTheme="majorHAnsi"/>
          <w:sz w:val="16"/>
          <w:szCs w:val="16"/>
          <w:lang w:val="es-ES"/>
        </w:rPr>
        <w:t>Anexo 11.</w:t>
      </w:r>
      <w:r w:rsidRPr="00D93236">
        <w:rPr>
          <w:rFonts w:asciiTheme="majorHAnsi" w:hAnsiTheme="majorHAnsi"/>
          <w:sz w:val="16"/>
          <w:szCs w:val="16"/>
          <w:lang w:val="es-ES"/>
        </w:rPr>
        <w:t xml:space="preserve"> Informe de Gestión de la UFI AMIA Julio 2016, pág. 10. Anexo 13 a la comunicación de la parte peticionaria de fecha 11 de noviembre de 2019.</w:t>
      </w:r>
    </w:p>
  </w:footnote>
  <w:footnote w:id="224">
    <w:p w14:paraId="1FE12EA4" w14:textId="77777777" w:rsidR="005B3F8C" w:rsidRPr="00D93236" w:rsidRDefault="005B3F8C" w:rsidP="00E27260">
      <w:pPr>
        <w:pStyle w:val="FootnoteText"/>
        <w:jc w:val="both"/>
        <w:rPr>
          <w:rFonts w:asciiTheme="majorHAnsi" w:hAnsiTheme="majorHAnsi"/>
          <w:sz w:val="16"/>
          <w:szCs w:val="16"/>
          <w:lang w:val="es-ES"/>
        </w:rPr>
      </w:pPr>
      <w:r w:rsidRPr="00D93236">
        <w:rPr>
          <w:rStyle w:val="FootnoteReference"/>
          <w:rFonts w:asciiTheme="majorHAnsi" w:hAnsiTheme="majorHAnsi"/>
          <w:sz w:val="16"/>
          <w:szCs w:val="16"/>
          <w:lang w:val="es-ES"/>
        </w:rPr>
        <w:footnoteRef/>
      </w:r>
      <w:r w:rsidRPr="00D93236">
        <w:rPr>
          <w:rFonts w:asciiTheme="majorHAnsi" w:hAnsiTheme="majorHAnsi"/>
          <w:sz w:val="16"/>
          <w:szCs w:val="16"/>
          <w:lang w:val="es-ES"/>
        </w:rPr>
        <w:t xml:space="preserve"> Ver, de manera general: </w:t>
      </w:r>
      <w:r w:rsidRPr="00D74C9C">
        <w:rPr>
          <w:rFonts w:asciiTheme="majorHAnsi" w:hAnsiTheme="majorHAnsi"/>
          <w:sz w:val="16"/>
          <w:szCs w:val="16"/>
          <w:lang w:val="es-ES"/>
        </w:rPr>
        <w:t>Anexo 11</w:t>
      </w:r>
      <w:r w:rsidRPr="00D93236">
        <w:rPr>
          <w:rFonts w:asciiTheme="majorHAnsi" w:hAnsiTheme="majorHAnsi"/>
          <w:b/>
          <w:sz w:val="16"/>
          <w:szCs w:val="16"/>
          <w:lang w:val="es-ES"/>
        </w:rPr>
        <w:t>.</w:t>
      </w:r>
      <w:r w:rsidRPr="00D93236">
        <w:rPr>
          <w:rFonts w:asciiTheme="majorHAnsi" w:hAnsiTheme="majorHAnsi"/>
          <w:sz w:val="16"/>
          <w:szCs w:val="16"/>
          <w:lang w:val="es-ES"/>
        </w:rPr>
        <w:t xml:space="preserve"> Informe de Gestión de la UFI AMIA Julio 2016, págs. 11 a 25. Anexo 13 a la comunicación de la parte peticionaria de fecha 11 de noviembre de 2019.</w:t>
      </w:r>
    </w:p>
  </w:footnote>
  <w:footnote w:id="225">
    <w:p w14:paraId="1CC717E1" w14:textId="77777777" w:rsidR="005B3F8C" w:rsidRPr="00D93236" w:rsidRDefault="005B3F8C" w:rsidP="00E27260">
      <w:pPr>
        <w:pStyle w:val="FootnoteText"/>
        <w:jc w:val="both"/>
        <w:rPr>
          <w:rFonts w:asciiTheme="majorHAnsi" w:hAnsiTheme="majorHAnsi"/>
          <w:sz w:val="16"/>
          <w:szCs w:val="16"/>
          <w:lang w:val="es-ES"/>
        </w:rPr>
      </w:pPr>
      <w:r w:rsidRPr="00D93236">
        <w:rPr>
          <w:rStyle w:val="FootnoteReference"/>
          <w:rFonts w:asciiTheme="majorHAnsi" w:hAnsiTheme="majorHAnsi"/>
          <w:sz w:val="16"/>
          <w:szCs w:val="16"/>
          <w:lang w:val="es-ES"/>
        </w:rPr>
        <w:footnoteRef/>
      </w:r>
      <w:r w:rsidRPr="00D93236">
        <w:rPr>
          <w:rFonts w:asciiTheme="majorHAnsi" w:hAnsiTheme="majorHAnsi"/>
          <w:sz w:val="16"/>
          <w:szCs w:val="16"/>
          <w:lang w:val="es-ES"/>
        </w:rPr>
        <w:t xml:space="preserve"> Comunicación de la parte peticionaria de fecha 11 de noviembre de 2019, págs. 35 y 36</w:t>
      </w:r>
    </w:p>
  </w:footnote>
  <w:footnote w:id="226">
    <w:p w14:paraId="1CEBE576" w14:textId="77777777" w:rsidR="005B3F8C" w:rsidRPr="00D93236" w:rsidRDefault="005B3F8C" w:rsidP="00E27260">
      <w:pPr>
        <w:pStyle w:val="FootnoteText"/>
        <w:jc w:val="both"/>
        <w:rPr>
          <w:rFonts w:asciiTheme="majorHAnsi" w:hAnsiTheme="majorHAnsi"/>
          <w:b/>
          <w:sz w:val="16"/>
          <w:szCs w:val="16"/>
          <w:lang w:val="es-AR"/>
        </w:rPr>
      </w:pPr>
      <w:r w:rsidRPr="00D93236">
        <w:rPr>
          <w:rStyle w:val="FootnoteReference"/>
          <w:rFonts w:asciiTheme="majorHAnsi" w:hAnsiTheme="majorHAnsi"/>
          <w:sz w:val="16"/>
          <w:szCs w:val="16"/>
        </w:rPr>
        <w:footnoteRef/>
      </w:r>
      <w:r w:rsidRPr="00D93236">
        <w:rPr>
          <w:rFonts w:asciiTheme="majorHAnsi" w:hAnsiTheme="majorHAnsi"/>
          <w:sz w:val="16"/>
          <w:szCs w:val="16"/>
          <w:lang w:val="es-AR"/>
        </w:rPr>
        <w:t xml:space="preserve"> </w:t>
      </w:r>
      <w:r w:rsidRPr="00D74C9C">
        <w:rPr>
          <w:rFonts w:asciiTheme="majorHAnsi" w:hAnsiTheme="majorHAnsi"/>
          <w:sz w:val="16"/>
          <w:szCs w:val="16"/>
          <w:lang w:val="es-AR"/>
        </w:rPr>
        <w:t>Anexo 11.</w:t>
      </w:r>
      <w:r w:rsidRPr="00D93236">
        <w:rPr>
          <w:rFonts w:asciiTheme="majorHAnsi" w:hAnsiTheme="majorHAnsi"/>
          <w:sz w:val="16"/>
          <w:szCs w:val="16"/>
          <w:lang w:val="es-AR"/>
        </w:rPr>
        <w:t xml:space="preserve"> Informe de Gestión de la UFI AMIA Julio 2016, pág. 9. Anexo 13 a la comunicación de la parte peticionaria de fecha 11 de noviembre de 2019.</w:t>
      </w:r>
    </w:p>
  </w:footnote>
  <w:footnote w:id="227">
    <w:p w14:paraId="20CEA7BA" w14:textId="77777777" w:rsidR="005B3F8C" w:rsidRPr="00D93236" w:rsidRDefault="005B3F8C" w:rsidP="00E27260">
      <w:pPr>
        <w:pStyle w:val="FootnoteText"/>
        <w:jc w:val="both"/>
        <w:rPr>
          <w:rFonts w:asciiTheme="majorHAnsi" w:hAnsiTheme="majorHAnsi"/>
          <w:sz w:val="16"/>
          <w:szCs w:val="16"/>
          <w:lang w:val="es-AR"/>
        </w:rPr>
      </w:pPr>
      <w:r w:rsidRPr="00D93236">
        <w:rPr>
          <w:rStyle w:val="FootnoteReference"/>
          <w:rFonts w:asciiTheme="majorHAnsi" w:hAnsiTheme="majorHAnsi"/>
          <w:sz w:val="16"/>
          <w:szCs w:val="16"/>
        </w:rPr>
        <w:footnoteRef/>
      </w:r>
      <w:r w:rsidRPr="00D93236">
        <w:rPr>
          <w:rFonts w:asciiTheme="majorHAnsi" w:hAnsiTheme="majorHAnsi"/>
          <w:sz w:val="16"/>
          <w:szCs w:val="16"/>
          <w:lang w:val="es-AR"/>
        </w:rPr>
        <w:t xml:space="preserve"> </w:t>
      </w:r>
      <w:r w:rsidRPr="00D74C9C">
        <w:rPr>
          <w:rFonts w:asciiTheme="majorHAnsi" w:hAnsiTheme="majorHAnsi"/>
          <w:sz w:val="16"/>
          <w:szCs w:val="16"/>
          <w:lang w:val="es-AR"/>
        </w:rPr>
        <w:t>Anexo 11</w:t>
      </w:r>
      <w:r w:rsidRPr="00D93236">
        <w:rPr>
          <w:rFonts w:asciiTheme="majorHAnsi" w:hAnsiTheme="majorHAnsi"/>
          <w:b/>
          <w:sz w:val="16"/>
          <w:szCs w:val="16"/>
          <w:lang w:val="es-AR"/>
        </w:rPr>
        <w:t>.</w:t>
      </w:r>
      <w:r w:rsidRPr="00D93236">
        <w:rPr>
          <w:rFonts w:asciiTheme="majorHAnsi" w:hAnsiTheme="majorHAnsi"/>
          <w:sz w:val="16"/>
          <w:szCs w:val="16"/>
          <w:lang w:val="es-AR"/>
        </w:rPr>
        <w:t xml:space="preserve"> Informe de Gestión de la UFI AMIA Julio 2016, pág. 8 a 10. Anexo 13 a la comunicación de la parte peticionaria de fecha 11 de noviembre de 2019.</w:t>
      </w:r>
    </w:p>
  </w:footnote>
  <w:footnote w:id="228">
    <w:p w14:paraId="33054577" w14:textId="77777777" w:rsidR="005B3F8C" w:rsidRPr="00D93236" w:rsidRDefault="005B3F8C" w:rsidP="00E27260">
      <w:pPr>
        <w:pStyle w:val="FootnoteText"/>
        <w:jc w:val="both"/>
        <w:rPr>
          <w:rFonts w:asciiTheme="majorHAnsi" w:hAnsiTheme="majorHAnsi"/>
          <w:sz w:val="16"/>
          <w:szCs w:val="16"/>
          <w:lang w:val="es-AR"/>
        </w:rPr>
      </w:pPr>
      <w:r w:rsidRPr="00D93236">
        <w:rPr>
          <w:rStyle w:val="FootnoteReference"/>
          <w:rFonts w:asciiTheme="majorHAnsi" w:hAnsiTheme="majorHAnsi"/>
          <w:sz w:val="16"/>
          <w:szCs w:val="16"/>
        </w:rPr>
        <w:footnoteRef/>
      </w:r>
      <w:r w:rsidRPr="00D93236">
        <w:rPr>
          <w:rFonts w:asciiTheme="majorHAnsi" w:hAnsiTheme="majorHAnsi"/>
          <w:sz w:val="16"/>
          <w:szCs w:val="16"/>
          <w:lang w:val="es-AR"/>
        </w:rPr>
        <w:t xml:space="preserve"> </w:t>
      </w:r>
      <w:r w:rsidRPr="00D74C9C">
        <w:rPr>
          <w:rFonts w:asciiTheme="majorHAnsi" w:hAnsiTheme="majorHAnsi"/>
          <w:color w:val="auto"/>
          <w:sz w:val="16"/>
          <w:szCs w:val="16"/>
          <w:lang w:val="es-AR"/>
        </w:rPr>
        <w:t>Anexo 8.</w:t>
      </w:r>
      <w:r w:rsidRPr="00D93236">
        <w:rPr>
          <w:rFonts w:asciiTheme="majorHAnsi" w:hAnsiTheme="majorHAnsi"/>
          <w:sz w:val="16"/>
          <w:szCs w:val="16"/>
          <w:lang w:val="es-AR"/>
        </w:rPr>
        <w:t xml:space="preserve"> Informe de Gestión de la UFI AMIA Diciembre 2016, pág. 11. Anexo 17 a la comunicación de la parte peticionaria de fecha 11 de noviembre de 2019.</w:t>
      </w:r>
    </w:p>
  </w:footnote>
  <w:footnote w:id="229">
    <w:p w14:paraId="6C46B73A" w14:textId="77777777" w:rsidR="005B3F8C" w:rsidRPr="00D93236" w:rsidRDefault="005B3F8C" w:rsidP="00E27260">
      <w:pPr>
        <w:pStyle w:val="FootnoteText"/>
        <w:jc w:val="both"/>
        <w:rPr>
          <w:rFonts w:asciiTheme="majorHAnsi" w:hAnsiTheme="majorHAnsi"/>
          <w:sz w:val="16"/>
          <w:szCs w:val="16"/>
          <w:lang w:val="es-AR"/>
        </w:rPr>
      </w:pPr>
      <w:r w:rsidRPr="00D93236">
        <w:rPr>
          <w:rStyle w:val="FootnoteReference"/>
          <w:rFonts w:asciiTheme="majorHAnsi" w:hAnsiTheme="majorHAnsi"/>
          <w:sz w:val="16"/>
          <w:szCs w:val="16"/>
        </w:rPr>
        <w:footnoteRef/>
      </w:r>
      <w:r w:rsidRPr="00D93236">
        <w:rPr>
          <w:rFonts w:asciiTheme="majorHAnsi" w:hAnsiTheme="majorHAnsi"/>
          <w:sz w:val="16"/>
          <w:szCs w:val="16"/>
          <w:lang w:val="es-AR"/>
        </w:rPr>
        <w:t xml:space="preserve"> Organización de las Naciones Unidas. Oficina del Alto Comisionado para los Derechos Humanos. </w:t>
      </w:r>
      <w:r w:rsidRPr="00D93236">
        <w:rPr>
          <w:rFonts w:asciiTheme="majorHAnsi" w:hAnsiTheme="majorHAnsi"/>
          <w:i/>
          <w:sz w:val="16"/>
          <w:szCs w:val="16"/>
          <w:lang w:val="es-AR"/>
        </w:rPr>
        <w:t>Protocolo de Minnesota sobre la Investigación de Muertes Potencialmente Ilícitas (2016)</w:t>
      </w:r>
      <w:r w:rsidRPr="00D93236">
        <w:rPr>
          <w:rFonts w:asciiTheme="majorHAnsi" w:hAnsiTheme="majorHAnsi"/>
          <w:sz w:val="16"/>
          <w:szCs w:val="16"/>
          <w:lang w:val="es-AR"/>
        </w:rPr>
        <w:t xml:space="preserve">. </w:t>
      </w:r>
      <w:r w:rsidRPr="00D93236">
        <w:rPr>
          <w:rFonts w:asciiTheme="majorHAnsi" w:hAnsiTheme="majorHAnsi"/>
          <w:i/>
          <w:sz w:val="16"/>
          <w:szCs w:val="16"/>
          <w:lang w:val="es-AR"/>
        </w:rPr>
        <w:t>Versión revisada del Manual de las Naciones Unidas sobre la Prevención e Investigación Eficaces de las Ejecuciones Extralegales, Arbitrarias o Sumarias</w:t>
      </w:r>
      <w:r w:rsidRPr="00D93236">
        <w:rPr>
          <w:rFonts w:asciiTheme="majorHAnsi" w:hAnsiTheme="majorHAnsi"/>
          <w:sz w:val="16"/>
          <w:szCs w:val="16"/>
          <w:lang w:val="es-AR"/>
        </w:rPr>
        <w:t>. Ver en particular su capítulo IV.B “</w:t>
      </w:r>
      <w:r w:rsidRPr="00D93236">
        <w:rPr>
          <w:rFonts w:asciiTheme="majorHAnsi" w:hAnsiTheme="majorHAnsi"/>
          <w:i/>
          <w:sz w:val="16"/>
          <w:szCs w:val="16"/>
          <w:lang w:val="es-AR"/>
        </w:rPr>
        <w:t>El proceso de investigación</w:t>
      </w:r>
      <w:r w:rsidRPr="00D93236">
        <w:rPr>
          <w:rFonts w:asciiTheme="majorHAnsi" w:hAnsiTheme="majorHAnsi"/>
          <w:sz w:val="16"/>
          <w:szCs w:val="16"/>
          <w:lang w:val="es-AR"/>
        </w:rPr>
        <w:t>”, Párrs. 50 a 66</w:t>
      </w:r>
    </w:p>
  </w:footnote>
  <w:footnote w:id="230">
    <w:p w14:paraId="6FF01378" w14:textId="77777777" w:rsidR="005B3F8C" w:rsidRPr="00D93236" w:rsidRDefault="005B3F8C" w:rsidP="00E27260">
      <w:pPr>
        <w:pStyle w:val="FootnoteText"/>
        <w:jc w:val="both"/>
        <w:rPr>
          <w:rFonts w:asciiTheme="majorHAnsi" w:hAnsiTheme="majorHAnsi"/>
          <w:sz w:val="16"/>
          <w:szCs w:val="16"/>
          <w:lang w:val="es-AR"/>
        </w:rPr>
      </w:pPr>
      <w:r w:rsidRPr="00D93236">
        <w:rPr>
          <w:rStyle w:val="FootnoteReference"/>
          <w:rFonts w:asciiTheme="majorHAnsi" w:hAnsiTheme="majorHAnsi"/>
          <w:sz w:val="16"/>
          <w:szCs w:val="16"/>
        </w:rPr>
        <w:footnoteRef/>
      </w:r>
      <w:r w:rsidRPr="00D93236">
        <w:rPr>
          <w:rFonts w:asciiTheme="majorHAnsi" w:hAnsiTheme="majorHAnsi"/>
          <w:sz w:val="16"/>
          <w:szCs w:val="16"/>
          <w:lang w:val="es-AR"/>
        </w:rPr>
        <w:t xml:space="preserve"> Organización de las Naciones Unidas. Oficina del Alto Comisionado para los Derechos Humanos. </w:t>
      </w:r>
      <w:r w:rsidRPr="00D93236">
        <w:rPr>
          <w:rFonts w:asciiTheme="majorHAnsi" w:hAnsiTheme="majorHAnsi"/>
          <w:i/>
          <w:sz w:val="16"/>
          <w:szCs w:val="16"/>
          <w:lang w:val="es-AR"/>
        </w:rPr>
        <w:t>Protocolo Modelo para la Investigación Forense de Muertes Sospechosas de Haberse Producido por Violación de los Derechos Humanos</w:t>
      </w:r>
      <w:r w:rsidRPr="00D93236">
        <w:rPr>
          <w:rFonts w:asciiTheme="majorHAnsi" w:hAnsiTheme="majorHAnsi"/>
          <w:sz w:val="16"/>
          <w:szCs w:val="16"/>
          <w:lang w:val="es-AR"/>
        </w:rPr>
        <w:t>. De especial importancia para est</w:t>
      </w:r>
      <w:r>
        <w:rPr>
          <w:rFonts w:asciiTheme="majorHAnsi" w:hAnsiTheme="majorHAnsi"/>
          <w:sz w:val="16"/>
          <w:szCs w:val="16"/>
          <w:lang w:val="es-AR"/>
        </w:rPr>
        <w:t>e</w:t>
      </w:r>
      <w:r w:rsidRPr="00D93236">
        <w:rPr>
          <w:rFonts w:asciiTheme="majorHAnsi" w:hAnsiTheme="majorHAnsi"/>
          <w:sz w:val="16"/>
          <w:szCs w:val="16"/>
          <w:lang w:val="es-AR"/>
        </w:rPr>
        <w:t xml:space="preserve"> informe resulta: Parte I Investigación Forense sobre Cadáveres Frescos. Capitulo C.6 </w:t>
      </w:r>
      <w:r w:rsidRPr="00D93236">
        <w:rPr>
          <w:rFonts w:asciiTheme="majorHAnsi" w:hAnsiTheme="majorHAnsi"/>
          <w:i/>
          <w:sz w:val="16"/>
          <w:szCs w:val="16"/>
          <w:lang w:val="es-AR"/>
        </w:rPr>
        <w:t>Examen de genética forense</w:t>
      </w:r>
      <w:r w:rsidRPr="00D93236">
        <w:rPr>
          <w:rFonts w:asciiTheme="majorHAnsi" w:hAnsiTheme="majorHAnsi"/>
          <w:sz w:val="16"/>
          <w:szCs w:val="16"/>
          <w:lang w:val="es-AR"/>
        </w:rPr>
        <w:t>, pag 33 y Parte II Investigación Forense sobre Cadáveres en Descomposición o Esqueletizados. Capitulo B.9</w:t>
      </w:r>
      <w:r w:rsidRPr="00D93236">
        <w:rPr>
          <w:rFonts w:asciiTheme="majorHAnsi" w:hAnsiTheme="majorHAnsi"/>
          <w:i/>
          <w:sz w:val="16"/>
          <w:szCs w:val="16"/>
          <w:lang w:val="es-AR"/>
        </w:rPr>
        <w:t xml:space="preserve"> Identificación por medio de marcadores genéticos</w:t>
      </w:r>
      <w:r w:rsidRPr="00D93236">
        <w:rPr>
          <w:rFonts w:asciiTheme="majorHAnsi" w:hAnsiTheme="majorHAnsi"/>
          <w:sz w:val="16"/>
          <w:szCs w:val="16"/>
          <w:lang w:val="es-AR"/>
        </w:rPr>
        <w:t xml:space="preserve">.  </w:t>
      </w:r>
    </w:p>
  </w:footnote>
  <w:footnote w:id="231">
    <w:p w14:paraId="6827D5E8" w14:textId="77777777" w:rsidR="005B3F8C" w:rsidRPr="00D93236" w:rsidRDefault="005B3F8C" w:rsidP="00E27260">
      <w:pPr>
        <w:pStyle w:val="FootnoteText"/>
        <w:jc w:val="both"/>
        <w:rPr>
          <w:rFonts w:asciiTheme="majorHAnsi" w:hAnsiTheme="majorHAnsi"/>
          <w:sz w:val="16"/>
          <w:szCs w:val="16"/>
          <w:lang w:val="es-AR"/>
        </w:rPr>
      </w:pPr>
      <w:r w:rsidRPr="00D93236">
        <w:rPr>
          <w:rStyle w:val="FootnoteReference"/>
          <w:rFonts w:asciiTheme="majorHAnsi" w:hAnsiTheme="majorHAnsi"/>
          <w:sz w:val="16"/>
          <w:szCs w:val="16"/>
        </w:rPr>
        <w:footnoteRef/>
      </w:r>
      <w:r w:rsidRPr="00D93236">
        <w:rPr>
          <w:rFonts w:asciiTheme="majorHAnsi" w:hAnsiTheme="majorHAnsi"/>
          <w:sz w:val="16"/>
          <w:szCs w:val="16"/>
          <w:lang w:val="es-AR"/>
        </w:rPr>
        <w:t xml:space="preserve"> </w:t>
      </w:r>
      <w:r w:rsidRPr="00D74C9C">
        <w:rPr>
          <w:rFonts w:asciiTheme="majorHAnsi" w:hAnsiTheme="majorHAnsi"/>
          <w:sz w:val="16"/>
          <w:szCs w:val="16"/>
          <w:lang w:val="es-US"/>
        </w:rPr>
        <w:t>Anexo 2.</w:t>
      </w:r>
      <w:r w:rsidRPr="00D93236">
        <w:rPr>
          <w:rFonts w:asciiTheme="majorHAnsi" w:hAnsiTheme="majorHAnsi"/>
          <w:sz w:val="16"/>
          <w:szCs w:val="16"/>
          <w:lang w:val="es-US"/>
        </w:rPr>
        <w:t xml:space="preserve"> </w:t>
      </w:r>
      <w:r w:rsidRPr="00D93236">
        <w:rPr>
          <w:rFonts w:asciiTheme="majorHAnsi" w:hAnsiTheme="majorHAnsi"/>
          <w:sz w:val="16"/>
          <w:szCs w:val="16"/>
          <w:lang w:val="es-AR"/>
        </w:rPr>
        <w:t>Sentencia del TOF 3. Capitulo</w:t>
      </w:r>
      <w:r>
        <w:rPr>
          <w:rFonts w:asciiTheme="majorHAnsi" w:hAnsiTheme="majorHAnsi"/>
          <w:sz w:val="16"/>
          <w:szCs w:val="16"/>
          <w:lang w:val="es-US"/>
        </w:rPr>
        <w:t>. V</w:t>
      </w:r>
      <w:r w:rsidRPr="00D93236">
        <w:rPr>
          <w:rFonts w:asciiTheme="majorHAnsi" w:hAnsiTheme="majorHAnsi"/>
          <w:sz w:val="16"/>
          <w:szCs w:val="16"/>
          <w:lang w:val="es-US"/>
        </w:rPr>
        <w:t>. Pag 2434</w:t>
      </w:r>
      <w:r>
        <w:rPr>
          <w:rFonts w:asciiTheme="majorHAnsi" w:hAnsiTheme="majorHAnsi"/>
          <w:sz w:val="16"/>
          <w:szCs w:val="16"/>
          <w:lang w:val="es-US"/>
        </w:rPr>
        <w:t>.</w:t>
      </w:r>
      <w:r w:rsidRPr="00D93236">
        <w:rPr>
          <w:rFonts w:asciiTheme="majorHAnsi" w:hAnsiTheme="majorHAnsi"/>
          <w:sz w:val="16"/>
          <w:szCs w:val="16"/>
          <w:lang w:val="es-US"/>
        </w:rPr>
        <w:t xml:space="preserve"> Anexo</w:t>
      </w:r>
      <w:r w:rsidRPr="00D93236">
        <w:rPr>
          <w:rFonts w:asciiTheme="majorHAnsi" w:hAnsiTheme="majorHAnsi"/>
          <w:sz w:val="16"/>
          <w:szCs w:val="16"/>
          <w:lang w:val="es-AR"/>
        </w:rPr>
        <w:t xml:space="preserve"> 1 a la comunicación de la parte peticionaria de fecha 11 de noviembre de 2019</w:t>
      </w:r>
    </w:p>
  </w:footnote>
  <w:footnote w:id="232">
    <w:p w14:paraId="5B461419" w14:textId="77777777" w:rsidR="005B3F8C" w:rsidRPr="00D93236" w:rsidRDefault="005B3F8C" w:rsidP="00E27260">
      <w:pPr>
        <w:pStyle w:val="FootnoteText"/>
        <w:jc w:val="both"/>
        <w:rPr>
          <w:rFonts w:asciiTheme="majorHAnsi" w:hAnsiTheme="majorHAnsi"/>
          <w:sz w:val="16"/>
          <w:szCs w:val="16"/>
          <w:lang w:val="es-US"/>
        </w:rPr>
      </w:pPr>
      <w:r w:rsidRPr="00D93236">
        <w:rPr>
          <w:rStyle w:val="FootnoteReference"/>
          <w:rFonts w:asciiTheme="majorHAnsi" w:hAnsiTheme="majorHAnsi"/>
          <w:sz w:val="16"/>
          <w:szCs w:val="16"/>
        </w:rPr>
        <w:footnoteRef/>
      </w:r>
      <w:r w:rsidRPr="00D93236">
        <w:rPr>
          <w:rFonts w:asciiTheme="majorHAnsi" w:hAnsiTheme="majorHAnsi"/>
          <w:sz w:val="16"/>
          <w:szCs w:val="16"/>
          <w:lang w:val="es-AR"/>
        </w:rPr>
        <w:t xml:space="preserve"> </w:t>
      </w:r>
      <w:r w:rsidRPr="00D74C9C">
        <w:rPr>
          <w:rFonts w:asciiTheme="majorHAnsi" w:hAnsiTheme="majorHAnsi"/>
          <w:sz w:val="16"/>
          <w:szCs w:val="16"/>
          <w:lang w:val="es-AR"/>
        </w:rPr>
        <w:t>Anexo 5.</w:t>
      </w:r>
      <w:r w:rsidRPr="00D93236">
        <w:rPr>
          <w:rFonts w:asciiTheme="majorHAnsi" w:hAnsiTheme="majorHAnsi"/>
          <w:sz w:val="16"/>
          <w:szCs w:val="16"/>
          <w:lang w:val="es-AR"/>
        </w:rPr>
        <w:t xml:space="preserve"> Dictamen UFI AMIA 2006 pág. 694. Anexo 12 a la comunicación de la parte peticionaria de fecha 11 de noviembre de 2019. </w:t>
      </w:r>
    </w:p>
  </w:footnote>
  <w:footnote w:id="233">
    <w:p w14:paraId="2A7DF5B9" w14:textId="77777777" w:rsidR="005B3F8C" w:rsidRPr="00D93236" w:rsidRDefault="005B3F8C">
      <w:pPr>
        <w:pStyle w:val="FootnoteText"/>
        <w:rPr>
          <w:lang w:val="es-US"/>
        </w:rPr>
      </w:pPr>
      <w:r w:rsidRPr="00D93236">
        <w:rPr>
          <w:rStyle w:val="FootnoteReference"/>
          <w:rFonts w:asciiTheme="majorHAnsi" w:hAnsiTheme="majorHAnsi"/>
          <w:sz w:val="16"/>
          <w:szCs w:val="16"/>
        </w:rPr>
        <w:footnoteRef/>
      </w:r>
      <w:r w:rsidRPr="00D93236">
        <w:rPr>
          <w:rFonts w:asciiTheme="majorHAnsi" w:hAnsiTheme="majorHAnsi"/>
          <w:sz w:val="16"/>
          <w:szCs w:val="16"/>
          <w:lang w:val="es-US"/>
        </w:rPr>
        <w:t xml:space="preserve"> </w:t>
      </w:r>
      <w:r w:rsidRPr="00D74C9C">
        <w:rPr>
          <w:rFonts w:asciiTheme="majorHAnsi" w:hAnsiTheme="majorHAnsi"/>
          <w:sz w:val="16"/>
          <w:szCs w:val="16"/>
          <w:lang w:val="es-AR"/>
        </w:rPr>
        <w:t>Anexo 5.</w:t>
      </w:r>
      <w:r w:rsidRPr="00D93236">
        <w:rPr>
          <w:rFonts w:asciiTheme="majorHAnsi" w:hAnsiTheme="majorHAnsi"/>
          <w:sz w:val="16"/>
          <w:szCs w:val="16"/>
          <w:lang w:val="es-AR"/>
        </w:rPr>
        <w:t xml:space="preserve"> Dictamen UFI AMIA 2006 pág. 696. Anexo 12 a la comunicación de la parte peticionaria de fecha 11 de noviembre de 2019</w:t>
      </w:r>
    </w:p>
  </w:footnote>
  <w:footnote w:id="234">
    <w:p w14:paraId="3D48909A" w14:textId="77777777" w:rsidR="005B3F8C" w:rsidRPr="00D93236" w:rsidRDefault="005B3F8C" w:rsidP="00E27260">
      <w:pPr>
        <w:pStyle w:val="FootnoteText"/>
        <w:jc w:val="both"/>
        <w:rPr>
          <w:rFonts w:asciiTheme="majorHAnsi" w:hAnsiTheme="majorHAnsi"/>
          <w:sz w:val="16"/>
          <w:szCs w:val="16"/>
          <w:lang w:val="es-AR"/>
        </w:rPr>
      </w:pPr>
      <w:r w:rsidRPr="00D93236">
        <w:rPr>
          <w:rStyle w:val="FootnoteReference"/>
          <w:rFonts w:asciiTheme="majorHAnsi" w:hAnsiTheme="majorHAnsi"/>
          <w:sz w:val="16"/>
          <w:szCs w:val="16"/>
        </w:rPr>
        <w:footnoteRef/>
      </w:r>
      <w:r w:rsidRPr="00D93236">
        <w:rPr>
          <w:rFonts w:asciiTheme="majorHAnsi" w:hAnsiTheme="majorHAnsi"/>
          <w:sz w:val="16"/>
          <w:szCs w:val="16"/>
          <w:lang w:val="es-AR"/>
        </w:rPr>
        <w:t xml:space="preserve"> </w:t>
      </w:r>
      <w:r w:rsidRPr="00D74C9C">
        <w:rPr>
          <w:rFonts w:asciiTheme="majorHAnsi" w:hAnsiTheme="majorHAnsi"/>
          <w:sz w:val="16"/>
          <w:szCs w:val="16"/>
          <w:lang w:val="es-AR"/>
        </w:rPr>
        <w:t>Anexo 5.</w:t>
      </w:r>
      <w:r w:rsidRPr="00D93236">
        <w:rPr>
          <w:rFonts w:asciiTheme="majorHAnsi" w:hAnsiTheme="majorHAnsi"/>
          <w:sz w:val="16"/>
          <w:szCs w:val="16"/>
          <w:lang w:val="es-AR"/>
        </w:rPr>
        <w:t xml:space="preserve"> Dictamen UFI AMIA 2006. Anexo 12 de la comunicación de la parte peticionaria de fecha 11 de noviembre de 2019. Ver, por ejemplo y entre muchos otros: págs. 698 y 699 sobre la identidad de Abu Mohamad Yassin, “</w:t>
      </w:r>
      <w:r w:rsidRPr="00D93236">
        <w:rPr>
          <w:rFonts w:asciiTheme="majorHAnsi" w:hAnsiTheme="majorHAnsi"/>
          <w:b/>
          <w:i/>
          <w:sz w:val="16"/>
          <w:szCs w:val="16"/>
          <w:lang w:val="es-AR"/>
        </w:rPr>
        <w:t>La información proporcionada oportunamente por la Secretaria de Inteligencia</w:t>
      </w:r>
      <w:r w:rsidRPr="00D93236">
        <w:rPr>
          <w:rFonts w:asciiTheme="majorHAnsi" w:hAnsiTheme="majorHAnsi"/>
          <w:i/>
          <w:sz w:val="16"/>
          <w:szCs w:val="16"/>
          <w:lang w:val="es-AR"/>
        </w:rPr>
        <w:t xml:space="preserve"> en la que se señala a Abu Mohamad Yassin como ‘un miembro importante de Hezbollah…</w:t>
      </w:r>
      <w:r w:rsidRPr="00D93236">
        <w:rPr>
          <w:rFonts w:asciiTheme="majorHAnsi" w:hAnsiTheme="majorHAnsi"/>
          <w:sz w:val="16"/>
          <w:szCs w:val="16"/>
          <w:lang w:val="es-AR"/>
        </w:rPr>
        <w:t>’;  pág. 702 sobre el viaje de Berro desde el Líbano hacia el continente americano: “</w:t>
      </w:r>
      <w:r w:rsidRPr="00D93236">
        <w:rPr>
          <w:rFonts w:asciiTheme="majorHAnsi" w:hAnsiTheme="majorHAnsi"/>
          <w:b/>
          <w:i/>
          <w:sz w:val="16"/>
          <w:szCs w:val="16"/>
          <w:lang w:val="es-AR"/>
        </w:rPr>
        <w:t>Otra fuente de la Secretaria de Inteligencia</w:t>
      </w:r>
      <w:r w:rsidRPr="00D93236">
        <w:rPr>
          <w:rFonts w:asciiTheme="majorHAnsi" w:hAnsiTheme="majorHAnsi"/>
          <w:i/>
          <w:sz w:val="16"/>
          <w:szCs w:val="16"/>
          <w:lang w:val="es-AR"/>
        </w:rPr>
        <w:t xml:space="preserve"> […] da cuenta de que ‘dos o tres elementos partieron desde El Líbano – vía Europa – hacia la Triple Frontera, con pasaportes europeos y con identidades de ciudadanos de esos países y no libanesa. Uno de ellos sería Hijad Hussein Brru…</w:t>
      </w:r>
      <w:r w:rsidRPr="00D93236">
        <w:rPr>
          <w:rFonts w:asciiTheme="majorHAnsi" w:hAnsiTheme="majorHAnsi"/>
          <w:sz w:val="16"/>
          <w:szCs w:val="16"/>
          <w:lang w:val="es-AR"/>
        </w:rPr>
        <w:t xml:space="preserve">’; pag 733; sobre la alegada afinidad de la familia Berro con grupos terroristas, ver pag 733. (resaltado no pertenece al original) </w:t>
      </w:r>
    </w:p>
  </w:footnote>
  <w:footnote w:id="235">
    <w:p w14:paraId="23E027FB" w14:textId="77777777" w:rsidR="005B3F8C" w:rsidRPr="00D93236" w:rsidRDefault="005B3F8C" w:rsidP="00E27260">
      <w:pPr>
        <w:pStyle w:val="FootnoteText"/>
        <w:jc w:val="both"/>
        <w:rPr>
          <w:rFonts w:asciiTheme="majorHAnsi" w:hAnsiTheme="majorHAnsi"/>
          <w:sz w:val="16"/>
          <w:szCs w:val="16"/>
          <w:lang w:val="es-AR"/>
        </w:rPr>
      </w:pPr>
      <w:r w:rsidRPr="00D93236">
        <w:rPr>
          <w:rStyle w:val="FootnoteReference"/>
          <w:rFonts w:asciiTheme="majorHAnsi" w:hAnsiTheme="majorHAnsi"/>
          <w:sz w:val="16"/>
          <w:szCs w:val="16"/>
        </w:rPr>
        <w:footnoteRef/>
      </w:r>
      <w:r w:rsidRPr="00D93236">
        <w:rPr>
          <w:rFonts w:asciiTheme="majorHAnsi" w:hAnsiTheme="majorHAnsi"/>
          <w:sz w:val="16"/>
          <w:szCs w:val="16"/>
          <w:lang w:val="es-AR"/>
        </w:rPr>
        <w:t xml:space="preserve"> </w:t>
      </w:r>
      <w:r w:rsidRPr="00D74C9C">
        <w:rPr>
          <w:rFonts w:asciiTheme="majorHAnsi" w:hAnsiTheme="majorHAnsi"/>
          <w:sz w:val="16"/>
          <w:szCs w:val="16"/>
          <w:lang w:val="es-AR"/>
        </w:rPr>
        <w:t>Anexo 5.</w:t>
      </w:r>
      <w:r w:rsidRPr="00D93236">
        <w:rPr>
          <w:rFonts w:asciiTheme="majorHAnsi" w:hAnsiTheme="majorHAnsi"/>
          <w:b/>
          <w:sz w:val="16"/>
          <w:szCs w:val="16"/>
          <w:lang w:val="es-AR"/>
        </w:rPr>
        <w:t xml:space="preserve"> </w:t>
      </w:r>
      <w:r w:rsidRPr="00D93236">
        <w:rPr>
          <w:rFonts w:asciiTheme="majorHAnsi" w:hAnsiTheme="majorHAnsi"/>
          <w:sz w:val="16"/>
          <w:szCs w:val="16"/>
          <w:lang w:val="es-AR"/>
        </w:rPr>
        <w:t>Dictamen UFI AMIA 2006. Anexo 12 de la comunicación de la parte peticionaria de fecha 11 de noviembre de 2019. Ver, por ejemplo: pág. 699, sobre la presencia de Ibrahim Berro en la zona de la Triple Frontera: “</w:t>
      </w:r>
      <w:r w:rsidRPr="00D93236">
        <w:rPr>
          <w:rFonts w:asciiTheme="majorHAnsi" w:hAnsiTheme="majorHAnsi"/>
          <w:b/>
          <w:i/>
          <w:sz w:val="16"/>
          <w:szCs w:val="16"/>
          <w:lang w:val="es-AR"/>
        </w:rPr>
        <w:t>un informe proporcionado por un ‘servicio colateral’ de la Secretaria de Inteligencia</w:t>
      </w:r>
      <w:r w:rsidRPr="00D93236">
        <w:rPr>
          <w:rFonts w:asciiTheme="majorHAnsi" w:hAnsiTheme="majorHAnsi"/>
          <w:i/>
          <w:sz w:val="16"/>
          <w:szCs w:val="16"/>
          <w:lang w:val="es-AR"/>
        </w:rPr>
        <w:t xml:space="preserve"> que determinó que el nombrado viajó desde el Líbano a la zona de la ‘triple frontera unos días antes de la fecha elegida para la ejecución del atentado a la sede de la AMIA</w:t>
      </w:r>
      <w:r w:rsidRPr="00D93236">
        <w:rPr>
          <w:rFonts w:asciiTheme="majorHAnsi" w:hAnsiTheme="majorHAnsi"/>
          <w:sz w:val="16"/>
          <w:szCs w:val="16"/>
          <w:lang w:val="es-AR"/>
        </w:rPr>
        <w:t xml:space="preserve">’ (resaltado no pertenece al original); Sobre los supuestos anfitriones de Berro en la triple frontera, ver pág. 704 </w:t>
      </w:r>
    </w:p>
  </w:footnote>
  <w:footnote w:id="236">
    <w:p w14:paraId="696A9F53" w14:textId="77777777" w:rsidR="005B3F8C" w:rsidRPr="00D74C9C" w:rsidRDefault="005B3F8C" w:rsidP="00E27260">
      <w:pPr>
        <w:pStyle w:val="FootnoteText"/>
        <w:jc w:val="both"/>
        <w:rPr>
          <w:rFonts w:asciiTheme="majorHAnsi" w:hAnsiTheme="majorHAnsi"/>
          <w:sz w:val="16"/>
          <w:szCs w:val="16"/>
          <w:lang w:val="es-AR"/>
        </w:rPr>
      </w:pPr>
      <w:r w:rsidRPr="00D93236">
        <w:rPr>
          <w:rStyle w:val="FootnoteReference"/>
          <w:rFonts w:asciiTheme="majorHAnsi" w:hAnsiTheme="majorHAnsi"/>
          <w:sz w:val="16"/>
          <w:szCs w:val="16"/>
        </w:rPr>
        <w:footnoteRef/>
      </w:r>
      <w:r w:rsidRPr="00D93236">
        <w:rPr>
          <w:rFonts w:asciiTheme="majorHAnsi" w:hAnsiTheme="majorHAnsi"/>
          <w:sz w:val="16"/>
          <w:szCs w:val="16"/>
          <w:lang w:val="es-AR"/>
        </w:rPr>
        <w:t xml:space="preserve"> </w:t>
      </w:r>
      <w:r w:rsidRPr="00D74C9C">
        <w:rPr>
          <w:rFonts w:asciiTheme="majorHAnsi" w:hAnsiTheme="majorHAnsi"/>
          <w:sz w:val="16"/>
          <w:szCs w:val="16"/>
          <w:lang w:val="es-AR"/>
        </w:rPr>
        <w:t xml:space="preserve">Anexo 5. Dictamen UFI AMIA 2006. Anexo 12 de la comunicación de la parte peticionaria de fecha 11 de noviembre de 2019. Pág. 704. </w:t>
      </w:r>
    </w:p>
  </w:footnote>
  <w:footnote w:id="237">
    <w:p w14:paraId="3A6F1682" w14:textId="77777777" w:rsidR="005B3F8C" w:rsidRPr="00D74C9C" w:rsidRDefault="005B3F8C" w:rsidP="00E27260">
      <w:pPr>
        <w:pStyle w:val="FootnoteText"/>
        <w:jc w:val="both"/>
        <w:rPr>
          <w:rFonts w:asciiTheme="majorHAnsi" w:hAnsiTheme="majorHAnsi"/>
          <w:sz w:val="16"/>
          <w:szCs w:val="16"/>
          <w:lang w:val="es-AR"/>
        </w:rPr>
      </w:pPr>
      <w:r w:rsidRPr="00D74C9C">
        <w:rPr>
          <w:rStyle w:val="FootnoteReference"/>
          <w:rFonts w:asciiTheme="majorHAnsi" w:hAnsiTheme="majorHAnsi"/>
          <w:sz w:val="16"/>
          <w:szCs w:val="16"/>
        </w:rPr>
        <w:footnoteRef/>
      </w:r>
      <w:r w:rsidRPr="00D74C9C">
        <w:rPr>
          <w:rFonts w:asciiTheme="majorHAnsi" w:hAnsiTheme="majorHAnsi"/>
          <w:sz w:val="16"/>
          <w:szCs w:val="16"/>
          <w:lang w:val="es-AR"/>
        </w:rPr>
        <w:t xml:space="preserve"> Anexo 5. Dictamen UFI AMIA 2006 pág. 714. Anexo 12 a la comunicación de la parte peticionaria de fecha 11 de noviembre de 2019.</w:t>
      </w:r>
    </w:p>
  </w:footnote>
  <w:footnote w:id="238">
    <w:p w14:paraId="52BF4D85" w14:textId="77777777" w:rsidR="005B3F8C" w:rsidRPr="00D74C9C" w:rsidRDefault="005B3F8C" w:rsidP="00E27260">
      <w:pPr>
        <w:pStyle w:val="FootnoteText"/>
        <w:jc w:val="both"/>
        <w:rPr>
          <w:rFonts w:asciiTheme="majorHAnsi" w:hAnsiTheme="majorHAnsi"/>
          <w:sz w:val="16"/>
          <w:szCs w:val="16"/>
          <w:lang w:val="es-AR"/>
        </w:rPr>
      </w:pPr>
      <w:r w:rsidRPr="00D74C9C">
        <w:rPr>
          <w:rStyle w:val="FootnoteReference"/>
          <w:rFonts w:asciiTheme="majorHAnsi" w:hAnsiTheme="majorHAnsi"/>
          <w:sz w:val="16"/>
          <w:szCs w:val="16"/>
        </w:rPr>
        <w:footnoteRef/>
      </w:r>
      <w:r w:rsidRPr="00D74C9C">
        <w:rPr>
          <w:rFonts w:asciiTheme="majorHAnsi" w:hAnsiTheme="majorHAnsi"/>
          <w:sz w:val="16"/>
          <w:szCs w:val="16"/>
          <w:lang w:val="es-AR"/>
        </w:rPr>
        <w:t xml:space="preserve"> Anexo 5. Dictamen UFI AMIA 2006 pág. 714. Anexo 12 a la comunicación de la parte peticionaria de fecha 11 de noviembre de 2019.</w:t>
      </w:r>
    </w:p>
  </w:footnote>
  <w:footnote w:id="239">
    <w:p w14:paraId="100DCE6C" w14:textId="77777777" w:rsidR="005B3F8C" w:rsidRPr="00D74C9C" w:rsidRDefault="005B3F8C" w:rsidP="00E27260">
      <w:pPr>
        <w:pStyle w:val="FootnoteText"/>
        <w:jc w:val="both"/>
        <w:rPr>
          <w:rFonts w:asciiTheme="majorHAnsi" w:hAnsiTheme="majorHAnsi"/>
          <w:sz w:val="16"/>
          <w:szCs w:val="16"/>
          <w:lang w:val="es-US"/>
        </w:rPr>
      </w:pPr>
      <w:r w:rsidRPr="00D74C9C">
        <w:rPr>
          <w:rStyle w:val="FootnoteReference"/>
          <w:rFonts w:asciiTheme="majorHAnsi" w:hAnsiTheme="majorHAnsi"/>
          <w:sz w:val="16"/>
          <w:szCs w:val="16"/>
        </w:rPr>
        <w:footnoteRef/>
      </w:r>
      <w:r w:rsidRPr="00D74C9C">
        <w:rPr>
          <w:rFonts w:asciiTheme="majorHAnsi" w:hAnsiTheme="majorHAnsi"/>
          <w:sz w:val="16"/>
          <w:szCs w:val="16"/>
          <w:lang w:val="es-US"/>
        </w:rPr>
        <w:t xml:space="preserve"> </w:t>
      </w:r>
      <w:r w:rsidRPr="00D74C9C">
        <w:rPr>
          <w:rFonts w:asciiTheme="majorHAnsi" w:hAnsiTheme="majorHAnsi"/>
          <w:sz w:val="16"/>
          <w:szCs w:val="16"/>
          <w:lang w:val="es-AR"/>
        </w:rPr>
        <w:t>Anexo 5. Dictamen UFI AMIA 2006 pág. 768. Anexo 12 a la comunicación de la parte peticionaria de fecha 11 de noviembre de 2019.</w:t>
      </w:r>
    </w:p>
  </w:footnote>
  <w:footnote w:id="240">
    <w:p w14:paraId="7CB4B64F" w14:textId="77777777" w:rsidR="005B3F8C" w:rsidRPr="00D74C9C" w:rsidRDefault="005B3F8C" w:rsidP="00E27260">
      <w:pPr>
        <w:pStyle w:val="FootnoteText"/>
        <w:jc w:val="both"/>
        <w:rPr>
          <w:rFonts w:asciiTheme="majorHAnsi" w:hAnsiTheme="majorHAnsi"/>
          <w:sz w:val="16"/>
          <w:szCs w:val="16"/>
          <w:lang w:val="es-AR"/>
        </w:rPr>
      </w:pPr>
      <w:r w:rsidRPr="00D74C9C">
        <w:rPr>
          <w:rStyle w:val="FootnoteReference"/>
          <w:rFonts w:asciiTheme="majorHAnsi" w:hAnsiTheme="majorHAnsi"/>
          <w:sz w:val="16"/>
          <w:szCs w:val="16"/>
        </w:rPr>
        <w:footnoteRef/>
      </w:r>
      <w:r w:rsidRPr="00D74C9C">
        <w:rPr>
          <w:rFonts w:asciiTheme="majorHAnsi" w:hAnsiTheme="majorHAnsi"/>
          <w:sz w:val="16"/>
          <w:szCs w:val="16"/>
          <w:lang w:val="es-US"/>
        </w:rPr>
        <w:t xml:space="preserve"> </w:t>
      </w:r>
      <w:r w:rsidRPr="00D74C9C">
        <w:rPr>
          <w:rFonts w:asciiTheme="majorHAnsi" w:hAnsiTheme="majorHAnsi"/>
          <w:sz w:val="16"/>
          <w:szCs w:val="16"/>
          <w:lang w:val="es-AR"/>
        </w:rPr>
        <w:t>Anexo 5. Dictamen UFI AMIA 2006 pág. 768. Anexo 12 a la comunicación de la parte peticionaria de fecha 11 de noviembre de 2019.</w:t>
      </w:r>
    </w:p>
  </w:footnote>
  <w:footnote w:id="241">
    <w:p w14:paraId="3BC2F3EE" w14:textId="77777777" w:rsidR="005B3F8C" w:rsidRPr="00D93236" w:rsidRDefault="005B3F8C" w:rsidP="00E27260">
      <w:pPr>
        <w:pStyle w:val="FootnoteText"/>
        <w:jc w:val="both"/>
        <w:rPr>
          <w:rFonts w:asciiTheme="majorHAnsi" w:hAnsiTheme="majorHAnsi"/>
          <w:sz w:val="16"/>
          <w:szCs w:val="16"/>
          <w:lang w:val="es-US"/>
        </w:rPr>
      </w:pPr>
      <w:r w:rsidRPr="00D74C9C">
        <w:rPr>
          <w:rStyle w:val="FootnoteReference"/>
          <w:rFonts w:asciiTheme="majorHAnsi" w:hAnsiTheme="majorHAnsi"/>
          <w:sz w:val="16"/>
          <w:szCs w:val="16"/>
        </w:rPr>
        <w:footnoteRef/>
      </w:r>
      <w:r w:rsidRPr="00D74C9C">
        <w:rPr>
          <w:rFonts w:asciiTheme="majorHAnsi" w:hAnsiTheme="majorHAnsi"/>
          <w:sz w:val="16"/>
          <w:szCs w:val="16"/>
          <w:lang w:val="es-US"/>
        </w:rPr>
        <w:t>Anexo 13. Informe</w:t>
      </w:r>
      <w:r w:rsidRPr="00D93236">
        <w:rPr>
          <w:rFonts w:asciiTheme="majorHAnsi" w:hAnsiTheme="majorHAnsi"/>
          <w:sz w:val="16"/>
          <w:szCs w:val="16"/>
          <w:lang w:val="es-US"/>
        </w:rPr>
        <w:t xml:space="preserve"> de Gestión de la UFI AMIA. Julio 2017, pág. 8. Anexo 19 a la comunicación de la parte peticionaria de fecha 11 de noviembre de 2019.  </w:t>
      </w:r>
    </w:p>
  </w:footnote>
  <w:footnote w:id="242">
    <w:p w14:paraId="4114B56C" w14:textId="77777777" w:rsidR="005B3F8C" w:rsidRPr="00D93236" w:rsidRDefault="005B3F8C" w:rsidP="00E27260">
      <w:pPr>
        <w:pStyle w:val="FootnoteText"/>
        <w:jc w:val="both"/>
        <w:rPr>
          <w:rFonts w:asciiTheme="majorHAnsi" w:hAnsiTheme="majorHAnsi"/>
          <w:sz w:val="16"/>
          <w:szCs w:val="16"/>
          <w:lang w:val="es-US"/>
        </w:rPr>
      </w:pPr>
      <w:r w:rsidRPr="00D93236">
        <w:rPr>
          <w:rStyle w:val="FootnoteReference"/>
          <w:rFonts w:asciiTheme="majorHAnsi" w:hAnsiTheme="majorHAnsi"/>
          <w:sz w:val="16"/>
          <w:szCs w:val="16"/>
        </w:rPr>
        <w:footnoteRef/>
      </w:r>
      <w:r w:rsidRPr="00D93236">
        <w:rPr>
          <w:rFonts w:asciiTheme="majorHAnsi" w:hAnsiTheme="majorHAnsi"/>
          <w:sz w:val="16"/>
          <w:szCs w:val="16"/>
          <w:lang w:val="es-US"/>
        </w:rPr>
        <w:t xml:space="preserve"> </w:t>
      </w:r>
      <w:r w:rsidRPr="00D74C9C">
        <w:rPr>
          <w:rFonts w:asciiTheme="majorHAnsi" w:hAnsiTheme="majorHAnsi"/>
          <w:sz w:val="16"/>
          <w:szCs w:val="16"/>
          <w:lang w:val="es-AR"/>
        </w:rPr>
        <w:t>Anexo 11.</w:t>
      </w:r>
      <w:r w:rsidRPr="00D93236">
        <w:rPr>
          <w:rFonts w:asciiTheme="majorHAnsi" w:hAnsiTheme="majorHAnsi"/>
          <w:sz w:val="16"/>
          <w:szCs w:val="16"/>
          <w:lang w:val="es-AR"/>
        </w:rPr>
        <w:t xml:space="preserve"> Informe de Gestión de la UFI AMIA Julio 2016, pág. 12. Anexo 13 a la comunicación de la parte peticionaria de fecha 11 de noviembre de 2019.</w:t>
      </w:r>
    </w:p>
  </w:footnote>
  <w:footnote w:id="243">
    <w:p w14:paraId="5280C068" w14:textId="77777777" w:rsidR="005B3F8C" w:rsidRPr="00D93236" w:rsidRDefault="005B3F8C" w:rsidP="00E27260">
      <w:pPr>
        <w:pStyle w:val="FootnoteText"/>
        <w:jc w:val="both"/>
        <w:rPr>
          <w:rFonts w:asciiTheme="majorHAnsi" w:hAnsiTheme="majorHAnsi"/>
          <w:sz w:val="16"/>
          <w:szCs w:val="16"/>
          <w:lang w:val="es-AR"/>
        </w:rPr>
      </w:pPr>
      <w:r w:rsidRPr="00D93236">
        <w:rPr>
          <w:rStyle w:val="FootnoteReference"/>
          <w:rFonts w:asciiTheme="majorHAnsi" w:hAnsiTheme="majorHAnsi"/>
          <w:sz w:val="16"/>
          <w:szCs w:val="16"/>
        </w:rPr>
        <w:footnoteRef/>
      </w:r>
      <w:r w:rsidRPr="00D93236">
        <w:rPr>
          <w:rFonts w:asciiTheme="majorHAnsi" w:hAnsiTheme="majorHAnsi"/>
          <w:sz w:val="16"/>
          <w:szCs w:val="16"/>
          <w:lang w:val="es-US"/>
        </w:rPr>
        <w:t xml:space="preserve"> </w:t>
      </w:r>
      <w:r w:rsidRPr="00D93236">
        <w:rPr>
          <w:rFonts w:asciiTheme="majorHAnsi" w:hAnsiTheme="majorHAnsi"/>
          <w:sz w:val="16"/>
          <w:szCs w:val="16"/>
          <w:lang w:val="es-AR"/>
        </w:rPr>
        <w:t xml:space="preserve">Corte IDH. </w:t>
      </w:r>
      <w:r w:rsidRPr="00D93236">
        <w:rPr>
          <w:rFonts w:asciiTheme="majorHAnsi" w:hAnsiTheme="majorHAnsi"/>
          <w:i/>
          <w:sz w:val="16"/>
          <w:szCs w:val="16"/>
          <w:lang w:val="es-AR"/>
        </w:rPr>
        <w:t>Caso Norín Catrimán y otros (Dirigentes, miembros y activista del Pueblo Indígena Mapuche) Vs. Chile</w:t>
      </w:r>
      <w:r w:rsidRPr="00D93236">
        <w:rPr>
          <w:rFonts w:asciiTheme="majorHAnsi" w:hAnsiTheme="majorHAnsi"/>
          <w:sz w:val="16"/>
          <w:szCs w:val="16"/>
          <w:lang w:val="es-AR"/>
        </w:rPr>
        <w:t xml:space="preserve">. Fondo, Reparaciones y Costas. Sentencia de 29 de mayo de 2014. Serie C No. 279, párr.  243. </w:t>
      </w:r>
    </w:p>
  </w:footnote>
  <w:footnote w:id="244">
    <w:p w14:paraId="30623D42" w14:textId="77777777" w:rsidR="005B3F8C" w:rsidRPr="00D93236" w:rsidRDefault="005B3F8C" w:rsidP="00E27260">
      <w:pPr>
        <w:tabs>
          <w:tab w:val="left" w:pos="567"/>
        </w:tabs>
        <w:jc w:val="both"/>
        <w:rPr>
          <w:rFonts w:asciiTheme="majorHAnsi" w:eastAsia="Calibri" w:hAnsiTheme="majorHAnsi"/>
          <w:b/>
          <w:i/>
          <w:sz w:val="16"/>
          <w:szCs w:val="16"/>
          <w:lang w:val="es-ES"/>
        </w:rPr>
      </w:pPr>
      <w:r w:rsidRPr="00D93236">
        <w:rPr>
          <w:rStyle w:val="FootnoteReference"/>
          <w:rFonts w:asciiTheme="majorHAnsi" w:hAnsiTheme="majorHAnsi"/>
          <w:sz w:val="16"/>
          <w:szCs w:val="16"/>
        </w:rPr>
        <w:footnoteRef/>
      </w:r>
      <w:r w:rsidRPr="00D93236">
        <w:rPr>
          <w:rFonts w:asciiTheme="majorHAnsi" w:eastAsia="Calibri" w:hAnsiTheme="majorHAnsi"/>
          <w:sz w:val="16"/>
          <w:szCs w:val="16"/>
          <w:lang w:val="es-ES"/>
        </w:rPr>
        <w:t>La Comisión observa que, por ejemplo, la Corte Constitucional colombiana,</w:t>
      </w:r>
      <w:r w:rsidRPr="00D93236">
        <w:rPr>
          <w:rFonts w:asciiTheme="majorHAnsi" w:eastAsia="Calibri" w:hAnsiTheme="majorHAnsi"/>
          <w:b/>
          <w:sz w:val="16"/>
          <w:szCs w:val="16"/>
          <w:lang w:val="es-ES"/>
        </w:rPr>
        <w:t xml:space="preserve"> </w:t>
      </w:r>
      <w:r w:rsidRPr="00D93236">
        <w:rPr>
          <w:rFonts w:asciiTheme="majorHAnsi" w:eastAsia="Calibri" w:hAnsiTheme="majorHAnsi"/>
          <w:sz w:val="16"/>
          <w:szCs w:val="16"/>
          <w:lang w:val="es-ES"/>
        </w:rPr>
        <w:t>ha afirmado que “los informes de inteligencia se soportan en el procesamiento preventivo de un conjunto de operaciones objetivas -reflejan métodos y acciones llevadas a cabo-, que trabajan sobre un margen de conjeturas o hipótesis sobre numerosa información que viene a terminar en unas conclusiones de la labor de inteligencia”. En ese sentido, ha establecido que</w:t>
      </w:r>
      <w:r>
        <w:rPr>
          <w:rFonts w:asciiTheme="majorHAnsi" w:eastAsia="Calibri" w:hAnsiTheme="majorHAnsi"/>
          <w:sz w:val="16"/>
          <w:szCs w:val="16"/>
          <w:lang w:val="es-ES"/>
        </w:rPr>
        <w:t xml:space="preserve"> ”</w:t>
      </w:r>
      <w:r w:rsidRPr="00D93236">
        <w:rPr>
          <w:rFonts w:asciiTheme="majorHAnsi" w:eastAsia="Calibri" w:hAnsiTheme="majorHAnsi"/>
          <w:sz w:val="16"/>
          <w:szCs w:val="16"/>
          <w:lang w:val="es-ES"/>
        </w:rPr>
        <w:t xml:space="preserve">[a]l existir un amplio margen de dudas sobre la información por no estar comprobada suficientemente, es completamente válido a la luz de la Constitución que el legislador no le hubiere otorgado efecto jurídico de prueba dentro de los procesos disciplinarios y judiciales. Pero ello no significa que pasen desapercibidas en un todo, porque el contenido de tales informes podrá constituir un criterio orientador durante la indagación, lo cual atiende el deber del Estado, en virtud de la política criminal, de investigar con fundamento en la </w:t>
      </w:r>
      <w:r w:rsidRPr="00D93236">
        <w:rPr>
          <w:rFonts w:asciiTheme="majorHAnsi" w:eastAsia="Calibri" w:hAnsiTheme="majorHAnsi"/>
          <w:i/>
          <w:sz w:val="16"/>
          <w:szCs w:val="16"/>
          <w:lang w:val="es-ES"/>
        </w:rPr>
        <w:t>notitia criminis</w:t>
      </w:r>
      <w:r w:rsidRPr="00D93236">
        <w:rPr>
          <w:rFonts w:asciiTheme="majorHAnsi" w:eastAsia="Calibri" w:hAnsiTheme="majorHAnsi"/>
          <w:sz w:val="16"/>
          <w:szCs w:val="16"/>
          <w:lang w:val="es-ES"/>
        </w:rPr>
        <w:t xml:space="preserve">”. Ver, </w:t>
      </w:r>
      <w:r w:rsidRPr="00D93236">
        <w:rPr>
          <w:rFonts w:asciiTheme="majorHAnsi" w:hAnsiTheme="majorHAnsi"/>
          <w:sz w:val="16"/>
          <w:szCs w:val="16"/>
          <w:lang w:val="es-US"/>
        </w:rPr>
        <w:t xml:space="preserve">Corte Constitucional de Colombia, C-540/12.  </w:t>
      </w:r>
    </w:p>
  </w:footnote>
  <w:footnote w:id="245">
    <w:p w14:paraId="43D4E0E5" w14:textId="77777777" w:rsidR="005B3F8C" w:rsidRPr="00D93236" w:rsidRDefault="005B3F8C" w:rsidP="00E27260">
      <w:pPr>
        <w:pStyle w:val="FootnoteText"/>
        <w:jc w:val="both"/>
        <w:rPr>
          <w:rFonts w:asciiTheme="majorHAnsi" w:hAnsiTheme="majorHAnsi"/>
          <w:sz w:val="16"/>
          <w:szCs w:val="16"/>
          <w:lang w:val="es-ES"/>
        </w:rPr>
      </w:pPr>
      <w:r w:rsidRPr="00D93236">
        <w:rPr>
          <w:rStyle w:val="FootnoteReference"/>
          <w:rFonts w:asciiTheme="majorHAnsi" w:hAnsiTheme="majorHAnsi"/>
          <w:sz w:val="16"/>
          <w:szCs w:val="16"/>
          <w:lang w:val="es-ES"/>
        </w:rPr>
        <w:footnoteRef/>
      </w:r>
      <w:r w:rsidRPr="00D93236">
        <w:rPr>
          <w:rFonts w:asciiTheme="majorHAnsi" w:hAnsiTheme="majorHAnsi"/>
          <w:sz w:val="16"/>
          <w:szCs w:val="16"/>
          <w:lang w:val="es-ES"/>
        </w:rPr>
        <w:t xml:space="preserve"> Sobre el valor indiciario otorgado por la jurisprudencia y la legislación nacional de diversos países del continente europeo de la denominada “prueba pericial de inteligencia”, ver: Tribunal Supremo de España, Sala Segunda de lo Penal STS 2084/2001 de fecha 13 de Diciembre de 2001; Ley de Enjuiciamiento Criminal alemana (S</w:t>
      </w:r>
      <w:r w:rsidRPr="00D93236">
        <w:rPr>
          <w:rFonts w:asciiTheme="majorHAnsi" w:hAnsiTheme="majorHAnsi"/>
          <w:i/>
          <w:sz w:val="16"/>
          <w:szCs w:val="16"/>
          <w:lang w:val="es-ES"/>
        </w:rPr>
        <w:t>t</w:t>
      </w:r>
      <w:r w:rsidRPr="00D93236">
        <w:rPr>
          <w:rFonts w:asciiTheme="majorHAnsi" w:hAnsiTheme="majorHAnsi"/>
          <w:sz w:val="16"/>
          <w:szCs w:val="16"/>
          <w:lang w:val="es-ES"/>
        </w:rPr>
        <w:t xml:space="preserve">PO) § 161. </w:t>
      </w:r>
    </w:p>
  </w:footnote>
  <w:footnote w:id="246">
    <w:p w14:paraId="58C49BD0" w14:textId="77777777" w:rsidR="005B3F8C" w:rsidRPr="00D93236" w:rsidRDefault="005B3F8C" w:rsidP="00E27260">
      <w:pPr>
        <w:tabs>
          <w:tab w:val="left" w:pos="567"/>
        </w:tabs>
        <w:jc w:val="both"/>
        <w:rPr>
          <w:rFonts w:asciiTheme="majorHAnsi" w:hAnsiTheme="majorHAnsi"/>
          <w:b/>
          <w:i/>
          <w:sz w:val="16"/>
          <w:szCs w:val="16"/>
          <w:lang w:val="es-ES"/>
        </w:rPr>
      </w:pPr>
      <w:r w:rsidRPr="00D93236">
        <w:rPr>
          <w:rStyle w:val="FootnoteReference"/>
          <w:rFonts w:asciiTheme="majorHAnsi" w:hAnsiTheme="majorHAnsi"/>
          <w:sz w:val="16"/>
          <w:szCs w:val="16"/>
        </w:rPr>
        <w:footnoteRef/>
      </w:r>
      <w:r w:rsidRPr="00D93236">
        <w:rPr>
          <w:rFonts w:asciiTheme="majorHAnsi" w:hAnsiTheme="majorHAnsi"/>
          <w:sz w:val="16"/>
          <w:szCs w:val="16"/>
          <w:lang w:val="es-US"/>
        </w:rPr>
        <w:t xml:space="preserve"> </w:t>
      </w:r>
      <w:r w:rsidRPr="00D93236">
        <w:rPr>
          <w:rFonts w:asciiTheme="majorHAnsi" w:eastAsia="Calibri" w:hAnsiTheme="majorHAnsi"/>
          <w:sz w:val="16"/>
          <w:szCs w:val="16"/>
          <w:lang w:val="es-AR"/>
        </w:rPr>
        <w:t>Al respecto,</w:t>
      </w:r>
      <w:r w:rsidRPr="00D93236">
        <w:rPr>
          <w:rFonts w:asciiTheme="majorHAnsi" w:eastAsia="Calibri" w:hAnsiTheme="majorHAnsi"/>
          <w:sz w:val="16"/>
          <w:szCs w:val="16"/>
          <w:lang w:val="es-ES"/>
        </w:rPr>
        <w:t xml:space="preserve"> Martin Scheinin, Relator Especial sobre la</w:t>
      </w:r>
      <w:r w:rsidRPr="00D93236">
        <w:rPr>
          <w:rFonts w:asciiTheme="majorHAnsi" w:eastAsia="Calibri" w:hAnsiTheme="majorHAnsi"/>
          <w:b/>
          <w:i/>
          <w:sz w:val="16"/>
          <w:szCs w:val="16"/>
          <w:lang w:val="es-ES"/>
        </w:rPr>
        <w:t xml:space="preserve"> </w:t>
      </w:r>
      <w:r w:rsidRPr="00D93236">
        <w:rPr>
          <w:rFonts w:asciiTheme="majorHAnsi" w:eastAsia="Calibri" w:hAnsiTheme="majorHAnsi"/>
          <w:sz w:val="16"/>
          <w:szCs w:val="16"/>
          <w:lang w:val="es-ES"/>
        </w:rPr>
        <w:t>promoción y la protección de los derechos humanos</w:t>
      </w:r>
      <w:r w:rsidRPr="00D93236">
        <w:rPr>
          <w:rFonts w:asciiTheme="majorHAnsi" w:eastAsia="Calibri" w:hAnsiTheme="majorHAnsi"/>
          <w:b/>
          <w:i/>
          <w:sz w:val="16"/>
          <w:szCs w:val="16"/>
          <w:lang w:val="es-ES"/>
        </w:rPr>
        <w:t xml:space="preserve"> </w:t>
      </w:r>
      <w:r w:rsidRPr="00D93236">
        <w:rPr>
          <w:rFonts w:asciiTheme="majorHAnsi" w:eastAsia="Calibri" w:hAnsiTheme="majorHAnsi"/>
          <w:sz w:val="16"/>
          <w:szCs w:val="16"/>
          <w:lang w:val="es-ES"/>
        </w:rPr>
        <w:t>y las libertades fundamentales en la lucha contra</w:t>
      </w:r>
      <w:r w:rsidRPr="00D93236">
        <w:rPr>
          <w:rFonts w:asciiTheme="majorHAnsi" w:eastAsia="Calibri" w:hAnsiTheme="majorHAnsi"/>
          <w:b/>
          <w:i/>
          <w:sz w:val="16"/>
          <w:szCs w:val="16"/>
          <w:lang w:val="es-ES"/>
        </w:rPr>
        <w:t xml:space="preserve"> </w:t>
      </w:r>
      <w:r w:rsidRPr="00D93236">
        <w:rPr>
          <w:rFonts w:asciiTheme="majorHAnsi" w:eastAsia="Calibri" w:hAnsiTheme="majorHAnsi"/>
          <w:sz w:val="16"/>
          <w:szCs w:val="16"/>
          <w:lang w:val="es-ES"/>
        </w:rPr>
        <w:t>el terrorismo, ha afirmado que: “[a] unque los servicios de inteligencia están obligados de ordinario a suprimir los datos que dejen de ser pertinentes para su mandato, es importante que esto no vaya en detrimento de la labor de los organismos de supervisión o de las posibles actuaciones judiciales. La información en poder de los servicios de inteligencia puede constituir una prueba en las actuaciones judiciales, con importantes consecuencias para las personas afectadas; además, la disponibilidad de este material puede ser importante para la garantía de los derechos procesales. Por lo tanto, es de buena práctica que los servicios de inteligencia estén obligados a retener todos los registros (incluidas las transcripciones originales y las notas operativas) cuando pueda haber lugar a actuaciones judiciales, y que la supresión de estas informaciones sea supervisada por una institución externa”</w:t>
      </w:r>
      <w:r w:rsidRPr="00D93236">
        <w:rPr>
          <w:rFonts w:asciiTheme="majorHAnsi" w:hAnsiTheme="majorHAnsi"/>
          <w:sz w:val="16"/>
          <w:szCs w:val="16"/>
          <w:lang w:val="es-ES"/>
        </w:rPr>
        <w:t xml:space="preserve">. </w:t>
      </w:r>
      <w:r w:rsidRPr="00D93236">
        <w:rPr>
          <w:rFonts w:asciiTheme="majorHAnsi" w:hAnsiTheme="majorHAnsi"/>
          <w:sz w:val="16"/>
          <w:szCs w:val="16"/>
          <w:lang w:val="es-US"/>
        </w:rPr>
        <w:t>Asamblea General de las Naciones Unidas, Consejo de Derechos Humanos, Informe de Martin Scheinin, Relator Especial sobre la promoción y la protección de los derechos humanos y las libertades fundamentales en la lucha contra el terrorismo, A/HRC/14/46, 17 de mayo de 2010.</w:t>
      </w:r>
    </w:p>
  </w:footnote>
  <w:footnote w:id="247">
    <w:p w14:paraId="099A669D" w14:textId="77777777" w:rsidR="005B3F8C" w:rsidRPr="00D93236" w:rsidRDefault="005B3F8C" w:rsidP="002A3811">
      <w:pPr>
        <w:jc w:val="both"/>
        <w:rPr>
          <w:rFonts w:asciiTheme="majorHAnsi" w:eastAsia="Times New Roman" w:hAnsiTheme="majorHAnsi"/>
          <w:sz w:val="16"/>
          <w:szCs w:val="16"/>
          <w:lang w:val="es-US" w:eastAsia="en-US"/>
        </w:rPr>
      </w:pPr>
      <w:r w:rsidRPr="00D93236">
        <w:rPr>
          <w:rStyle w:val="FootnoteReference"/>
          <w:rFonts w:asciiTheme="majorHAnsi" w:hAnsiTheme="majorHAnsi"/>
          <w:sz w:val="16"/>
          <w:szCs w:val="16"/>
          <w:lang w:val="es-ES"/>
        </w:rPr>
        <w:footnoteRef/>
      </w:r>
      <w:r w:rsidRPr="00D93236">
        <w:rPr>
          <w:rFonts w:asciiTheme="majorHAnsi" w:hAnsiTheme="majorHAnsi"/>
          <w:sz w:val="16"/>
          <w:szCs w:val="16"/>
          <w:lang w:val="es-ES"/>
        </w:rPr>
        <w:t xml:space="preserve"> Organización de las Naciones Unidas. Consejo de Seguridad. Resolución 1373 (2001), art. 2.f; Asamblea General de la Organización de los Estados Americanos. Convención Interamericana contra el Terrorismo. AG/RES. 1840 (XXXII-O/02), art 4.c.  </w:t>
      </w:r>
      <w:r w:rsidRPr="00D93236">
        <w:rPr>
          <w:rFonts w:asciiTheme="majorHAnsi" w:eastAsia="Calibri" w:hAnsiTheme="majorHAnsi"/>
          <w:sz w:val="16"/>
          <w:szCs w:val="16"/>
          <w:lang w:val="es-AR"/>
        </w:rPr>
        <w:t>La Corte Interamericana ha señalado que “la definición de conductas que se considera afectan valores o bienes trascendentales de la comunidad internacional, […] hacen necesaria la activación de medios, instrumentos y mecanismos nacionales e internacionales para la persecución efectiva de tales conductas y la sanción de sus autores, con el fin de prevenirlas y evitar que queden en la impunidad.</w:t>
      </w:r>
      <w:r w:rsidRPr="00D93236">
        <w:rPr>
          <w:rFonts w:asciiTheme="majorHAnsi" w:hAnsiTheme="majorHAnsi"/>
          <w:sz w:val="16"/>
          <w:szCs w:val="16"/>
          <w:lang w:val="es-ES"/>
        </w:rPr>
        <w:t xml:space="preserve"> Corte IDH </w:t>
      </w:r>
      <w:r w:rsidRPr="00D93236">
        <w:rPr>
          <w:rFonts w:asciiTheme="majorHAnsi" w:eastAsia="Times New Roman" w:hAnsiTheme="majorHAnsi"/>
          <w:bCs/>
          <w:color w:val="000000"/>
          <w:sz w:val="16"/>
          <w:szCs w:val="16"/>
          <w:shd w:val="clear" w:color="auto" w:fill="FFFFFF"/>
          <w:lang w:val="es-US" w:eastAsia="en-US"/>
        </w:rPr>
        <w:t xml:space="preserve">Caso Goiburú y otros Vs. Paraguay. Fondo, Reparaciones y Costas. Sentencia de 22 de septiembre de 2006. Serie C No. 153. Parr 130. </w:t>
      </w:r>
    </w:p>
  </w:footnote>
  <w:footnote w:id="248">
    <w:p w14:paraId="035F45AB" w14:textId="77777777" w:rsidR="005B3F8C" w:rsidRPr="00D93236" w:rsidRDefault="005B3F8C" w:rsidP="002A3811">
      <w:pPr>
        <w:pStyle w:val="FootnoteText"/>
        <w:jc w:val="both"/>
        <w:rPr>
          <w:rFonts w:asciiTheme="majorHAnsi" w:hAnsiTheme="majorHAnsi"/>
          <w:sz w:val="16"/>
          <w:szCs w:val="16"/>
          <w:lang w:val="es-ES"/>
        </w:rPr>
      </w:pPr>
      <w:r w:rsidRPr="00D93236">
        <w:rPr>
          <w:rStyle w:val="FootnoteReference"/>
          <w:rFonts w:asciiTheme="majorHAnsi" w:hAnsiTheme="majorHAnsi"/>
          <w:sz w:val="16"/>
          <w:szCs w:val="16"/>
          <w:lang w:val="es-ES"/>
        </w:rPr>
        <w:footnoteRef/>
      </w:r>
      <w:r w:rsidRPr="00D93236">
        <w:rPr>
          <w:rFonts w:asciiTheme="majorHAnsi" w:hAnsiTheme="majorHAnsi"/>
          <w:sz w:val="16"/>
          <w:szCs w:val="16"/>
          <w:lang w:val="es-ES"/>
        </w:rPr>
        <w:t xml:space="preserve"> La Comisión ha sido informada respecto de la firma de un “Memorándum de entendimiento entre el Gobierno de la República Argentina y el Gobierno de la República Islámica de Irán sobre los temas vinculados con el ataque terrorista a la sede de la AMIA en Buenos Aires el 18 de julio de 1994”, firmado el 27 de enero de 2013 en la ciudad de Adis Abeba, Etiopia. Dicho memorándum fue aprobado por el Congreso argentino mediante Ley 26.843 de fecha 27 de febrero de 2013. La Comisión no cuenta con información respecto al proceso de ratificación del memorándum por parte de la República Islámica de Irán. De acuerdo con la información proporcionada por los peticionarios y por los representantes del Estado argentino, la Ley 26.843 fue declarada inconstitucional por la Cámara Federal de Casación penal en diciembre de 2015 y sus cláusulas nunca surtieron efectos jurídicos. En consecuencia, la Comisión se abstendrá de valorarlo en este informe. </w:t>
      </w:r>
    </w:p>
  </w:footnote>
  <w:footnote w:id="249">
    <w:p w14:paraId="7900602C" w14:textId="77777777" w:rsidR="005B3F8C" w:rsidRPr="00D93236" w:rsidRDefault="005B3F8C" w:rsidP="005A27AF">
      <w:pPr>
        <w:jc w:val="both"/>
        <w:rPr>
          <w:rFonts w:asciiTheme="majorHAnsi" w:hAnsiTheme="majorHAnsi"/>
          <w:sz w:val="16"/>
          <w:szCs w:val="16"/>
          <w:lang w:val="es-ES"/>
        </w:rPr>
      </w:pPr>
      <w:r w:rsidRPr="00D93236">
        <w:rPr>
          <w:rStyle w:val="FootnoteReference"/>
          <w:rFonts w:asciiTheme="majorHAnsi" w:hAnsiTheme="majorHAnsi"/>
          <w:sz w:val="16"/>
          <w:szCs w:val="16"/>
          <w:lang w:val="es-ES"/>
        </w:rPr>
        <w:footnoteRef/>
      </w:r>
      <w:r w:rsidRPr="00D93236">
        <w:rPr>
          <w:rFonts w:asciiTheme="majorHAnsi" w:hAnsiTheme="majorHAnsi"/>
          <w:sz w:val="16"/>
          <w:szCs w:val="16"/>
          <w:lang w:val="es-ES"/>
        </w:rPr>
        <w:t xml:space="preserve">La Corte ha establecido en su jurisprudencia que a efectos de cumplir con la obligación de investigar “conforme [a lo establecido en] artículo 1.1 de la Convención, el Estado de[be] adopt[ar] de oficio y de forma inmediata medidas suficientes de protección integral e investigación frente a todo acto de coacción, intimidaciones y amenazas a testigos e investigadores”. Ver al respecto, entre otros: </w:t>
      </w:r>
      <w:r w:rsidRPr="00D93236">
        <w:rPr>
          <w:rFonts w:asciiTheme="majorHAnsi" w:hAnsiTheme="majorHAnsi"/>
          <w:sz w:val="16"/>
          <w:szCs w:val="16"/>
          <w:lang w:val="es-US"/>
        </w:rPr>
        <w:t xml:space="preserve">Corte IDH, </w:t>
      </w:r>
      <w:r w:rsidRPr="00D93236">
        <w:rPr>
          <w:rFonts w:asciiTheme="majorHAnsi" w:hAnsiTheme="majorHAnsi"/>
          <w:i/>
          <w:sz w:val="16"/>
          <w:szCs w:val="16"/>
          <w:lang w:val="es-US"/>
        </w:rPr>
        <w:t xml:space="preserve">Caso Kawas Fernández Vs. </w:t>
      </w:r>
      <w:r w:rsidRPr="00D93236">
        <w:rPr>
          <w:rFonts w:asciiTheme="majorHAnsi" w:hAnsiTheme="majorHAnsi"/>
          <w:i/>
          <w:sz w:val="16"/>
          <w:szCs w:val="16"/>
          <w:lang w:val="es-ES"/>
        </w:rPr>
        <w:t>Honduras</w:t>
      </w:r>
      <w:r w:rsidRPr="00D93236">
        <w:rPr>
          <w:rFonts w:asciiTheme="majorHAnsi" w:hAnsiTheme="majorHAnsi"/>
          <w:sz w:val="16"/>
          <w:szCs w:val="16"/>
          <w:lang w:val="es-ES"/>
        </w:rPr>
        <w:t>. Fondo, Reparaciones y Costas. Sentencia de 3 de abril de 2009. Serie C No. 196, párr.107.</w:t>
      </w:r>
    </w:p>
  </w:footnote>
  <w:footnote w:id="250">
    <w:p w14:paraId="1E767AE3" w14:textId="77777777" w:rsidR="005B3F8C" w:rsidRPr="00D93236" w:rsidRDefault="005B3F8C" w:rsidP="005A27AF">
      <w:pPr>
        <w:pStyle w:val="FootnoteText"/>
        <w:jc w:val="both"/>
        <w:rPr>
          <w:rFonts w:asciiTheme="majorHAnsi" w:hAnsiTheme="majorHAnsi"/>
          <w:sz w:val="16"/>
          <w:szCs w:val="16"/>
          <w:lang w:val="es-AR"/>
        </w:rPr>
      </w:pPr>
      <w:r w:rsidRPr="00D93236">
        <w:rPr>
          <w:rStyle w:val="FootnoteReference"/>
          <w:rFonts w:asciiTheme="majorHAnsi" w:hAnsiTheme="majorHAnsi"/>
          <w:sz w:val="16"/>
          <w:szCs w:val="16"/>
        </w:rPr>
        <w:footnoteRef/>
      </w:r>
      <w:r w:rsidRPr="00D93236">
        <w:rPr>
          <w:rFonts w:asciiTheme="majorHAnsi" w:hAnsiTheme="majorHAnsi"/>
          <w:sz w:val="16"/>
          <w:szCs w:val="16"/>
          <w:lang w:val="es-US"/>
        </w:rPr>
        <w:t xml:space="preserve"> </w:t>
      </w:r>
      <w:r w:rsidRPr="000B57A1">
        <w:rPr>
          <w:rFonts w:asciiTheme="majorHAnsi" w:hAnsiTheme="majorHAnsi"/>
          <w:sz w:val="16"/>
          <w:szCs w:val="16"/>
          <w:lang w:val="es-US"/>
        </w:rPr>
        <w:t>Anexo 2.</w:t>
      </w:r>
      <w:r w:rsidRPr="00D93236">
        <w:rPr>
          <w:rFonts w:asciiTheme="majorHAnsi" w:hAnsiTheme="majorHAnsi"/>
          <w:sz w:val="16"/>
          <w:szCs w:val="16"/>
          <w:lang w:val="es-US"/>
        </w:rPr>
        <w:t xml:space="preserve"> </w:t>
      </w:r>
      <w:r w:rsidRPr="00D93236">
        <w:rPr>
          <w:rFonts w:asciiTheme="majorHAnsi" w:hAnsiTheme="majorHAnsi"/>
          <w:sz w:val="16"/>
          <w:szCs w:val="16"/>
          <w:lang w:val="es-AR"/>
        </w:rPr>
        <w:t>Sentencia del TOF 3. Capitulo</w:t>
      </w:r>
      <w:r w:rsidRPr="00D93236">
        <w:rPr>
          <w:rFonts w:asciiTheme="majorHAnsi" w:hAnsiTheme="majorHAnsi"/>
          <w:sz w:val="16"/>
          <w:szCs w:val="16"/>
          <w:lang w:val="es-US"/>
        </w:rPr>
        <w:t xml:space="preserve"> V.A, pág. 2371 y 2372. </w:t>
      </w:r>
      <w:r w:rsidRPr="00D93236">
        <w:rPr>
          <w:rFonts w:asciiTheme="majorHAnsi" w:hAnsiTheme="majorHAnsi"/>
          <w:sz w:val="16"/>
          <w:szCs w:val="16"/>
          <w:lang w:val="es-AR"/>
        </w:rPr>
        <w:t>Anexo 1 a la comunicación de la parte peticionaria de fecha 11 de noviembre de 2019</w:t>
      </w:r>
    </w:p>
  </w:footnote>
  <w:footnote w:id="251">
    <w:p w14:paraId="42551687" w14:textId="77777777" w:rsidR="005B3F8C" w:rsidRPr="00D93236" w:rsidRDefault="005B3F8C" w:rsidP="005A27AF">
      <w:pPr>
        <w:pStyle w:val="FootnoteText"/>
        <w:jc w:val="both"/>
        <w:rPr>
          <w:rFonts w:asciiTheme="majorHAnsi" w:hAnsiTheme="majorHAnsi"/>
          <w:sz w:val="16"/>
          <w:szCs w:val="16"/>
          <w:lang w:val="es-US"/>
        </w:rPr>
      </w:pPr>
      <w:r w:rsidRPr="00D93236">
        <w:rPr>
          <w:rStyle w:val="FootnoteReference"/>
          <w:rFonts w:asciiTheme="majorHAnsi" w:hAnsiTheme="majorHAnsi"/>
          <w:sz w:val="16"/>
          <w:szCs w:val="16"/>
        </w:rPr>
        <w:footnoteRef/>
      </w:r>
      <w:r w:rsidRPr="00D93236">
        <w:rPr>
          <w:rFonts w:asciiTheme="majorHAnsi" w:hAnsiTheme="majorHAnsi"/>
          <w:sz w:val="16"/>
          <w:szCs w:val="16"/>
          <w:lang w:val="es-US"/>
        </w:rPr>
        <w:t xml:space="preserve"> </w:t>
      </w:r>
      <w:r w:rsidRPr="000B57A1">
        <w:rPr>
          <w:rFonts w:asciiTheme="majorHAnsi" w:hAnsiTheme="majorHAnsi"/>
          <w:sz w:val="16"/>
          <w:szCs w:val="16"/>
          <w:lang w:val="es-AR"/>
        </w:rPr>
        <w:t>Anexo 8</w:t>
      </w:r>
      <w:r w:rsidRPr="00D93236">
        <w:rPr>
          <w:rFonts w:asciiTheme="majorHAnsi" w:hAnsiTheme="majorHAnsi"/>
          <w:b/>
          <w:sz w:val="16"/>
          <w:szCs w:val="16"/>
          <w:lang w:val="es-AR"/>
        </w:rPr>
        <w:t>.</w:t>
      </w:r>
      <w:r w:rsidRPr="00D93236">
        <w:rPr>
          <w:rFonts w:asciiTheme="majorHAnsi" w:hAnsiTheme="majorHAnsi"/>
          <w:sz w:val="16"/>
          <w:szCs w:val="16"/>
          <w:lang w:val="es-AR"/>
        </w:rPr>
        <w:t xml:space="preserve"> Informe de Gestión de la UFI AMIA Diciembre 2016, pág. 9. Anexo 12 a la comunicación de la parte peticionaria de fecha 11 de noviembre de 2019.</w:t>
      </w:r>
    </w:p>
  </w:footnote>
  <w:footnote w:id="252">
    <w:p w14:paraId="554E1E7F" w14:textId="77777777" w:rsidR="005B3F8C" w:rsidRPr="00D93236" w:rsidRDefault="005B3F8C" w:rsidP="005A27AF">
      <w:pPr>
        <w:pStyle w:val="FootnoteText"/>
        <w:jc w:val="both"/>
        <w:rPr>
          <w:lang w:val="es-US"/>
        </w:rPr>
      </w:pPr>
      <w:r w:rsidRPr="00D93236">
        <w:rPr>
          <w:rStyle w:val="FootnoteReference"/>
          <w:rFonts w:asciiTheme="majorHAnsi" w:hAnsiTheme="majorHAnsi"/>
          <w:sz w:val="16"/>
          <w:szCs w:val="16"/>
        </w:rPr>
        <w:footnoteRef/>
      </w:r>
      <w:r w:rsidRPr="00D93236">
        <w:rPr>
          <w:rFonts w:asciiTheme="majorHAnsi" w:hAnsiTheme="majorHAnsi"/>
          <w:sz w:val="16"/>
          <w:szCs w:val="16"/>
          <w:lang w:val="es-US"/>
        </w:rPr>
        <w:t xml:space="preserve"> </w:t>
      </w:r>
      <w:r w:rsidRPr="000B57A1">
        <w:rPr>
          <w:rFonts w:asciiTheme="majorHAnsi" w:hAnsiTheme="majorHAnsi"/>
          <w:sz w:val="16"/>
          <w:szCs w:val="16"/>
          <w:lang w:val="es-AR"/>
        </w:rPr>
        <w:t>Anexo 8.</w:t>
      </w:r>
      <w:r w:rsidRPr="00D93236">
        <w:rPr>
          <w:rFonts w:asciiTheme="majorHAnsi" w:hAnsiTheme="majorHAnsi"/>
          <w:sz w:val="16"/>
          <w:szCs w:val="16"/>
          <w:lang w:val="es-AR"/>
        </w:rPr>
        <w:t xml:space="preserve"> Informe de Gestión de la UFI AMIA Diciembre 2016, pág. 9 y 10. Anexo 12 a la comunicación de la parte peticionaria de fecha 11 de noviembre de 2019.</w:t>
      </w:r>
    </w:p>
  </w:footnote>
  <w:footnote w:id="253">
    <w:p w14:paraId="30F4C5BB" w14:textId="77777777" w:rsidR="005B3F8C" w:rsidRPr="00E51A1E" w:rsidRDefault="005B3F8C" w:rsidP="00E51A1E">
      <w:pPr>
        <w:pStyle w:val="FootnoteText"/>
        <w:jc w:val="both"/>
        <w:rPr>
          <w:rFonts w:ascii="Cambria" w:hAnsi="Cambria"/>
          <w:sz w:val="16"/>
          <w:szCs w:val="16"/>
          <w:lang w:val="es-AR"/>
        </w:rPr>
      </w:pPr>
      <w:r w:rsidRPr="00E51A1E">
        <w:rPr>
          <w:rStyle w:val="FootnoteReference"/>
          <w:rFonts w:ascii="Cambria" w:hAnsi="Cambria"/>
          <w:sz w:val="16"/>
          <w:szCs w:val="16"/>
          <w:lang w:val="es-AR"/>
        </w:rPr>
        <w:footnoteRef/>
      </w:r>
      <w:r w:rsidRPr="00E51A1E">
        <w:rPr>
          <w:rFonts w:ascii="Cambria" w:hAnsi="Cambria"/>
          <w:sz w:val="16"/>
          <w:szCs w:val="16"/>
          <w:lang w:val="es-AR"/>
        </w:rPr>
        <w:t xml:space="preserve"> CIDH. Derecho a la Verdad en las Américas. OEA/Ser.L/V/II.152 Doc. 2 13 agosto 2014 Original: español. Párr. 13 a 16; Corte IDH. Caso Comunidad Campesina de Santa Bárbara Vs. Perú. Excepciones Preliminares, Fondo, Reparaciones y Costas. Sentencia de 1 de septiembre de 2015. Serie C No. 299. Párr. 262 a 265; Organización de las Naciones Unidas. Comisión de Derechos Humanos. Conjunto de Principios Actualizados para la protección y la promoción de los derechos humanos mediante la lucha contra la impunidad. E/CN.4/2005/102/Add.1 8 de febrero de 2005. Principios 2 a 5.  </w:t>
      </w:r>
    </w:p>
  </w:footnote>
  <w:footnote w:id="254">
    <w:p w14:paraId="3952575F" w14:textId="77777777" w:rsidR="005B3F8C" w:rsidRPr="000B57A1" w:rsidRDefault="005B3F8C" w:rsidP="00E27260">
      <w:pPr>
        <w:pStyle w:val="FootnoteText"/>
        <w:jc w:val="both"/>
        <w:rPr>
          <w:rFonts w:asciiTheme="majorHAnsi" w:hAnsiTheme="majorHAnsi"/>
          <w:sz w:val="16"/>
          <w:szCs w:val="16"/>
          <w:lang w:val="es-AR"/>
        </w:rPr>
      </w:pPr>
      <w:r w:rsidRPr="00D93236">
        <w:rPr>
          <w:rStyle w:val="FootnoteReference"/>
          <w:rFonts w:asciiTheme="majorHAnsi" w:hAnsiTheme="majorHAnsi"/>
          <w:sz w:val="16"/>
          <w:szCs w:val="16"/>
        </w:rPr>
        <w:footnoteRef/>
      </w:r>
      <w:r w:rsidRPr="00386E47">
        <w:rPr>
          <w:rFonts w:asciiTheme="majorHAnsi" w:hAnsiTheme="majorHAnsi"/>
          <w:sz w:val="16"/>
          <w:szCs w:val="16"/>
          <w:lang w:val="es-US"/>
        </w:rPr>
        <w:t xml:space="preserve"> Anexo 1 Informe Grossman, pas 94 y 95. </w:t>
      </w:r>
      <w:r w:rsidRPr="000B57A1">
        <w:rPr>
          <w:rFonts w:asciiTheme="majorHAnsi" w:hAnsiTheme="majorHAnsi"/>
          <w:sz w:val="16"/>
          <w:szCs w:val="16"/>
          <w:lang w:val="es-AR"/>
        </w:rPr>
        <w:t xml:space="preserve">Anexo 5 a la comunicación de la parte peticionaria de fecha 11 de noviembre de 2019. </w:t>
      </w:r>
    </w:p>
  </w:footnote>
  <w:footnote w:id="255">
    <w:p w14:paraId="26EEB972" w14:textId="77777777" w:rsidR="005B3F8C" w:rsidRPr="00D93236" w:rsidRDefault="005B3F8C" w:rsidP="00E27260">
      <w:pPr>
        <w:pStyle w:val="FootnoteText"/>
        <w:jc w:val="both"/>
        <w:rPr>
          <w:rFonts w:asciiTheme="majorHAnsi" w:hAnsiTheme="majorHAnsi"/>
          <w:sz w:val="16"/>
          <w:szCs w:val="16"/>
          <w:lang w:val="es-AR"/>
        </w:rPr>
      </w:pPr>
      <w:r w:rsidRPr="000B57A1">
        <w:rPr>
          <w:rStyle w:val="FootnoteReference"/>
          <w:rFonts w:asciiTheme="majorHAnsi" w:hAnsiTheme="majorHAnsi"/>
          <w:sz w:val="16"/>
          <w:szCs w:val="16"/>
        </w:rPr>
        <w:footnoteRef/>
      </w:r>
      <w:r w:rsidRPr="000B57A1">
        <w:rPr>
          <w:rFonts w:asciiTheme="majorHAnsi" w:hAnsiTheme="majorHAnsi"/>
          <w:sz w:val="16"/>
          <w:szCs w:val="16"/>
          <w:lang w:val="es-AR"/>
        </w:rPr>
        <w:t xml:space="preserve"> </w:t>
      </w:r>
      <w:r w:rsidRPr="000B57A1">
        <w:rPr>
          <w:rFonts w:asciiTheme="majorHAnsi" w:hAnsiTheme="majorHAnsi"/>
          <w:sz w:val="16"/>
          <w:szCs w:val="16"/>
          <w:lang w:val="es-US"/>
        </w:rPr>
        <w:t>Anexo 2.</w:t>
      </w:r>
      <w:r w:rsidRPr="00D93236">
        <w:rPr>
          <w:rFonts w:asciiTheme="majorHAnsi" w:hAnsiTheme="majorHAnsi"/>
          <w:sz w:val="16"/>
          <w:szCs w:val="16"/>
          <w:lang w:val="es-US"/>
        </w:rPr>
        <w:t xml:space="preserve"> </w:t>
      </w:r>
      <w:r w:rsidRPr="00D93236">
        <w:rPr>
          <w:rFonts w:asciiTheme="majorHAnsi" w:hAnsiTheme="majorHAnsi"/>
          <w:sz w:val="16"/>
          <w:szCs w:val="16"/>
          <w:lang w:val="es-AR"/>
        </w:rPr>
        <w:t>Sentencia del TOF 3. Título II. Capítulo V</w:t>
      </w:r>
      <w:r w:rsidRPr="00D93236">
        <w:rPr>
          <w:rFonts w:asciiTheme="majorHAnsi" w:hAnsiTheme="majorHAnsi"/>
          <w:sz w:val="16"/>
          <w:szCs w:val="16"/>
          <w:lang w:val="es-US"/>
        </w:rPr>
        <w:t xml:space="preserve">. Pags 4810 a 4819. </w:t>
      </w:r>
      <w:r w:rsidRPr="00D93236">
        <w:rPr>
          <w:rFonts w:asciiTheme="majorHAnsi" w:hAnsiTheme="majorHAnsi"/>
          <w:sz w:val="16"/>
          <w:szCs w:val="16"/>
          <w:lang w:val="es-AR"/>
        </w:rPr>
        <w:t>Anexo 1 a la comunicación de la parte peticionaria de fecha 11 de noviembre de 2019</w:t>
      </w:r>
    </w:p>
  </w:footnote>
  <w:footnote w:id="256">
    <w:p w14:paraId="2F4D0D67" w14:textId="77777777" w:rsidR="005B3F8C" w:rsidRPr="00D93236" w:rsidRDefault="005B3F8C" w:rsidP="00E27260">
      <w:pPr>
        <w:pStyle w:val="FootnoteText"/>
        <w:jc w:val="both"/>
        <w:rPr>
          <w:rFonts w:asciiTheme="majorHAnsi" w:hAnsiTheme="majorHAnsi"/>
          <w:sz w:val="16"/>
          <w:szCs w:val="16"/>
          <w:lang w:val="es-AR"/>
        </w:rPr>
      </w:pPr>
      <w:r w:rsidRPr="00D93236">
        <w:rPr>
          <w:rStyle w:val="FootnoteReference"/>
          <w:rFonts w:asciiTheme="majorHAnsi" w:hAnsiTheme="majorHAnsi"/>
          <w:sz w:val="16"/>
          <w:szCs w:val="16"/>
        </w:rPr>
        <w:footnoteRef/>
      </w:r>
      <w:r w:rsidRPr="00D93236">
        <w:rPr>
          <w:rFonts w:asciiTheme="majorHAnsi" w:hAnsiTheme="majorHAnsi"/>
          <w:sz w:val="16"/>
          <w:szCs w:val="16"/>
          <w:lang w:val="es-AR"/>
        </w:rPr>
        <w:t xml:space="preserve"> </w:t>
      </w:r>
      <w:r w:rsidRPr="000B57A1">
        <w:rPr>
          <w:rFonts w:asciiTheme="majorHAnsi" w:hAnsiTheme="majorHAnsi"/>
          <w:sz w:val="16"/>
          <w:szCs w:val="16"/>
          <w:lang w:val="es-AR"/>
        </w:rPr>
        <w:t>Anexo 14.</w:t>
      </w:r>
      <w:r w:rsidRPr="00D93236">
        <w:rPr>
          <w:rFonts w:asciiTheme="majorHAnsi" w:hAnsiTheme="majorHAnsi"/>
          <w:sz w:val="16"/>
          <w:szCs w:val="16"/>
          <w:lang w:val="es-AR"/>
        </w:rPr>
        <w:t xml:space="preserve"> Auto de procesamiento dictado por el Juzgado de Instrucción en lo Criminal Federal Nro. 4 de fecha 19 de septiembre de 2006. Anexo 5 a la comunicación de la parte peticionaria de fecha 31 de octubre de 2014.  </w:t>
      </w:r>
    </w:p>
  </w:footnote>
  <w:footnote w:id="257">
    <w:p w14:paraId="3A07EABB" w14:textId="77777777" w:rsidR="005B3F8C" w:rsidRPr="00D93236" w:rsidRDefault="005B3F8C" w:rsidP="00E27260">
      <w:pPr>
        <w:pStyle w:val="FootnoteText"/>
        <w:jc w:val="both"/>
        <w:rPr>
          <w:rFonts w:asciiTheme="majorHAnsi" w:hAnsiTheme="majorHAnsi"/>
          <w:sz w:val="16"/>
          <w:szCs w:val="16"/>
          <w:lang w:val="es-AR"/>
        </w:rPr>
      </w:pPr>
      <w:r w:rsidRPr="00D93236">
        <w:rPr>
          <w:rStyle w:val="FootnoteReference"/>
          <w:rFonts w:asciiTheme="majorHAnsi" w:hAnsiTheme="majorHAnsi"/>
          <w:sz w:val="16"/>
          <w:szCs w:val="16"/>
        </w:rPr>
        <w:footnoteRef/>
      </w:r>
      <w:r w:rsidRPr="00D93236">
        <w:rPr>
          <w:rFonts w:asciiTheme="majorHAnsi" w:hAnsiTheme="majorHAnsi"/>
          <w:sz w:val="16"/>
          <w:szCs w:val="16"/>
          <w:lang w:val="es-AR"/>
        </w:rPr>
        <w:t xml:space="preserve"> </w:t>
      </w:r>
      <w:r w:rsidRPr="000B57A1">
        <w:rPr>
          <w:rFonts w:asciiTheme="majorHAnsi" w:hAnsiTheme="majorHAnsi"/>
          <w:sz w:val="16"/>
          <w:szCs w:val="16"/>
          <w:lang w:val="es-AR"/>
        </w:rPr>
        <w:t>Anexo 15.</w:t>
      </w:r>
      <w:r w:rsidRPr="00D93236">
        <w:rPr>
          <w:rFonts w:asciiTheme="majorHAnsi" w:hAnsiTheme="majorHAnsi"/>
          <w:sz w:val="16"/>
          <w:szCs w:val="16"/>
          <w:lang w:val="es-AR"/>
        </w:rPr>
        <w:t xml:space="preserve"> Resolución de la Sala II de la Cámara Federal de Casación Penal de fecha 14 de agosto de 2013. Anexo 20 a la comunicación de la parte peticionaria de fecha 11 de noviembre de 2019. </w:t>
      </w:r>
    </w:p>
  </w:footnote>
  <w:footnote w:id="258">
    <w:p w14:paraId="5CC4D841" w14:textId="77777777" w:rsidR="005B3F8C" w:rsidRPr="00D93236" w:rsidRDefault="005B3F8C" w:rsidP="00E27260">
      <w:pPr>
        <w:pStyle w:val="FootnoteText"/>
        <w:jc w:val="both"/>
        <w:rPr>
          <w:rFonts w:asciiTheme="majorHAnsi" w:hAnsiTheme="majorHAnsi"/>
          <w:sz w:val="16"/>
          <w:szCs w:val="16"/>
          <w:lang w:val="es-AR"/>
        </w:rPr>
      </w:pPr>
      <w:r w:rsidRPr="00D93236">
        <w:rPr>
          <w:rStyle w:val="FootnoteReference"/>
          <w:rFonts w:asciiTheme="majorHAnsi" w:hAnsiTheme="majorHAnsi"/>
          <w:sz w:val="16"/>
          <w:szCs w:val="16"/>
        </w:rPr>
        <w:footnoteRef/>
      </w:r>
      <w:r w:rsidRPr="00D93236">
        <w:rPr>
          <w:rFonts w:asciiTheme="majorHAnsi" w:hAnsiTheme="majorHAnsi"/>
          <w:sz w:val="16"/>
          <w:szCs w:val="16"/>
          <w:lang w:val="es-AR"/>
        </w:rPr>
        <w:t xml:space="preserve"> </w:t>
      </w:r>
      <w:r w:rsidRPr="000B57A1">
        <w:rPr>
          <w:rFonts w:asciiTheme="majorHAnsi" w:hAnsiTheme="majorHAnsi"/>
          <w:sz w:val="16"/>
          <w:szCs w:val="16"/>
          <w:lang w:val="es-AR"/>
        </w:rPr>
        <w:t>Anexo 16.</w:t>
      </w:r>
      <w:r w:rsidRPr="00D93236">
        <w:rPr>
          <w:rFonts w:asciiTheme="majorHAnsi" w:hAnsiTheme="majorHAnsi"/>
          <w:sz w:val="16"/>
          <w:szCs w:val="16"/>
          <w:lang w:val="es-AR"/>
        </w:rPr>
        <w:t xml:space="preserve"> Auto de elevación a juicio oral dictado por el Juzgado de Instrucción en lo Criminal Federal Nro. 4 de fecha 30 de marzo de 2012. Anexo 19b a la comunicación de la parte peticionaria de fecha 31 de octubre de 2014. </w:t>
      </w:r>
    </w:p>
  </w:footnote>
  <w:footnote w:id="259">
    <w:p w14:paraId="06A92B08" w14:textId="77777777" w:rsidR="005B3F8C" w:rsidRPr="00D93236" w:rsidRDefault="005B3F8C" w:rsidP="00E27260">
      <w:pPr>
        <w:pStyle w:val="FootnoteText"/>
        <w:jc w:val="both"/>
        <w:rPr>
          <w:rFonts w:asciiTheme="majorHAnsi" w:hAnsiTheme="majorHAnsi"/>
          <w:sz w:val="16"/>
          <w:szCs w:val="16"/>
          <w:lang w:val="es-AR"/>
        </w:rPr>
      </w:pPr>
      <w:r w:rsidRPr="00D93236">
        <w:rPr>
          <w:rStyle w:val="FootnoteReference"/>
          <w:rFonts w:asciiTheme="majorHAnsi" w:hAnsiTheme="majorHAnsi"/>
          <w:sz w:val="16"/>
          <w:szCs w:val="16"/>
        </w:rPr>
        <w:footnoteRef/>
      </w:r>
      <w:r w:rsidRPr="00D93236">
        <w:rPr>
          <w:rFonts w:asciiTheme="majorHAnsi" w:hAnsiTheme="majorHAnsi"/>
          <w:sz w:val="16"/>
          <w:szCs w:val="16"/>
          <w:lang w:val="es-AR"/>
        </w:rPr>
        <w:t xml:space="preserve">  Comunicación de la parte peticionaria de fecha 11 de noviembre de 2019, pags 63 a 66. </w:t>
      </w:r>
    </w:p>
  </w:footnote>
  <w:footnote w:id="260">
    <w:p w14:paraId="22E47739" w14:textId="77777777" w:rsidR="005B3F8C" w:rsidRPr="00065C62" w:rsidRDefault="005B3F8C" w:rsidP="00065C62">
      <w:pPr>
        <w:rPr>
          <w:rFonts w:asciiTheme="majorHAnsi" w:hAnsiTheme="majorHAnsi"/>
          <w:sz w:val="16"/>
          <w:szCs w:val="16"/>
          <w:lang w:val="es-AR" w:eastAsia="en-US"/>
        </w:rPr>
      </w:pPr>
      <w:r w:rsidRPr="00D93236">
        <w:rPr>
          <w:rStyle w:val="FootnoteReference"/>
          <w:rFonts w:asciiTheme="majorHAnsi" w:hAnsiTheme="majorHAnsi"/>
          <w:sz w:val="16"/>
          <w:szCs w:val="16"/>
        </w:rPr>
        <w:footnoteRef/>
      </w:r>
      <w:r w:rsidRPr="00D93236">
        <w:rPr>
          <w:rFonts w:asciiTheme="majorHAnsi" w:hAnsiTheme="majorHAnsi"/>
          <w:sz w:val="16"/>
          <w:szCs w:val="16"/>
          <w:lang w:val="es-AR"/>
        </w:rPr>
        <w:t xml:space="preserve"> </w:t>
      </w:r>
      <w:r>
        <w:rPr>
          <w:rFonts w:asciiTheme="majorHAnsi" w:hAnsiTheme="majorHAnsi"/>
          <w:sz w:val="16"/>
          <w:szCs w:val="16"/>
          <w:lang w:val="es-AR"/>
        </w:rPr>
        <w:t xml:space="preserve">Ver: </w:t>
      </w:r>
      <w:r w:rsidRPr="00DD1075">
        <w:rPr>
          <w:rFonts w:asciiTheme="majorHAnsi" w:hAnsiTheme="majorHAnsi"/>
          <w:sz w:val="16"/>
          <w:szCs w:val="16"/>
          <w:lang w:val="es-AR"/>
        </w:rPr>
        <w:t>https://www.cij.gov.ar/nota-30647-Se-realiz--una-audiencia-oral-y-p-blica-ante-la-C-mara-Federal-de-Casaci-n-Penal-en-la-causa-por-la-denuncia-de-Nisman-por-el-memor-ndum-con-Ir-n.html</w:t>
      </w:r>
      <w:r w:rsidRPr="00D93236">
        <w:rPr>
          <w:rFonts w:asciiTheme="majorHAnsi" w:hAnsiTheme="majorHAnsi"/>
          <w:sz w:val="16"/>
          <w:szCs w:val="16"/>
          <w:lang w:val="es-AR"/>
        </w:rPr>
        <w:t xml:space="preserve">. </w:t>
      </w:r>
    </w:p>
  </w:footnote>
  <w:footnote w:id="261">
    <w:p w14:paraId="31BE8AB8" w14:textId="77777777" w:rsidR="005B3F8C" w:rsidRPr="00D93236" w:rsidRDefault="005B3F8C" w:rsidP="00E27260">
      <w:pPr>
        <w:jc w:val="both"/>
        <w:rPr>
          <w:rFonts w:asciiTheme="majorHAnsi" w:eastAsia="Times New Roman" w:hAnsiTheme="majorHAnsi"/>
          <w:sz w:val="16"/>
          <w:szCs w:val="16"/>
          <w:lang w:val="es-ES"/>
        </w:rPr>
      </w:pPr>
      <w:r w:rsidRPr="00D93236">
        <w:rPr>
          <w:rStyle w:val="FootnoteReference"/>
          <w:rFonts w:asciiTheme="majorHAnsi" w:hAnsiTheme="majorHAnsi"/>
          <w:sz w:val="16"/>
          <w:szCs w:val="16"/>
          <w:lang w:val="es-ES"/>
        </w:rPr>
        <w:footnoteRef/>
      </w:r>
      <w:r w:rsidRPr="00D93236">
        <w:rPr>
          <w:rFonts w:asciiTheme="majorHAnsi" w:hAnsiTheme="majorHAnsi"/>
          <w:sz w:val="16"/>
          <w:szCs w:val="16"/>
          <w:lang w:val="es-ES"/>
        </w:rPr>
        <w:t xml:space="preserve"> </w:t>
      </w:r>
      <w:r w:rsidRPr="00D93236">
        <w:rPr>
          <w:rFonts w:asciiTheme="majorHAnsi" w:eastAsia="Times New Roman" w:hAnsiTheme="majorHAnsi"/>
          <w:bCs/>
          <w:color w:val="000000"/>
          <w:sz w:val="16"/>
          <w:szCs w:val="16"/>
          <w:shd w:val="clear" w:color="auto" w:fill="FFFFFF"/>
          <w:lang w:val="es-ES"/>
        </w:rPr>
        <w:t xml:space="preserve">Corte IDH. </w:t>
      </w:r>
      <w:r w:rsidRPr="00D93236">
        <w:rPr>
          <w:rFonts w:asciiTheme="majorHAnsi" w:eastAsia="Times New Roman" w:hAnsiTheme="majorHAnsi"/>
          <w:bCs/>
          <w:i/>
          <w:color w:val="000000"/>
          <w:sz w:val="16"/>
          <w:szCs w:val="16"/>
          <w:shd w:val="clear" w:color="auto" w:fill="FFFFFF"/>
          <w:lang w:val="es-ES"/>
        </w:rPr>
        <w:t>Caso Rodríguez Vera y otros (Desaparecidos del Palacio de Justicia) Vs. Colombia</w:t>
      </w:r>
      <w:r w:rsidRPr="00D93236">
        <w:rPr>
          <w:rFonts w:asciiTheme="majorHAnsi" w:eastAsia="Times New Roman" w:hAnsiTheme="majorHAnsi"/>
          <w:bCs/>
          <w:color w:val="000000"/>
          <w:sz w:val="16"/>
          <w:szCs w:val="16"/>
          <w:shd w:val="clear" w:color="auto" w:fill="FFFFFF"/>
          <w:lang w:val="es-ES"/>
        </w:rPr>
        <w:t xml:space="preserve">. Excepciones Preliminares, Fondo, Reparaciones y Costas. Sentencia de 14 de noviembre de 2014. Serie C No. 287. Párr. 499. </w:t>
      </w:r>
    </w:p>
  </w:footnote>
  <w:footnote w:id="262">
    <w:p w14:paraId="75DC737B" w14:textId="77777777" w:rsidR="005B3F8C" w:rsidRPr="00D93236" w:rsidRDefault="005B3F8C" w:rsidP="00E27260">
      <w:pPr>
        <w:pStyle w:val="FootnoteText"/>
        <w:jc w:val="both"/>
        <w:rPr>
          <w:rFonts w:asciiTheme="majorHAnsi" w:hAnsiTheme="majorHAnsi"/>
          <w:sz w:val="16"/>
          <w:szCs w:val="16"/>
          <w:lang w:val="es-AR"/>
        </w:rPr>
      </w:pPr>
      <w:r w:rsidRPr="00D93236">
        <w:rPr>
          <w:rStyle w:val="FootnoteReference"/>
          <w:rFonts w:asciiTheme="majorHAnsi" w:hAnsiTheme="majorHAnsi"/>
          <w:sz w:val="16"/>
          <w:szCs w:val="16"/>
        </w:rPr>
        <w:footnoteRef/>
      </w:r>
      <w:r w:rsidRPr="00D93236">
        <w:rPr>
          <w:rFonts w:asciiTheme="majorHAnsi" w:hAnsiTheme="majorHAnsi"/>
          <w:sz w:val="16"/>
          <w:szCs w:val="16"/>
          <w:lang w:val="es-AR"/>
        </w:rPr>
        <w:t xml:space="preserve"> </w:t>
      </w:r>
      <w:r w:rsidRPr="00DD1075">
        <w:rPr>
          <w:rFonts w:asciiTheme="majorHAnsi" w:hAnsiTheme="majorHAnsi"/>
          <w:sz w:val="16"/>
          <w:szCs w:val="16"/>
          <w:lang w:val="es-AR"/>
        </w:rPr>
        <w:t>Anexo 14.</w:t>
      </w:r>
      <w:r w:rsidRPr="00D93236">
        <w:rPr>
          <w:rFonts w:asciiTheme="majorHAnsi" w:hAnsiTheme="majorHAnsi"/>
          <w:sz w:val="16"/>
          <w:szCs w:val="16"/>
          <w:lang w:val="es-AR"/>
        </w:rPr>
        <w:t xml:space="preserve"> Auto de procesamiento dictado por el Juzgado Federal en lo Criminal y Correccional Nro. 4 de la Capital Federal de fecha 19 de septiembre de 2006. Anexo 5 a la comunicación del peticionario de fecha 31 de octubre de 2014.</w:t>
      </w:r>
    </w:p>
  </w:footnote>
  <w:footnote w:id="263">
    <w:p w14:paraId="25473031" w14:textId="77777777" w:rsidR="005B3F8C" w:rsidRPr="00D93236" w:rsidRDefault="005B3F8C" w:rsidP="00E27260">
      <w:pPr>
        <w:pStyle w:val="FootnoteText"/>
        <w:jc w:val="both"/>
        <w:rPr>
          <w:rFonts w:asciiTheme="majorHAnsi" w:hAnsiTheme="majorHAnsi"/>
          <w:sz w:val="16"/>
          <w:szCs w:val="16"/>
          <w:lang w:val="es-ES"/>
        </w:rPr>
      </w:pPr>
      <w:r w:rsidRPr="00D93236">
        <w:rPr>
          <w:rStyle w:val="FootnoteReference"/>
          <w:rFonts w:asciiTheme="majorHAnsi" w:hAnsiTheme="majorHAnsi"/>
          <w:sz w:val="16"/>
          <w:szCs w:val="16"/>
          <w:lang w:val="es-ES"/>
        </w:rPr>
        <w:footnoteRef/>
      </w:r>
      <w:r w:rsidRPr="00D93236">
        <w:rPr>
          <w:rFonts w:asciiTheme="majorHAnsi" w:hAnsiTheme="majorHAnsi"/>
          <w:sz w:val="16"/>
          <w:szCs w:val="16"/>
          <w:lang w:val="es-ES"/>
        </w:rPr>
        <w:t xml:space="preserve"> </w:t>
      </w:r>
      <w:r w:rsidRPr="00DD1075">
        <w:rPr>
          <w:rFonts w:asciiTheme="majorHAnsi" w:hAnsiTheme="majorHAnsi"/>
          <w:sz w:val="16"/>
          <w:szCs w:val="16"/>
          <w:lang w:val="es-ES"/>
        </w:rPr>
        <w:t>Anexo 12.</w:t>
      </w:r>
      <w:r>
        <w:rPr>
          <w:rFonts w:asciiTheme="majorHAnsi" w:hAnsiTheme="majorHAnsi"/>
          <w:sz w:val="16"/>
          <w:szCs w:val="16"/>
          <w:lang w:val="es-ES"/>
        </w:rPr>
        <w:t xml:space="preserve"> Sentencia del Tribunal Oral en lo Criminal Federal Nro.</w:t>
      </w:r>
      <w:r w:rsidRPr="00D93236">
        <w:rPr>
          <w:rFonts w:asciiTheme="majorHAnsi" w:hAnsiTheme="majorHAnsi"/>
          <w:sz w:val="16"/>
          <w:szCs w:val="16"/>
          <w:lang w:val="es-ES"/>
        </w:rPr>
        <w:t xml:space="preserve"> 2. Pág. 533 a 534. Anexo 2 a la comunicación de la parte peticionaria de fecha 11 de noviembre de 2019.</w:t>
      </w:r>
    </w:p>
  </w:footnote>
  <w:footnote w:id="264">
    <w:p w14:paraId="3710A10B" w14:textId="77777777" w:rsidR="005B3F8C" w:rsidRPr="00D93236" w:rsidRDefault="005B3F8C" w:rsidP="00E27260">
      <w:pPr>
        <w:pStyle w:val="FootnoteText"/>
        <w:jc w:val="both"/>
        <w:rPr>
          <w:rFonts w:asciiTheme="majorHAnsi" w:hAnsiTheme="majorHAnsi"/>
          <w:sz w:val="16"/>
          <w:szCs w:val="16"/>
          <w:lang w:val="es-ES"/>
        </w:rPr>
      </w:pPr>
      <w:r w:rsidRPr="00D93236">
        <w:rPr>
          <w:rStyle w:val="FootnoteReference"/>
          <w:rFonts w:asciiTheme="majorHAnsi" w:hAnsiTheme="majorHAnsi"/>
          <w:sz w:val="16"/>
          <w:szCs w:val="16"/>
          <w:lang w:val="es-ES"/>
        </w:rPr>
        <w:footnoteRef/>
      </w:r>
      <w:r w:rsidRPr="00D93236">
        <w:rPr>
          <w:rFonts w:asciiTheme="majorHAnsi" w:hAnsiTheme="majorHAnsi"/>
          <w:sz w:val="16"/>
          <w:szCs w:val="16"/>
          <w:lang w:val="es-ES"/>
        </w:rPr>
        <w:t xml:space="preserve"> </w:t>
      </w:r>
      <w:r w:rsidRPr="00DD1075">
        <w:rPr>
          <w:rFonts w:asciiTheme="majorHAnsi" w:hAnsiTheme="majorHAnsi"/>
          <w:sz w:val="16"/>
          <w:szCs w:val="16"/>
          <w:lang w:val="es-ES"/>
        </w:rPr>
        <w:t>Anexo 12.</w:t>
      </w:r>
      <w:r w:rsidRPr="00D93236">
        <w:rPr>
          <w:rFonts w:asciiTheme="majorHAnsi" w:hAnsiTheme="majorHAnsi"/>
          <w:sz w:val="16"/>
          <w:szCs w:val="16"/>
          <w:lang w:val="es-ES"/>
        </w:rPr>
        <w:t xml:space="preserve"> Sentencia del T</w:t>
      </w:r>
      <w:r>
        <w:rPr>
          <w:rFonts w:asciiTheme="majorHAnsi" w:hAnsiTheme="majorHAnsi"/>
          <w:sz w:val="16"/>
          <w:szCs w:val="16"/>
          <w:lang w:val="es-ES"/>
        </w:rPr>
        <w:t xml:space="preserve">ribunal </w:t>
      </w:r>
      <w:r w:rsidRPr="00D93236">
        <w:rPr>
          <w:rFonts w:asciiTheme="majorHAnsi" w:hAnsiTheme="majorHAnsi"/>
          <w:sz w:val="16"/>
          <w:szCs w:val="16"/>
          <w:lang w:val="es-ES"/>
        </w:rPr>
        <w:t>O</w:t>
      </w:r>
      <w:r>
        <w:rPr>
          <w:rFonts w:asciiTheme="majorHAnsi" w:hAnsiTheme="majorHAnsi"/>
          <w:sz w:val="16"/>
          <w:szCs w:val="16"/>
          <w:lang w:val="es-ES"/>
        </w:rPr>
        <w:t>ral en lo Criminal Federal Nro. 2</w:t>
      </w:r>
      <w:r w:rsidRPr="00D93236">
        <w:rPr>
          <w:rFonts w:asciiTheme="majorHAnsi" w:hAnsiTheme="majorHAnsi"/>
          <w:sz w:val="16"/>
          <w:szCs w:val="16"/>
          <w:lang w:val="es-ES"/>
        </w:rPr>
        <w:t>. Pág. 375. Anexo 2 a la comunicación de la parte peticionaria de fecha 11 de noviembre de 2019.</w:t>
      </w:r>
    </w:p>
  </w:footnote>
  <w:footnote w:id="265">
    <w:p w14:paraId="13FEE34A" w14:textId="77777777" w:rsidR="005B3F8C" w:rsidRPr="00D93236" w:rsidRDefault="005B3F8C" w:rsidP="00E27260">
      <w:pPr>
        <w:pStyle w:val="FootnoteText"/>
        <w:jc w:val="both"/>
        <w:rPr>
          <w:rFonts w:asciiTheme="majorHAnsi" w:hAnsiTheme="majorHAnsi"/>
          <w:sz w:val="16"/>
          <w:szCs w:val="16"/>
          <w:lang w:val="es-US"/>
        </w:rPr>
      </w:pPr>
      <w:r w:rsidRPr="00D93236">
        <w:rPr>
          <w:rStyle w:val="FootnoteReference"/>
          <w:rFonts w:asciiTheme="majorHAnsi" w:hAnsiTheme="majorHAnsi"/>
          <w:sz w:val="16"/>
          <w:szCs w:val="16"/>
          <w:lang w:val="es-ES"/>
        </w:rPr>
        <w:footnoteRef/>
      </w:r>
      <w:r w:rsidRPr="00D93236">
        <w:rPr>
          <w:rFonts w:asciiTheme="majorHAnsi" w:hAnsiTheme="majorHAnsi"/>
          <w:sz w:val="16"/>
          <w:szCs w:val="16"/>
          <w:lang w:val="es-ES"/>
        </w:rPr>
        <w:t xml:space="preserve"> Comunicación de la parte peticionaria de fecha 11 de noviembre de 2019, págs. 46 a 50.</w:t>
      </w:r>
      <w:r w:rsidRPr="00D93236">
        <w:rPr>
          <w:rFonts w:asciiTheme="majorHAnsi" w:hAnsiTheme="majorHAnsi"/>
          <w:sz w:val="16"/>
          <w:szCs w:val="16"/>
          <w:lang w:val="es-US"/>
        </w:rPr>
        <w:t xml:space="preserve"> </w:t>
      </w:r>
    </w:p>
  </w:footnote>
  <w:footnote w:id="266">
    <w:p w14:paraId="34623B84" w14:textId="77777777" w:rsidR="005B3F8C" w:rsidRPr="00D93236" w:rsidRDefault="005B3F8C" w:rsidP="00E27260">
      <w:pPr>
        <w:pStyle w:val="FootnoteText"/>
        <w:jc w:val="both"/>
        <w:rPr>
          <w:rFonts w:asciiTheme="majorHAnsi" w:hAnsiTheme="majorHAnsi"/>
          <w:sz w:val="16"/>
          <w:szCs w:val="16"/>
          <w:lang w:val="es-ES"/>
        </w:rPr>
      </w:pPr>
      <w:r w:rsidRPr="00D93236">
        <w:rPr>
          <w:rStyle w:val="FootnoteReference"/>
          <w:rFonts w:asciiTheme="majorHAnsi" w:hAnsiTheme="majorHAnsi"/>
          <w:sz w:val="16"/>
          <w:szCs w:val="16"/>
          <w:lang w:val="es-ES"/>
        </w:rPr>
        <w:footnoteRef/>
      </w:r>
      <w:r w:rsidRPr="00D93236">
        <w:rPr>
          <w:rFonts w:asciiTheme="majorHAnsi" w:hAnsiTheme="majorHAnsi"/>
          <w:sz w:val="16"/>
          <w:szCs w:val="16"/>
          <w:lang w:val="es-ES"/>
        </w:rPr>
        <w:t xml:space="preserve"> </w:t>
      </w:r>
      <w:r w:rsidRPr="0049320C">
        <w:rPr>
          <w:rFonts w:asciiTheme="majorHAnsi" w:hAnsiTheme="majorHAnsi"/>
          <w:sz w:val="16"/>
          <w:szCs w:val="16"/>
          <w:lang w:val="es-ES"/>
        </w:rPr>
        <w:t>Anexo 15.</w:t>
      </w:r>
      <w:r w:rsidRPr="00D93236">
        <w:rPr>
          <w:rFonts w:asciiTheme="majorHAnsi" w:hAnsiTheme="majorHAnsi"/>
          <w:sz w:val="16"/>
          <w:szCs w:val="16"/>
          <w:lang w:val="es-ES"/>
        </w:rPr>
        <w:t xml:space="preserve"> Resolución de la Sala II de la Cámara Federal de Casación Penal de fecha 14 de agosto de 2013, pág. 2 a 4. Anexo 20 de la comunicación de la parte peticionaria de fecha 11 de noviembre de 2019. </w:t>
      </w:r>
    </w:p>
  </w:footnote>
  <w:footnote w:id="267">
    <w:p w14:paraId="3792022F" w14:textId="77777777" w:rsidR="005B3F8C" w:rsidRPr="00D93236" w:rsidRDefault="005B3F8C" w:rsidP="00E27260">
      <w:pPr>
        <w:pStyle w:val="FootnoteText"/>
        <w:jc w:val="both"/>
        <w:rPr>
          <w:rFonts w:asciiTheme="majorHAnsi" w:hAnsiTheme="majorHAnsi"/>
          <w:sz w:val="16"/>
          <w:szCs w:val="16"/>
          <w:lang w:val="es-US"/>
        </w:rPr>
      </w:pPr>
      <w:r w:rsidRPr="00D93236">
        <w:rPr>
          <w:rStyle w:val="FootnoteReference"/>
          <w:rFonts w:asciiTheme="majorHAnsi" w:hAnsiTheme="majorHAnsi"/>
          <w:sz w:val="16"/>
          <w:szCs w:val="16"/>
        </w:rPr>
        <w:footnoteRef/>
      </w:r>
      <w:r w:rsidRPr="00D93236">
        <w:rPr>
          <w:rFonts w:asciiTheme="majorHAnsi" w:hAnsiTheme="majorHAnsi"/>
          <w:sz w:val="16"/>
          <w:szCs w:val="16"/>
          <w:lang w:val="es-US"/>
        </w:rPr>
        <w:t xml:space="preserve"> </w:t>
      </w:r>
      <w:r w:rsidRPr="0049320C">
        <w:rPr>
          <w:rFonts w:asciiTheme="majorHAnsi" w:hAnsiTheme="majorHAnsi"/>
          <w:sz w:val="16"/>
          <w:szCs w:val="16"/>
          <w:lang w:val="es-US"/>
        </w:rPr>
        <w:t>Anexo 16.</w:t>
      </w:r>
      <w:r w:rsidRPr="00D93236">
        <w:rPr>
          <w:rFonts w:asciiTheme="majorHAnsi" w:hAnsiTheme="majorHAnsi"/>
          <w:sz w:val="16"/>
          <w:szCs w:val="16"/>
          <w:lang w:val="es-US"/>
        </w:rPr>
        <w:t xml:space="preserve"> Auto de clausura de la instrucción y elevación a juicio oral dictado por el Juzgado en lo Criminal y Correccional Federal Nro. 4 de fecha 30 de marzo de 2012. Anexo 19.b de la comunicación de la parte peticionaria de fecha 31 de octubre de 2014. </w:t>
      </w:r>
    </w:p>
  </w:footnote>
  <w:footnote w:id="268">
    <w:p w14:paraId="776A86A2" w14:textId="77777777" w:rsidR="005B3F8C" w:rsidRPr="00D93236" w:rsidRDefault="005B3F8C" w:rsidP="00E27260">
      <w:pPr>
        <w:pStyle w:val="FootnoteText"/>
        <w:jc w:val="both"/>
        <w:rPr>
          <w:rFonts w:asciiTheme="majorHAnsi" w:hAnsiTheme="majorHAnsi"/>
          <w:sz w:val="16"/>
          <w:szCs w:val="16"/>
          <w:lang w:val="es-US"/>
        </w:rPr>
      </w:pPr>
      <w:r w:rsidRPr="00D93236">
        <w:rPr>
          <w:rStyle w:val="FootnoteReference"/>
          <w:rFonts w:asciiTheme="majorHAnsi" w:hAnsiTheme="majorHAnsi"/>
          <w:sz w:val="16"/>
          <w:szCs w:val="16"/>
        </w:rPr>
        <w:footnoteRef/>
      </w:r>
      <w:r w:rsidRPr="00D93236">
        <w:rPr>
          <w:rFonts w:asciiTheme="majorHAnsi" w:hAnsiTheme="majorHAnsi"/>
          <w:sz w:val="16"/>
          <w:szCs w:val="16"/>
          <w:lang w:val="es-US"/>
        </w:rPr>
        <w:t xml:space="preserve"> Comunicación de la parte peticionaria de fecha 11 de noviembre de 2019, pág. 47. </w:t>
      </w:r>
    </w:p>
  </w:footnote>
  <w:footnote w:id="269">
    <w:p w14:paraId="4CBBF295" w14:textId="77777777" w:rsidR="005B3F8C" w:rsidRPr="00D93236" w:rsidRDefault="005B3F8C" w:rsidP="00E27260">
      <w:pPr>
        <w:pStyle w:val="FootnoteText"/>
        <w:jc w:val="both"/>
        <w:rPr>
          <w:rFonts w:asciiTheme="majorHAnsi" w:hAnsiTheme="majorHAnsi"/>
          <w:sz w:val="16"/>
          <w:szCs w:val="16"/>
          <w:lang w:val="es-US"/>
        </w:rPr>
      </w:pPr>
      <w:r w:rsidRPr="00D93236">
        <w:rPr>
          <w:rStyle w:val="FootnoteReference"/>
          <w:rFonts w:asciiTheme="majorHAnsi" w:hAnsiTheme="majorHAnsi"/>
          <w:sz w:val="16"/>
          <w:szCs w:val="16"/>
        </w:rPr>
        <w:footnoteRef/>
      </w:r>
      <w:r w:rsidRPr="00D93236">
        <w:rPr>
          <w:rFonts w:asciiTheme="majorHAnsi" w:hAnsiTheme="majorHAnsi"/>
          <w:sz w:val="16"/>
          <w:szCs w:val="16"/>
          <w:lang w:val="es-US"/>
        </w:rPr>
        <w:t xml:space="preserve"> </w:t>
      </w:r>
      <w:r w:rsidRPr="0049320C">
        <w:rPr>
          <w:rFonts w:asciiTheme="majorHAnsi" w:hAnsiTheme="majorHAnsi"/>
          <w:sz w:val="16"/>
          <w:szCs w:val="16"/>
          <w:lang w:val="es-ES"/>
        </w:rPr>
        <w:t>Anexo 12.</w:t>
      </w:r>
      <w:r w:rsidRPr="00D93236">
        <w:rPr>
          <w:rFonts w:asciiTheme="majorHAnsi" w:hAnsiTheme="majorHAnsi"/>
          <w:sz w:val="16"/>
          <w:szCs w:val="16"/>
          <w:lang w:val="es-ES"/>
        </w:rPr>
        <w:t xml:space="preserve"> Sentencia del T</w:t>
      </w:r>
      <w:r>
        <w:rPr>
          <w:rFonts w:asciiTheme="majorHAnsi" w:hAnsiTheme="majorHAnsi"/>
          <w:sz w:val="16"/>
          <w:szCs w:val="16"/>
          <w:lang w:val="es-ES"/>
        </w:rPr>
        <w:t xml:space="preserve">ribunal </w:t>
      </w:r>
      <w:r w:rsidRPr="00D93236">
        <w:rPr>
          <w:rFonts w:asciiTheme="majorHAnsi" w:hAnsiTheme="majorHAnsi"/>
          <w:sz w:val="16"/>
          <w:szCs w:val="16"/>
          <w:lang w:val="es-ES"/>
        </w:rPr>
        <w:t>O</w:t>
      </w:r>
      <w:r>
        <w:rPr>
          <w:rFonts w:asciiTheme="majorHAnsi" w:hAnsiTheme="majorHAnsi"/>
          <w:sz w:val="16"/>
          <w:szCs w:val="16"/>
          <w:lang w:val="es-ES"/>
        </w:rPr>
        <w:t xml:space="preserve">ral en lo Criminal </w:t>
      </w:r>
      <w:r w:rsidRPr="00D93236">
        <w:rPr>
          <w:rFonts w:asciiTheme="majorHAnsi" w:hAnsiTheme="majorHAnsi"/>
          <w:sz w:val="16"/>
          <w:szCs w:val="16"/>
          <w:lang w:val="es-ES"/>
        </w:rPr>
        <w:t>F</w:t>
      </w:r>
      <w:r>
        <w:rPr>
          <w:rFonts w:asciiTheme="majorHAnsi" w:hAnsiTheme="majorHAnsi"/>
          <w:sz w:val="16"/>
          <w:szCs w:val="16"/>
          <w:lang w:val="es-ES"/>
        </w:rPr>
        <w:t>ederal Nro.</w:t>
      </w:r>
      <w:r w:rsidRPr="00D93236">
        <w:rPr>
          <w:rFonts w:asciiTheme="majorHAnsi" w:hAnsiTheme="majorHAnsi"/>
          <w:sz w:val="16"/>
          <w:szCs w:val="16"/>
          <w:lang w:val="es-ES"/>
        </w:rPr>
        <w:t xml:space="preserve"> 2. Pág. 1. Anexo 2 a la comunicación de la parte peticionaria de fecha 11 de noviembre de 2019.</w:t>
      </w:r>
    </w:p>
  </w:footnote>
  <w:footnote w:id="270">
    <w:p w14:paraId="6156102C" w14:textId="77777777" w:rsidR="005B3F8C" w:rsidRPr="00D93236" w:rsidRDefault="005B3F8C" w:rsidP="00E27260">
      <w:pPr>
        <w:pStyle w:val="FootnoteText"/>
        <w:jc w:val="both"/>
        <w:rPr>
          <w:rFonts w:asciiTheme="majorHAnsi" w:hAnsiTheme="majorHAnsi"/>
          <w:sz w:val="16"/>
          <w:szCs w:val="16"/>
          <w:lang w:val="es-US"/>
        </w:rPr>
      </w:pPr>
      <w:r w:rsidRPr="00D93236">
        <w:rPr>
          <w:rStyle w:val="FootnoteReference"/>
          <w:rFonts w:asciiTheme="majorHAnsi" w:hAnsiTheme="majorHAnsi"/>
          <w:sz w:val="16"/>
          <w:szCs w:val="16"/>
        </w:rPr>
        <w:footnoteRef/>
      </w:r>
      <w:r w:rsidRPr="00D93236">
        <w:rPr>
          <w:rFonts w:asciiTheme="majorHAnsi" w:hAnsiTheme="majorHAnsi"/>
          <w:sz w:val="16"/>
          <w:szCs w:val="16"/>
          <w:lang w:val="es-US"/>
        </w:rPr>
        <w:t xml:space="preserve"> </w:t>
      </w:r>
      <w:r w:rsidRPr="0049320C">
        <w:rPr>
          <w:rFonts w:asciiTheme="majorHAnsi" w:hAnsiTheme="majorHAnsi"/>
          <w:sz w:val="16"/>
          <w:szCs w:val="16"/>
          <w:lang w:val="es-ES"/>
        </w:rPr>
        <w:t>Anexo 12.</w:t>
      </w:r>
      <w:r w:rsidRPr="00D93236">
        <w:rPr>
          <w:rFonts w:asciiTheme="majorHAnsi" w:hAnsiTheme="majorHAnsi"/>
          <w:sz w:val="16"/>
          <w:szCs w:val="16"/>
          <w:lang w:val="es-ES"/>
        </w:rPr>
        <w:t xml:space="preserve"> Sentencia del T</w:t>
      </w:r>
      <w:r>
        <w:rPr>
          <w:rFonts w:asciiTheme="majorHAnsi" w:hAnsiTheme="majorHAnsi"/>
          <w:sz w:val="16"/>
          <w:szCs w:val="16"/>
          <w:lang w:val="es-ES"/>
        </w:rPr>
        <w:t xml:space="preserve">ribunal </w:t>
      </w:r>
      <w:r w:rsidRPr="00D93236">
        <w:rPr>
          <w:rFonts w:asciiTheme="majorHAnsi" w:hAnsiTheme="majorHAnsi"/>
          <w:sz w:val="16"/>
          <w:szCs w:val="16"/>
          <w:lang w:val="es-ES"/>
        </w:rPr>
        <w:t>O</w:t>
      </w:r>
      <w:r>
        <w:rPr>
          <w:rFonts w:asciiTheme="majorHAnsi" w:hAnsiTheme="majorHAnsi"/>
          <w:sz w:val="16"/>
          <w:szCs w:val="16"/>
          <w:lang w:val="es-ES"/>
        </w:rPr>
        <w:t xml:space="preserve">ral en lo Criminal </w:t>
      </w:r>
      <w:r w:rsidRPr="00D93236">
        <w:rPr>
          <w:rFonts w:asciiTheme="majorHAnsi" w:hAnsiTheme="majorHAnsi"/>
          <w:sz w:val="16"/>
          <w:szCs w:val="16"/>
          <w:lang w:val="es-ES"/>
        </w:rPr>
        <w:t>F</w:t>
      </w:r>
      <w:r>
        <w:rPr>
          <w:rFonts w:asciiTheme="majorHAnsi" w:hAnsiTheme="majorHAnsi"/>
          <w:sz w:val="16"/>
          <w:szCs w:val="16"/>
          <w:lang w:val="es-ES"/>
        </w:rPr>
        <w:t>ederal Nro.</w:t>
      </w:r>
      <w:r w:rsidRPr="00D93236">
        <w:rPr>
          <w:rFonts w:asciiTheme="majorHAnsi" w:hAnsiTheme="majorHAnsi"/>
          <w:sz w:val="16"/>
          <w:szCs w:val="16"/>
          <w:lang w:val="es-ES"/>
        </w:rPr>
        <w:t xml:space="preserve"> 2. Pág. 54 a 57. Anexo 2 a la comunicación de la parte peticionaria de fecha 11 de noviembre de 2019.</w:t>
      </w:r>
    </w:p>
  </w:footnote>
  <w:footnote w:id="271">
    <w:p w14:paraId="3DB76437" w14:textId="77777777" w:rsidR="005B3F8C" w:rsidRPr="00EE68C8" w:rsidRDefault="005B3F8C" w:rsidP="00E27260">
      <w:pPr>
        <w:pStyle w:val="FootnoteText"/>
        <w:jc w:val="both"/>
        <w:rPr>
          <w:rFonts w:asciiTheme="majorHAnsi" w:hAnsiTheme="majorHAnsi"/>
          <w:sz w:val="16"/>
          <w:szCs w:val="16"/>
          <w:lang w:val="es-US"/>
        </w:rPr>
      </w:pPr>
      <w:r w:rsidRPr="00D93236">
        <w:rPr>
          <w:rStyle w:val="FootnoteReference"/>
          <w:rFonts w:asciiTheme="majorHAnsi" w:hAnsiTheme="majorHAnsi"/>
          <w:sz w:val="16"/>
          <w:szCs w:val="16"/>
        </w:rPr>
        <w:footnoteRef/>
      </w:r>
      <w:r w:rsidRPr="00D93236">
        <w:rPr>
          <w:rFonts w:asciiTheme="majorHAnsi" w:hAnsiTheme="majorHAnsi"/>
          <w:sz w:val="16"/>
          <w:szCs w:val="16"/>
          <w:lang w:val="es-US"/>
        </w:rPr>
        <w:t xml:space="preserve"> </w:t>
      </w:r>
      <w:r w:rsidRPr="00EE68C8">
        <w:rPr>
          <w:rFonts w:asciiTheme="majorHAnsi" w:hAnsiTheme="majorHAnsi"/>
          <w:sz w:val="16"/>
          <w:szCs w:val="16"/>
          <w:lang w:val="es-US"/>
        </w:rPr>
        <w:t>Anexo 17.</w:t>
      </w:r>
      <w:r>
        <w:rPr>
          <w:rFonts w:asciiTheme="majorHAnsi" w:hAnsiTheme="majorHAnsi"/>
          <w:sz w:val="16"/>
          <w:szCs w:val="16"/>
          <w:lang w:val="es-US"/>
        </w:rPr>
        <w:t xml:space="preserve"> </w:t>
      </w:r>
      <w:r w:rsidRPr="00EE68C8">
        <w:rPr>
          <w:rFonts w:asciiTheme="majorHAnsi" w:hAnsiTheme="majorHAnsi"/>
          <w:sz w:val="16"/>
          <w:szCs w:val="16"/>
          <w:lang w:val="es-US"/>
        </w:rPr>
        <w:t xml:space="preserve">Resolución de la Sala I de la Cámara Federal en lo Criminal y Correccional de fecha 17 de mayo de 2016 en el marco del expediente CFR 3446/2012. Anexo 26 a la comunicación de la parte peticionaria de fecha 11 de noviembre de 2019. </w:t>
      </w:r>
    </w:p>
  </w:footnote>
  <w:footnote w:id="272">
    <w:p w14:paraId="3F8C71F7" w14:textId="77777777" w:rsidR="005B3F8C" w:rsidRPr="00EE68C8" w:rsidRDefault="005B3F8C" w:rsidP="00E27260">
      <w:pPr>
        <w:pStyle w:val="FootnoteText"/>
        <w:jc w:val="both"/>
        <w:rPr>
          <w:rFonts w:asciiTheme="majorHAnsi" w:hAnsiTheme="majorHAnsi"/>
          <w:sz w:val="16"/>
          <w:szCs w:val="16"/>
          <w:lang w:val="es-AR"/>
        </w:rPr>
      </w:pPr>
      <w:r w:rsidRPr="00EE68C8">
        <w:rPr>
          <w:rStyle w:val="FootnoteReference"/>
          <w:rFonts w:asciiTheme="majorHAnsi" w:hAnsiTheme="majorHAnsi"/>
          <w:sz w:val="16"/>
          <w:szCs w:val="16"/>
        </w:rPr>
        <w:footnoteRef/>
      </w:r>
      <w:r w:rsidRPr="00EE68C8">
        <w:rPr>
          <w:rFonts w:asciiTheme="majorHAnsi" w:hAnsiTheme="majorHAnsi"/>
          <w:sz w:val="16"/>
          <w:szCs w:val="16"/>
          <w:lang w:val="es-AR"/>
        </w:rPr>
        <w:t xml:space="preserve"> Anexo 18. Auto de elevación a juicio oral de fecha 23 de marzo de 2017 dictado por el Juzgado en lo Criminal y Correccional Federal Nro. 2 en el marco de la causa Nro. 2925/1998. Anexo 23 a la comunicación de la parte peticionaria de fecha 11 de noviembre de 2019. </w:t>
      </w:r>
    </w:p>
  </w:footnote>
  <w:footnote w:id="273">
    <w:p w14:paraId="09FCDE5C" w14:textId="77777777" w:rsidR="005B3F8C" w:rsidRPr="00D93236" w:rsidRDefault="005B3F8C" w:rsidP="00E27260">
      <w:pPr>
        <w:pStyle w:val="FootnoteText"/>
        <w:jc w:val="both"/>
        <w:rPr>
          <w:rFonts w:asciiTheme="majorHAnsi" w:hAnsiTheme="majorHAnsi"/>
          <w:sz w:val="16"/>
          <w:szCs w:val="16"/>
          <w:lang w:val="es-US"/>
        </w:rPr>
      </w:pPr>
      <w:r w:rsidRPr="00EE68C8">
        <w:rPr>
          <w:rStyle w:val="FootnoteReference"/>
          <w:rFonts w:asciiTheme="majorHAnsi" w:hAnsiTheme="majorHAnsi"/>
          <w:sz w:val="16"/>
          <w:szCs w:val="16"/>
        </w:rPr>
        <w:footnoteRef/>
      </w:r>
      <w:r w:rsidRPr="00EE68C8">
        <w:rPr>
          <w:rFonts w:asciiTheme="majorHAnsi" w:hAnsiTheme="majorHAnsi"/>
          <w:sz w:val="16"/>
          <w:szCs w:val="16"/>
          <w:lang w:val="es-AR"/>
        </w:rPr>
        <w:t xml:space="preserve"> Anexo 19. Nota dirigida a la Procuradora General de la Nación de fecha 30 de mayo de 2013. </w:t>
      </w:r>
      <w:r w:rsidRPr="00EE68C8">
        <w:rPr>
          <w:rFonts w:asciiTheme="majorHAnsi" w:hAnsiTheme="majorHAnsi"/>
          <w:sz w:val="16"/>
          <w:szCs w:val="16"/>
          <w:lang w:val="es-US"/>
        </w:rPr>
        <w:t>Anexo 15 a la comunicación de la parte peticionaria de fecha 31 de octubre de 2014.</w:t>
      </w:r>
    </w:p>
  </w:footnote>
  <w:footnote w:id="274">
    <w:p w14:paraId="44EB29CB" w14:textId="77777777" w:rsidR="005B3F8C" w:rsidRPr="00D93236" w:rsidRDefault="005B3F8C" w:rsidP="00E27260">
      <w:pPr>
        <w:pStyle w:val="FootnoteText"/>
        <w:jc w:val="both"/>
        <w:rPr>
          <w:rFonts w:asciiTheme="majorHAnsi" w:hAnsiTheme="majorHAnsi"/>
          <w:sz w:val="16"/>
          <w:szCs w:val="16"/>
          <w:lang w:val="es-US"/>
        </w:rPr>
      </w:pPr>
      <w:r w:rsidRPr="00D93236">
        <w:rPr>
          <w:rStyle w:val="FootnoteReference"/>
          <w:rFonts w:asciiTheme="majorHAnsi" w:hAnsiTheme="majorHAnsi"/>
          <w:sz w:val="16"/>
          <w:szCs w:val="16"/>
        </w:rPr>
        <w:footnoteRef/>
      </w:r>
      <w:r w:rsidRPr="00D93236">
        <w:rPr>
          <w:rFonts w:asciiTheme="majorHAnsi" w:hAnsiTheme="majorHAnsi"/>
          <w:sz w:val="16"/>
          <w:szCs w:val="16"/>
          <w:lang w:val="es-US"/>
        </w:rPr>
        <w:t xml:space="preserve"> Corte IDH. </w:t>
      </w:r>
      <w:r w:rsidRPr="00D93236">
        <w:rPr>
          <w:rFonts w:asciiTheme="majorHAnsi" w:hAnsiTheme="majorHAnsi"/>
          <w:i/>
          <w:sz w:val="16"/>
          <w:szCs w:val="16"/>
          <w:lang w:val="es-AR"/>
        </w:rPr>
        <w:t>Caso Rodríguez Vera y otros (Desaparecidos del Palacio de Justicia) vs. Colombia</w:t>
      </w:r>
      <w:r w:rsidRPr="00D93236">
        <w:rPr>
          <w:rFonts w:asciiTheme="majorHAnsi" w:hAnsiTheme="majorHAnsi"/>
          <w:sz w:val="16"/>
          <w:szCs w:val="16"/>
          <w:lang w:val="es-AR"/>
        </w:rPr>
        <w:t>. Excepciones Preliminares, Fondo, Reparaciones y Costas. Sentencia de 14 de noviembre de 2014. Serie C No. 287, párr. 509.</w:t>
      </w:r>
    </w:p>
  </w:footnote>
  <w:footnote w:id="275">
    <w:p w14:paraId="0CAF1755" w14:textId="77777777" w:rsidR="005B3F8C" w:rsidRPr="00D93236" w:rsidRDefault="005B3F8C" w:rsidP="00E27260">
      <w:pPr>
        <w:pStyle w:val="FootnoteText"/>
        <w:jc w:val="both"/>
        <w:rPr>
          <w:rFonts w:asciiTheme="majorHAnsi" w:hAnsiTheme="majorHAnsi"/>
          <w:sz w:val="16"/>
          <w:szCs w:val="16"/>
          <w:lang w:val="es-ES"/>
        </w:rPr>
      </w:pPr>
      <w:r w:rsidRPr="00D93236">
        <w:rPr>
          <w:rStyle w:val="FootnoteReference"/>
          <w:rFonts w:asciiTheme="majorHAnsi" w:hAnsiTheme="majorHAnsi"/>
          <w:sz w:val="16"/>
          <w:szCs w:val="16"/>
          <w:lang w:val="es-AR"/>
        </w:rPr>
        <w:footnoteRef/>
      </w:r>
      <w:r w:rsidRPr="00D93236">
        <w:rPr>
          <w:rFonts w:asciiTheme="majorHAnsi" w:hAnsiTheme="majorHAnsi"/>
          <w:sz w:val="16"/>
          <w:szCs w:val="16"/>
          <w:lang w:val="es-AR"/>
        </w:rPr>
        <w:t xml:space="preserve"> Corte IDH. </w:t>
      </w:r>
      <w:r w:rsidRPr="00D93236">
        <w:rPr>
          <w:rFonts w:asciiTheme="majorHAnsi" w:hAnsiTheme="majorHAnsi"/>
          <w:i/>
          <w:sz w:val="16"/>
          <w:szCs w:val="16"/>
          <w:lang w:val="es-AR"/>
        </w:rPr>
        <w:t xml:space="preserve">La colegiación obligatoria de periodistas (Arts. 13 y 29 Convención Americana sobre Derechos Humanos). </w:t>
      </w:r>
      <w:r w:rsidRPr="00D93236">
        <w:rPr>
          <w:rFonts w:asciiTheme="majorHAnsi" w:hAnsiTheme="majorHAnsi"/>
          <w:sz w:val="16"/>
          <w:szCs w:val="16"/>
          <w:lang w:val="es-AR"/>
        </w:rPr>
        <w:t>Opinión Consultiva OC-</w:t>
      </w:r>
      <w:r w:rsidRPr="00D93236">
        <w:rPr>
          <w:rFonts w:asciiTheme="majorHAnsi" w:hAnsiTheme="majorHAnsi"/>
          <w:sz w:val="16"/>
          <w:szCs w:val="16"/>
          <w:lang w:val="es-ES"/>
        </w:rPr>
        <w:t>5/85 de 13 de noviembre de 1985. Serie A No. 5</w:t>
      </w:r>
    </w:p>
  </w:footnote>
  <w:footnote w:id="276">
    <w:p w14:paraId="341ECF67" w14:textId="77777777" w:rsidR="005B3F8C" w:rsidRPr="00D93236" w:rsidRDefault="005B3F8C" w:rsidP="00E27260">
      <w:pPr>
        <w:pStyle w:val="FootnoteText"/>
        <w:jc w:val="both"/>
        <w:rPr>
          <w:rFonts w:asciiTheme="majorHAnsi" w:hAnsiTheme="majorHAnsi"/>
          <w:sz w:val="16"/>
          <w:szCs w:val="16"/>
          <w:lang w:val="es-ES"/>
        </w:rPr>
      </w:pPr>
      <w:r w:rsidRPr="00D93236">
        <w:rPr>
          <w:rStyle w:val="FootnoteReference"/>
          <w:rFonts w:asciiTheme="majorHAnsi" w:hAnsiTheme="majorHAnsi"/>
          <w:sz w:val="16"/>
          <w:szCs w:val="16"/>
          <w:lang w:val="es-ES"/>
        </w:rPr>
        <w:footnoteRef/>
      </w:r>
      <w:r w:rsidRPr="00D93236">
        <w:rPr>
          <w:rFonts w:asciiTheme="majorHAnsi" w:hAnsiTheme="majorHAnsi"/>
          <w:sz w:val="16"/>
          <w:szCs w:val="16"/>
          <w:lang w:val="es-ES"/>
        </w:rPr>
        <w:t xml:space="preserve"> Corte IDH. </w:t>
      </w:r>
      <w:r w:rsidRPr="00D93236">
        <w:rPr>
          <w:rFonts w:asciiTheme="majorHAnsi" w:hAnsiTheme="majorHAnsi"/>
          <w:i/>
          <w:sz w:val="16"/>
          <w:szCs w:val="16"/>
          <w:lang w:val="es-ES"/>
        </w:rPr>
        <w:t>Caso San Miguel Sosa y otras Vs. Venezuela</w:t>
      </w:r>
      <w:r w:rsidRPr="00D93236">
        <w:rPr>
          <w:rFonts w:asciiTheme="majorHAnsi" w:hAnsiTheme="majorHAnsi"/>
          <w:sz w:val="16"/>
          <w:szCs w:val="16"/>
          <w:lang w:val="es-ES"/>
        </w:rPr>
        <w:t xml:space="preserve">. Fondo, Reparaciones y Costas. Sentencia de 8 de febrero de 2018. Serie C No. 348. Párr. 154 a 157. </w:t>
      </w:r>
    </w:p>
  </w:footnote>
  <w:footnote w:id="277">
    <w:p w14:paraId="1D076CC0" w14:textId="77777777" w:rsidR="005B3F8C" w:rsidRPr="00D93236" w:rsidRDefault="005B3F8C" w:rsidP="00E27260">
      <w:pPr>
        <w:jc w:val="both"/>
        <w:rPr>
          <w:rFonts w:asciiTheme="majorHAnsi" w:eastAsia="Times New Roman" w:hAnsiTheme="majorHAnsi"/>
          <w:sz w:val="16"/>
          <w:szCs w:val="16"/>
          <w:lang w:val="es-ES"/>
        </w:rPr>
      </w:pPr>
      <w:r w:rsidRPr="00D93236">
        <w:rPr>
          <w:rStyle w:val="FootnoteReference"/>
          <w:rFonts w:asciiTheme="majorHAnsi" w:hAnsiTheme="majorHAnsi"/>
          <w:sz w:val="16"/>
          <w:szCs w:val="16"/>
          <w:lang w:val="es-ES"/>
        </w:rPr>
        <w:footnoteRef/>
      </w:r>
      <w:r w:rsidRPr="00D93236">
        <w:rPr>
          <w:rFonts w:asciiTheme="majorHAnsi" w:hAnsiTheme="majorHAnsi"/>
          <w:sz w:val="16"/>
          <w:szCs w:val="16"/>
          <w:lang w:val="es-ES"/>
        </w:rPr>
        <w:t xml:space="preserve"> </w:t>
      </w:r>
      <w:r w:rsidRPr="00D93236">
        <w:rPr>
          <w:rFonts w:asciiTheme="majorHAnsi" w:eastAsia="Times New Roman" w:hAnsiTheme="majorHAnsi"/>
          <w:bCs/>
          <w:color w:val="000000"/>
          <w:sz w:val="16"/>
          <w:szCs w:val="16"/>
          <w:shd w:val="clear" w:color="auto" w:fill="FFFFFF"/>
          <w:lang w:val="es-ES"/>
        </w:rPr>
        <w:t xml:space="preserve">Corte IDH. </w:t>
      </w:r>
      <w:r w:rsidRPr="00D93236">
        <w:rPr>
          <w:rFonts w:asciiTheme="majorHAnsi" w:eastAsia="Times New Roman" w:hAnsiTheme="majorHAnsi"/>
          <w:bCs/>
          <w:i/>
          <w:color w:val="000000"/>
          <w:sz w:val="16"/>
          <w:szCs w:val="16"/>
          <w:shd w:val="clear" w:color="auto" w:fill="FFFFFF"/>
          <w:lang w:val="es-ES"/>
        </w:rPr>
        <w:t>Caso Claude Reyes y otros Vs. Chile</w:t>
      </w:r>
      <w:r w:rsidRPr="00D93236">
        <w:rPr>
          <w:rFonts w:asciiTheme="majorHAnsi" w:eastAsia="Times New Roman" w:hAnsiTheme="majorHAnsi"/>
          <w:bCs/>
          <w:color w:val="000000"/>
          <w:sz w:val="16"/>
          <w:szCs w:val="16"/>
          <w:shd w:val="clear" w:color="auto" w:fill="FFFFFF"/>
          <w:lang w:val="es-ES"/>
        </w:rPr>
        <w:t>. Fondo, Reparaciones y Costas. Sentencia de 19 de septiembre de 2006. Serie C No. 151.</w:t>
      </w:r>
      <w:r w:rsidRPr="00D93236">
        <w:rPr>
          <w:rFonts w:asciiTheme="majorHAnsi" w:eastAsia="Times New Roman" w:hAnsiTheme="majorHAnsi"/>
          <w:sz w:val="16"/>
          <w:szCs w:val="16"/>
          <w:lang w:val="es-ES"/>
        </w:rPr>
        <w:t xml:space="preserve"> Párr. 92. </w:t>
      </w:r>
    </w:p>
  </w:footnote>
  <w:footnote w:id="278">
    <w:p w14:paraId="40E3BC6B" w14:textId="77777777" w:rsidR="005B3F8C" w:rsidRPr="00D93236" w:rsidRDefault="005B3F8C" w:rsidP="00E27260">
      <w:pPr>
        <w:pStyle w:val="FootnoteText"/>
        <w:jc w:val="both"/>
        <w:rPr>
          <w:rFonts w:asciiTheme="majorHAnsi" w:hAnsiTheme="majorHAnsi"/>
          <w:sz w:val="16"/>
          <w:szCs w:val="16"/>
          <w:lang w:val="es-AR"/>
        </w:rPr>
      </w:pPr>
      <w:r w:rsidRPr="00D93236">
        <w:rPr>
          <w:rStyle w:val="FootnoteReference"/>
          <w:rFonts w:asciiTheme="majorHAnsi" w:hAnsiTheme="majorHAnsi"/>
          <w:sz w:val="16"/>
          <w:szCs w:val="16"/>
          <w:lang w:val="es-ES"/>
        </w:rPr>
        <w:footnoteRef/>
      </w:r>
      <w:r w:rsidRPr="00D93236">
        <w:rPr>
          <w:rFonts w:asciiTheme="majorHAnsi" w:hAnsiTheme="majorHAnsi"/>
          <w:sz w:val="16"/>
          <w:szCs w:val="16"/>
          <w:lang w:val="es-ES"/>
        </w:rPr>
        <w:t xml:space="preserve"> CIDH, Derecho a la Verdad en las Américas, OEA/Ser.L/V/II.152, Doc. 2, 13 agosto 2014, párr. 107 y ss; CIDH, Relatoría Especial para la Libertad de Expresión, El derecho de acceso a la información en el marco jurídico interamericano (segunda edición). Párr.77; CIDH, Relatoría Especial para la Libertad de Expresión, Informe Anual (2010), Capítulo III, Acceso a la información sobre violaciones de derechos humanos.</w:t>
      </w:r>
      <w:r w:rsidRPr="00D93236">
        <w:rPr>
          <w:rFonts w:asciiTheme="majorHAnsi" w:hAnsiTheme="majorHAnsi"/>
          <w:sz w:val="16"/>
          <w:szCs w:val="16"/>
          <w:lang w:val="es-AR"/>
        </w:rPr>
        <w:t xml:space="preserve"> </w:t>
      </w:r>
    </w:p>
  </w:footnote>
  <w:footnote w:id="279">
    <w:p w14:paraId="7BC03753" w14:textId="77777777" w:rsidR="005B3F8C" w:rsidRPr="00D93236" w:rsidRDefault="005B3F8C" w:rsidP="00E27260">
      <w:pPr>
        <w:pStyle w:val="FootnoteText"/>
        <w:jc w:val="both"/>
        <w:rPr>
          <w:rFonts w:asciiTheme="majorHAnsi" w:hAnsiTheme="majorHAnsi"/>
          <w:sz w:val="16"/>
          <w:szCs w:val="16"/>
          <w:lang w:val="es-AR"/>
        </w:rPr>
      </w:pPr>
      <w:r w:rsidRPr="00D93236">
        <w:rPr>
          <w:rStyle w:val="FootnoteReference"/>
          <w:rFonts w:asciiTheme="majorHAnsi" w:hAnsiTheme="majorHAnsi"/>
          <w:sz w:val="16"/>
          <w:szCs w:val="16"/>
        </w:rPr>
        <w:footnoteRef/>
      </w:r>
      <w:r w:rsidRPr="00D93236">
        <w:rPr>
          <w:rFonts w:asciiTheme="majorHAnsi" w:hAnsiTheme="majorHAnsi"/>
          <w:sz w:val="16"/>
          <w:szCs w:val="16"/>
          <w:lang w:val="es-AR"/>
        </w:rPr>
        <w:t xml:space="preserve"> CIDH, Informe No. 60/18, Caso 12.709. Fondo. </w:t>
      </w:r>
      <w:r w:rsidRPr="00D93236">
        <w:rPr>
          <w:rFonts w:asciiTheme="majorHAnsi" w:hAnsiTheme="majorHAnsi"/>
          <w:i/>
          <w:sz w:val="16"/>
          <w:szCs w:val="16"/>
          <w:lang w:val="es-AR"/>
        </w:rPr>
        <w:t>Juan Carlos Flores Bedregal y familiares</w:t>
      </w:r>
      <w:r w:rsidRPr="00D93236">
        <w:rPr>
          <w:rFonts w:asciiTheme="majorHAnsi" w:hAnsiTheme="majorHAnsi"/>
          <w:sz w:val="16"/>
          <w:szCs w:val="16"/>
          <w:lang w:val="es-AR"/>
        </w:rPr>
        <w:t xml:space="preserve">. Bolivia. 8 de mayo de 2018. Párr. 102. </w:t>
      </w:r>
    </w:p>
  </w:footnote>
  <w:footnote w:id="280">
    <w:p w14:paraId="18175EEB" w14:textId="77777777" w:rsidR="005B3F8C" w:rsidRPr="00D93236" w:rsidRDefault="005B3F8C" w:rsidP="00E27260">
      <w:pPr>
        <w:pStyle w:val="FootnoteText"/>
        <w:jc w:val="both"/>
        <w:rPr>
          <w:rFonts w:asciiTheme="majorHAnsi" w:hAnsiTheme="majorHAnsi"/>
          <w:sz w:val="16"/>
          <w:szCs w:val="16"/>
          <w:lang w:val="es-US"/>
        </w:rPr>
      </w:pPr>
      <w:r w:rsidRPr="00D93236">
        <w:rPr>
          <w:rStyle w:val="FootnoteReference"/>
          <w:rFonts w:asciiTheme="majorHAnsi" w:hAnsiTheme="majorHAnsi"/>
          <w:sz w:val="16"/>
          <w:szCs w:val="16"/>
        </w:rPr>
        <w:footnoteRef/>
      </w:r>
      <w:r w:rsidRPr="00D93236">
        <w:rPr>
          <w:rFonts w:asciiTheme="majorHAnsi" w:hAnsiTheme="majorHAnsi"/>
          <w:sz w:val="16"/>
          <w:szCs w:val="16"/>
          <w:lang w:val="es-AR"/>
        </w:rPr>
        <w:t xml:space="preserve"> CIDH, Derecho a la Verdad en las Américas, OEA/Ser.L/V/II.152, Doc. 2, 13 agosto 2014, párr. </w:t>
      </w:r>
      <w:r w:rsidRPr="00D93236">
        <w:rPr>
          <w:rFonts w:asciiTheme="majorHAnsi" w:hAnsiTheme="majorHAnsi"/>
          <w:sz w:val="16"/>
          <w:szCs w:val="16"/>
          <w:lang w:val="es-US"/>
        </w:rPr>
        <w:t>118.</w:t>
      </w:r>
    </w:p>
  </w:footnote>
  <w:footnote w:id="281">
    <w:p w14:paraId="53A12946" w14:textId="77777777" w:rsidR="005B3F8C" w:rsidRPr="00540E60" w:rsidRDefault="005B3F8C" w:rsidP="002F3E4D">
      <w:pPr>
        <w:jc w:val="both"/>
        <w:rPr>
          <w:rFonts w:asciiTheme="majorHAnsi" w:hAnsiTheme="majorHAnsi"/>
          <w:sz w:val="16"/>
          <w:szCs w:val="16"/>
          <w:lang w:val="es-US" w:eastAsia="en-US"/>
        </w:rPr>
      </w:pPr>
      <w:r w:rsidRPr="002F3E4D">
        <w:rPr>
          <w:rStyle w:val="FootnoteReference"/>
          <w:rFonts w:asciiTheme="majorHAnsi" w:hAnsiTheme="majorHAnsi"/>
          <w:sz w:val="16"/>
          <w:szCs w:val="16"/>
          <w:lang w:val="es-ES"/>
        </w:rPr>
        <w:footnoteRef/>
      </w:r>
      <w:r w:rsidRPr="002F3E4D">
        <w:rPr>
          <w:rFonts w:asciiTheme="majorHAnsi" w:hAnsiTheme="majorHAnsi"/>
          <w:sz w:val="16"/>
          <w:szCs w:val="16"/>
          <w:lang w:val="es-ES"/>
        </w:rPr>
        <w:t xml:space="preserve"> Principios globales sobre seguridad nacional y el derecho a la información (“Principios de Tshwane”). 12 de julio de 2013. Accesible en: </w:t>
      </w:r>
      <w:r w:rsidRPr="00DD1075">
        <w:rPr>
          <w:rFonts w:asciiTheme="majorHAnsi" w:hAnsiTheme="majorHAnsi"/>
          <w:sz w:val="16"/>
          <w:szCs w:val="16"/>
          <w:lang w:val="es-US"/>
        </w:rPr>
        <w:t>https://www.oas.org/es/sla/ddi/docs/acceso_informacion_Taller_Alto_Nivel_Paraguay_2018_documentos_referencia_Principios_Tshwane.pdf</w:t>
      </w:r>
      <w:r w:rsidRPr="00B05379">
        <w:rPr>
          <w:rFonts w:asciiTheme="majorHAnsi" w:hAnsiTheme="majorHAnsi"/>
          <w:sz w:val="16"/>
          <w:szCs w:val="16"/>
          <w:lang w:val="es-AR"/>
        </w:rPr>
        <w:t xml:space="preserve">. </w:t>
      </w:r>
      <w:r w:rsidRPr="00DD1075">
        <w:rPr>
          <w:rFonts w:asciiTheme="majorHAnsi" w:hAnsiTheme="majorHAnsi"/>
          <w:sz w:val="16"/>
          <w:szCs w:val="16"/>
          <w:lang w:val="es-AR"/>
        </w:rPr>
        <w:t xml:space="preserve">Ver asimismo, entre otros pronunciamientos: United Nations. </w:t>
      </w:r>
      <w:r w:rsidRPr="002F3E4D">
        <w:rPr>
          <w:rFonts w:asciiTheme="majorHAnsi" w:hAnsiTheme="majorHAnsi"/>
          <w:sz w:val="16"/>
          <w:szCs w:val="16"/>
          <w:lang w:val="en-US"/>
        </w:rPr>
        <w:t xml:space="preserve">Commission on Human Rights. Report of the Special Rapporteur on the promotion and protection of the right to freedom of opinion and expression, Mr. Abid Hussain, submitted in accordance with Commission resolution 1999/36. </w:t>
      </w:r>
      <w:r w:rsidRPr="00540E60">
        <w:rPr>
          <w:rFonts w:asciiTheme="majorHAnsi" w:hAnsiTheme="majorHAnsi"/>
          <w:sz w:val="16"/>
          <w:szCs w:val="16"/>
          <w:lang w:val="es-US"/>
        </w:rPr>
        <w:t xml:space="preserve">E/CN.4/2000/63. 18 January 2000. Párrs 42-45.  </w:t>
      </w:r>
    </w:p>
  </w:footnote>
  <w:footnote w:id="282">
    <w:p w14:paraId="68B93C57" w14:textId="77777777" w:rsidR="005B3F8C" w:rsidRPr="002F3E4D" w:rsidRDefault="005B3F8C" w:rsidP="002F3E4D">
      <w:pPr>
        <w:pStyle w:val="FootnoteText"/>
        <w:jc w:val="both"/>
        <w:rPr>
          <w:rFonts w:asciiTheme="majorHAnsi" w:hAnsiTheme="majorHAnsi"/>
          <w:sz w:val="16"/>
          <w:szCs w:val="16"/>
          <w:lang w:val="es-AR"/>
        </w:rPr>
      </w:pPr>
      <w:r w:rsidRPr="002F3E4D">
        <w:rPr>
          <w:rStyle w:val="FootnoteReference"/>
          <w:rFonts w:asciiTheme="majorHAnsi" w:hAnsiTheme="majorHAnsi"/>
          <w:sz w:val="16"/>
          <w:szCs w:val="16"/>
        </w:rPr>
        <w:footnoteRef/>
      </w:r>
      <w:r w:rsidRPr="002F3E4D">
        <w:rPr>
          <w:rFonts w:asciiTheme="majorHAnsi" w:hAnsiTheme="majorHAnsi"/>
          <w:sz w:val="16"/>
          <w:szCs w:val="16"/>
          <w:lang w:val="es-AR"/>
        </w:rPr>
        <w:t xml:space="preserve"> </w:t>
      </w:r>
      <w:r w:rsidRPr="00EE68C8">
        <w:rPr>
          <w:rFonts w:asciiTheme="majorHAnsi" w:hAnsiTheme="majorHAnsi"/>
          <w:sz w:val="16"/>
          <w:szCs w:val="16"/>
          <w:lang w:val="es-AR"/>
        </w:rPr>
        <w:t>Anexo 20.</w:t>
      </w:r>
      <w:r w:rsidRPr="002F3E4D">
        <w:rPr>
          <w:rFonts w:asciiTheme="majorHAnsi" w:hAnsiTheme="majorHAnsi"/>
          <w:sz w:val="16"/>
          <w:szCs w:val="16"/>
          <w:lang w:val="es-AR"/>
        </w:rPr>
        <w:t xml:space="preserve"> </w:t>
      </w:r>
      <w:r>
        <w:rPr>
          <w:rFonts w:asciiTheme="majorHAnsi" w:hAnsiTheme="majorHAnsi"/>
          <w:sz w:val="16"/>
          <w:szCs w:val="16"/>
          <w:lang w:val="es-AR"/>
        </w:rPr>
        <w:t xml:space="preserve">Informe </w:t>
      </w:r>
      <w:r w:rsidRPr="002F3E4D">
        <w:rPr>
          <w:rFonts w:asciiTheme="majorHAnsi" w:hAnsiTheme="majorHAnsi"/>
          <w:sz w:val="16"/>
          <w:szCs w:val="16"/>
          <w:lang w:val="es-AR"/>
        </w:rPr>
        <w:t xml:space="preserve">UFI AMIA. </w:t>
      </w:r>
      <w:r w:rsidRPr="00EE68C8">
        <w:rPr>
          <w:rFonts w:asciiTheme="majorHAnsi" w:hAnsiTheme="majorHAnsi"/>
          <w:sz w:val="16"/>
          <w:szCs w:val="16"/>
          <w:lang w:val="es-AR"/>
        </w:rPr>
        <w:t>“El proceso de desclasificación de información reservada o secreta sobre el atentado y su encubrimiento”</w:t>
      </w:r>
      <w:r w:rsidRPr="002F3E4D">
        <w:rPr>
          <w:rFonts w:asciiTheme="majorHAnsi" w:hAnsiTheme="majorHAnsi"/>
          <w:sz w:val="16"/>
          <w:szCs w:val="16"/>
          <w:lang w:val="es-AR"/>
        </w:rPr>
        <w:t xml:space="preserve"> Págs. 14 y 15. Anexo 27 a la comunicación de la parte peticionaria de fecha 11 de noviembre de 2019. La UFI AMIA informó que “la cantidad aproximada de documentación en poder de la AFI y sujeta a este proceso es de 1893 metros lineales”.   </w:t>
      </w:r>
    </w:p>
  </w:footnote>
  <w:footnote w:id="283">
    <w:p w14:paraId="254CD49C" w14:textId="77777777" w:rsidR="005B3F8C" w:rsidRPr="00D93236" w:rsidRDefault="005B3F8C" w:rsidP="002F3E4D">
      <w:pPr>
        <w:pStyle w:val="FootnoteText"/>
        <w:jc w:val="both"/>
        <w:rPr>
          <w:rFonts w:asciiTheme="majorHAnsi" w:hAnsiTheme="majorHAnsi"/>
          <w:sz w:val="16"/>
          <w:szCs w:val="16"/>
          <w:lang w:val="es-AR"/>
        </w:rPr>
      </w:pPr>
      <w:r w:rsidRPr="002F3E4D">
        <w:rPr>
          <w:rStyle w:val="FootnoteReference"/>
          <w:rFonts w:asciiTheme="majorHAnsi" w:hAnsiTheme="majorHAnsi"/>
          <w:sz w:val="16"/>
          <w:szCs w:val="16"/>
        </w:rPr>
        <w:footnoteRef/>
      </w:r>
      <w:r w:rsidRPr="002F3E4D">
        <w:rPr>
          <w:rFonts w:asciiTheme="majorHAnsi" w:hAnsiTheme="majorHAnsi"/>
          <w:sz w:val="16"/>
          <w:szCs w:val="16"/>
          <w:lang w:val="es-AR"/>
        </w:rPr>
        <w:t xml:space="preserve"> Ver en particular el relato del proceso de clasificación como secreto del documento titulado “Temática AMIA. La Conexión Internacional. El Esclarecimiento del Atentado Terrorista y la individualización de sus Autores” presentado por la SIDE a la UFI AMIA en enero de 2003 que consta en: </w:t>
      </w:r>
      <w:r w:rsidRPr="00EE68C8">
        <w:rPr>
          <w:rFonts w:asciiTheme="majorHAnsi" w:hAnsiTheme="majorHAnsi"/>
          <w:sz w:val="16"/>
          <w:szCs w:val="16"/>
          <w:lang w:val="es-AR"/>
        </w:rPr>
        <w:t>Anexo 20.</w:t>
      </w:r>
      <w:r w:rsidRPr="002F3E4D">
        <w:rPr>
          <w:rFonts w:asciiTheme="majorHAnsi" w:hAnsiTheme="majorHAnsi"/>
          <w:sz w:val="16"/>
          <w:szCs w:val="16"/>
          <w:lang w:val="es-AR"/>
        </w:rPr>
        <w:t xml:space="preserve"> UFI AMIA. El Proceso de desclasificación de información reservada o secreta sobre el atentado de 1994 y su encub</w:t>
      </w:r>
      <w:r>
        <w:rPr>
          <w:rFonts w:asciiTheme="majorHAnsi" w:hAnsiTheme="majorHAnsi"/>
          <w:sz w:val="16"/>
          <w:szCs w:val="16"/>
          <w:lang w:val="es-AR"/>
        </w:rPr>
        <w:t>rimiento, pág. 16 y 17. Anexo 27</w:t>
      </w:r>
      <w:r w:rsidRPr="002F3E4D">
        <w:rPr>
          <w:rFonts w:asciiTheme="majorHAnsi" w:hAnsiTheme="majorHAnsi"/>
          <w:sz w:val="16"/>
          <w:szCs w:val="16"/>
          <w:lang w:val="es-AR"/>
        </w:rPr>
        <w:t xml:space="preserve"> a la comunicación de la parte peticionaria de fecha </w:t>
      </w:r>
      <w:r>
        <w:rPr>
          <w:rFonts w:asciiTheme="majorHAnsi" w:hAnsiTheme="majorHAnsi"/>
          <w:sz w:val="16"/>
          <w:szCs w:val="16"/>
          <w:lang w:val="es-AR"/>
        </w:rPr>
        <w:t>11 de noviembre</w:t>
      </w:r>
      <w:r w:rsidRPr="002F3E4D">
        <w:rPr>
          <w:rFonts w:asciiTheme="majorHAnsi" w:hAnsiTheme="majorHAnsi"/>
          <w:sz w:val="16"/>
          <w:szCs w:val="16"/>
          <w:lang w:val="es-AR"/>
        </w:rPr>
        <w:t xml:space="preserve"> de 2019.</w:t>
      </w:r>
      <w:r w:rsidRPr="00D93236">
        <w:rPr>
          <w:rFonts w:asciiTheme="majorHAnsi" w:hAnsiTheme="majorHAnsi"/>
          <w:sz w:val="16"/>
          <w:szCs w:val="16"/>
          <w:lang w:val="es-AR"/>
        </w:rPr>
        <w:t xml:space="preserve"> </w:t>
      </w:r>
    </w:p>
  </w:footnote>
  <w:footnote w:id="284">
    <w:p w14:paraId="0F8539F2" w14:textId="77777777" w:rsidR="005B3F8C" w:rsidRPr="00D93236" w:rsidRDefault="005B3F8C" w:rsidP="00E27260">
      <w:pPr>
        <w:pStyle w:val="FootnoteText"/>
        <w:jc w:val="both"/>
        <w:rPr>
          <w:rFonts w:asciiTheme="majorHAnsi" w:hAnsiTheme="majorHAnsi"/>
          <w:sz w:val="16"/>
          <w:szCs w:val="16"/>
          <w:lang w:val="es-AR"/>
        </w:rPr>
      </w:pPr>
      <w:r w:rsidRPr="00D93236">
        <w:rPr>
          <w:rStyle w:val="FootnoteReference"/>
          <w:rFonts w:asciiTheme="majorHAnsi" w:hAnsiTheme="majorHAnsi"/>
          <w:sz w:val="16"/>
          <w:szCs w:val="16"/>
        </w:rPr>
        <w:footnoteRef/>
      </w:r>
      <w:r w:rsidRPr="00D93236">
        <w:rPr>
          <w:rFonts w:asciiTheme="majorHAnsi" w:hAnsiTheme="majorHAnsi"/>
          <w:sz w:val="16"/>
          <w:szCs w:val="16"/>
          <w:lang w:val="es-AR"/>
        </w:rPr>
        <w:t xml:space="preserve"> Naciones Unidas. Consejo de Derechos Humanos. Informe de Martin Scheinin, Relator Especial sobre la promoción y la protección de los derechos humanos y las libertades fundamentales en la lucha contra el terrorismo. </w:t>
      </w:r>
      <w:r w:rsidRPr="00D93236">
        <w:rPr>
          <w:rFonts w:asciiTheme="majorHAnsi" w:hAnsiTheme="majorHAnsi"/>
          <w:i/>
          <w:sz w:val="16"/>
          <w:szCs w:val="16"/>
          <w:lang w:val="es-AR"/>
        </w:rPr>
        <w:t>Recopilación de buenas prácticas relacionadas con los marcos y las medidas de carácter jurídico e institucional que permitan garantizar el respeto de los derechos humanos por los servicios de inteligencia en la lucha contra el terrorismo, particularmente en lo que respecta a su supervisión.</w:t>
      </w:r>
      <w:r w:rsidRPr="00D93236">
        <w:rPr>
          <w:rFonts w:asciiTheme="majorHAnsi" w:hAnsiTheme="majorHAnsi"/>
          <w:sz w:val="16"/>
          <w:szCs w:val="16"/>
          <w:lang w:val="es-AR"/>
        </w:rPr>
        <w:t xml:space="preserve"> A/HRC/14/46. 17 de mayo de 2010. Párr. 12. Accesible en </w:t>
      </w:r>
      <w:r w:rsidRPr="00D93236">
        <w:rPr>
          <w:rFonts w:asciiTheme="majorHAnsi" w:eastAsia="Arial Unicode MS" w:hAnsiTheme="majorHAnsi" w:cs="Times New Roman"/>
          <w:color w:val="0000FF"/>
          <w:sz w:val="16"/>
          <w:szCs w:val="16"/>
          <w:u w:val="single"/>
          <w:lang w:val="es-US" w:eastAsia="en-US"/>
        </w:rPr>
        <w:t>https://documents-dds-ny.un.org/doc/UNDOC/GEN/G10/134/13/PDF/G1013413.pdf?OpenElement</w:t>
      </w:r>
    </w:p>
  </w:footnote>
  <w:footnote w:id="285">
    <w:p w14:paraId="050CA128" w14:textId="77777777" w:rsidR="005B3F8C" w:rsidRPr="00D93236" w:rsidRDefault="005B3F8C" w:rsidP="00E27260">
      <w:pPr>
        <w:jc w:val="both"/>
        <w:rPr>
          <w:rFonts w:asciiTheme="majorHAnsi" w:eastAsia="Times New Roman" w:hAnsiTheme="majorHAnsi"/>
          <w:sz w:val="16"/>
          <w:szCs w:val="16"/>
          <w:lang w:val="pt-BR"/>
        </w:rPr>
      </w:pPr>
      <w:r w:rsidRPr="00D93236">
        <w:rPr>
          <w:rStyle w:val="FootnoteReference"/>
          <w:rFonts w:asciiTheme="majorHAnsi" w:hAnsiTheme="majorHAnsi"/>
          <w:sz w:val="16"/>
          <w:szCs w:val="16"/>
          <w:lang w:val="es-ES"/>
        </w:rPr>
        <w:footnoteRef/>
      </w:r>
      <w:r w:rsidRPr="00D93236">
        <w:rPr>
          <w:rFonts w:asciiTheme="majorHAnsi" w:hAnsiTheme="majorHAnsi"/>
          <w:b/>
          <w:sz w:val="16"/>
          <w:szCs w:val="16"/>
          <w:lang w:val="es-ES"/>
        </w:rPr>
        <w:t xml:space="preserve"> </w:t>
      </w:r>
      <w:r w:rsidRPr="00D93236">
        <w:rPr>
          <w:rStyle w:val="Strong"/>
          <w:rFonts w:asciiTheme="majorHAnsi" w:eastAsia="Times New Roman" w:hAnsiTheme="majorHAnsi"/>
          <w:b w:val="0"/>
          <w:color w:val="000000"/>
          <w:sz w:val="16"/>
          <w:szCs w:val="16"/>
          <w:shd w:val="clear" w:color="auto" w:fill="FFFFFF"/>
          <w:lang w:val="es-ES"/>
        </w:rPr>
        <w:t xml:space="preserve">Corte IDH. </w:t>
      </w:r>
      <w:r w:rsidRPr="00D93236">
        <w:rPr>
          <w:rStyle w:val="Strong"/>
          <w:rFonts w:asciiTheme="majorHAnsi" w:eastAsia="Times New Roman" w:hAnsiTheme="majorHAnsi"/>
          <w:b w:val="0"/>
          <w:i/>
          <w:color w:val="000000"/>
          <w:sz w:val="16"/>
          <w:szCs w:val="16"/>
          <w:shd w:val="clear" w:color="auto" w:fill="FFFFFF"/>
          <w:lang w:val="es-ES"/>
        </w:rPr>
        <w:t>Caso Myrna Mack Chang Vs. Guatemala</w:t>
      </w:r>
      <w:r w:rsidRPr="00D93236">
        <w:rPr>
          <w:rStyle w:val="Strong"/>
          <w:rFonts w:asciiTheme="majorHAnsi" w:eastAsia="Times New Roman" w:hAnsiTheme="majorHAnsi"/>
          <w:b w:val="0"/>
          <w:color w:val="000000"/>
          <w:sz w:val="16"/>
          <w:szCs w:val="16"/>
          <w:shd w:val="clear" w:color="auto" w:fill="FFFFFF"/>
          <w:lang w:val="es-ES"/>
        </w:rPr>
        <w:t xml:space="preserve">. Fondo, Reparaciones y Costas. </w:t>
      </w:r>
      <w:r w:rsidRPr="003E67F8">
        <w:rPr>
          <w:rStyle w:val="Strong"/>
          <w:rFonts w:asciiTheme="majorHAnsi" w:eastAsia="Times New Roman" w:hAnsiTheme="majorHAnsi"/>
          <w:b w:val="0"/>
          <w:color w:val="000000"/>
          <w:sz w:val="16"/>
          <w:szCs w:val="16"/>
          <w:shd w:val="clear" w:color="auto" w:fill="FFFFFF"/>
          <w:lang w:val="pt-BR"/>
        </w:rPr>
        <w:t xml:space="preserve">Sentencia de 25 de noviembre de 2003. </w:t>
      </w:r>
      <w:r w:rsidRPr="00D93236">
        <w:rPr>
          <w:rStyle w:val="Strong"/>
          <w:rFonts w:asciiTheme="majorHAnsi" w:eastAsia="Times New Roman" w:hAnsiTheme="majorHAnsi"/>
          <w:b w:val="0"/>
          <w:color w:val="000000"/>
          <w:sz w:val="16"/>
          <w:szCs w:val="16"/>
          <w:shd w:val="clear" w:color="auto" w:fill="FFFFFF"/>
          <w:lang w:val="pt-BR"/>
        </w:rPr>
        <w:t xml:space="preserve">Serie C No. 101.Parr 451; Corte IDH. </w:t>
      </w:r>
      <w:r w:rsidRPr="00D93236">
        <w:rPr>
          <w:rStyle w:val="Strong"/>
          <w:rFonts w:asciiTheme="majorHAnsi" w:eastAsia="Times New Roman" w:hAnsiTheme="majorHAnsi"/>
          <w:b w:val="0"/>
          <w:i/>
          <w:color w:val="000000"/>
          <w:sz w:val="16"/>
          <w:szCs w:val="16"/>
          <w:shd w:val="clear" w:color="auto" w:fill="FFFFFF"/>
          <w:lang w:val="pt-BR"/>
        </w:rPr>
        <w:t xml:space="preserve">Caso Gomes Lund y otros ("Guerrilha do Araguaia") Vs. </w:t>
      </w:r>
      <w:r w:rsidRPr="00D93236">
        <w:rPr>
          <w:rStyle w:val="Strong"/>
          <w:rFonts w:asciiTheme="majorHAnsi" w:eastAsia="Times New Roman" w:hAnsiTheme="majorHAnsi"/>
          <w:b w:val="0"/>
          <w:i/>
          <w:color w:val="000000"/>
          <w:sz w:val="16"/>
          <w:szCs w:val="16"/>
          <w:shd w:val="clear" w:color="auto" w:fill="FFFFFF"/>
          <w:lang w:val="es-US"/>
        </w:rPr>
        <w:t>Brasil</w:t>
      </w:r>
      <w:r w:rsidRPr="00D93236">
        <w:rPr>
          <w:rStyle w:val="Strong"/>
          <w:rFonts w:asciiTheme="majorHAnsi" w:eastAsia="Times New Roman" w:hAnsiTheme="majorHAnsi"/>
          <w:b w:val="0"/>
          <w:color w:val="000000"/>
          <w:sz w:val="16"/>
          <w:szCs w:val="16"/>
          <w:shd w:val="clear" w:color="auto" w:fill="FFFFFF"/>
          <w:lang w:val="es-US"/>
        </w:rPr>
        <w:t xml:space="preserve">. Excepciones Preliminares, Fondo, Reparaciones y Costas. Sentencia de 24 de noviembre de 2010. </w:t>
      </w:r>
      <w:r w:rsidRPr="00D93236">
        <w:rPr>
          <w:rStyle w:val="Strong"/>
          <w:rFonts w:asciiTheme="majorHAnsi" w:eastAsia="Times New Roman" w:hAnsiTheme="majorHAnsi"/>
          <w:b w:val="0"/>
          <w:color w:val="000000"/>
          <w:sz w:val="16"/>
          <w:szCs w:val="16"/>
          <w:shd w:val="clear" w:color="auto" w:fill="FFFFFF"/>
          <w:lang w:val="pt-BR"/>
        </w:rPr>
        <w:t xml:space="preserve">Serie C No. 219. Parr 202. </w:t>
      </w:r>
    </w:p>
  </w:footnote>
  <w:footnote w:id="286">
    <w:p w14:paraId="508F1D66" w14:textId="77777777" w:rsidR="005B3F8C" w:rsidRPr="00D93236" w:rsidRDefault="005B3F8C" w:rsidP="00E27260">
      <w:pPr>
        <w:pStyle w:val="FootnoteText"/>
        <w:jc w:val="both"/>
        <w:rPr>
          <w:rFonts w:asciiTheme="majorHAnsi" w:hAnsiTheme="majorHAnsi"/>
          <w:sz w:val="16"/>
          <w:szCs w:val="16"/>
          <w:lang w:val="es-US"/>
        </w:rPr>
      </w:pPr>
      <w:r w:rsidRPr="00D93236">
        <w:rPr>
          <w:rStyle w:val="FootnoteReference"/>
          <w:rFonts w:asciiTheme="majorHAnsi" w:hAnsiTheme="majorHAnsi"/>
          <w:sz w:val="16"/>
          <w:szCs w:val="16"/>
        </w:rPr>
        <w:footnoteRef/>
      </w:r>
      <w:r w:rsidRPr="00D93236">
        <w:rPr>
          <w:rFonts w:asciiTheme="majorHAnsi" w:hAnsiTheme="majorHAnsi"/>
          <w:sz w:val="16"/>
          <w:szCs w:val="16"/>
          <w:lang w:val="pt-BR"/>
        </w:rPr>
        <w:t xml:space="preserve"> </w:t>
      </w:r>
      <w:r w:rsidRPr="00D93236">
        <w:rPr>
          <w:rStyle w:val="Strong"/>
          <w:rFonts w:asciiTheme="majorHAnsi" w:eastAsia="Times New Roman" w:hAnsiTheme="majorHAnsi"/>
          <w:b w:val="0"/>
          <w:sz w:val="16"/>
          <w:szCs w:val="16"/>
          <w:shd w:val="clear" w:color="auto" w:fill="FFFFFF"/>
          <w:lang w:val="pt-BR"/>
        </w:rPr>
        <w:t xml:space="preserve">Corte IDH. </w:t>
      </w:r>
      <w:r w:rsidRPr="00D93236">
        <w:rPr>
          <w:rStyle w:val="Strong"/>
          <w:rFonts w:asciiTheme="majorHAnsi" w:eastAsia="Times New Roman" w:hAnsiTheme="majorHAnsi"/>
          <w:b w:val="0"/>
          <w:i/>
          <w:sz w:val="16"/>
          <w:szCs w:val="16"/>
          <w:shd w:val="clear" w:color="auto" w:fill="FFFFFF"/>
          <w:lang w:val="pt-BR"/>
        </w:rPr>
        <w:t xml:space="preserve">Caso Gomes Lund y otros ("Guerrilha do Araguaia") Vs. </w:t>
      </w:r>
      <w:r w:rsidRPr="00D93236">
        <w:rPr>
          <w:rStyle w:val="Strong"/>
          <w:rFonts w:asciiTheme="majorHAnsi" w:eastAsia="Times New Roman" w:hAnsiTheme="majorHAnsi"/>
          <w:b w:val="0"/>
          <w:i/>
          <w:sz w:val="16"/>
          <w:szCs w:val="16"/>
          <w:shd w:val="clear" w:color="auto" w:fill="FFFFFF"/>
          <w:lang w:val="es-US"/>
        </w:rPr>
        <w:t>Brasil</w:t>
      </w:r>
      <w:r w:rsidRPr="00D93236">
        <w:rPr>
          <w:rStyle w:val="Strong"/>
          <w:rFonts w:asciiTheme="majorHAnsi" w:eastAsia="Times New Roman" w:hAnsiTheme="majorHAnsi"/>
          <w:b w:val="0"/>
          <w:sz w:val="16"/>
          <w:szCs w:val="16"/>
          <w:shd w:val="clear" w:color="auto" w:fill="FFFFFF"/>
          <w:lang w:val="es-US"/>
        </w:rPr>
        <w:t xml:space="preserve">. Excepciones Preliminares, Fondo, Reparaciones y Costas. Sentencia de 24 de noviembre de 2010. Serie C No. 219. Parr 202; </w:t>
      </w:r>
      <w:r w:rsidRPr="00D93236">
        <w:rPr>
          <w:rFonts w:asciiTheme="majorHAnsi" w:eastAsia="Times New Roman" w:hAnsiTheme="majorHAnsi"/>
          <w:bCs/>
          <w:sz w:val="16"/>
          <w:szCs w:val="16"/>
          <w:bdr w:val="none" w:sz="0" w:space="0" w:color="auto"/>
          <w:shd w:val="clear" w:color="auto" w:fill="FFFFFF"/>
          <w:lang w:val="es-ES" w:eastAsia="en-GB"/>
        </w:rPr>
        <w:t xml:space="preserve">Corte IDH. </w:t>
      </w:r>
      <w:r w:rsidRPr="00D93236">
        <w:rPr>
          <w:rFonts w:asciiTheme="majorHAnsi" w:eastAsia="Times New Roman" w:hAnsiTheme="majorHAnsi"/>
          <w:bCs/>
          <w:i/>
          <w:sz w:val="16"/>
          <w:szCs w:val="16"/>
          <w:bdr w:val="none" w:sz="0" w:space="0" w:color="auto"/>
          <w:shd w:val="clear" w:color="auto" w:fill="FFFFFF"/>
          <w:lang w:val="es-ES" w:eastAsia="en-GB"/>
        </w:rPr>
        <w:t>Caso Claude Reyes y otros Vs. Chile</w:t>
      </w:r>
      <w:r w:rsidRPr="00D93236">
        <w:rPr>
          <w:rFonts w:asciiTheme="majorHAnsi" w:eastAsia="Times New Roman" w:hAnsiTheme="majorHAnsi"/>
          <w:bCs/>
          <w:sz w:val="16"/>
          <w:szCs w:val="16"/>
          <w:bdr w:val="none" w:sz="0" w:space="0" w:color="auto"/>
          <w:shd w:val="clear" w:color="auto" w:fill="FFFFFF"/>
          <w:lang w:val="es-ES" w:eastAsia="en-GB"/>
        </w:rPr>
        <w:t>. Fondo, Reparaciones y Costas. Sentencia de 19 de septiembre de 2006. Serie C No. 151.</w:t>
      </w:r>
      <w:r w:rsidRPr="00D93236">
        <w:rPr>
          <w:rFonts w:asciiTheme="majorHAnsi" w:eastAsia="Times New Roman" w:hAnsiTheme="majorHAnsi"/>
          <w:sz w:val="16"/>
          <w:szCs w:val="16"/>
          <w:bdr w:val="none" w:sz="0" w:space="0" w:color="auto"/>
          <w:lang w:val="es-ES" w:eastAsia="en-GB"/>
        </w:rPr>
        <w:t xml:space="preserve"> Párr. 92.</w:t>
      </w:r>
    </w:p>
  </w:footnote>
  <w:footnote w:id="287">
    <w:p w14:paraId="1D67AFCB" w14:textId="77777777" w:rsidR="005B3F8C" w:rsidRPr="00D93236" w:rsidRDefault="005B3F8C" w:rsidP="00E27260">
      <w:pPr>
        <w:jc w:val="both"/>
        <w:rPr>
          <w:rFonts w:asciiTheme="majorHAnsi" w:eastAsia="Times New Roman" w:hAnsiTheme="majorHAnsi"/>
          <w:sz w:val="16"/>
          <w:szCs w:val="16"/>
          <w:lang w:val="es-ES"/>
        </w:rPr>
      </w:pPr>
      <w:r w:rsidRPr="00D93236">
        <w:rPr>
          <w:rStyle w:val="FootnoteReference"/>
          <w:rFonts w:asciiTheme="majorHAnsi" w:hAnsiTheme="majorHAnsi"/>
          <w:sz w:val="16"/>
          <w:szCs w:val="16"/>
          <w:lang w:val="es-ES"/>
        </w:rPr>
        <w:footnoteRef/>
      </w:r>
      <w:r w:rsidRPr="00D93236">
        <w:rPr>
          <w:rFonts w:asciiTheme="majorHAnsi" w:hAnsiTheme="majorHAnsi"/>
          <w:sz w:val="16"/>
          <w:szCs w:val="16"/>
          <w:lang w:val="es-ES"/>
        </w:rPr>
        <w:t xml:space="preserve"> Ley 20.195 de fecha 28 de febrero de 1973. Accesible en:</w:t>
      </w:r>
      <w:r w:rsidRPr="00DD1075">
        <w:rPr>
          <w:rFonts w:asciiTheme="majorHAnsi" w:hAnsiTheme="majorHAnsi"/>
          <w:sz w:val="16"/>
          <w:szCs w:val="16"/>
          <w:lang w:val="es-ES"/>
        </w:rPr>
        <w:t xml:space="preserve"> </w:t>
      </w:r>
      <w:r w:rsidRPr="00DD1075">
        <w:rPr>
          <w:rFonts w:asciiTheme="majorHAnsi" w:eastAsia="Times New Roman" w:hAnsiTheme="majorHAnsi"/>
          <w:sz w:val="16"/>
          <w:szCs w:val="16"/>
          <w:u w:val="single"/>
          <w:lang w:val="es-ES"/>
        </w:rPr>
        <w:t>http://servicios.infoleg.gob.ar/infolegInternet/verNorma.do?id=119720</w:t>
      </w:r>
    </w:p>
  </w:footnote>
  <w:footnote w:id="288">
    <w:p w14:paraId="2DCFBB24" w14:textId="77777777" w:rsidR="005B3F8C" w:rsidRPr="00D93236" w:rsidRDefault="005B3F8C" w:rsidP="00E27260">
      <w:pPr>
        <w:jc w:val="both"/>
        <w:rPr>
          <w:rFonts w:asciiTheme="majorHAnsi" w:eastAsia="Times New Roman" w:hAnsiTheme="majorHAnsi"/>
          <w:sz w:val="16"/>
          <w:szCs w:val="16"/>
          <w:lang w:val="es-US"/>
        </w:rPr>
      </w:pPr>
      <w:r w:rsidRPr="00D93236">
        <w:rPr>
          <w:rStyle w:val="FootnoteReference"/>
          <w:rFonts w:asciiTheme="majorHAnsi" w:hAnsiTheme="majorHAnsi"/>
          <w:sz w:val="16"/>
          <w:szCs w:val="16"/>
          <w:lang w:val="es-ES"/>
        </w:rPr>
        <w:footnoteRef/>
      </w:r>
      <w:r w:rsidRPr="00D93236">
        <w:rPr>
          <w:rFonts w:asciiTheme="majorHAnsi" w:hAnsiTheme="majorHAnsi"/>
          <w:sz w:val="16"/>
          <w:szCs w:val="16"/>
          <w:lang w:val="es-ES"/>
        </w:rPr>
        <w:t xml:space="preserve"> Ley 25.520 de fecha 3 de diciembre de 2001, arts. 16 a 18. Accesible en: </w:t>
      </w:r>
      <w:r w:rsidRPr="00D93236">
        <w:rPr>
          <w:rFonts w:asciiTheme="majorHAnsi" w:eastAsia="Times New Roman" w:hAnsiTheme="majorHAnsi"/>
          <w:sz w:val="16"/>
          <w:szCs w:val="16"/>
          <w:lang w:val="es-ES"/>
        </w:rPr>
        <w:t>http://servicios.infoleg.gob.ar/infolegInternet/anexos/70000-74999/70496/norma.htm</w:t>
      </w:r>
    </w:p>
  </w:footnote>
  <w:footnote w:id="289">
    <w:p w14:paraId="154B16FE" w14:textId="77777777" w:rsidR="005B3F8C" w:rsidRPr="00D93236" w:rsidRDefault="005B3F8C" w:rsidP="00E27260">
      <w:pPr>
        <w:pStyle w:val="FootnoteText"/>
        <w:jc w:val="both"/>
        <w:rPr>
          <w:rFonts w:asciiTheme="majorHAnsi" w:hAnsiTheme="majorHAnsi"/>
          <w:sz w:val="16"/>
          <w:szCs w:val="16"/>
          <w:lang w:val="es-US"/>
        </w:rPr>
      </w:pPr>
      <w:r w:rsidRPr="00D93236">
        <w:rPr>
          <w:rStyle w:val="FootnoteReference"/>
          <w:rFonts w:asciiTheme="majorHAnsi" w:hAnsiTheme="majorHAnsi"/>
          <w:sz w:val="16"/>
          <w:szCs w:val="16"/>
        </w:rPr>
        <w:footnoteRef/>
      </w:r>
      <w:r w:rsidRPr="00D93236">
        <w:rPr>
          <w:rFonts w:asciiTheme="majorHAnsi" w:hAnsiTheme="majorHAnsi"/>
          <w:sz w:val="16"/>
          <w:szCs w:val="16"/>
          <w:lang w:val="es-US"/>
        </w:rPr>
        <w:t xml:space="preserve"> </w:t>
      </w:r>
      <w:r w:rsidRPr="00EE68C8">
        <w:rPr>
          <w:rFonts w:asciiTheme="majorHAnsi" w:hAnsiTheme="majorHAnsi"/>
          <w:sz w:val="16"/>
          <w:szCs w:val="16"/>
          <w:lang w:val="es-US"/>
        </w:rPr>
        <w:t>Anexo 2.</w:t>
      </w:r>
      <w:r w:rsidRPr="00D93236">
        <w:rPr>
          <w:rFonts w:asciiTheme="majorHAnsi" w:hAnsiTheme="majorHAnsi"/>
          <w:sz w:val="16"/>
          <w:szCs w:val="16"/>
          <w:lang w:val="es-US"/>
        </w:rPr>
        <w:t xml:space="preserve"> </w:t>
      </w:r>
      <w:r w:rsidRPr="00D93236">
        <w:rPr>
          <w:rFonts w:asciiTheme="majorHAnsi" w:hAnsiTheme="majorHAnsi"/>
          <w:sz w:val="16"/>
          <w:szCs w:val="16"/>
          <w:lang w:val="es-AR"/>
        </w:rPr>
        <w:t>Sentencia del TOF 3. Título II. Capitulo VIII</w:t>
      </w:r>
      <w:r>
        <w:rPr>
          <w:rFonts w:asciiTheme="majorHAnsi" w:hAnsiTheme="majorHAnsi"/>
          <w:sz w:val="16"/>
          <w:szCs w:val="16"/>
          <w:lang w:val="es-US"/>
        </w:rPr>
        <w:t xml:space="preserve">. </w:t>
      </w:r>
      <w:r w:rsidRPr="00D93236">
        <w:rPr>
          <w:rFonts w:asciiTheme="majorHAnsi" w:hAnsiTheme="majorHAnsi"/>
          <w:sz w:val="16"/>
          <w:szCs w:val="16"/>
          <w:lang w:val="es-US"/>
        </w:rPr>
        <w:t xml:space="preserve">Págs. 3585 a 3611. </w:t>
      </w:r>
      <w:r w:rsidRPr="00D93236">
        <w:rPr>
          <w:rFonts w:asciiTheme="majorHAnsi" w:hAnsiTheme="majorHAnsi"/>
          <w:sz w:val="16"/>
          <w:szCs w:val="16"/>
          <w:lang w:val="es-AR"/>
        </w:rPr>
        <w:t>Anexo 1 a la comunicación de la parte peticionaria de fecha 11 de noviembre de 2019</w:t>
      </w:r>
      <w:r w:rsidRPr="00D93236">
        <w:rPr>
          <w:rFonts w:asciiTheme="majorHAnsi" w:hAnsiTheme="majorHAnsi"/>
          <w:sz w:val="16"/>
          <w:szCs w:val="16"/>
          <w:lang w:val="es-US"/>
        </w:rPr>
        <w:t xml:space="preserve"> </w:t>
      </w:r>
    </w:p>
  </w:footnote>
  <w:footnote w:id="290">
    <w:p w14:paraId="7CBDC99D" w14:textId="77777777" w:rsidR="005B3F8C" w:rsidRPr="00D93236" w:rsidRDefault="005B3F8C" w:rsidP="00E27260">
      <w:pPr>
        <w:jc w:val="both"/>
        <w:rPr>
          <w:rFonts w:asciiTheme="majorHAnsi" w:eastAsia="Times New Roman" w:hAnsiTheme="majorHAnsi"/>
          <w:sz w:val="16"/>
          <w:szCs w:val="16"/>
          <w:lang w:val="es-ES"/>
        </w:rPr>
      </w:pPr>
      <w:r w:rsidRPr="00D93236">
        <w:rPr>
          <w:rStyle w:val="FootnoteReference"/>
          <w:rFonts w:asciiTheme="majorHAnsi" w:hAnsiTheme="majorHAnsi"/>
          <w:sz w:val="16"/>
          <w:szCs w:val="16"/>
          <w:lang w:val="es-ES"/>
        </w:rPr>
        <w:footnoteRef/>
      </w:r>
      <w:r w:rsidRPr="00D93236">
        <w:rPr>
          <w:rFonts w:asciiTheme="majorHAnsi" w:hAnsiTheme="majorHAnsi"/>
          <w:sz w:val="16"/>
          <w:szCs w:val="16"/>
          <w:lang w:val="es-ES"/>
        </w:rPr>
        <w:t xml:space="preserve"> Decreto 249/03 de fecha 26 de junio de 2003. Accesible en: </w:t>
      </w:r>
      <w:r w:rsidRPr="00D93236">
        <w:rPr>
          <w:rFonts w:asciiTheme="majorHAnsi" w:eastAsia="Times New Roman" w:hAnsiTheme="majorHAnsi"/>
          <w:sz w:val="16"/>
          <w:szCs w:val="16"/>
          <w:lang w:val="es-ES"/>
        </w:rPr>
        <w:t>http://servicios.infoleg.gob.ar/infolegInternet/verNorma.do?id=86364; Decreto 291/03 de fecha 1 de julio de 2003. Accesible en: http://servicios.infoleg.gob.ar/infolegInternet/anexos/85000-89999/86451/texact.htm y Decreto 785/03 de fecha 18 de septiembre de 2003. Accesible en: http://servicios.infoleg.gob.ar/infolegInternet/verNorma.do?id=88545</w:t>
      </w:r>
    </w:p>
  </w:footnote>
  <w:footnote w:id="291">
    <w:p w14:paraId="17EC86D8" w14:textId="77777777" w:rsidR="005B3F8C" w:rsidRPr="00D93236" w:rsidRDefault="005B3F8C" w:rsidP="00E27260">
      <w:pPr>
        <w:pStyle w:val="FootnoteText"/>
        <w:jc w:val="both"/>
        <w:rPr>
          <w:rFonts w:asciiTheme="majorHAnsi" w:hAnsiTheme="majorHAnsi"/>
          <w:sz w:val="16"/>
          <w:szCs w:val="16"/>
          <w:lang w:val="es-US"/>
        </w:rPr>
      </w:pPr>
      <w:r w:rsidRPr="00D93236">
        <w:rPr>
          <w:rStyle w:val="FootnoteReference"/>
          <w:rFonts w:asciiTheme="majorHAnsi" w:hAnsiTheme="majorHAnsi"/>
          <w:sz w:val="16"/>
          <w:szCs w:val="16"/>
        </w:rPr>
        <w:footnoteRef/>
      </w:r>
      <w:r w:rsidRPr="00D93236">
        <w:rPr>
          <w:rFonts w:asciiTheme="majorHAnsi" w:hAnsiTheme="majorHAnsi"/>
          <w:sz w:val="16"/>
          <w:szCs w:val="16"/>
          <w:lang w:val="es-ES"/>
        </w:rPr>
        <w:t xml:space="preserve"> </w:t>
      </w:r>
      <w:r w:rsidRPr="00D93236">
        <w:rPr>
          <w:rStyle w:val="Strong"/>
          <w:rFonts w:asciiTheme="majorHAnsi" w:eastAsia="Times New Roman" w:hAnsiTheme="majorHAnsi"/>
          <w:b w:val="0"/>
          <w:sz w:val="16"/>
          <w:szCs w:val="16"/>
          <w:shd w:val="clear" w:color="auto" w:fill="FFFFFF"/>
          <w:lang w:val="es-ES"/>
        </w:rPr>
        <w:t xml:space="preserve">Corte IDH. </w:t>
      </w:r>
      <w:r w:rsidRPr="00D93236">
        <w:rPr>
          <w:rStyle w:val="Strong"/>
          <w:rFonts w:asciiTheme="majorHAnsi" w:eastAsia="Times New Roman" w:hAnsiTheme="majorHAnsi"/>
          <w:b w:val="0"/>
          <w:i/>
          <w:sz w:val="16"/>
          <w:szCs w:val="16"/>
          <w:shd w:val="clear" w:color="auto" w:fill="FFFFFF"/>
          <w:lang w:val="es-ES"/>
        </w:rPr>
        <w:t xml:space="preserve">Caso Gomes Lund y otros ("Guerrilha do Araguaia") Vs. </w:t>
      </w:r>
      <w:r w:rsidRPr="00D93236">
        <w:rPr>
          <w:rStyle w:val="Strong"/>
          <w:rFonts w:asciiTheme="majorHAnsi" w:eastAsia="Times New Roman" w:hAnsiTheme="majorHAnsi"/>
          <w:b w:val="0"/>
          <w:i/>
          <w:sz w:val="16"/>
          <w:szCs w:val="16"/>
          <w:shd w:val="clear" w:color="auto" w:fill="FFFFFF"/>
          <w:lang w:val="es-US"/>
        </w:rPr>
        <w:t>Brasil</w:t>
      </w:r>
      <w:r w:rsidRPr="00D93236">
        <w:rPr>
          <w:rStyle w:val="Strong"/>
          <w:rFonts w:asciiTheme="majorHAnsi" w:eastAsia="Times New Roman" w:hAnsiTheme="majorHAnsi"/>
          <w:b w:val="0"/>
          <w:sz w:val="16"/>
          <w:szCs w:val="16"/>
          <w:shd w:val="clear" w:color="auto" w:fill="FFFFFF"/>
          <w:lang w:val="es-US"/>
        </w:rPr>
        <w:t>. Excepciones Preliminares, Fondo, Reparaciones y Costas. Sentencia de 24 de noviembre de 2010. Serie C No. 219. Parr 202</w:t>
      </w:r>
    </w:p>
  </w:footnote>
  <w:footnote w:id="292">
    <w:p w14:paraId="67FDDB37" w14:textId="77777777" w:rsidR="005B3F8C" w:rsidRPr="00D93236" w:rsidRDefault="005B3F8C" w:rsidP="00E27260">
      <w:pPr>
        <w:pStyle w:val="FootnoteText"/>
        <w:jc w:val="both"/>
        <w:rPr>
          <w:rFonts w:asciiTheme="majorHAnsi" w:hAnsiTheme="majorHAnsi"/>
          <w:sz w:val="16"/>
          <w:szCs w:val="16"/>
          <w:lang w:val="es-US"/>
        </w:rPr>
      </w:pPr>
      <w:r w:rsidRPr="00D93236">
        <w:rPr>
          <w:rStyle w:val="FootnoteReference"/>
          <w:rFonts w:asciiTheme="majorHAnsi" w:hAnsiTheme="majorHAnsi"/>
          <w:sz w:val="16"/>
          <w:szCs w:val="16"/>
        </w:rPr>
        <w:footnoteRef/>
      </w:r>
      <w:r w:rsidRPr="00D93236">
        <w:rPr>
          <w:rFonts w:asciiTheme="majorHAnsi" w:hAnsiTheme="majorHAnsi"/>
          <w:sz w:val="16"/>
          <w:szCs w:val="16"/>
          <w:lang w:val="es-US"/>
        </w:rPr>
        <w:t xml:space="preserve"> </w:t>
      </w:r>
      <w:r w:rsidRPr="00D93236">
        <w:rPr>
          <w:rStyle w:val="Strong"/>
          <w:rFonts w:asciiTheme="majorHAnsi" w:eastAsia="Times New Roman" w:hAnsiTheme="majorHAnsi"/>
          <w:b w:val="0"/>
          <w:sz w:val="16"/>
          <w:szCs w:val="16"/>
          <w:shd w:val="clear" w:color="auto" w:fill="FFFFFF"/>
          <w:lang w:val="es-ES"/>
        </w:rPr>
        <w:t xml:space="preserve">Corte IDH. Caso Myrna Mack Chang Vs. Guatemala. Fondo, Reparaciones y Costas. Sentencia de 25 de noviembre de 2003. Serie C No. 101.Parr 181. </w:t>
      </w:r>
    </w:p>
  </w:footnote>
  <w:footnote w:id="293">
    <w:p w14:paraId="10CFC984" w14:textId="77777777" w:rsidR="005B3F8C" w:rsidRPr="00D93236" w:rsidRDefault="005B3F8C" w:rsidP="00E27260">
      <w:pPr>
        <w:jc w:val="both"/>
        <w:rPr>
          <w:rFonts w:asciiTheme="majorHAnsi" w:eastAsia="Times New Roman" w:hAnsiTheme="majorHAnsi"/>
          <w:sz w:val="16"/>
          <w:szCs w:val="16"/>
          <w:lang w:val="es-ES"/>
        </w:rPr>
      </w:pPr>
      <w:r w:rsidRPr="00D93236">
        <w:rPr>
          <w:rStyle w:val="FootnoteReference"/>
          <w:rFonts w:asciiTheme="majorHAnsi" w:hAnsiTheme="majorHAnsi"/>
          <w:sz w:val="16"/>
          <w:szCs w:val="16"/>
          <w:lang w:val="es-ES"/>
        </w:rPr>
        <w:footnoteRef/>
      </w:r>
      <w:r w:rsidRPr="00D93236">
        <w:rPr>
          <w:rFonts w:asciiTheme="majorHAnsi" w:hAnsiTheme="majorHAnsi"/>
          <w:sz w:val="16"/>
          <w:szCs w:val="16"/>
          <w:lang w:val="es-ES"/>
        </w:rPr>
        <w:t xml:space="preserve"> Decreto 786/03 de fecha 18 de septiembre de 2003. Accesible en: </w:t>
      </w:r>
      <w:r w:rsidRPr="00D93236">
        <w:rPr>
          <w:rFonts w:asciiTheme="majorHAnsi" w:eastAsia="Times New Roman" w:hAnsiTheme="majorHAnsi"/>
          <w:sz w:val="16"/>
          <w:szCs w:val="16"/>
          <w:lang w:val="es-ES"/>
        </w:rPr>
        <w:t>http://servicios.infoleg.gob.ar/infolegInternet/anexos/85000-89999/88546/norma.htm; Decreto 787/03 de fecha 18 de septiembre de 2003. Accesible en: http://servicios.infoleg.gob.ar/infolegInternet/anexos/85000-89999/88547/norma.htm</w:t>
      </w:r>
    </w:p>
  </w:footnote>
  <w:footnote w:id="294">
    <w:p w14:paraId="0E727C16" w14:textId="77777777" w:rsidR="005B3F8C" w:rsidRPr="00D93236" w:rsidRDefault="005B3F8C" w:rsidP="00E27260">
      <w:pPr>
        <w:pStyle w:val="FootnoteText"/>
        <w:jc w:val="both"/>
        <w:rPr>
          <w:rFonts w:asciiTheme="majorHAnsi" w:hAnsiTheme="majorHAnsi"/>
          <w:sz w:val="16"/>
          <w:szCs w:val="16"/>
          <w:lang w:val="es-AR"/>
        </w:rPr>
      </w:pPr>
      <w:r w:rsidRPr="00D93236">
        <w:rPr>
          <w:rStyle w:val="FootnoteReference"/>
          <w:rFonts w:asciiTheme="majorHAnsi" w:hAnsiTheme="majorHAnsi"/>
          <w:sz w:val="16"/>
          <w:szCs w:val="16"/>
        </w:rPr>
        <w:footnoteRef/>
      </w:r>
      <w:r w:rsidRPr="00D93236">
        <w:rPr>
          <w:rFonts w:asciiTheme="majorHAnsi" w:hAnsiTheme="majorHAnsi"/>
          <w:sz w:val="16"/>
          <w:szCs w:val="16"/>
          <w:lang w:val="es-AR"/>
        </w:rPr>
        <w:t xml:space="preserve"> </w:t>
      </w:r>
      <w:r w:rsidRPr="00EE68C8">
        <w:rPr>
          <w:rFonts w:asciiTheme="majorHAnsi" w:hAnsiTheme="majorHAnsi"/>
          <w:sz w:val="16"/>
          <w:szCs w:val="16"/>
          <w:lang w:val="es-AR"/>
        </w:rPr>
        <w:t>Anexo 20.</w:t>
      </w:r>
      <w:r w:rsidRPr="00D93236">
        <w:rPr>
          <w:rFonts w:asciiTheme="majorHAnsi" w:hAnsiTheme="majorHAnsi"/>
          <w:sz w:val="16"/>
          <w:szCs w:val="16"/>
          <w:lang w:val="es-AR"/>
        </w:rPr>
        <w:t xml:space="preserve"> UFI AMIA. “</w:t>
      </w:r>
      <w:r w:rsidRPr="00D93236">
        <w:rPr>
          <w:rFonts w:asciiTheme="majorHAnsi" w:hAnsiTheme="majorHAnsi"/>
          <w:i/>
          <w:sz w:val="16"/>
          <w:szCs w:val="16"/>
          <w:lang w:val="es-AR"/>
        </w:rPr>
        <w:t>El proceso de desclasificación de información reservada o secreta sobre el atentado y su encubrimiento</w:t>
      </w:r>
      <w:r w:rsidRPr="00D93236">
        <w:rPr>
          <w:rFonts w:asciiTheme="majorHAnsi" w:hAnsiTheme="majorHAnsi"/>
          <w:sz w:val="16"/>
          <w:szCs w:val="16"/>
          <w:lang w:val="es-AR"/>
        </w:rPr>
        <w:t>” Pág. 11. Anexo 27 a la comunicación de la parte peticionaria de fecha 11 de noviembre de 2019.</w:t>
      </w:r>
    </w:p>
  </w:footnote>
  <w:footnote w:id="295">
    <w:p w14:paraId="590F1522" w14:textId="77777777" w:rsidR="005B3F8C" w:rsidRPr="00D93236" w:rsidRDefault="005B3F8C" w:rsidP="00E27260">
      <w:pPr>
        <w:jc w:val="both"/>
        <w:rPr>
          <w:rFonts w:asciiTheme="majorHAnsi" w:eastAsia="Times New Roman" w:hAnsiTheme="majorHAnsi"/>
          <w:sz w:val="16"/>
          <w:szCs w:val="16"/>
          <w:lang w:val="es-ES"/>
        </w:rPr>
      </w:pPr>
      <w:r w:rsidRPr="00D93236">
        <w:rPr>
          <w:rStyle w:val="FootnoteReference"/>
          <w:rFonts w:asciiTheme="majorHAnsi" w:hAnsiTheme="majorHAnsi"/>
          <w:sz w:val="16"/>
          <w:szCs w:val="16"/>
          <w:lang w:val="es-ES"/>
        </w:rPr>
        <w:footnoteRef/>
      </w:r>
      <w:r w:rsidRPr="00D93236">
        <w:rPr>
          <w:rFonts w:asciiTheme="majorHAnsi" w:eastAsia="Times New Roman" w:hAnsiTheme="majorHAnsi"/>
          <w:bCs/>
          <w:color w:val="000000"/>
          <w:sz w:val="16"/>
          <w:szCs w:val="16"/>
          <w:shd w:val="clear" w:color="auto" w:fill="FFFFFF"/>
          <w:lang w:val="es-ES"/>
        </w:rPr>
        <w:t xml:space="preserve"> Corte IDH. </w:t>
      </w:r>
      <w:r w:rsidRPr="00D93236">
        <w:rPr>
          <w:rFonts w:asciiTheme="majorHAnsi" w:eastAsia="Times New Roman" w:hAnsiTheme="majorHAnsi"/>
          <w:bCs/>
          <w:i/>
          <w:color w:val="000000"/>
          <w:sz w:val="16"/>
          <w:szCs w:val="16"/>
          <w:shd w:val="clear" w:color="auto" w:fill="FFFFFF"/>
          <w:lang w:val="es-ES"/>
        </w:rPr>
        <w:t>Caso Gudiel Álvarez y otros ("Diario Militar") Vs. Guatemala</w:t>
      </w:r>
      <w:r w:rsidRPr="00D93236">
        <w:rPr>
          <w:rFonts w:asciiTheme="majorHAnsi" w:eastAsia="Times New Roman" w:hAnsiTheme="majorHAnsi"/>
          <w:bCs/>
          <w:color w:val="000000"/>
          <w:sz w:val="16"/>
          <w:szCs w:val="16"/>
          <w:shd w:val="clear" w:color="auto" w:fill="FFFFFF"/>
          <w:lang w:val="es-ES"/>
        </w:rPr>
        <w:t xml:space="preserve">. Interpretación de la Sentencia de Fondo, Reparaciones y Costas. Sentencia de 19 de agosto de 2013. Serie C No. 262. Párr. 450; Corte IDH. </w:t>
      </w:r>
      <w:r w:rsidRPr="00D93236">
        <w:rPr>
          <w:rFonts w:asciiTheme="majorHAnsi" w:eastAsia="Times New Roman" w:hAnsiTheme="majorHAnsi"/>
          <w:bCs/>
          <w:i/>
          <w:color w:val="000000"/>
          <w:sz w:val="16"/>
          <w:szCs w:val="16"/>
          <w:shd w:val="clear" w:color="auto" w:fill="FFFFFF"/>
          <w:lang w:val="es-ES"/>
        </w:rPr>
        <w:t>Caso Myrna Mack Chang Vs. Guatemala</w:t>
      </w:r>
      <w:r w:rsidRPr="00D93236">
        <w:rPr>
          <w:rFonts w:asciiTheme="majorHAnsi" w:eastAsia="Times New Roman" w:hAnsiTheme="majorHAnsi"/>
          <w:bCs/>
          <w:color w:val="000000"/>
          <w:sz w:val="16"/>
          <w:szCs w:val="16"/>
          <w:shd w:val="clear" w:color="auto" w:fill="FFFFFF"/>
          <w:lang w:val="es-ES"/>
        </w:rPr>
        <w:t xml:space="preserve">. Fondo, Reparaciones y Costas. Sentencia de 25 de noviembre de 2003. Serie C No. 101.Parr 180. </w:t>
      </w:r>
      <w:r w:rsidRPr="00D93236">
        <w:rPr>
          <w:rFonts w:asciiTheme="majorHAnsi" w:hAnsiTheme="majorHAnsi"/>
          <w:sz w:val="16"/>
          <w:szCs w:val="16"/>
          <w:lang w:val="es-AR"/>
        </w:rPr>
        <w:t xml:space="preserve"> </w:t>
      </w:r>
    </w:p>
  </w:footnote>
  <w:footnote w:id="296">
    <w:p w14:paraId="32AA9B95" w14:textId="77777777" w:rsidR="005B3F8C" w:rsidRPr="00EE68C8" w:rsidRDefault="005B3F8C" w:rsidP="00E27260">
      <w:pPr>
        <w:jc w:val="both"/>
        <w:rPr>
          <w:rFonts w:ascii="Cambria" w:eastAsia="Times New Roman" w:hAnsi="Cambria"/>
          <w:sz w:val="16"/>
          <w:szCs w:val="16"/>
          <w:lang w:val="es-US"/>
        </w:rPr>
      </w:pPr>
      <w:r w:rsidRPr="00EE68C8">
        <w:rPr>
          <w:rStyle w:val="FootnoteReference"/>
          <w:rFonts w:ascii="Cambria" w:hAnsi="Cambria"/>
          <w:sz w:val="16"/>
          <w:szCs w:val="16"/>
        </w:rPr>
        <w:footnoteRef/>
      </w:r>
      <w:r w:rsidRPr="000F00CB">
        <w:rPr>
          <w:rFonts w:ascii="Cambria" w:hAnsi="Cambria"/>
          <w:sz w:val="16"/>
          <w:szCs w:val="16"/>
          <w:lang w:val="en-US"/>
        </w:rPr>
        <w:t xml:space="preserve"> UNESCO. </w:t>
      </w:r>
      <w:r w:rsidRPr="00EE68C8">
        <w:rPr>
          <w:rFonts w:ascii="Cambria" w:hAnsi="Cambria"/>
          <w:sz w:val="16"/>
          <w:szCs w:val="16"/>
        </w:rPr>
        <w:t>Universal Declaration on archives. Declaration adopted by the 36</w:t>
      </w:r>
      <w:r w:rsidRPr="00EE68C8">
        <w:rPr>
          <w:rFonts w:ascii="Cambria" w:hAnsi="Cambria"/>
          <w:sz w:val="16"/>
          <w:szCs w:val="16"/>
          <w:vertAlign w:val="superscript"/>
        </w:rPr>
        <w:t>th</w:t>
      </w:r>
      <w:r w:rsidRPr="00EE68C8">
        <w:rPr>
          <w:rFonts w:ascii="Cambria" w:hAnsi="Cambria"/>
          <w:sz w:val="16"/>
          <w:szCs w:val="16"/>
        </w:rPr>
        <w:t xml:space="preserve"> session of the General Conference of UNESCO. </w:t>
      </w:r>
      <w:r w:rsidRPr="00EE68C8">
        <w:rPr>
          <w:rFonts w:ascii="Cambria" w:hAnsi="Cambria"/>
          <w:sz w:val="16"/>
          <w:szCs w:val="16"/>
          <w:lang w:val="en-US"/>
        </w:rPr>
        <w:t xml:space="preserve">Paris. November 2011. </w:t>
      </w:r>
      <w:r w:rsidRPr="00263B86">
        <w:rPr>
          <w:rFonts w:ascii="Cambria" w:hAnsi="Cambria"/>
          <w:sz w:val="16"/>
          <w:szCs w:val="16"/>
          <w:lang w:val="en-US"/>
        </w:rPr>
        <w:t>Accesible en</w:t>
      </w:r>
      <w:r w:rsidRPr="00EE68C8">
        <w:rPr>
          <w:rFonts w:ascii="Cambria" w:hAnsi="Cambria"/>
          <w:sz w:val="16"/>
          <w:szCs w:val="16"/>
          <w:lang w:val="en-US"/>
        </w:rPr>
        <w:t xml:space="preserve">: </w:t>
      </w:r>
      <w:hyperlink r:id="rId20" w:history="1">
        <w:r w:rsidRPr="00EE68C8">
          <w:rPr>
            <w:rFonts w:ascii="Cambria" w:eastAsia="Times New Roman" w:hAnsi="Cambria"/>
            <w:color w:val="0000FF"/>
            <w:sz w:val="16"/>
            <w:szCs w:val="16"/>
            <w:u w:val="single"/>
            <w:lang w:val="en-US"/>
          </w:rPr>
          <w:t>https://www.ica.org/en/universal-declaration-archives</w:t>
        </w:r>
      </w:hyperlink>
      <w:r w:rsidRPr="00EE68C8">
        <w:rPr>
          <w:rFonts w:ascii="Cambria" w:eastAsia="Times New Roman" w:hAnsi="Cambria"/>
          <w:sz w:val="16"/>
          <w:szCs w:val="16"/>
          <w:lang w:val="en-US"/>
        </w:rPr>
        <w:t xml:space="preserve">; UNESCO. </w:t>
      </w:r>
      <w:r w:rsidRPr="00EE68C8">
        <w:rPr>
          <w:rFonts w:ascii="Cambria" w:eastAsia="Times New Roman" w:hAnsi="Cambria"/>
          <w:sz w:val="16"/>
          <w:szCs w:val="16"/>
        </w:rPr>
        <w:t xml:space="preserve">Guide to the archives of intergovernmental organizations. </w:t>
      </w:r>
      <w:r w:rsidRPr="00EE68C8">
        <w:rPr>
          <w:rFonts w:ascii="Cambria" w:eastAsia="Times New Roman" w:hAnsi="Cambria"/>
          <w:sz w:val="16"/>
          <w:szCs w:val="16"/>
          <w:lang w:val="es-US"/>
        </w:rPr>
        <w:t xml:space="preserve">CII-99/WS/2. Paris, April 1999. </w:t>
      </w:r>
    </w:p>
  </w:footnote>
  <w:footnote w:id="297">
    <w:p w14:paraId="561F81FD" w14:textId="77777777" w:rsidR="005B3F8C" w:rsidRPr="00EE68C8" w:rsidRDefault="005B3F8C" w:rsidP="00E27260">
      <w:pPr>
        <w:pStyle w:val="FootnoteText"/>
        <w:jc w:val="both"/>
        <w:rPr>
          <w:rFonts w:ascii="Cambria" w:hAnsi="Cambria"/>
          <w:sz w:val="16"/>
          <w:szCs w:val="16"/>
          <w:lang w:val="es-AR"/>
        </w:rPr>
      </w:pPr>
      <w:r w:rsidRPr="00EE68C8">
        <w:rPr>
          <w:rStyle w:val="FootnoteReference"/>
          <w:rFonts w:ascii="Cambria" w:hAnsi="Cambria"/>
          <w:sz w:val="16"/>
          <w:szCs w:val="16"/>
        </w:rPr>
        <w:footnoteRef/>
      </w:r>
      <w:r w:rsidRPr="00EE68C8">
        <w:rPr>
          <w:rFonts w:ascii="Cambria" w:hAnsi="Cambria"/>
          <w:sz w:val="16"/>
          <w:szCs w:val="16"/>
          <w:lang w:val="es-AR"/>
        </w:rPr>
        <w:t xml:space="preserve"> Anexo 20. UFI AMIA. “</w:t>
      </w:r>
      <w:r w:rsidRPr="00EE68C8">
        <w:rPr>
          <w:rFonts w:ascii="Cambria" w:hAnsi="Cambria"/>
          <w:i/>
          <w:sz w:val="16"/>
          <w:szCs w:val="16"/>
          <w:lang w:val="es-AR"/>
        </w:rPr>
        <w:t>El proceso de desclasificación de información reservada o secreta sobre el atentado y su encubrimiento</w:t>
      </w:r>
      <w:r w:rsidRPr="00EE68C8">
        <w:rPr>
          <w:rFonts w:ascii="Cambria" w:hAnsi="Cambria"/>
          <w:sz w:val="16"/>
          <w:szCs w:val="16"/>
          <w:lang w:val="es-AR"/>
        </w:rPr>
        <w:t xml:space="preserve">” Págs. 14 y 15. Anexo 27 a la comunicación de la parte peticionaria de fecha 11 de noviembre de 2019. </w:t>
      </w:r>
    </w:p>
  </w:footnote>
  <w:footnote w:id="298">
    <w:p w14:paraId="11CA9F1B" w14:textId="77777777" w:rsidR="005B3F8C" w:rsidRPr="00EE68C8" w:rsidRDefault="005B3F8C" w:rsidP="00E27260">
      <w:pPr>
        <w:jc w:val="both"/>
        <w:rPr>
          <w:rFonts w:ascii="Cambria" w:eastAsia="Times New Roman" w:hAnsi="Cambria"/>
          <w:sz w:val="16"/>
          <w:szCs w:val="16"/>
          <w:lang w:val="es-US"/>
        </w:rPr>
      </w:pPr>
      <w:r w:rsidRPr="00EE68C8">
        <w:rPr>
          <w:rStyle w:val="FootnoteReference"/>
          <w:rFonts w:ascii="Cambria" w:hAnsi="Cambria"/>
          <w:sz w:val="16"/>
          <w:szCs w:val="16"/>
        </w:rPr>
        <w:footnoteRef/>
      </w:r>
      <w:r w:rsidRPr="00EE68C8">
        <w:rPr>
          <w:rFonts w:ascii="Cambria" w:hAnsi="Cambria"/>
          <w:sz w:val="16"/>
          <w:szCs w:val="16"/>
          <w:lang w:val="es-AR"/>
        </w:rPr>
        <w:t xml:space="preserve"> Ver: Decreto 812/2005. Accesible en: </w:t>
      </w:r>
      <w:r w:rsidRPr="00EE68C8">
        <w:rPr>
          <w:rFonts w:ascii="Cambria" w:eastAsia="Times New Roman" w:hAnsi="Cambria"/>
          <w:sz w:val="16"/>
          <w:szCs w:val="16"/>
          <w:lang w:val="es-US"/>
        </w:rPr>
        <w:t>http://servicios.infoleg.gob.ar/infolegInternet/anexos/105000-109999/107751/norma.htm</w:t>
      </w:r>
    </w:p>
  </w:footnote>
  <w:footnote w:id="299">
    <w:p w14:paraId="25467A45" w14:textId="77777777" w:rsidR="005B3F8C" w:rsidRPr="00EE68C8" w:rsidRDefault="005B3F8C" w:rsidP="00E27260">
      <w:pPr>
        <w:pStyle w:val="FootnoteText"/>
        <w:jc w:val="both"/>
        <w:rPr>
          <w:rFonts w:ascii="Cambria" w:hAnsi="Cambria"/>
          <w:sz w:val="16"/>
          <w:szCs w:val="16"/>
          <w:lang w:val="es-AR"/>
        </w:rPr>
      </w:pPr>
      <w:r w:rsidRPr="00EE68C8">
        <w:rPr>
          <w:rStyle w:val="FootnoteReference"/>
          <w:rFonts w:ascii="Cambria" w:hAnsi="Cambria"/>
          <w:sz w:val="16"/>
          <w:szCs w:val="16"/>
        </w:rPr>
        <w:footnoteRef/>
      </w:r>
      <w:r w:rsidRPr="00EE68C8">
        <w:rPr>
          <w:rFonts w:ascii="Cambria" w:hAnsi="Cambria"/>
          <w:sz w:val="16"/>
          <w:szCs w:val="16"/>
          <w:lang w:val="es-AR"/>
        </w:rPr>
        <w:t xml:space="preserve"> Anexo 21. Acta suscripta por Vanina L. Capurro, Escribana Adscripta de la Escribanía General del Gobierno de fecha 16 de marzo de 2015. Anexo 2 a la comunicación de la parte peticionaria de fecha 17 de noviembre de 2017.</w:t>
      </w:r>
    </w:p>
  </w:footnote>
  <w:footnote w:id="300">
    <w:p w14:paraId="1BCD6A08" w14:textId="77777777" w:rsidR="005B3F8C" w:rsidRPr="00EE68C8" w:rsidRDefault="005B3F8C" w:rsidP="00E27260">
      <w:pPr>
        <w:pStyle w:val="FootnoteText"/>
        <w:jc w:val="both"/>
        <w:rPr>
          <w:rFonts w:ascii="Cambria" w:hAnsi="Cambria"/>
          <w:sz w:val="16"/>
          <w:szCs w:val="16"/>
          <w:lang w:val="es-AR"/>
        </w:rPr>
      </w:pPr>
      <w:r w:rsidRPr="00EE68C8">
        <w:rPr>
          <w:rStyle w:val="FootnoteReference"/>
          <w:rFonts w:ascii="Cambria" w:hAnsi="Cambria"/>
          <w:sz w:val="16"/>
          <w:szCs w:val="16"/>
        </w:rPr>
        <w:footnoteRef/>
      </w:r>
      <w:r w:rsidRPr="00EE68C8">
        <w:rPr>
          <w:rFonts w:ascii="Cambria" w:hAnsi="Cambria"/>
          <w:sz w:val="16"/>
          <w:szCs w:val="16"/>
          <w:lang w:val="es-AR"/>
        </w:rPr>
        <w:t xml:space="preserve"> Anexo 11. UFI AMIA Informe de Gestión Julio 2016, pág. 13. Anexo 13 a la comunicación de la parte peticionaria de fecha 11 de noviembre de 2019. </w:t>
      </w:r>
    </w:p>
  </w:footnote>
  <w:footnote w:id="301">
    <w:p w14:paraId="32697AE4" w14:textId="77777777" w:rsidR="005B3F8C" w:rsidRPr="00D93236" w:rsidRDefault="005B3F8C" w:rsidP="00E27260">
      <w:pPr>
        <w:pStyle w:val="FootnoteText"/>
        <w:jc w:val="both"/>
        <w:rPr>
          <w:rFonts w:asciiTheme="majorHAnsi" w:hAnsiTheme="majorHAnsi"/>
          <w:sz w:val="16"/>
          <w:szCs w:val="16"/>
          <w:lang w:val="es-AR"/>
        </w:rPr>
      </w:pPr>
      <w:r w:rsidRPr="00EE68C8">
        <w:rPr>
          <w:rStyle w:val="FootnoteReference"/>
          <w:rFonts w:ascii="Cambria" w:hAnsi="Cambria"/>
          <w:sz w:val="16"/>
          <w:szCs w:val="16"/>
        </w:rPr>
        <w:footnoteRef/>
      </w:r>
      <w:r w:rsidRPr="00EE68C8">
        <w:rPr>
          <w:rFonts w:ascii="Cambria" w:hAnsi="Cambria"/>
          <w:sz w:val="16"/>
          <w:szCs w:val="16"/>
          <w:lang w:val="es-AR"/>
        </w:rPr>
        <w:t xml:space="preserve"> Anexo 8. UFI AMIA, Informe de Gestión diciembre 2016, pág. 23. Anexo 19 a la comunicación de la parte peticionaria de fecha 11 de noviembre de 2019.</w:t>
      </w:r>
      <w:r w:rsidRPr="00D93236">
        <w:rPr>
          <w:rFonts w:asciiTheme="majorHAnsi" w:hAnsiTheme="majorHAnsi"/>
          <w:sz w:val="16"/>
          <w:szCs w:val="16"/>
          <w:lang w:val="es-AR"/>
        </w:rPr>
        <w:t xml:space="preserve"> </w:t>
      </w:r>
    </w:p>
  </w:footnote>
  <w:footnote w:id="302">
    <w:p w14:paraId="139C4955" w14:textId="77777777" w:rsidR="005B3F8C" w:rsidRPr="00D93236" w:rsidRDefault="005B3F8C" w:rsidP="00E27260">
      <w:pPr>
        <w:pStyle w:val="FootnoteText"/>
        <w:jc w:val="both"/>
        <w:rPr>
          <w:rFonts w:asciiTheme="majorHAnsi" w:hAnsiTheme="majorHAnsi"/>
          <w:sz w:val="16"/>
          <w:szCs w:val="16"/>
          <w:lang w:val="es-AR"/>
        </w:rPr>
      </w:pPr>
      <w:r w:rsidRPr="00D93236">
        <w:rPr>
          <w:rStyle w:val="FootnoteReference"/>
          <w:rFonts w:asciiTheme="majorHAnsi" w:hAnsiTheme="majorHAnsi"/>
          <w:sz w:val="16"/>
          <w:szCs w:val="16"/>
        </w:rPr>
        <w:footnoteRef/>
      </w:r>
      <w:r w:rsidRPr="00D93236">
        <w:rPr>
          <w:rFonts w:asciiTheme="majorHAnsi" w:hAnsiTheme="majorHAnsi"/>
          <w:sz w:val="16"/>
          <w:szCs w:val="16"/>
          <w:lang w:val="es-AR"/>
        </w:rPr>
        <w:t xml:space="preserve"> CIDH, Derecho a la Verdad en las Américas, OEA/Ser.L/V/II.152, Doc. 2, 13 agosto 2014, párr. </w:t>
      </w:r>
      <w:r w:rsidRPr="00D93236">
        <w:rPr>
          <w:rFonts w:asciiTheme="majorHAnsi" w:hAnsiTheme="majorHAnsi"/>
          <w:sz w:val="16"/>
          <w:szCs w:val="16"/>
          <w:lang w:val="es-US"/>
        </w:rPr>
        <w:t>118.</w:t>
      </w:r>
    </w:p>
  </w:footnote>
  <w:footnote w:id="303">
    <w:p w14:paraId="6DB606CF" w14:textId="77777777" w:rsidR="005B3F8C" w:rsidRPr="00D93236" w:rsidRDefault="005B3F8C" w:rsidP="00E27260">
      <w:pPr>
        <w:pStyle w:val="FootnoteText"/>
        <w:jc w:val="both"/>
        <w:rPr>
          <w:rFonts w:asciiTheme="majorHAnsi" w:hAnsiTheme="majorHAnsi"/>
          <w:sz w:val="16"/>
          <w:szCs w:val="16"/>
          <w:lang w:val="es-US"/>
        </w:rPr>
      </w:pPr>
      <w:r w:rsidRPr="00D93236">
        <w:rPr>
          <w:rStyle w:val="FootnoteReference"/>
          <w:rFonts w:asciiTheme="majorHAnsi" w:hAnsiTheme="majorHAnsi"/>
          <w:sz w:val="16"/>
          <w:szCs w:val="16"/>
        </w:rPr>
        <w:footnoteRef/>
      </w:r>
      <w:r w:rsidRPr="00D93236">
        <w:rPr>
          <w:rFonts w:asciiTheme="majorHAnsi" w:hAnsiTheme="majorHAnsi"/>
          <w:sz w:val="16"/>
          <w:szCs w:val="16"/>
          <w:lang w:val="es-US"/>
        </w:rPr>
        <w:t xml:space="preserve"> Corte IDH. </w:t>
      </w:r>
      <w:r w:rsidRPr="00D93236">
        <w:rPr>
          <w:rFonts w:asciiTheme="majorHAnsi" w:hAnsiTheme="majorHAnsi"/>
          <w:i/>
          <w:sz w:val="16"/>
          <w:szCs w:val="16"/>
          <w:lang w:val="es-US"/>
        </w:rPr>
        <w:t>Caso de la Masacre de Las Dos Erres Vs. Guatemala</w:t>
      </w:r>
      <w:r w:rsidRPr="00D93236">
        <w:rPr>
          <w:rFonts w:asciiTheme="majorHAnsi" w:hAnsiTheme="majorHAnsi"/>
          <w:sz w:val="16"/>
          <w:szCs w:val="16"/>
          <w:lang w:val="es-US"/>
        </w:rPr>
        <w:t>. Excepción Preliminar, Fondo, Reparaciones y Costas. Sentencia de 24 de noviembre de 2009. Serie C No. 211, (</w:t>
      </w:r>
      <w:r w:rsidRPr="00D93236">
        <w:rPr>
          <w:rFonts w:asciiTheme="majorHAnsi" w:hAnsiTheme="majorHAnsi"/>
          <w:sz w:val="16"/>
          <w:szCs w:val="16"/>
          <w:lang w:val="es-ES"/>
        </w:rPr>
        <w:t xml:space="preserve">Sentencia </w:t>
      </w:r>
      <w:r w:rsidRPr="00D93236">
        <w:rPr>
          <w:rFonts w:asciiTheme="majorHAnsi" w:hAnsiTheme="majorHAnsi"/>
          <w:i/>
          <w:sz w:val="16"/>
          <w:szCs w:val="16"/>
          <w:lang w:val="es-ES"/>
        </w:rPr>
        <w:t>Masacre de las Dos Erres</w:t>
      </w:r>
      <w:r w:rsidRPr="00D93236">
        <w:rPr>
          <w:rFonts w:asciiTheme="majorHAnsi" w:hAnsiTheme="majorHAnsi"/>
          <w:sz w:val="16"/>
          <w:szCs w:val="16"/>
          <w:lang w:val="es-ES"/>
        </w:rPr>
        <w:t>), párr. 206.</w:t>
      </w:r>
    </w:p>
  </w:footnote>
  <w:footnote w:id="304">
    <w:p w14:paraId="7B303798" w14:textId="77777777" w:rsidR="005B3F8C" w:rsidRPr="00D93236" w:rsidRDefault="005B3F8C" w:rsidP="00E27260">
      <w:pPr>
        <w:pStyle w:val="FootnoteText"/>
        <w:jc w:val="both"/>
        <w:rPr>
          <w:rFonts w:asciiTheme="majorHAnsi" w:hAnsiTheme="majorHAnsi"/>
          <w:sz w:val="16"/>
          <w:szCs w:val="16"/>
          <w:lang w:val="es-US"/>
        </w:rPr>
      </w:pPr>
      <w:r w:rsidRPr="00D93236">
        <w:rPr>
          <w:rStyle w:val="FootnoteReference"/>
          <w:rFonts w:asciiTheme="majorHAnsi" w:hAnsiTheme="majorHAnsi"/>
          <w:sz w:val="16"/>
          <w:szCs w:val="16"/>
        </w:rPr>
        <w:footnoteRef/>
      </w:r>
      <w:r w:rsidRPr="00D93236">
        <w:rPr>
          <w:rFonts w:asciiTheme="majorHAnsi" w:hAnsiTheme="majorHAnsi"/>
          <w:sz w:val="16"/>
          <w:szCs w:val="16"/>
          <w:lang w:val="es-US"/>
        </w:rPr>
        <w:t xml:space="preserve"> Corte IDH. Sentencia </w:t>
      </w:r>
      <w:r w:rsidRPr="00D93236">
        <w:rPr>
          <w:rFonts w:asciiTheme="majorHAnsi" w:hAnsiTheme="majorHAnsi"/>
          <w:i/>
          <w:sz w:val="16"/>
          <w:szCs w:val="16"/>
          <w:lang w:val="es-US"/>
        </w:rPr>
        <w:t>Masacre de las Dos Erres</w:t>
      </w:r>
      <w:r w:rsidRPr="00D93236">
        <w:rPr>
          <w:rFonts w:asciiTheme="majorHAnsi" w:hAnsiTheme="majorHAnsi"/>
          <w:sz w:val="16"/>
          <w:szCs w:val="16"/>
          <w:lang w:val="es-US"/>
        </w:rPr>
        <w:t xml:space="preserve">, párr. 206. </w:t>
      </w:r>
    </w:p>
  </w:footnote>
  <w:footnote w:id="305">
    <w:p w14:paraId="03D1C0ED" w14:textId="77777777" w:rsidR="005B3F8C" w:rsidRPr="00D93236" w:rsidRDefault="005B3F8C" w:rsidP="00E27260">
      <w:pPr>
        <w:pStyle w:val="FootnoteText"/>
        <w:jc w:val="both"/>
        <w:rPr>
          <w:rFonts w:asciiTheme="majorHAnsi" w:hAnsiTheme="majorHAnsi"/>
          <w:sz w:val="16"/>
          <w:szCs w:val="16"/>
          <w:lang w:val="es-ES_tradnl"/>
        </w:rPr>
      </w:pPr>
      <w:r w:rsidRPr="00D93236">
        <w:rPr>
          <w:rStyle w:val="FootnoteReference"/>
          <w:rFonts w:asciiTheme="majorHAnsi" w:hAnsiTheme="majorHAnsi"/>
          <w:sz w:val="16"/>
          <w:szCs w:val="16"/>
        </w:rPr>
        <w:footnoteRef/>
      </w:r>
      <w:r w:rsidRPr="00D93236">
        <w:rPr>
          <w:rFonts w:asciiTheme="majorHAnsi" w:hAnsiTheme="majorHAnsi"/>
          <w:sz w:val="16"/>
          <w:szCs w:val="16"/>
          <w:lang w:val="es-US"/>
        </w:rPr>
        <w:t xml:space="preserve"> </w:t>
      </w:r>
      <w:r w:rsidRPr="00D93236">
        <w:rPr>
          <w:rFonts w:asciiTheme="majorHAnsi" w:hAnsiTheme="majorHAnsi"/>
          <w:noProof/>
          <w:sz w:val="16"/>
          <w:szCs w:val="16"/>
          <w:lang w:val="es-US"/>
        </w:rPr>
        <w:t xml:space="preserve">Corte IDH. Sentencia </w:t>
      </w:r>
      <w:r w:rsidRPr="00D93236">
        <w:rPr>
          <w:rFonts w:asciiTheme="majorHAnsi" w:hAnsiTheme="majorHAnsi"/>
          <w:i/>
          <w:noProof/>
          <w:sz w:val="16"/>
          <w:szCs w:val="16"/>
          <w:lang w:val="es-US"/>
        </w:rPr>
        <w:t>Valle Jaramillo</w:t>
      </w:r>
      <w:r w:rsidRPr="00D93236">
        <w:rPr>
          <w:rFonts w:asciiTheme="majorHAnsi" w:hAnsiTheme="majorHAnsi"/>
          <w:noProof/>
          <w:sz w:val="16"/>
          <w:szCs w:val="16"/>
          <w:lang w:val="es-US"/>
        </w:rPr>
        <w:t>, párr.</w:t>
      </w:r>
      <w:r w:rsidRPr="00D93236">
        <w:rPr>
          <w:rFonts w:asciiTheme="majorHAnsi" w:hAnsiTheme="majorHAnsi"/>
          <w:sz w:val="16"/>
          <w:szCs w:val="16"/>
          <w:lang w:val="es-US"/>
        </w:rPr>
        <w:t xml:space="preserve"> 102. Ver también:</w:t>
      </w:r>
      <w:r w:rsidRPr="00D93236">
        <w:rPr>
          <w:rFonts w:asciiTheme="majorHAnsi" w:eastAsia="Arial Unicode MS" w:hAnsiTheme="majorHAnsi" w:cs="Times New Roman"/>
          <w:sz w:val="16"/>
          <w:szCs w:val="16"/>
          <w:lang w:val="es-US"/>
        </w:rPr>
        <w:t xml:space="preserve"> Corte IDH. </w:t>
      </w:r>
      <w:r w:rsidRPr="00D93236">
        <w:rPr>
          <w:rFonts w:asciiTheme="majorHAnsi" w:eastAsia="Arial Unicode MS" w:hAnsiTheme="majorHAnsi" w:cs="Times New Roman"/>
          <w:i/>
          <w:sz w:val="16"/>
          <w:szCs w:val="16"/>
          <w:lang w:val="es-US"/>
        </w:rPr>
        <w:t xml:space="preserve">Caso de las Masacres de Ituango Vs. </w:t>
      </w:r>
      <w:r w:rsidRPr="00D93236">
        <w:rPr>
          <w:rFonts w:asciiTheme="majorHAnsi" w:eastAsia="Arial Unicode MS" w:hAnsiTheme="majorHAnsi" w:cs="Times New Roman"/>
          <w:i/>
          <w:sz w:val="16"/>
          <w:szCs w:val="16"/>
          <w:lang w:val="es-ES"/>
        </w:rPr>
        <w:t>Colombia</w:t>
      </w:r>
      <w:r w:rsidRPr="00D93236">
        <w:rPr>
          <w:rFonts w:asciiTheme="majorHAnsi" w:eastAsia="Arial Unicode MS" w:hAnsiTheme="majorHAnsi" w:cs="Times New Roman"/>
          <w:sz w:val="16"/>
          <w:szCs w:val="16"/>
          <w:lang w:val="es-ES"/>
        </w:rPr>
        <w:t>. Sentencia de 1 de julio de 2006. Serie C No. 148</w:t>
      </w:r>
      <w:r w:rsidRPr="00D93236">
        <w:rPr>
          <w:rFonts w:asciiTheme="majorHAnsi" w:hAnsiTheme="majorHAnsi"/>
          <w:sz w:val="16"/>
          <w:szCs w:val="16"/>
          <w:lang w:val="es-ES"/>
        </w:rPr>
        <w:t xml:space="preserve">, párr. 261; </w:t>
      </w:r>
      <w:r w:rsidRPr="00D93236">
        <w:rPr>
          <w:rFonts w:asciiTheme="majorHAnsi" w:hAnsiTheme="majorHAnsi"/>
          <w:i/>
          <w:sz w:val="16"/>
          <w:szCs w:val="16"/>
          <w:lang w:val="es-ES"/>
        </w:rPr>
        <w:t>Caso de la "Masacre de Mapiripán" Vs. Colombia</w:t>
      </w:r>
      <w:r w:rsidRPr="00D93236">
        <w:rPr>
          <w:rFonts w:asciiTheme="majorHAnsi" w:hAnsiTheme="majorHAnsi"/>
          <w:sz w:val="16"/>
          <w:szCs w:val="16"/>
          <w:lang w:val="es-ES"/>
        </w:rPr>
        <w:t>. Sentencia de 15 de septiembre de 2005. Serie C No. 134, párr.</w:t>
      </w:r>
      <w:r w:rsidRPr="00D93236">
        <w:rPr>
          <w:rFonts w:asciiTheme="majorHAnsi" w:hAnsiTheme="majorHAnsi"/>
          <w:sz w:val="16"/>
          <w:szCs w:val="16"/>
          <w:lang w:val="es-US"/>
        </w:rPr>
        <w:t xml:space="preserve"> 145.</w:t>
      </w:r>
    </w:p>
  </w:footnote>
  <w:footnote w:id="306">
    <w:p w14:paraId="20E2FD92" w14:textId="77777777" w:rsidR="005B3F8C" w:rsidRPr="00D93236" w:rsidRDefault="005B3F8C" w:rsidP="00E27260">
      <w:pPr>
        <w:pStyle w:val="FootnoteText"/>
        <w:jc w:val="both"/>
        <w:rPr>
          <w:rFonts w:asciiTheme="majorHAnsi" w:hAnsiTheme="majorHAnsi"/>
          <w:sz w:val="16"/>
          <w:szCs w:val="16"/>
          <w:lang w:val="es-ES"/>
        </w:rPr>
      </w:pPr>
      <w:r w:rsidRPr="00D93236">
        <w:rPr>
          <w:rStyle w:val="FootnoteReference"/>
          <w:rFonts w:asciiTheme="majorHAnsi" w:hAnsiTheme="majorHAnsi"/>
          <w:sz w:val="16"/>
          <w:szCs w:val="16"/>
        </w:rPr>
        <w:footnoteRef/>
      </w:r>
      <w:r w:rsidRPr="00D93236">
        <w:rPr>
          <w:rFonts w:asciiTheme="majorHAnsi" w:hAnsiTheme="majorHAnsi"/>
          <w:sz w:val="16"/>
          <w:szCs w:val="16"/>
          <w:lang w:val="es-US"/>
        </w:rPr>
        <w:t xml:space="preserve"> Naciones Unidas. Informe del Relator Especial sobre la promoción y la protección de los derechos humanos y las libertades fundamentales en la lucha contra el terrorismo, Ben Emmerson Principios marco para asegurar los derechos humanos de las víctimas del terrorismo*. 4 de junio de 2012. </w:t>
      </w:r>
      <w:hyperlink r:id="rId21" w:history="1">
        <w:r w:rsidRPr="00D93236">
          <w:rPr>
            <w:rStyle w:val="Hyperlink"/>
            <w:rFonts w:asciiTheme="majorHAnsi" w:hAnsiTheme="majorHAnsi"/>
            <w:sz w:val="16"/>
            <w:szCs w:val="16"/>
            <w:lang w:val="es-US"/>
          </w:rPr>
          <w:t>A/HRC/20/14</w:t>
        </w:r>
      </w:hyperlink>
      <w:r w:rsidRPr="00D93236">
        <w:rPr>
          <w:rFonts w:asciiTheme="majorHAnsi" w:hAnsiTheme="majorHAnsi"/>
          <w:sz w:val="16"/>
          <w:szCs w:val="16"/>
          <w:lang w:val="es-US"/>
        </w:rPr>
        <w:t>, Capítulo C- Párr. 48.</w:t>
      </w:r>
    </w:p>
  </w:footnote>
  <w:footnote w:id="307">
    <w:p w14:paraId="3F2689BA" w14:textId="77777777" w:rsidR="005B3F8C" w:rsidRPr="00D93236" w:rsidRDefault="005B3F8C" w:rsidP="00E27260">
      <w:pPr>
        <w:pStyle w:val="FootnoteText"/>
        <w:jc w:val="both"/>
        <w:rPr>
          <w:rFonts w:asciiTheme="majorHAnsi" w:hAnsiTheme="majorHAnsi"/>
          <w:sz w:val="16"/>
          <w:szCs w:val="16"/>
          <w:lang w:val="es-US"/>
        </w:rPr>
      </w:pPr>
      <w:r w:rsidRPr="00D93236">
        <w:rPr>
          <w:rStyle w:val="FootnoteReference"/>
          <w:rFonts w:asciiTheme="majorHAnsi" w:hAnsiTheme="majorHAnsi"/>
          <w:sz w:val="16"/>
          <w:szCs w:val="16"/>
        </w:rPr>
        <w:footnoteRef/>
      </w:r>
      <w:r w:rsidRPr="00D93236">
        <w:rPr>
          <w:rFonts w:asciiTheme="majorHAnsi" w:hAnsiTheme="majorHAnsi"/>
          <w:sz w:val="16"/>
          <w:szCs w:val="16"/>
          <w:lang w:val="es-US"/>
        </w:rPr>
        <w:t xml:space="preserve"> Comunicación de los representantes del 30 de diciembre de 2016.</w:t>
      </w:r>
      <w:r>
        <w:rPr>
          <w:rFonts w:asciiTheme="majorHAnsi" w:hAnsiTheme="majorHAnsi"/>
          <w:sz w:val="16"/>
          <w:szCs w:val="16"/>
          <w:lang w:val="es-US"/>
        </w:rPr>
        <w:t xml:space="preserve"> Ver notas al pie Nros 7 z 8. </w:t>
      </w:r>
    </w:p>
  </w:footnote>
  <w:footnote w:id="308">
    <w:p w14:paraId="447E8D8B" w14:textId="77777777" w:rsidR="005B3F8C" w:rsidRPr="00D93236" w:rsidRDefault="005B3F8C" w:rsidP="00E27260">
      <w:pPr>
        <w:pStyle w:val="FootnoteText"/>
        <w:jc w:val="both"/>
        <w:rPr>
          <w:rFonts w:asciiTheme="majorHAnsi" w:hAnsiTheme="majorHAnsi"/>
          <w:sz w:val="16"/>
          <w:szCs w:val="16"/>
          <w:lang w:val="es-US"/>
        </w:rPr>
      </w:pPr>
      <w:r w:rsidRPr="00D93236">
        <w:rPr>
          <w:rStyle w:val="FootnoteReference"/>
          <w:rFonts w:asciiTheme="majorHAnsi" w:hAnsiTheme="majorHAnsi"/>
          <w:sz w:val="16"/>
          <w:szCs w:val="16"/>
        </w:rPr>
        <w:footnoteRef/>
      </w:r>
      <w:r w:rsidRPr="00D93236">
        <w:rPr>
          <w:rFonts w:asciiTheme="majorHAnsi" w:hAnsiTheme="majorHAnsi"/>
          <w:sz w:val="16"/>
          <w:szCs w:val="16"/>
          <w:lang w:val="es-US"/>
        </w:rPr>
        <w:t xml:space="preserve"> En su comunicación del 11 de noviembre de 2019, los peticionarios indicaron que Jorge Lew falleció el 24 de julio de 2019. </w:t>
      </w:r>
    </w:p>
  </w:footnote>
  <w:footnote w:id="309">
    <w:p w14:paraId="4608F9B1" w14:textId="77777777" w:rsidR="005B3F8C" w:rsidRPr="00E27260" w:rsidRDefault="005B3F8C" w:rsidP="00E27260">
      <w:pPr>
        <w:pStyle w:val="FootnoteText"/>
        <w:jc w:val="both"/>
        <w:rPr>
          <w:rFonts w:asciiTheme="majorHAnsi" w:hAnsiTheme="majorHAnsi"/>
          <w:sz w:val="16"/>
          <w:szCs w:val="16"/>
          <w:lang w:val="es-US"/>
        </w:rPr>
      </w:pPr>
      <w:r w:rsidRPr="00D93236">
        <w:rPr>
          <w:rStyle w:val="FootnoteReference"/>
          <w:rFonts w:asciiTheme="majorHAnsi" w:hAnsiTheme="majorHAnsi"/>
          <w:sz w:val="16"/>
          <w:szCs w:val="16"/>
        </w:rPr>
        <w:footnoteRef/>
      </w:r>
      <w:r w:rsidRPr="00D93236">
        <w:rPr>
          <w:rFonts w:asciiTheme="majorHAnsi" w:hAnsiTheme="majorHAnsi"/>
          <w:sz w:val="16"/>
          <w:szCs w:val="16"/>
          <w:lang w:val="es-US"/>
        </w:rPr>
        <w:t xml:space="preserve"> En su comunicación del 11 de noviembre de 2019, los peticionarios indicaron que Raquel Lew falleció en febrero de 2000.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87585" w14:textId="77777777" w:rsidR="005B3F8C" w:rsidRDefault="005B3F8C" w:rsidP="009F70EA">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5112F01" w14:textId="77777777" w:rsidR="005B3F8C" w:rsidRDefault="005B3F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32970" w14:textId="77777777" w:rsidR="005B3F8C" w:rsidRDefault="005B3F8C" w:rsidP="00A50FCF">
    <w:pPr>
      <w:pStyle w:val="Header"/>
      <w:tabs>
        <w:tab w:val="clear" w:pos="4320"/>
        <w:tab w:val="clear" w:pos="8640"/>
      </w:tabs>
      <w:jc w:val="center"/>
      <w:rPr>
        <w:sz w:val="22"/>
        <w:szCs w:val="22"/>
      </w:rPr>
    </w:pPr>
    <w:r>
      <w:rPr>
        <w:noProof/>
        <w:sz w:val="22"/>
        <w:szCs w:val="22"/>
      </w:rPr>
      <w:drawing>
        <wp:inline distT="0" distB="0" distL="0" distR="0" wp14:anchorId="65006D93" wp14:editId="5C789956">
          <wp:extent cx="1972237" cy="104775"/>
          <wp:effectExtent l="0" t="0" r="9525" b="0"/>
          <wp:docPr id="6" name="Picture 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5D99929D" w14:textId="77777777" w:rsidR="005B3F8C" w:rsidRPr="00EC7D62" w:rsidRDefault="00E72266" w:rsidP="00A50FCF">
    <w:pPr>
      <w:pStyle w:val="Header"/>
      <w:tabs>
        <w:tab w:val="clear" w:pos="4320"/>
        <w:tab w:val="clear" w:pos="8640"/>
      </w:tabs>
      <w:jc w:val="center"/>
      <w:rPr>
        <w:sz w:val="22"/>
        <w:szCs w:val="22"/>
      </w:rPr>
    </w:pPr>
    <w:r>
      <w:rPr>
        <w:noProof/>
        <w:sz w:val="22"/>
        <w:szCs w:val="22"/>
        <w:bdr w:val="nil"/>
      </w:rPr>
      <w:pict w14:anchorId="199F5887">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B3E5E"/>
    <w:multiLevelType w:val="hybridMultilevel"/>
    <w:tmpl w:val="7B7E062A"/>
    <w:lvl w:ilvl="0" w:tplc="DB8AEFBA">
      <w:numFmt w:val="bullet"/>
      <w:lvlText w:val="-"/>
      <w:lvlJc w:val="left"/>
      <w:pPr>
        <w:ind w:left="720" w:hanging="360"/>
      </w:pPr>
      <w:rPr>
        <w:rFonts w:ascii="Cambria" w:eastAsia="Arial Unicode MS" w:hAnsi="Cambria"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05996D6D"/>
    <w:multiLevelType w:val="multilevel"/>
    <w:tmpl w:val="B4EEC5CC"/>
    <w:styleLink w:val="List16"/>
    <w:lvl w:ilvl="0">
      <w:start w:val="1"/>
      <w:numFmt w:val="decimal"/>
      <w:lvlText w:val="%1."/>
      <w:lvlJc w:val="left"/>
      <w:pPr>
        <w:ind w:left="360" w:hanging="360"/>
      </w:pPr>
      <w:rPr>
        <w:rFonts w:hint="default"/>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2"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120420"/>
    <w:multiLevelType w:val="hybridMultilevel"/>
    <w:tmpl w:val="28F6AEAE"/>
    <w:lvl w:ilvl="0" w:tplc="D04478C6">
      <w:start w:val="1"/>
      <w:numFmt w:val="lowerRoman"/>
      <w:pStyle w:val="Heading5"/>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 w15:restartNumberingAfterBreak="0">
    <w:nsid w:val="0D3B3FD0"/>
    <w:multiLevelType w:val="hybridMultilevel"/>
    <w:tmpl w:val="92A08D88"/>
    <w:lvl w:ilvl="0" w:tplc="C5D8AC78">
      <w:start w:val="1"/>
      <w:numFmt w:val="decimal"/>
      <w:lvlText w:val="%1."/>
      <w:lvlJc w:val="left"/>
      <w:pPr>
        <w:ind w:left="3330" w:hanging="360"/>
      </w:pPr>
      <w:rPr>
        <w:rFonts w:ascii="Cambria" w:hAnsi="Cambria" w:hint="default"/>
        <w:b w:val="0"/>
        <w:i w:val="0"/>
        <w:sz w:val="20"/>
      </w:rPr>
    </w:lvl>
    <w:lvl w:ilvl="1" w:tplc="F5C4EC74">
      <w:start w:val="1"/>
      <w:numFmt w:val="lowerLetter"/>
      <w:lvlText w:val="%2)"/>
      <w:lvlJc w:val="left"/>
      <w:pPr>
        <w:ind w:left="2074" w:hanging="360"/>
      </w:pPr>
      <w:rPr>
        <w:rFonts w:hint="default"/>
      </w:r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6"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80061CF"/>
    <w:multiLevelType w:val="hybridMultilevel"/>
    <w:tmpl w:val="3F4E1D40"/>
    <w:lvl w:ilvl="0" w:tplc="EB5E0F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1"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1F483B63"/>
    <w:multiLevelType w:val="hybridMultilevel"/>
    <w:tmpl w:val="E9FAD368"/>
    <w:lvl w:ilvl="0" w:tplc="0E343580">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8"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7C74461"/>
    <w:multiLevelType w:val="hybridMultilevel"/>
    <w:tmpl w:val="5FC20EC0"/>
    <w:lvl w:ilvl="0" w:tplc="5400EE7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2E180FF0"/>
    <w:multiLevelType w:val="hybridMultilevel"/>
    <w:tmpl w:val="87625762"/>
    <w:lvl w:ilvl="0" w:tplc="D1183292">
      <w:start w:val="1"/>
      <w:numFmt w:val="lowerLetter"/>
      <w:pStyle w:val="Heading4"/>
      <w:lvlText w:val="%1."/>
      <w:lvlJc w:val="left"/>
      <w:pPr>
        <w:ind w:left="927" w:hanging="360"/>
      </w:pPr>
      <w:rPr>
        <w:rFonts w:hint="default"/>
        <w:b/>
        <w:bCs/>
        <w:sz w:val="20"/>
        <w:szCs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6"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7"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2"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3"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2DF19D7"/>
    <w:multiLevelType w:val="multilevel"/>
    <w:tmpl w:val="E7265BB0"/>
    <w:styleLink w:val="List5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8C86D5F"/>
    <w:multiLevelType w:val="hybridMultilevel"/>
    <w:tmpl w:val="4B428C04"/>
    <w:lvl w:ilvl="0" w:tplc="D828EF5E">
      <w:numFmt w:val="bullet"/>
      <w:lvlText w:val="-"/>
      <w:lvlJc w:val="left"/>
      <w:pPr>
        <w:ind w:left="720" w:hanging="360"/>
      </w:pPr>
      <w:rPr>
        <w:rFonts w:ascii="Cambria" w:eastAsia="Calibri" w:hAnsi="Cambria" w:cs="Times New Roman"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92723E7"/>
    <w:multiLevelType w:val="multilevel"/>
    <w:tmpl w:val="0CF8CC36"/>
    <w:styleLink w:val="List2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15:restartNumberingAfterBreak="0">
    <w:nsid w:val="4DFA2ACC"/>
    <w:multiLevelType w:val="hybridMultilevel"/>
    <w:tmpl w:val="5FC20EC0"/>
    <w:lvl w:ilvl="0" w:tplc="5400EE7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4F320096"/>
    <w:multiLevelType w:val="hybridMultilevel"/>
    <w:tmpl w:val="CB6213C2"/>
    <w:lvl w:ilvl="0" w:tplc="50B20BBE">
      <w:start w:val="1"/>
      <w:numFmt w:val="decimal"/>
      <w:lvlText w:val="%1."/>
      <w:lvlJc w:val="left"/>
      <w:pPr>
        <w:ind w:left="1146" w:hanging="360"/>
      </w:pPr>
      <w:rPr>
        <w:rFonts w:hint="default"/>
      </w:rPr>
    </w:lvl>
    <w:lvl w:ilvl="1" w:tplc="040A0019" w:tentative="1">
      <w:start w:val="1"/>
      <w:numFmt w:val="lowerLetter"/>
      <w:lvlText w:val="%2."/>
      <w:lvlJc w:val="left"/>
      <w:pPr>
        <w:ind w:left="1866" w:hanging="360"/>
      </w:pPr>
    </w:lvl>
    <w:lvl w:ilvl="2" w:tplc="040A001B" w:tentative="1">
      <w:start w:val="1"/>
      <w:numFmt w:val="lowerRoman"/>
      <w:lvlText w:val="%3."/>
      <w:lvlJc w:val="right"/>
      <w:pPr>
        <w:ind w:left="2586" w:hanging="180"/>
      </w:pPr>
    </w:lvl>
    <w:lvl w:ilvl="3" w:tplc="040A000F" w:tentative="1">
      <w:start w:val="1"/>
      <w:numFmt w:val="decimal"/>
      <w:lvlText w:val="%4."/>
      <w:lvlJc w:val="left"/>
      <w:pPr>
        <w:ind w:left="3306" w:hanging="360"/>
      </w:pPr>
    </w:lvl>
    <w:lvl w:ilvl="4" w:tplc="040A0019" w:tentative="1">
      <w:start w:val="1"/>
      <w:numFmt w:val="lowerLetter"/>
      <w:lvlText w:val="%5."/>
      <w:lvlJc w:val="left"/>
      <w:pPr>
        <w:ind w:left="4026" w:hanging="360"/>
      </w:pPr>
    </w:lvl>
    <w:lvl w:ilvl="5" w:tplc="040A001B" w:tentative="1">
      <w:start w:val="1"/>
      <w:numFmt w:val="lowerRoman"/>
      <w:lvlText w:val="%6."/>
      <w:lvlJc w:val="right"/>
      <w:pPr>
        <w:ind w:left="4746" w:hanging="180"/>
      </w:pPr>
    </w:lvl>
    <w:lvl w:ilvl="6" w:tplc="040A000F" w:tentative="1">
      <w:start w:val="1"/>
      <w:numFmt w:val="decimal"/>
      <w:lvlText w:val="%7."/>
      <w:lvlJc w:val="left"/>
      <w:pPr>
        <w:ind w:left="5466" w:hanging="360"/>
      </w:pPr>
    </w:lvl>
    <w:lvl w:ilvl="7" w:tplc="040A0019" w:tentative="1">
      <w:start w:val="1"/>
      <w:numFmt w:val="lowerLetter"/>
      <w:lvlText w:val="%8."/>
      <w:lvlJc w:val="left"/>
      <w:pPr>
        <w:ind w:left="6186" w:hanging="360"/>
      </w:pPr>
    </w:lvl>
    <w:lvl w:ilvl="8" w:tplc="040A001B" w:tentative="1">
      <w:start w:val="1"/>
      <w:numFmt w:val="lowerRoman"/>
      <w:lvlText w:val="%9."/>
      <w:lvlJc w:val="right"/>
      <w:pPr>
        <w:ind w:left="6906" w:hanging="180"/>
      </w:pPr>
    </w:lvl>
  </w:abstractNum>
  <w:abstractNum w:abstractNumId="45" w15:restartNumberingAfterBreak="0">
    <w:nsid w:val="4F5E0A7B"/>
    <w:multiLevelType w:val="hybridMultilevel"/>
    <w:tmpl w:val="15966FF4"/>
    <w:lvl w:ilvl="0" w:tplc="5400EE7A">
      <w:start w:val="1"/>
      <w:numFmt w:val="upperLetter"/>
      <w:lvlText w:val="%1."/>
      <w:lvlJc w:val="left"/>
      <w:pPr>
        <w:ind w:left="1440" w:hanging="360"/>
      </w:pPr>
      <w:rPr>
        <w:rFonts w:hint="default"/>
      </w:rPr>
    </w:lvl>
    <w:lvl w:ilvl="1" w:tplc="876254B4">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64D3434E"/>
    <w:multiLevelType w:val="hybridMultilevel"/>
    <w:tmpl w:val="941ED596"/>
    <w:lvl w:ilvl="0" w:tplc="81D403A8">
      <w:start w:val="1"/>
      <w:numFmt w:val="decimal"/>
      <w:pStyle w:val="NoSpacing1"/>
      <w:lvlText w:val="%1."/>
      <w:lvlJc w:val="left"/>
      <w:pPr>
        <w:ind w:left="360" w:hanging="360"/>
      </w:pPr>
      <w:rPr>
        <w:rFonts w:ascii="Cambria" w:hAnsi="Cambria"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lang w:val="es-AR"/>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2C0A0019" w:tentative="1">
      <w:start w:val="1"/>
      <w:numFmt w:val="lowerLetter"/>
      <w:lvlText w:val="%2."/>
      <w:lvlJc w:val="left"/>
      <w:pPr>
        <w:ind w:left="1710" w:hanging="360"/>
      </w:pPr>
    </w:lvl>
    <w:lvl w:ilvl="2" w:tplc="2C0A001B" w:tentative="1">
      <w:start w:val="1"/>
      <w:numFmt w:val="lowerRoman"/>
      <w:lvlText w:val="%3."/>
      <w:lvlJc w:val="right"/>
      <w:pPr>
        <w:ind w:left="2430" w:hanging="180"/>
      </w:pPr>
    </w:lvl>
    <w:lvl w:ilvl="3" w:tplc="2C0A000F" w:tentative="1">
      <w:start w:val="1"/>
      <w:numFmt w:val="decimal"/>
      <w:lvlText w:val="%4."/>
      <w:lvlJc w:val="left"/>
      <w:pPr>
        <w:ind w:left="3150" w:hanging="360"/>
      </w:pPr>
    </w:lvl>
    <w:lvl w:ilvl="4" w:tplc="2C0A0019" w:tentative="1">
      <w:start w:val="1"/>
      <w:numFmt w:val="lowerLetter"/>
      <w:lvlText w:val="%5."/>
      <w:lvlJc w:val="left"/>
      <w:pPr>
        <w:ind w:left="3870" w:hanging="360"/>
      </w:pPr>
    </w:lvl>
    <w:lvl w:ilvl="5" w:tplc="2C0A001B" w:tentative="1">
      <w:start w:val="1"/>
      <w:numFmt w:val="lowerRoman"/>
      <w:lvlText w:val="%6."/>
      <w:lvlJc w:val="right"/>
      <w:pPr>
        <w:ind w:left="4590" w:hanging="180"/>
      </w:pPr>
    </w:lvl>
    <w:lvl w:ilvl="6" w:tplc="2C0A000F" w:tentative="1">
      <w:start w:val="1"/>
      <w:numFmt w:val="decimal"/>
      <w:lvlText w:val="%7."/>
      <w:lvlJc w:val="left"/>
      <w:pPr>
        <w:ind w:left="5310" w:hanging="360"/>
      </w:pPr>
    </w:lvl>
    <w:lvl w:ilvl="7" w:tplc="2C0A0019" w:tentative="1">
      <w:start w:val="1"/>
      <w:numFmt w:val="lowerLetter"/>
      <w:lvlText w:val="%8."/>
      <w:lvlJc w:val="left"/>
      <w:pPr>
        <w:ind w:left="6030" w:hanging="360"/>
      </w:pPr>
    </w:lvl>
    <w:lvl w:ilvl="8" w:tplc="2C0A001B" w:tentative="1">
      <w:start w:val="1"/>
      <w:numFmt w:val="lowerRoman"/>
      <w:lvlText w:val="%9."/>
      <w:lvlJc w:val="right"/>
      <w:pPr>
        <w:ind w:left="6750" w:hanging="180"/>
      </w:pPr>
    </w:lvl>
  </w:abstractNum>
  <w:abstractNum w:abstractNumId="54"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5" w15:restartNumberingAfterBreak="0">
    <w:nsid w:val="670C0E4A"/>
    <w:multiLevelType w:val="hybridMultilevel"/>
    <w:tmpl w:val="36748DBC"/>
    <w:lvl w:ilvl="0" w:tplc="F06ADAA6">
      <w:start w:val="1"/>
      <w:numFmt w:val="upperRoman"/>
      <w:pStyle w:val="Heading1"/>
      <w:lvlText w:val="%1."/>
      <w:lvlJc w:val="left"/>
      <w:pPr>
        <w:ind w:left="1080" w:hanging="72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6"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7"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45A711E"/>
    <w:multiLevelType w:val="multilevel"/>
    <w:tmpl w:val="ED88159C"/>
    <w:styleLink w:val="List4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C26FCF"/>
    <w:multiLevelType w:val="multilevel"/>
    <w:tmpl w:val="2FCAD168"/>
    <w:styleLink w:val="List3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DB44423"/>
    <w:multiLevelType w:val="hybridMultilevel"/>
    <w:tmpl w:val="A88439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6"/>
  </w:num>
  <w:num w:numId="2">
    <w:abstractNumId w:val="7"/>
  </w:num>
  <w:num w:numId="3">
    <w:abstractNumId w:val="60"/>
  </w:num>
  <w:num w:numId="4">
    <w:abstractNumId w:val="26"/>
  </w:num>
  <w:num w:numId="5">
    <w:abstractNumId w:val="54"/>
  </w:num>
  <w:num w:numId="6">
    <w:abstractNumId w:val="31"/>
  </w:num>
  <w:num w:numId="7">
    <w:abstractNumId w:val="9"/>
  </w:num>
  <w:num w:numId="8">
    <w:abstractNumId w:val="21"/>
  </w:num>
  <w:num w:numId="9">
    <w:abstractNumId w:val="49"/>
  </w:num>
  <w:num w:numId="10">
    <w:abstractNumId w:val="1"/>
  </w:num>
  <w:num w:numId="11">
    <w:abstractNumId w:val="41"/>
  </w:num>
  <w:num w:numId="12">
    <w:abstractNumId w:val="42"/>
  </w:num>
  <w:num w:numId="13">
    <w:abstractNumId w:val="50"/>
  </w:num>
  <w:num w:numId="14">
    <w:abstractNumId w:val="2"/>
  </w:num>
  <w:num w:numId="15">
    <w:abstractNumId w:val="4"/>
  </w:num>
  <w:num w:numId="16">
    <w:abstractNumId w:val="10"/>
  </w:num>
  <w:num w:numId="17">
    <w:abstractNumId w:val="11"/>
  </w:num>
  <w:num w:numId="18">
    <w:abstractNumId w:val="12"/>
  </w:num>
  <w:num w:numId="19">
    <w:abstractNumId w:val="13"/>
  </w:num>
  <w:num w:numId="20">
    <w:abstractNumId w:val="15"/>
  </w:num>
  <w:num w:numId="21">
    <w:abstractNumId w:val="16"/>
  </w:num>
  <w:num w:numId="22">
    <w:abstractNumId w:val="17"/>
  </w:num>
  <w:num w:numId="23">
    <w:abstractNumId w:val="18"/>
  </w:num>
  <w:num w:numId="24">
    <w:abstractNumId w:val="19"/>
  </w:num>
  <w:num w:numId="25">
    <w:abstractNumId w:val="22"/>
  </w:num>
  <w:num w:numId="26">
    <w:abstractNumId w:val="23"/>
  </w:num>
  <w:num w:numId="27">
    <w:abstractNumId w:val="27"/>
  </w:num>
  <w:num w:numId="28">
    <w:abstractNumId w:val="28"/>
  </w:num>
  <w:num w:numId="29">
    <w:abstractNumId w:val="29"/>
  </w:num>
  <w:num w:numId="30">
    <w:abstractNumId w:val="30"/>
  </w:num>
  <w:num w:numId="31">
    <w:abstractNumId w:val="32"/>
  </w:num>
  <w:num w:numId="32">
    <w:abstractNumId w:val="33"/>
  </w:num>
  <w:num w:numId="33">
    <w:abstractNumId w:val="34"/>
  </w:num>
  <w:num w:numId="34">
    <w:abstractNumId w:val="35"/>
  </w:num>
  <w:num w:numId="35">
    <w:abstractNumId w:val="36"/>
  </w:num>
  <w:num w:numId="36">
    <w:abstractNumId w:val="37"/>
  </w:num>
  <w:num w:numId="37">
    <w:abstractNumId w:val="38"/>
  </w:num>
  <w:num w:numId="38">
    <w:abstractNumId w:val="40"/>
  </w:num>
  <w:num w:numId="39">
    <w:abstractNumId w:val="46"/>
  </w:num>
  <w:num w:numId="40">
    <w:abstractNumId w:val="47"/>
  </w:num>
  <w:num w:numId="41">
    <w:abstractNumId w:val="52"/>
  </w:num>
  <w:num w:numId="42">
    <w:abstractNumId w:val="56"/>
  </w:num>
  <w:num w:numId="43">
    <w:abstractNumId w:val="57"/>
  </w:num>
  <w:num w:numId="44">
    <w:abstractNumId w:val="58"/>
  </w:num>
  <w:num w:numId="45">
    <w:abstractNumId w:val="59"/>
  </w:num>
  <w:num w:numId="46">
    <w:abstractNumId w:val="61"/>
  </w:num>
  <w:num w:numId="47">
    <w:abstractNumId w:val="62"/>
  </w:num>
  <w:num w:numId="48">
    <w:abstractNumId w:val="63"/>
  </w:num>
  <w:num w:numId="49">
    <w:abstractNumId w:val="65"/>
  </w:num>
  <w:num w:numId="50">
    <w:abstractNumId w:val="66"/>
  </w:num>
  <w:num w:numId="51">
    <w:abstractNumId w:val="25"/>
  </w:num>
  <w:num w:numId="52">
    <w:abstractNumId w:val="48"/>
  </w:num>
  <w:num w:numId="53">
    <w:abstractNumId w:val="51"/>
  </w:num>
  <w:num w:numId="54">
    <w:abstractNumId w:val="53"/>
  </w:num>
  <w:num w:numId="55">
    <w:abstractNumId w:val="5"/>
  </w:num>
  <w:num w:numId="56">
    <w:abstractNumId w:val="64"/>
  </w:num>
  <w:num w:numId="57">
    <w:abstractNumId w:val="55"/>
  </w:num>
  <w:num w:numId="58">
    <w:abstractNumId w:val="39"/>
  </w:num>
  <w:num w:numId="59">
    <w:abstractNumId w:val="8"/>
  </w:num>
  <w:num w:numId="60">
    <w:abstractNumId w:val="24"/>
  </w:num>
  <w:num w:numId="61">
    <w:abstractNumId w:val="14"/>
  </w:num>
  <w:num w:numId="62">
    <w:abstractNumId w:val="44"/>
  </w:num>
  <w:num w:numId="63">
    <w:abstractNumId w:val="3"/>
  </w:num>
  <w:num w:numId="64">
    <w:abstractNumId w:val="43"/>
  </w:num>
  <w:num w:numId="65">
    <w:abstractNumId w:val="0"/>
  </w:num>
  <w:num w:numId="66">
    <w:abstractNumId w:val="3"/>
    <w:lvlOverride w:ilvl="0">
      <w:startOverride w:val="1"/>
    </w:lvlOverride>
  </w:num>
  <w:num w:numId="67">
    <w:abstractNumId w:val="20"/>
  </w:num>
  <w:num w:numId="68">
    <w:abstractNumId w:val="45"/>
  </w:num>
  <w:num w:numId="69">
    <w:abstractNumId w:val="3"/>
    <w:lvlOverride w:ilvl="0">
      <w:startOverride w:val="1"/>
    </w:lvlOverride>
  </w:num>
  <w:num w:numId="70">
    <w:abstractNumId w:val="3"/>
  </w:num>
  <w:num w:numId="71">
    <w:abstractNumId w:val="55"/>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45058"/>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5C"/>
    <w:rsid w:val="000001D6"/>
    <w:rsid w:val="0000036F"/>
    <w:rsid w:val="0000060F"/>
    <w:rsid w:val="00000CDA"/>
    <w:rsid w:val="00005B11"/>
    <w:rsid w:val="00006E1F"/>
    <w:rsid w:val="000070D7"/>
    <w:rsid w:val="00010155"/>
    <w:rsid w:val="00010DF5"/>
    <w:rsid w:val="0001484F"/>
    <w:rsid w:val="00015BCE"/>
    <w:rsid w:val="00017459"/>
    <w:rsid w:val="00017822"/>
    <w:rsid w:val="0001788C"/>
    <w:rsid w:val="00021B5D"/>
    <w:rsid w:val="00027391"/>
    <w:rsid w:val="00030F8D"/>
    <w:rsid w:val="00031128"/>
    <w:rsid w:val="0003393A"/>
    <w:rsid w:val="00035423"/>
    <w:rsid w:val="00040C3A"/>
    <w:rsid w:val="00041323"/>
    <w:rsid w:val="00041810"/>
    <w:rsid w:val="00043289"/>
    <w:rsid w:val="0005428C"/>
    <w:rsid w:val="0005458C"/>
    <w:rsid w:val="00055252"/>
    <w:rsid w:val="000559AB"/>
    <w:rsid w:val="000606B7"/>
    <w:rsid w:val="00063507"/>
    <w:rsid w:val="000645DE"/>
    <w:rsid w:val="00064E26"/>
    <w:rsid w:val="0006550A"/>
    <w:rsid w:val="00065C62"/>
    <w:rsid w:val="00070209"/>
    <w:rsid w:val="000716C5"/>
    <w:rsid w:val="00071CFE"/>
    <w:rsid w:val="00071F87"/>
    <w:rsid w:val="000727BA"/>
    <w:rsid w:val="00072B9D"/>
    <w:rsid w:val="00075E23"/>
    <w:rsid w:val="00075EEE"/>
    <w:rsid w:val="00077999"/>
    <w:rsid w:val="00082C0F"/>
    <w:rsid w:val="00083E5B"/>
    <w:rsid w:val="00084399"/>
    <w:rsid w:val="00084D3B"/>
    <w:rsid w:val="000853E5"/>
    <w:rsid w:val="00086E86"/>
    <w:rsid w:val="00086ECC"/>
    <w:rsid w:val="0008734C"/>
    <w:rsid w:val="00092937"/>
    <w:rsid w:val="0009344A"/>
    <w:rsid w:val="00095CC4"/>
    <w:rsid w:val="0009670E"/>
    <w:rsid w:val="00096FA6"/>
    <w:rsid w:val="000975D1"/>
    <w:rsid w:val="000A392E"/>
    <w:rsid w:val="000A4616"/>
    <w:rsid w:val="000A575F"/>
    <w:rsid w:val="000A6511"/>
    <w:rsid w:val="000B23D0"/>
    <w:rsid w:val="000B3023"/>
    <w:rsid w:val="000B57A1"/>
    <w:rsid w:val="000B687B"/>
    <w:rsid w:val="000B7B84"/>
    <w:rsid w:val="000C1D6A"/>
    <w:rsid w:val="000C29AD"/>
    <w:rsid w:val="000C2B42"/>
    <w:rsid w:val="000C2EF9"/>
    <w:rsid w:val="000C3711"/>
    <w:rsid w:val="000C4CB7"/>
    <w:rsid w:val="000C4D90"/>
    <w:rsid w:val="000C5645"/>
    <w:rsid w:val="000C72F9"/>
    <w:rsid w:val="000D10DB"/>
    <w:rsid w:val="000D5297"/>
    <w:rsid w:val="000E0C69"/>
    <w:rsid w:val="000E35A2"/>
    <w:rsid w:val="000E5EB5"/>
    <w:rsid w:val="000E6B91"/>
    <w:rsid w:val="000F00CB"/>
    <w:rsid w:val="000F11D6"/>
    <w:rsid w:val="000F144D"/>
    <w:rsid w:val="000F208E"/>
    <w:rsid w:val="000F35ED"/>
    <w:rsid w:val="000F646C"/>
    <w:rsid w:val="000F71CD"/>
    <w:rsid w:val="00101629"/>
    <w:rsid w:val="00107131"/>
    <w:rsid w:val="0010736F"/>
    <w:rsid w:val="0010765F"/>
    <w:rsid w:val="0011261B"/>
    <w:rsid w:val="001128D5"/>
    <w:rsid w:val="00113F73"/>
    <w:rsid w:val="00114741"/>
    <w:rsid w:val="00115216"/>
    <w:rsid w:val="00117B28"/>
    <w:rsid w:val="00121CC2"/>
    <w:rsid w:val="00121E33"/>
    <w:rsid w:val="00124D62"/>
    <w:rsid w:val="001263D6"/>
    <w:rsid w:val="001278E1"/>
    <w:rsid w:val="00127C65"/>
    <w:rsid w:val="00131D6E"/>
    <w:rsid w:val="00133EE5"/>
    <w:rsid w:val="00136E68"/>
    <w:rsid w:val="00137B1C"/>
    <w:rsid w:val="00144113"/>
    <w:rsid w:val="0014695A"/>
    <w:rsid w:val="00156EE3"/>
    <w:rsid w:val="0015748C"/>
    <w:rsid w:val="001607E9"/>
    <w:rsid w:val="001616D2"/>
    <w:rsid w:val="00162518"/>
    <w:rsid w:val="00162FAB"/>
    <w:rsid w:val="00165AA8"/>
    <w:rsid w:val="00166157"/>
    <w:rsid w:val="0016691B"/>
    <w:rsid w:val="00167A34"/>
    <w:rsid w:val="00170D9A"/>
    <w:rsid w:val="00171D37"/>
    <w:rsid w:val="00175072"/>
    <w:rsid w:val="00176475"/>
    <w:rsid w:val="00180502"/>
    <w:rsid w:val="00181BFA"/>
    <w:rsid w:val="00183973"/>
    <w:rsid w:val="00183DC0"/>
    <w:rsid w:val="00183E63"/>
    <w:rsid w:val="001840B7"/>
    <w:rsid w:val="00184159"/>
    <w:rsid w:val="00190921"/>
    <w:rsid w:val="00196814"/>
    <w:rsid w:val="001978D3"/>
    <w:rsid w:val="001A09BF"/>
    <w:rsid w:val="001A0C21"/>
    <w:rsid w:val="001A12B0"/>
    <w:rsid w:val="001A1402"/>
    <w:rsid w:val="001A370E"/>
    <w:rsid w:val="001A7870"/>
    <w:rsid w:val="001B29B3"/>
    <w:rsid w:val="001B3781"/>
    <w:rsid w:val="001B39B5"/>
    <w:rsid w:val="001B61F0"/>
    <w:rsid w:val="001B7DE5"/>
    <w:rsid w:val="001C1B41"/>
    <w:rsid w:val="001C201C"/>
    <w:rsid w:val="001C6536"/>
    <w:rsid w:val="001C71C9"/>
    <w:rsid w:val="001C7EBD"/>
    <w:rsid w:val="001D18A3"/>
    <w:rsid w:val="001D4ABD"/>
    <w:rsid w:val="001D4F51"/>
    <w:rsid w:val="001D5C04"/>
    <w:rsid w:val="001D65EF"/>
    <w:rsid w:val="001D7891"/>
    <w:rsid w:val="001D78F2"/>
    <w:rsid w:val="001E0A2A"/>
    <w:rsid w:val="001E21D6"/>
    <w:rsid w:val="001E2205"/>
    <w:rsid w:val="001E233D"/>
    <w:rsid w:val="001E28A4"/>
    <w:rsid w:val="001F52EB"/>
    <w:rsid w:val="001F5F81"/>
    <w:rsid w:val="001F619B"/>
    <w:rsid w:val="001F6E96"/>
    <w:rsid w:val="00201202"/>
    <w:rsid w:val="00203A2C"/>
    <w:rsid w:val="002066EB"/>
    <w:rsid w:val="00207892"/>
    <w:rsid w:val="00213B03"/>
    <w:rsid w:val="002142AE"/>
    <w:rsid w:val="0021533C"/>
    <w:rsid w:val="00215F21"/>
    <w:rsid w:val="00217A75"/>
    <w:rsid w:val="0022132A"/>
    <w:rsid w:val="0022165B"/>
    <w:rsid w:val="00223175"/>
    <w:rsid w:val="002250A3"/>
    <w:rsid w:val="00226BD0"/>
    <w:rsid w:val="0023330E"/>
    <w:rsid w:val="00235217"/>
    <w:rsid w:val="00236D5F"/>
    <w:rsid w:val="002372AF"/>
    <w:rsid w:val="002409D9"/>
    <w:rsid w:val="00243228"/>
    <w:rsid w:val="00243C44"/>
    <w:rsid w:val="002457E7"/>
    <w:rsid w:val="00245A1A"/>
    <w:rsid w:val="00246D1F"/>
    <w:rsid w:val="00247403"/>
    <w:rsid w:val="00247542"/>
    <w:rsid w:val="002516D0"/>
    <w:rsid w:val="00252527"/>
    <w:rsid w:val="0025275E"/>
    <w:rsid w:val="002529BA"/>
    <w:rsid w:val="00252DA5"/>
    <w:rsid w:val="0025324D"/>
    <w:rsid w:val="002533E3"/>
    <w:rsid w:val="0025385C"/>
    <w:rsid w:val="00253A93"/>
    <w:rsid w:val="0025516D"/>
    <w:rsid w:val="0025691F"/>
    <w:rsid w:val="002575B0"/>
    <w:rsid w:val="0026139E"/>
    <w:rsid w:val="0026152F"/>
    <w:rsid w:val="00261DC1"/>
    <w:rsid w:val="00262778"/>
    <w:rsid w:val="00263865"/>
    <w:rsid w:val="00263B86"/>
    <w:rsid w:val="002657EC"/>
    <w:rsid w:val="00266B61"/>
    <w:rsid w:val="0026712A"/>
    <w:rsid w:val="002704DB"/>
    <w:rsid w:val="002740B6"/>
    <w:rsid w:val="002753E8"/>
    <w:rsid w:val="002755A8"/>
    <w:rsid w:val="00277158"/>
    <w:rsid w:val="002778A1"/>
    <w:rsid w:val="00280A1E"/>
    <w:rsid w:val="00281918"/>
    <w:rsid w:val="002847DD"/>
    <w:rsid w:val="00286994"/>
    <w:rsid w:val="00287555"/>
    <w:rsid w:val="00287767"/>
    <w:rsid w:val="002913F6"/>
    <w:rsid w:val="002958BB"/>
    <w:rsid w:val="00296B5B"/>
    <w:rsid w:val="00296F29"/>
    <w:rsid w:val="002A0011"/>
    <w:rsid w:val="002A0AAE"/>
    <w:rsid w:val="002A1184"/>
    <w:rsid w:val="002A2CA3"/>
    <w:rsid w:val="002A3811"/>
    <w:rsid w:val="002A5820"/>
    <w:rsid w:val="002B48A7"/>
    <w:rsid w:val="002B61E0"/>
    <w:rsid w:val="002B631F"/>
    <w:rsid w:val="002B6A9B"/>
    <w:rsid w:val="002B6FC5"/>
    <w:rsid w:val="002B76AA"/>
    <w:rsid w:val="002C22A1"/>
    <w:rsid w:val="002C25B5"/>
    <w:rsid w:val="002C5E68"/>
    <w:rsid w:val="002D1E3D"/>
    <w:rsid w:val="002D2B26"/>
    <w:rsid w:val="002D4B06"/>
    <w:rsid w:val="002D4E73"/>
    <w:rsid w:val="002D58E4"/>
    <w:rsid w:val="002D603D"/>
    <w:rsid w:val="002D6C92"/>
    <w:rsid w:val="002D7022"/>
    <w:rsid w:val="002D7EA2"/>
    <w:rsid w:val="002E187C"/>
    <w:rsid w:val="002E23FD"/>
    <w:rsid w:val="002E3813"/>
    <w:rsid w:val="002E387C"/>
    <w:rsid w:val="002F0727"/>
    <w:rsid w:val="002F273E"/>
    <w:rsid w:val="002F3E4D"/>
    <w:rsid w:val="002F417B"/>
    <w:rsid w:val="002F50D7"/>
    <w:rsid w:val="002F65C5"/>
    <w:rsid w:val="002F6B67"/>
    <w:rsid w:val="002F79ED"/>
    <w:rsid w:val="003023CC"/>
    <w:rsid w:val="00302613"/>
    <w:rsid w:val="00302733"/>
    <w:rsid w:val="003070F1"/>
    <w:rsid w:val="00307D0A"/>
    <w:rsid w:val="00314078"/>
    <w:rsid w:val="003148C4"/>
    <w:rsid w:val="0031535D"/>
    <w:rsid w:val="003173A4"/>
    <w:rsid w:val="00324884"/>
    <w:rsid w:val="00324CE3"/>
    <w:rsid w:val="003306C0"/>
    <w:rsid w:val="0033169F"/>
    <w:rsid w:val="00335B7F"/>
    <w:rsid w:val="00340607"/>
    <w:rsid w:val="0034073A"/>
    <w:rsid w:val="00343765"/>
    <w:rsid w:val="00346C95"/>
    <w:rsid w:val="00347DFB"/>
    <w:rsid w:val="003524B8"/>
    <w:rsid w:val="0035384B"/>
    <w:rsid w:val="00356185"/>
    <w:rsid w:val="0035709B"/>
    <w:rsid w:val="00360380"/>
    <w:rsid w:val="00362B3C"/>
    <w:rsid w:val="00365006"/>
    <w:rsid w:val="00365B97"/>
    <w:rsid w:val="003676A3"/>
    <w:rsid w:val="003678F0"/>
    <w:rsid w:val="00370440"/>
    <w:rsid w:val="00371A2A"/>
    <w:rsid w:val="00373B0D"/>
    <w:rsid w:val="00374D27"/>
    <w:rsid w:val="0037519E"/>
    <w:rsid w:val="00380264"/>
    <w:rsid w:val="00384A58"/>
    <w:rsid w:val="00385B7B"/>
    <w:rsid w:val="00386243"/>
    <w:rsid w:val="0038685F"/>
    <w:rsid w:val="00386CF0"/>
    <w:rsid w:val="00386E47"/>
    <w:rsid w:val="00392335"/>
    <w:rsid w:val="00396DC4"/>
    <w:rsid w:val="00397A09"/>
    <w:rsid w:val="00397D76"/>
    <w:rsid w:val="003A03EB"/>
    <w:rsid w:val="003A29A1"/>
    <w:rsid w:val="003A4943"/>
    <w:rsid w:val="003A5860"/>
    <w:rsid w:val="003A5A1C"/>
    <w:rsid w:val="003A5ACC"/>
    <w:rsid w:val="003A6A1C"/>
    <w:rsid w:val="003A77AE"/>
    <w:rsid w:val="003B4C5B"/>
    <w:rsid w:val="003B5D03"/>
    <w:rsid w:val="003B7C1C"/>
    <w:rsid w:val="003C1378"/>
    <w:rsid w:val="003C1E63"/>
    <w:rsid w:val="003C20E3"/>
    <w:rsid w:val="003C2510"/>
    <w:rsid w:val="003C676B"/>
    <w:rsid w:val="003C7EA3"/>
    <w:rsid w:val="003D1B09"/>
    <w:rsid w:val="003D23F8"/>
    <w:rsid w:val="003D3BC2"/>
    <w:rsid w:val="003D3D83"/>
    <w:rsid w:val="003D4AE0"/>
    <w:rsid w:val="003D4BC0"/>
    <w:rsid w:val="003D55E1"/>
    <w:rsid w:val="003D7176"/>
    <w:rsid w:val="003E2177"/>
    <w:rsid w:val="003E67F8"/>
    <w:rsid w:val="003E6CA1"/>
    <w:rsid w:val="003F0020"/>
    <w:rsid w:val="003F1151"/>
    <w:rsid w:val="003F1B50"/>
    <w:rsid w:val="003F1BAA"/>
    <w:rsid w:val="003F4393"/>
    <w:rsid w:val="00400177"/>
    <w:rsid w:val="00400AD7"/>
    <w:rsid w:val="00402A9D"/>
    <w:rsid w:val="00402D44"/>
    <w:rsid w:val="0040323D"/>
    <w:rsid w:val="00403250"/>
    <w:rsid w:val="004032FB"/>
    <w:rsid w:val="00405E3A"/>
    <w:rsid w:val="004106E0"/>
    <w:rsid w:val="0041144C"/>
    <w:rsid w:val="00413F60"/>
    <w:rsid w:val="00414369"/>
    <w:rsid w:val="004165C2"/>
    <w:rsid w:val="0042231B"/>
    <w:rsid w:val="00422C77"/>
    <w:rsid w:val="004231AB"/>
    <w:rsid w:val="00423389"/>
    <w:rsid w:val="004274FA"/>
    <w:rsid w:val="004301F7"/>
    <w:rsid w:val="00430A40"/>
    <w:rsid w:val="00430CA7"/>
    <w:rsid w:val="00434A46"/>
    <w:rsid w:val="0043628D"/>
    <w:rsid w:val="00441ECB"/>
    <w:rsid w:val="004432A5"/>
    <w:rsid w:val="00444CA1"/>
    <w:rsid w:val="0045048C"/>
    <w:rsid w:val="00451B75"/>
    <w:rsid w:val="004537E3"/>
    <w:rsid w:val="00462681"/>
    <w:rsid w:val="004662AF"/>
    <w:rsid w:val="00467B7E"/>
    <w:rsid w:val="00473B54"/>
    <w:rsid w:val="00473CD5"/>
    <w:rsid w:val="00473F91"/>
    <w:rsid w:val="0047546B"/>
    <w:rsid w:val="00477317"/>
    <w:rsid w:val="00477592"/>
    <w:rsid w:val="004778D9"/>
    <w:rsid w:val="00481C31"/>
    <w:rsid w:val="004828B2"/>
    <w:rsid w:val="004868C9"/>
    <w:rsid w:val="0048693B"/>
    <w:rsid w:val="00486F1C"/>
    <w:rsid w:val="0049320C"/>
    <w:rsid w:val="0049331D"/>
    <w:rsid w:val="0049419D"/>
    <w:rsid w:val="00495DB1"/>
    <w:rsid w:val="0049683A"/>
    <w:rsid w:val="00497058"/>
    <w:rsid w:val="004A09E0"/>
    <w:rsid w:val="004A3C4C"/>
    <w:rsid w:val="004A5A19"/>
    <w:rsid w:val="004B0F57"/>
    <w:rsid w:val="004B1571"/>
    <w:rsid w:val="004B36B6"/>
    <w:rsid w:val="004B5173"/>
    <w:rsid w:val="004B548A"/>
    <w:rsid w:val="004B70E4"/>
    <w:rsid w:val="004B7DD9"/>
    <w:rsid w:val="004C20D2"/>
    <w:rsid w:val="004C30C7"/>
    <w:rsid w:val="004C42C7"/>
    <w:rsid w:val="004C4B62"/>
    <w:rsid w:val="004C54C9"/>
    <w:rsid w:val="004C6C64"/>
    <w:rsid w:val="004C7D54"/>
    <w:rsid w:val="004D22AC"/>
    <w:rsid w:val="004D6025"/>
    <w:rsid w:val="004E2649"/>
    <w:rsid w:val="004E2EA6"/>
    <w:rsid w:val="004E5DC8"/>
    <w:rsid w:val="004E70D0"/>
    <w:rsid w:val="004F019B"/>
    <w:rsid w:val="004F16B0"/>
    <w:rsid w:val="004F59D9"/>
    <w:rsid w:val="00501399"/>
    <w:rsid w:val="005022A8"/>
    <w:rsid w:val="00503BB1"/>
    <w:rsid w:val="005055B9"/>
    <w:rsid w:val="005062B1"/>
    <w:rsid w:val="0050633D"/>
    <w:rsid w:val="00507BC4"/>
    <w:rsid w:val="00510BB1"/>
    <w:rsid w:val="005120EA"/>
    <w:rsid w:val="005128E4"/>
    <w:rsid w:val="005133DB"/>
    <w:rsid w:val="00515B83"/>
    <w:rsid w:val="00516422"/>
    <w:rsid w:val="00521BC4"/>
    <w:rsid w:val="005228B5"/>
    <w:rsid w:val="00524888"/>
    <w:rsid w:val="00525560"/>
    <w:rsid w:val="0053105B"/>
    <w:rsid w:val="0053441A"/>
    <w:rsid w:val="005345F1"/>
    <w:rsid w:val="00534D79"/>
    <w:rsid w:val="005365ED"/>
    <w:rsid w:val="00536704"/>
    <w:rsid w:val="00540E60"/>
    <w:rsid w:val="00544816"/>
    <w:rsid w:val="00544C49"/>
    <w:rsid w:val="00550220"/>
    <w:rsid w:val="00550CA0"/>
    <w:rsid w:val="005516A1"/>
    <w:rsid w:val="00553B08"/>
    <w:rsid w:val="00556032"/>
    <w:rsid w:val="00561200"/>
    <w:rsid w:val="005634D2"/>
    <w:rsid w:val="0056350A"/>
    <w:rsid w:val="00567949"/>
    <w:rsid w:val="00571172"/>
    <w:rsid w:val="00571F65"/>
    <w:rsid w:val="00572A62"/>
    <w:rsid w:val="005735CD"/>
    <w:rsid w:val="0057402A"/>
    <w:rsid w:val="00574033"/>
    <w:rsid w:val="005757AE"/>
    <w:rsid w:val="005771D0"/>
    <w:rsid w:val="005817B1"/>
    <w:rsid w:val="00584B30"/>
    <w:rsid w:val="0059191A"/>
    <w:rsid w:val="005921FF"/>
    <w:rsid w:val="00593C52"/>
    <w:rsid w:val="00594429"/>
    <w:rsid w:val="00595085"/>
    <w:rsid w:val="005950E4"/>
    <w:rsid w:val="0059511A"/>
    <w:rsid w:val="005A0FC7"/>
    <w:rsid w:val="005A16DA"/>
    <w:rsid w:val="005A1AFD"/>
    <w:rsid w:val="005A1B36"/>
    <w:rsid w:val="005A271C"/>
    <w:rsid w:val="005A27AF"/>
    <w:rsid w:val="005A29A3"/>
    <w:rsid w:val="005A5C09"/>
    <w:rsid w:val="005A658D"/>
    <w:rsid w:val="005A65DD"/>
    <w:rsid w:val="005A6D0E"/>
    <w:rsid w:val="005A7A71"/>
    <w:rsid w:val="005B270C"/>
    <w:rsid w:val="005B3502"/>
    <w:rsid w:val="005B3F8C"/>
    <w:rsid w:val="005B52B0"/>
    <w:rsid w:val="005B671B"/>
    <w:rsid w:val="005B6806"/>
    <w:rsid w:val="005C15B1"/>
    <w:rsid w:val="005C4225"/>
    <w:rsid w:val="005C5085"/>
    <w:rsid w:val="005C61E6"/>
    <w:rsid w:val="005C7C9D"/>
    <w:rsid w:val="005E046D"/>
    <w:rsid w:val="005E09EA"/>
    <w:rsid w:val="005E2337"/>
    <w:rsid w:val="005E2491"/>
    <w:rsid w:val="005E54E1"/>
    <w:rsid w:val="005E5F25"/>
    <w:rsid w:val="005F0ACA"/>
    <w:rsid w:val="005F0DAD"/>
    <w:rsid w:val="005F0F33"/>
    <w:rsid w:val="005F4AB9"/>
    <w:rsid w:val="005F74D2"/>
    <w:rsid w:val="00600DEB"/>
    <w:rsid w:val="00600E77"/>
    <w:rsid w:val="006013BC"/>
    <w:rsid w:val="00601936"/>
    <w:rsid w:val="00602E99"/>
    <w:rsid w:val="0060659B"/>
    <w:rsid w:val="00607623"/>
    <w:rsid w:val="0061209E"/>
    <w:rsid w:val="00615A1C"/>
    <w:rsid w:val="0062190F"/>
    <w:rsid w:val="006246FE"/>
    <w:rsid w:val="0062498A"/>
    <w:rsid w:val="00626E71"/>
    <w:rsid w:val="0062716C"/>
    <w:rsid w:val="00627C9F"/>
    <w:rsid w:val="00630449"/>
    <w:rsid w:val="006311E9"/>
    <w:rsid w:val="00632354"/>
    <w:rsid w:val="00633B9B"/>
    <w:rsid w:val="00636925"/>
    <w:rsid w:val="00640EFC"/>
    <w:rsid w:val="006427CC"/>
    <w:rsid w:val="00642810"/>
    <w:rsid w:val="00644B93"/>
    <w:rsid w:val="006463F9"/>
    <w:rsid w:val="00647300"/>
    <w:rsid w:val="00652333"/>
    <w:rsid w:val="00652D6D"/>
    <w:rsid w:val="006532AC"/>
    <w:rsid w:val="006533F1"/>
    <w:rsid w:val="006535CE"/>
    <w:rsid w:val="00657C60"/>
    <w:rsid w:val="0066097F"/>
    <w:rsid w:val="00661C64"/>
    <w:rsid w:val="00664CCF"/>
    <w:rsid w:val="00666C4E"/>
    <w:rsid w:val="00667ABA"/>
    <w:rsid w:val="00667DDF"/>
    <w:rsid w:val="00671D5A"/>
    <w:rsid w:val="00672356"/>
    <w:rsid w:val="00672ABF"/>
    <w:rsid w:val="00677F63"/>
    <w:rsid w:val="0068009E"/>
    <w:rsid w:val="006812DA"/>
    <w:rsid w:val="00682AF2"/>
    <w:rsid w:val="00683038"/>
    <w:rsid w:val="0068310D"/>
    <w:rsid w:val="0068449F"/>
    <w:rsid w:val="006845EA"/>
    <w:rsid w:val="00690253"/>
    <w:rsid w:val="00692219"/>
    <w:rsid w:val="006928A0"/>
    <w:rsid w:val="0069541F"/>
    <w:rsid w:val="00695A4E"/>
    <w:rsid w:val="00696B8D"/>
    <w:rsid w:val="006A02D9"/>
    <w:rsid w:val="006A0C6A"/>
    <w:rsid w:val="006A0C6C"/>
    <w:rsid w:val="006A10F8"/>
    <w:rsid w:val="006A17D2"/>
    <w:rsid w:val="006A1A41"/>
    <w:rsid w:val="006A1FC1"/>
    <w:rsid w:val="006A4C9A"/>
    <w:rsid w:val="006A73E6"/>
    <w:rsid w:val="006B2D5C"/>
    <w:rsid w:val="006B795B"/>
    <w:rsid w:val="006C0095"/>
    <w:rsid w:val="006C4EB1"/>
    <w:rsid w:val="006C5BDC"/>
    <w:rsid w:val="006C5D77"/>
    <w:rsid w:val="006D2761"/>
    <w:rsid w:val="006D3C3A"/>
    <w:rsid w:val="006D66B1"/>
    <w:rsid w:val="006E0166"/>
    <w:rsid w:val="006E271B"/>
    <w:rsid w:val="006E5444"/>
    <w:rsid w:val="006E7B34"/>
    <w:rsid w:val="006F14A5"/>
    <w:rsid w:val="006F24CF"/>
    <w:rsid w:val="006F3658"/>
    <w:rsid w:val="006F44B1"/>
    <w:rsid w:val="006F63DE"/>
    <w:rsid w:val="00701B67"/>
    <w:rsid w:val="007039E1"/>
    <w:rsid w:val="00703BC3"/>
    <w:rsid w:val="00706394"/>
    <w:rsid w:val="0070697F"/>
    <w:rsid w:val="007119B5"/>
    <w:rsid w:val="007124F3"/>
    <w:rsid w:val="00713782"/>
    <w:rsid w:val="007146CB"/>
    <w:rsid w:val="0071718D"/>
    <w:rsid w:val="0072036C"/>
    <w:rsid w:val="0072199C"/>
    <w:rsid w:val="007229D9"/>
    <w:rsid w:val="00722A4B"/>
    <w:rsid w:val="00722C9F"/>
    <w:rsid w:val="007232EB"/>
    <w:rsid w:val="007253B8"/>
    <w:rsid w:val="00727833"/>
    <w:rsid w:val="00731B60"/>
    <w:rsid w:val="00736DDE"/>
    <w:rsid w:val="0073741F"/>
    <w:rsid w:val="0074128B"/>
    <w:rsid w:val="00743025"/>
    <w:rsid w:val="007465AE"/>
    <w:rsid w:val="007511E3"/>
    <w:rsid w:val="007603F5"/>
    <w:rsid w:val="007614EA"/>
    <w:rsid w:val="00764BCB"/>
    <w:rsid w:val="0076643F"/>
    <w:rsid w:val="0076793C"/>
    <w:rsid w:val="00770388"/>
    <w:rsid w:val="00771C0C"/>
    <w:rsid w:val="00776266"/>
    <w:rsid w:val="00776895"/>
    <w:rsid w:val="00777F63"/>
    <w:rsid w:val="00787972"/>
    <w:rsid w:val="00790369"/>
    <w:rsid w:val="007907EB"/>
    <w:rsid w:val="007917A2"/>
    <w:rsid w:val="00797C76"/>
    <w:rsid w:val="007A0537"/>
    <w:rsid w:val="007A42D9"/>
    <w:rsid w:val="007A4ED3"/>
    <w:rsid w:val="007A5817"/>
    <w:rsid w:val="007A6186"/>
    <w:rsid w:val="007B3D41"/>
    <w:rsid w:val="007B60E9"/>
    <w:rsid w:val="007B61D4"/>
    <w:rsid w:val="007B69A0"/>
    <w:rsid w:val="007B6CC3"/>
    <w:rsid w:val="007C3334"/>
    <w:rsid w:val="007C4B9E"/>
    <w:rsid w:val="007C5348"/>
    <w:rsid w:val="007C7C02"/>
    <w:rsid w:val="007D1821"/>
    <w:rsid w:val="007D2B98"/>
    <w:rsid w:val="007D322F"/>
    <w:rsid w:val="007D7A14"/>
    <w:rsid w:val="007E21BC"/>
    <w:rsid w:val="007E2E66"/>
    <w:rsid w:val="007E5792"/>
    <w:rsid w:val="007E68F9"/>
    <w:rsid w:val="007F1678"/>
    <w:rsid w:val="007F48A5"/>
    <w:rsid w:val="007F4EFD"/>
    <w:rsid w:val="007F5FBE"/>
    <w:rsid w:val="007F64D0"/>
    <w:rsid w:val="00800619"/>
    <w:rsid w:val="008016CF"/>
    <w:rsid w:val="008026D7"/>
    <w:rsid w:val="00803F1C"/>
    <w:rsid w:val="00804A4B"/>
    <w:rsid w:val="00804DA9"/>
    <w:rsid w:val="0080600E"/>
    <w:rsid w:val="00812868"/>
    <w:rsid w:val="008156EC"/>
    <w:rsid w:val="00817612"/>
    <w:rsid w:val="008264BE"/>
    <w:rsid w:val="00826A3B"/>
    <w:rsid w:val="008278E8"/>
    <w:rsid w:val="00831270"/>
    <w:rsid w:val="008338A4"/>
    <w:rsid w:val="00834681"/>
    <w:rsid w:val="00835406"/>
    <w:rsid w:val="00836319"/>
    <w:rsid w:val="00837C45"/>
    <w:rsid w:val="0084011B"/>
    <w:rsid w:val="00840D8A"/>
    <w:rsid w:val="0084315D"/>
    <w:rsid w:val="00844730"/>
    <w:rsid w:val="008457C2"/>
    <w:rsid w:val="00845CE0"/>
    <w:rsid w:val="0084645E"/>
    <w:rsid w:val="00846B28"/>
    <w:rsid w:val="00847C9C"/>
    <w:rsid w:val="00853C49"/>
    <w:rsid w:val="00857A82"/>
    <w:rsid w:val="00861975"/>
    <w:rsid w:val="008656EB"/>
    <w:rsid w:val="00867035"/>
    <w:rsid w:val="00871850"/>
    <w:rsid w:val="00873836"/>
    <w:rsid w:val="0087609A"/>
    <w:rsid w:val="00880A60"/>
    <w:rsid w:val="00880AC9"/>
    <w:rsid w:val="00880D4C"/>
    <w:rsid w:val="00881EBF"/>
    <w:rsid w:val="0088408E"/>
    <w:rsid w:val="00885737"/>
    <w:rsid w:val="00887819"/>
    <w:rsid w:val="00890650"/>
    <w:rsid w:val="00890900"/>
    <w:rsid w:val="00891749"/>
    <w:rsid w:val="00895133"/>
    <w:rsid w:val="00895D1C"/>
    <w:rsid w:val="00896552"/>
    <w:rsid w:val="008966B9"/>
    <w:rsid w:val="0089684A"/>
    <w:rsid w:val="00897E12"/>
    <w:rsid w:val="008A03A7"/>
    <w:rsid w:val="008A2DCD"/>
    <w:rsid w:val="008A40D3"/>
    <w:rsid w:val="008A7E0F"/>
    <w:rsid w:val="008A7E2A"/>
    <w:rsid w:val="008B12F5"/>
    <w:rsid w:val="008B2429"/>
    <w:rsid w:val="008B43FD"/>
    <w:rsid w:val="008B50E6"/>
    <w:rsid w:val="008B5505"/>
    <w:rsid w:val="008B6848"/>
    <w:rsid w:val="008C0F93"/>
    <w:rsid w:val="008C380A"/>
    <w:rsid w:val="008D1506"/>
    <w:rsid w:val="008D768D"/>
    <w:rsid w:val="008D7849"/>
    <w:rsid w:val="008E32C4"/>
    <w:rsid w:val="008E3759"/>
    <w:rsid w:val="008E399E"/>
    <w:rsid w:val="008E3C0E"/>
    <w:rsid w:val="008E6933"/>
    <w:rsid w:val="008E716B"/>
    <w:rsid w:val="008F1912"/>
    <w:rsid w:val="008F1A30"/>
    <w:rsid w:val="008F206A"/>
    <w:rsid w:val="008F2D2C"/>
    <w:rsid w:val="008F3277"/>
    <w:rsid w:val="008F545D"/>
    <w:rsid w:val="0090028B"/>
    <w:rsid w:val="009017AE"/>
    <w:rsid w:val="0090270B"/>
    <w:rsid w:val="009041DC"/>
    <w:rsid w:val="00904564"/>
    <w:rsid w:val="00905FE1"/>
    <w:rsid w:val="00911690"/>
    <w:rsid w:val="009146F2"/>
    <w:rsid w:val="0091493E"/>
    <w:rsid w:val="009176F1"/>
    <w:rsid w:val="00917B5A"/>
    <w:rsid w:val="0092045B"/>
    <w:rsid w:val="00920A58"/>
    <w:rsid w:val="00920A8C"/>
    <w:rsid w:val="00920BA9"/>
    <w:rsid w:val="00922097"/>
    <w:rsid w:val="009230D9"/>
    <w:rsid w:val="0092651C"/>
    <w:rsid w:val="00934A2C"/>
    <w:rsid w:val="009370C2"/>
    <w:rsid w:val="00945190"/>
    <w:rsid w:val="00947BAE"/>
    <w:rsid w:val="00950063"/>
    <w:rsid w:val="00953702"/>
    <w:rsid w:val="0095421C"/>
    <w:rsid w:val="00954D8F"/>
    <w:rsid w:val="009558F8"/>
    <w:rsid w:val="009600B8"/>
    <w:rsid w:val="00960AD0"/>
    <w:rsid w:val="009631D7"/>
    <w:rsid w:val="009634A2"/>
    <w:rsid w:val="0096706E"/>
    <w:rsid w:val="0097207E"/>
    <w:rsid w:val="00974A7E"/>
    <w:rsid w:val="00975C4E"/>
    <w:rsid w:val="00977D46"/>
    <w:rsid w:val="009819AF"/>
    <w:rsid w:val="00981FBA"/>
    <w:rsid w:val="00983687"/>
    <w:rsid w:val="0098796A"/>
    <w:rsid w:val="009916B4"/>
    <w:rsid w:val="00994E77"/>
    <w:rsid w:val="00997162"/>
    <w:rsid w:val="00997BC5"/>
    <w:rsid w:val="009A0110"/>
    <w:rsid w:val="009A4F41"/>
    <w:rsid w:val="009A5B18"/>
    <w:rsid w:val="009B15BC"/>
    <w:rsid w:val="009B1AAD"/>
    <w:rsid w:val="009B347B"/>
    <w:rsid w:val="009B361E"/>
    <w:rsid w:val="009B381B"/>
    <w:rsid w:val="009B4FC3"/>
    <w:rsid w:val="009C2C14"/>
    <w:rsid w:val="009C463D"/>
    <w:rsid w:val="009C7DDD"/>
    <w:rsid w:val="009D1527"/>
    <w:rsid w:val="009D1753"/>
    <w:rsid w:val="009D338B"/>
    <w:rsid w:val="009D3B0D"/>
    <w:rsid w:val="009D3D49"/>
    <w:rsid w:val="009D7611"/>
    <w:rsid w:val="009E0B26"/>
    <w:rsid w:val="009E0B61"/>
    <w:rsid w:val="009E1D55"/>
    <w:rsid w:val="009E48F1"/>
    <w:rsid w:val="009E53DE"/>
    <w:rsid w:val="009E57A1"/>
    <w:rsid w:val="009F1E7B"/>
    <w:rsid w:val="009F45E4"/>
    <w:rsid w:val="009F5F7E"/>
    <w:rsid w:val="009F6B1B"/>
    <w:rsid w:val="009F70EA"/>
    <w:rsid w:val="00A006B7"/>
    <w:rsid w:val="00A02D28"/>
    <w:rsid w:val="00A10010"/>
    <w:rsid w:val="00A13497"/>
    <w:rsid w:val="00A14C28"/>
    <w:rsid w:val="00A170B6"/>
    <w:rsid w:val="00A20875"/>
    <w:rsid w:val="00A20BFC"/>
    <w:rsid w:val="00A22593"/>
    <w:rsid w:val="00A311A0"/>
    <w:rsid w:val="00A328B3"/>
    <w:rsid w:val="00A33088"/>
    <w:rsid w:val="00A34097"/>
    <w:rsid w:val="00A341A6"/>
    <w:rsid w:val="00A34570"/>
    <w:rsid w:val="00A37283"/>
    <w:rsid w:val="00A410DA"/>
    <w:rsid w:val="00A444F8"/>
    <w:rsid w:val="00A47BCE"/>
    <w:rsid w:val="00A5097A"/>
    <w:rsid w:val="00A50FCF"/>
    <w:rsid w:val="00A528D1"/>
    <w:rsid w:val="00A5477D"/>
    <w:rsid w:val="00A55441"/>
    <w:rsid w:val="00A55879"/>
    <w:rsid w:val="00A55AE0"/>
    <w:rsid w:val="00A574EB"/>
    <w:rsid w:val="00A57D5E"/>
    <w:rsid w:val="00A610CD"/>
    <w:rsid w:val="00A62052"/>
    <w:rsid w:val="00A64689"/>
    <w:rsid w:val="00A65787"/>
    <w:rsid w:val="00A658F8"/>
    <w:rsid w:val="00A67BED"/>
    <w:rsid w:val="00A81AB8"/>
    <w:rsid w:val="00A8406C"/>
    <w:rsid w:val="00A85EE4"/>
    <w:rsid w:val="00A86CFA"/>
    <w:rsid w:val="00A926CA"/>
    <w:rsid w:val="00A969ED"/>
    <w:rsid w:val="00AA00D4"/>
    <w:rsid w:val="00AA09A2"/>
    <w:rsid w:val="00AA4012"/>
    <w:rsid w:val="00AA7996"/>
    <w:rsid w:val="00AB017F"/>
    <w:rsid w:val="00AB3DBE"/>
    <w:rsid w:val="00AB4743"/>
    <w:rsid w:val="00AC0549"/>
    <w:rsid w:val="00AC14FE"/>
    <w:rsid w:val="00AC19CB"/>
    <w:rsid w:val="00AC396E"/>
    <w:rsid w:val="00AC5A78"/>
    <w:rsid w:val="00AC6566"/>
    <w:rsid w:val="00AC686F"/>
    <w:rsid w:val="00AC739E"/>
    <w:rsid w:val="00AD06D7"/>
    <w:rsid w:val="00AD0991"/>
    <w:rsid w:val="00AD1C9A"/>
    <w:rsid w:val="00AD270D"/>
    <w:rsid w:val="00AD6467"/>
    <w:rsid w:val="00AD708E"/>
    <w:rsid w:val="00AE280D"/>
    <w:rsid w:val="00AE2CE1"/>
    <w:rsid w:val="00AE5488"/>
    <w:rsid w:val="00AE6272"/>
    <w:rsid w:val="00AE6888"/>
    <w:rsid w:val="00AE6F91"/>
    <w:rsid w:val="00AE72A2"/>
    <w:rsid w:val="00AF1A26"/>
    <w:rsid w:val="00AF5571"/>
    <w:rsid w:val="00B0077C"/>
    <w:rsid w:val="00B03D16"/>
    <w:rsid w:val="00B04794"/>
    <w:rsid w:val="00B05379"/>
    <w:rsid w:val="00B07258"/>
    <w:rsid w:val="00B07341"/>
    <w:rsid w:val="00B13716"/>
    <w:rsid w:val="00B2508A"/>
    <w:rsid w:val="00B30539"/>
    <w:rsid w:val="00B314DB"/>
    <w:rsid w:val="00B31684"/>
    <w:rsid w:val="00B361F2"/>
    <w:rsid w:val="00B3718B"/>
    <w:rsid w:val="00B37FDA"/>
    <w:rsid w:val="00B42B90"/>
    <w:rsid w:val="00B4632A"/>
    <w:rsid w:val="00B46B72"/>
    <w:rsid w:val="00B46F73"/>
    <w:rsid w:val="00B528BF"/>
    <w:rsid w:val="00B52E89"/>
    <w:rsid w:val="00B530F1"/>
    <w:rsid w:val="00B6064B"/>
    <w:rsid w:val="00B645B7"/>
    <w:rsid w:val="00B65277"/>
    <w:rsid w:val="00B66402"/>
    <w:rsid w:val="00B70198"/>
    <w:rsid w:val="00B71EC5"/>
    <w:rsid w:val="00B74FDA"/>
    <w:rsid w:val="00B816C5"/>
    <w:rsid w:val="00B82E70"/>
    <w:rsid w:val="00B8409B"/>
    <w:rsid w:val="00B848B2"/>
    <w:rsid w:val="00B851A6"/>
    <w:rsid w:val="00B901C7"/>
    <w:rsid w:val="00B90321"/>
    <w:rsid w:val="00B91FD3"/>
    <w:rsid w:val="00B9281A"/>
    <w:rsid w:val="00B9793D"/>
    <w:rsid w:val="00BA1CB3"/>
    <w:rsid w:val="00BA276C"/>
    <w:rsid w:val="00BA49A4"/>
    <w:rsid w:val="00BB0C99"/>
    <w:rsid w:val="00BB147E"/>
    <w:rsid w:val="00BB2305"/>
    <w:rsid w:val="00BB306F"/>
    <w:rsid w:val="00BB32AB"/>
    <w:rsid w:val="00BB418A"/>
    <w:rsid w:val="00BB64B6"/>
    <w:rsid w:val="00BC199D"/>
    <w:rsid w:val="00BC5C5C"/>
    <w:rsid w:val="00BD03A2"/>
    <w:rsid w:val="00BD0673"/>
    <w:rsid w:val="00BD144A"/>
    <w:rsid w:val="00BD1879"/>
    <w:rsid w:val="00BD2D59"/>
    <w:rsid w:val="00BD4B89"/>
    <w:rsid w:val="00BD549E"/>
    <w:rsid w:val="00BD566D"/>
    <w:rsid w:val="00BD587F"/>
    <w:rsid w:val="00BD5FFE"/>
    <w:rsid w:val="00BE262E"/>
    <w:rsid w:val="00BE43D8"/>
    <w:rsid w:val="00BE6274"/>
    <w:rsid w:val="00BE6B27"/>
    <w:rsid w:val="00BE7759"/>
    <w:rsid w:val="00BF02CB"/>
    <w:rsid w:val="00BF041B"/>
    <w:rsid w:val="00BF0A59"/>
    <w:rsid w:val="00BF6FD8"/>
    <w:rsid w:val="00BF7F14"/>
    <w:rsid w:val="00C03680"/>
    <w:rsid w:val="00C04D75"/>
    <w:rsid w:val="00C054DF"/>
    <w:rsid w:val="00C065DA"/>
    <w:rsid w:val="00C1134D"/>
    <w:rsid w:val="00C11B38"/>
    <w:rsid w:val="00C125BA"/>
    <w:rsid w:val="00C13F8D"/>
    <w:rsid w:val="00C14CE2"/>
    <w:rsid w:val="00C173B1"/>
    <w:rsid w:val="00C21134"/>
    <w:rsid w:val="00C21762"/>
    <w:rsid w:val="00C22760"/>
    <w:rsid w:val="00C24543"/>
    <w:rsid w:val="00C24E89"/>
    <w:rsid w:val="00C256A2"/>
    <w:rsid w:val="00C2740C"/>
    <w:rsid w:val="00C3095B"/>
    <w:rsid w:val="00C37F51"/>
    <w:rsid w:val="00C408A8"/>
    <w:rsid w:val="00C41057"/>
    <w:rsid w:val="00C4207C"/>
    <w:rsid w:val="00C423FB"/>
    <w:rsid w:val="00C45069"/>
    <w:rsid w:val="00C45F4B"/>
    <w:rsid w:val="00C46758"/>
    <w:rsid w:val="00C46AD4"/>
    <w:rsid w:val="00C50FAF"/>
    <w:rsid w:val="00C51515"/>
    <w:rsid w:val="00C516A9"/>
    <w:rsid w:val="00C5180C"/>
    <w:rsid w:val="00C52895"/>
    <w:rsid w:val="00C5660B"/>
    <w:rsid w:val="00C56BCD"/>
    <w:rsid w:val="00C570CA"/>
    <w:rsid w:val="00C66B72"/>
    <w:rsid w:val="00C66D54"/>
    <w:rsid w:val="00C71E03"/>
    <w:rsid w:val="00C73588"/>
    <w:rsid w:val="00C74476"/>
    <w:rsid w:val="00C74910"/>
    <w:rsid w:val="00C76FF1"/>
    <w:rsid w:val="00C77B23"/>
    <w:rsid w:val="00C80AA5"/>
    <w:rsid w:val="00C80B58"/>
    <w:rsid w:val="00C82D5F"/>
    <w:rsid w:val="00C835DC"/>
    <w:rsid w:val="00C85918"/>
    <w:rsid w:val="00C87214"/>
    <w:rsid w:val="00C9256D"/>
    <w:rsid w:val="00C929D4"/>
    <w:rsid w:val="00C939A3"/>
    <w:rsid w:val="00C93CB2"/>
    <w:rsid w:val="00C95355"/>
    <w:rsid w:val="00C9567A"/>
    <w:rsid w:val="00C96BE6"/>
    <w:rsid w:val="00CA2516"/>
    <w:rsid w:val="00CA372A"/>
    <w:rsid w:val="00CA38A4"/>
    <w:rsid w:val="00CA6ACF"/>
    <w:rsid w:val="00CB1F3E"/>
    <w:rsid w:val="00CB212D"/>
    <w:rsid w:val="00CB2660"/>
    <w:rsid w:val="00CB276A"/>
    <w:rsid w:val="00CB308A"/>
    <w:rsid w:val="00CB38A2"/>
    <w:rsid w:val="00CB544A"/>
    <w:rsid w:val="00CC09BF"/>
    <w:rsid w:val="00CC158C"/>
    <w:rsid w:val="00CC4D5C"/>
    <w:rsid w:val="00CC5E90"/>
    <w:rsid w:val="00CC69DE"/>
    <w:rsid w:val="00CD046C"/>
    <w:rsid w:val="00CD3C12"/>
    <w:rsid w:val="00CD3CEC"/>
    <w:rsid w:val="00CD6F1B"/>
    <w:rsid w:val="00CD7C7D"/>
    <w:rsid w:val="00CE076C"/>
    <w:rsid w:val="00CE097E"/>
    <w:rsid w:val="00CE1C2C"/>
    <w:rsid w:val="00CE50A8"/>
    <w:rsid w:val="00CE50DF"/>
    <w:rsid w:val="00CE5199"/>
    <w:rsid w:val="00CE5266"/>
    <w:rsid w:val="00CE66D5"/>
    <w:rsid w:val="00CE75D5"/>
    <w:rsid w:val="00CE774A"/>
    <w:rsid w:val="00CF0367"/>
    <w:rsid w:val="00CF0A8A"/>
    <w:rsid w:val="00CF1513"/>
    <w:rsid w:val="00CF637A"/>
    <w:rsid w:val="00D01A46"/>
    <w:rsid w:val="00D059DE"/>
    <w:rsid w:val="00D108DE"/>
    <w:rsid w:val="00D13FCE"/>
    <w:rsid w:val="00D1522B"/>
    <w:rsid w:val="00D162C3"/>
    <w:rsid w:val="00D16446"/>
    <w:rsid w:val="00D166AF"/>
    <w:rsid w:val="00D17068"/>
    <w:rsid w:val="00D21AC4"/>
    <w:rsid w:val="00D2232D"/>
    <w:rsid w:val="00D2465A"/>
    <w:rsid w:val="00D249FF"/>
    <w:rsid w:val="00D27EA6"/>
    <w:rsid w:val="00D306D1"/>
    <w:rsid w:val="00D3264D"/>
    <w:rsid w:val="00D335C8"/>
    <w:rsid w:val="00D34786"/>
    <w:rsid w:val="00D3708D"/>
    <w:rsid w:val="00D37BFC"/>
    <w:rsid w:val="00D42C89"/>
    <w:rsid w:val="00D45988"/>
    <w:rsid w:val="00D45F47"/>
    <w:rsid w:val="00D47A8E"/>
    <w:rsid w:val="00D52D14"/>
    <w:rsid w:val="00D53723"/>
    <w:rsid w:val="00D5426A"/>
    <w:rsid w:val="00D54921"/>
    <w:rsid w:val="00D549B0"/>
    <w:rsid w:val="00D559BA"/>
    <w:rsid w:val="00D60F39"/>
    <w:rsid w:val="00D61961"/>
    <w:rsid w:val="00D62291"/>
    <w:rsid w:val="00D628E9"/>
    <w:rsid w:val="00D65713"/>
    <w:rsid w:val="00D664A5"/>
    <w:rsid w:val="00D66DE3"/>
    <w:rsid w:val="00D670C0"/>
    <w:rsid w:val="00D70180"/>
    <w:rsid w:val="00D703DF"/>
    <w:rsid w:val="00D712D3"/>
    <w:rsid w:val="00D71422"/>
    <w:rsid w:val="00D72113"/>
    <w:rsid w:val="00D72DC6"/>
    <w:rsid w:val="00D72FCF"/>
    <w:rsid w:val="00D73730"/>
    <w:rsid w:val="00D7399C"/>
    <w:rsid w:val="00D74092"/>
    <w:rsid w:val="00D74C9C"/>
    <w:rsid w:val="00D7558D"/>
    <w:rsid w:val="00D76661"/>
    <w:rsid w:val="00D81D92"/>
    <w:rsid w:val="00D82ADC"/>
    <w:rsid w:val="00D85E80"/>
    <w:rsid w:val="00D86575"/>
    <w:rsid w:val="00D90B05"/>
    <w:rsid w:val="00D93236"/>
    <w:rsid w:val="00D95C63"/>
    <w:rsid w:val="00D967EC"/>
    <w:rsid w:val="00D96DFC"/>
    <w:rsid w:val="00D97D36"/>
    <w:rsid w:val="00D97F4B"/>
    <w:rsid w:val="00DA09D6"/>
    <w:rsid w:val="00DA203B"/>
    <w:rsid w:val="00DA4C0D"/>
    <w:rsid w:val="00DA54AF"/>
    <w:rsid w:val="00DA6390"/>
    <w:rsid w:val="00DA7B5F"/>
    <w:rsid w:val="00DB0B54"/>
    <w:rsid w:val="00DB16FB"/>
    <w:rsid w:val="00DB3D43"/>
    <w:rsid w:val="00DB5909"/>
    <w:rsid w:val="00DB6627"/>
    <w:rsid w:val="00DB6A2C"/>
    <w:rsid w:val="00DC05C6"/>
    <w:rsid w:val="00DC11E7"/>
    <w:rsid w:val="00DC138B"/>
    <w:rsid w:val="00DC183D"/>
    <w:rsid w:val="00DC34AB"/>
    <w:rsid w:val="00DC3723"/>
    <w:rsid w:val="00DC5040"/>
    <w:rsid w:val="00DC5D30"/>
    <w:rsid w:val="00DC6EDE"/>
    <w:rsid w:val="00DC7023"/>
    <w:rsid w:val="00DC769A"/>
    <w:rsid w:val="00DC7793"/>
    <w:rsid w:val="00DD02EA"/>
    <w:rsid w:val="00DD1075"/>
    <w:rsid w:val="00DD3D86"/>
    <w:rsid w:val="00DD541A"/>
    <w:rsid w:val="00DD6087"/>
    <w:rsid w:val="00DD6993"/>
    <w:rsid w:val="00DE04D1"/>
    <w:rsid w:val="00DE196E"/>
    <w:rsid w:val="00DE6775"/>
    <w:rsid w:val="00DE6A18"/>
    <w:rsid w:val="00DF1EC4"/>
    <w:rsid w:val="00DF22F5"/>
    <w:rsid w:val="00DF45EF"/>
    <w:rsid w:val="00DF58A5"/>
    <w:rsid w:val="00DF7A10"/>
    <w:rsid w:val="00E0340B"/>
    <w:rsid w:val="00E04584"/>
    <w:rsid w:val="00E04A90"/>
    <w:rsid w:val="00E05F14"/>
    <w:rsid w:val="00E11640"/>
    <w:rsid w:val="00E169C5"/>
    <w:rsid w:val="00E17901"/>
    <w:rsid w:val="00E17E1D"/>
    <w:rsid w:val="00E21071"/>
    <w:rsid w:val="00E219C7"/>
    <w:rsid w:val="00E232EE"/>
    <w:rsid w:val="00E23B44"/>
    <w:rsid w:val="00E24A0F"/>
    <w:rsid w:val="00E27260"/>
    <w:rsid w:val="00E30114"/>
    <w:rsid w:val="00E31B79"/>
    <w:rsid w:val="00E339F6"/>
    <w:rsid w:val="00E43157"/>
    <w:rsid w:val="00E43E9F"/>
    <w:rsid w:val="00E4421E"/>
    <w:rsid w:val="00E44264"/>
    <w:rsid w:val="00E443A5"/>
    <w:rsid w:val="00E461CE"/>
    <w:rsid w:val="00E46C67"/>
    <w:rsid w:val="00E51A1E"/>
    <w:rsid w:val="00E51C4F"/>
    <w:rsid w:val="00E52D27"/>
    <w:rsid w:val="00E552C5"/>
    <w:rsid w:val="00E570C3"/>
    <w:rsid w:val="00E63CEC"/>
    <w:rsid w:val="00E65B0D"/>
    <w:rsid w:val="00E67BEC"/>
    <w:rsid w:val="00E715E8"/>
    <w:rsid w:val="00E720CA"/>
    <w:rsid w:val="00E72266"/>
    <w:rsid w:val="00E76DD2"/>
    <w:rsid w:val="00E77E69"/>
    <w:rsid w:val="00E80709"/>
    <w:rsid w:val="00E82359"/>
    <w:rsid w:val="00E830BE"/>
    <w:rsid w:val="00E83758"/>
    <w:rsid w:val="00E84EB5"/>
    <w:rsid w:val="00E84ED4"/>
    <w:rsid w:val="00E85082"/>
    <w:rsid w:val="00E851F9"/>
    <w:rsid w:val="00E85351"/>
    <w:rsid w:val="00E85662"/>
    <w:rsid w:val="00E87276"/>
    <w:rsid w:val="00E8789F"/>
    <w:rsid w:val="00E92433"/>
    <w:rsid w:val="00E9249A"/>
    <w:rsid w:val="00E92EE0"/>
    <w:rsid w:val="00E93D21"/>
    <w:rsid w:val="00E95F94"/>
    <w:rsid w:val="00E9688C"/>
    <w:rsid w:val="00E97B71"/>
    <w:rsid w:val="00EA0222"/>
    <w:rsid w:val="00EA1125"/>
    <w:rsid w:val="00EA15CB"/>
    <w:rsid w:val="00EA3D34"/>
    <w:rsid w:val="00EA5E58"/>
    <w:rsid w:val="00EB0900"/>
    <w:rsid w:val="00EB221C"/>
    <w:rsid w:val="00EB3BB7"/>
    <w:rsid w:val="00EB454D"/>
    <w:rsid w:val="00EB6CB8"/>
    <w:rsid w:val="00EC07A3"/>
    <w:rsid w:val="00EC1B2D"/>
    <w:rsid w:val="00EC2557"/>
    <w:rsid w:val="00EC27BF"/>
    <w:rsid w:val="00EC2E34"/>
    <w:rsid w:val="00EC461B"/>
    <w:rsid w:val="00EC5A9D"/>
    <w:rsid w:val="00EC744E"/>
    <w:rsid w:val="00ED290A"/>
    <w:rsid w:val="00ED4CCC"/>
    <w:rsid w:val="00ED52FE"/>
    <w:rsid w:val="00ED76BE"/>
    <w:rsid w:val="00EE5269"/>
    <w:rsid w:val="00EE68C8"/>
    <w:rsid w:val="00EE721A"/>
    <w:rsid w:val="00EE7D5A"/>
    <w:rsid w:val="00EF0CA9"/>
    <w:rsid w:val="00EF4DB1"/>
    <w:rsid w:val="00EF619B"/>
    <w:rsid w:val="00F00715"/>
    <w:rsid w:val="00F00725"/>
    <w:rsid w:val="00F00941"/>
    <w:rsid w:val="00F00B55"/>
    <w:rsid w:val="00F010C2"/>
    <w:rsid w:val="00F02AD1"/>
    <w:rsid w:val="00F034C0"/>
    <w:rsid w:val="00F04D2F"/>
    <w:rsid w:val="00F050CD"/>
    <w:rsid w:val="00F0624D"/>
    <w:rsid w:val="00F063CB"/>
    <w:rsid w:val="00F06B1C"/>
    <w:rsid w:val="00F07144"/>
    <w:rsid w:val="00F0749E"/>
    <w:rsid w:val="00F10421"/>
    <w:rsid w:val="00F15801"/>
    <w:rsid w:val="00F16CF6"/>
    <w:rsid w:val="00F231C5"/>
    <w:rsid w:val="00F24C61"/>
    <w:rsid w:val="00F253CC"/>
    <w:rsid w:val="00F32899"/>
    <w:rsid w:val="00F361B0"/>
    <w:rsid w:val="00F36213"/>
    <w:rsid w:val="00F36609"/>
    <w:rsid w:val="00F36DEE"/>
    <w:rsid w:val="00F37106"/>
    <w:rsid w:val="00F40018"/>
    <w:rsid w:val="00F449B5"/>
    <w:rsid w:val="00F46E95"/>
    <w:rsid w:val="00F5008C"/>
    <w:rsid w:val="00F51009"/>
    <w:rsid w:val="00F519CF"/>
    <w:rsid w:val="00F5207D"/>
    <w:rsid w:val="00F52893"/>
    <w:rsid w:val="00F533FB"/>
    <w:rsid w:val="00F54071"/>
    <w:rsid w:val="00F55D99"/>
    <w:rsid w:val="00F56A47"/>
    <w:rsid w:val="00F56BA5"/>
    <w:rsid w:val="00F60E22"/>
    <w:rsid w:val="00F65623"/>
    <w:rsid w:val="00F673E3"/>
    <w:rsid w:val="00F67DC5"/>
    <w:rsid w:val="00F70C76"/>
    <w:rsid w:val="00F71061"/>
    <w:rsid w:val="00F72F3E"/>
    <w:rsid w:val="00F744D9"/>
    <w:rsid w:val="00F761B7"/>
    <w:rsid w:val="00F76BEA"/>
    <w:rsid w:val="00F80736"/>
    <w:rsid w:val="00F81395"/>
    <w:rsid w:val="00F824BE"/>
    <w:rsid w:val="00F85B68"/>
    <w:rsid w:val="00F85EB6"/>
    <w:rsid w:val="00F861C8"/>
    <w:rsid w:val="00F9080A"/>
    <w:rsid w:val="00F90CF3"/>
    <w:rsid w:val="00F917D1"/>
    <w:rsid w:val="00F91C95"/>
    <w:rsid w:val="00F91E20"/>
    <w:rsid w:val="00F930C0"/>
    <w:rsid w:val="00F9366D"/>
    <w:rsid w:val="00F938D2"/>
    <w:rsid w:val="00F93DC4"/>
    <w:rsid w:val="00F948C5"/>
    <w:rsid w:val="00F9653B"/>
    <w:rsid w:val="00F9773C"/>
    <w:rsid w:val="00FA4729"/>
    <w:rsid w:val="00FA506E"/>
    <w:rsid w:val="00FB007C"/>
    <w:rsid w:val="00FB0FCD"/>
    <w:rsid w:val="00FB1535"/>
    <w:rsid w:val="00FB2296"/>
    <w:rsid w:val="00FB4FA6"/>
    <w:rsid w:val="00FB61E0"/>
    <w:rsid w:val="00FB62CF"/>
    <w:rsid w:val="00FC22BD"/>
    <w:rsid w:val="00FC41E9"/>
    <w:rsid w:val="00FC5763"/>
    <w:rsid w:val="00FC5D42"/>
    <w:rsid w:val="00FD3161"/>
    <w:rsid w:val="00FD3C3B"/>
    <w:rsid w:val="00FD6F41"/>
    <w:rsid w:val="00FD7F66"/>
    <w:rsid w:val="00FE07DD"/>
    <w:rsid w:val="00FE1F59"/>
    <w:rsid w:val="00FE2360"/>
    <w:rsid w:val="00FE2D00"/>
    <w:rsid w:val="00FE6B45"/>
    <w:rsid w:val="00FF067D"/>
    <w:rsid w:val="00FF429D"/>
    <w:rsid w:val="00FF456B"/>
    <w:rsid w:val="00FF50CB"/>
    <w:rsid w:val="00FF55F3"/>
    <w:rsid w:val="00FF5851"/>
    <w:rsid w:val="00FF6211"/>
    <w:rsid w:val="00FF64B3"/>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5058"/>
    <o:shapelayout v:ext="edit">
      <o:idmap v:ext="edit" data="1"/>
    </o:shapelayout>
  </w:shapeDefaults>
  <w:decimalSymbol w:val="."/>
  <w:listSeparator w:val=","/>
  <w14:docId w14:val="45BEC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7283"/>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bdr w:val="none" w:sz="0" w:space="0" w:color="auto"/>
      <w:lang w:val="en-GB" w:eastAsia="en-GB"/>
    </w:rPr>
  </w:style>
  <w:style w:type="paragraph" w:styleId="Heading1">
    <w:name w:val="heading 1"/>
    <w:basedOn w:val="ListParagraph"/>
    <w:next w:val="Normal"/>
    <w:link w:val="Heading1Char"/>
    <w:uiPriority w:val="9"/>
    <w:qFormat/>
    <w:rsid w:val="004F16B0"/>
    <w:pPr>
      <w:keepNext/>
      <w:keepLines/>
      <w:numPr>
        <w:numId w:val="57"/>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outlineLvl w:val="0"/>
    </w:pPr>
    <w:rPr>
      <w:rFonts w:eastAsia="Calibri"/>
      <w:b/>
      <w:sz w:val="20"/>
      <w:szCs w:val="20"/>
      <w:bdr w:val="none" w:sz="0" w:space="0" w:color="auto"/>
      <w:lang w:val="es-ES_tradnl"/>
    </w:rPr>
  </w:style>
  <w:style w:type="paragraph" w:styleId="Heading2">
    <w:name w:val="heading 2"/>
    <w:basedOn w:val="Heading1"/>
    <w:next w:val="Normal"/>
    <w:link w:val="Heading2Char"/>
    <w:qFormat/>
    <w:rsid w:val="00365006"/>
    <w:pPr>
      <w:numPr>
        <w:numId w:val="0"/>
      </w:numPr>
      <w:tabs>
        <w:tab w:val="left" w:pos="360"/>
      </w:tabs>
      <w:spacing w:after="0" w:line="240" w:lineRule="auto"/>
      <w:ind w:left="1080"/>
      <w:outlineLvl w:val="1"/>
    </w:pPr>
  </w:style>
  <w:style w:type="paragraph" w:styleId="Heading3">
    <w:name w:val="heading 3"/>
    <w:basedOn w:val="Normal"/>
    <w:next w:val="Normal"/>
    <w:link w:val="Heading3Char"/>
    <w:qFormat/>
    <w:rsid w:val="003C1378"/>
    <w:pPr>
      <w:spacing w:after="160" w:line="259" w:lineRule="auto"/>
      <w:jc w:val="both"/>
      <w:outlineLvl w:val="2"/>
    </w:pPr>
    <w:rPr>
      <w:rFonts w:ascii="Cambria" w:eastAsia="Calibri" w:hAnsi="Cambria"/>
      <w:b/>
      <w:sz w:val="20"/>
      <w:szCs w:val="20"/>
      <w:lang w:val="es-AR" w:eastAsia="en-US"/>
    </w:rPr>
  </w:style>
  <w:style w:type="paragraph" w:styleId="Heading4">
    <w:name w:val="heading 4"/>
    <w:basedOn w:val="ListParagraph"/>
    <w:next w:val="Normal"/>
    <w:link w:val="Heading4Char"/>
    <w:uiPriority w:val="9"/>
    <w:unhideWhenUsed/>
    <w:qFormat/>
    <w:rsid w:val="00F54071"/>
    <w:pPr>
      <w:numPr>
        <w:numId w:val="60"/>
      </w:numPr>
      <w:tabs>
        <w:tab w:val="left" w:pos="567"/>
      </w:tabs>
      <w:contextualSpacing/>
      <w:jc w:val="both"/>
      <w:outlineLvl w:val="3"/>
    </w:pPr>
    <w:rPr>
      <w:rFonts w:asciiTheme="majorHAnsi" w:hAnsiTheme="majorHAnsi"/>
      <w:b/>
      <w:sz w:val="20"/>
      <w:szCs w:val="20"/>
      <w:lang w:val="es-US"/>
    </w:rPr>
  </w:style>
  <w:style w:type="paragraph" w:styleId="Heading5">
    <w:name w:val="heading 5"/>
    <w:basedOn w:val="ListParagraph"/>
    <w:next w:val="Normal"/>
    <w:link w:val="Heading5Char"/>
    <w:uiPriority w:val="9"/>
    <w:unhideWhenUsed/>
    <w:qFormat/>
    <w:rsid w:val="00F54071"/>
    <w:pPr>
      <w:numPr>
        <w:numId w:val="63"/>
      </w:numPr>
      <w:contextualSpacing/>
      <w:jc w:val="both"/>
      <w:outlineLvl w:val="4"/>
    </w:pPr>
    <w:rPr>
      <w:rFonts w:asciiTheme="majorHAnsi" w:eastAsia="Calibri" w:hAnsiTheme="majorHAnsi"/>
      <w:b/>
      <w:sz w:val="20"/>
      <w:szCs w:val="20"/>
      <w:lang w:val="es-A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link w:val="BodyTextIndentChar"/>
    <w:pPr>
      <w:ind w:left="2160" w:hanging="720"/>
    </w:pPr>
    <w:rPr>
      <w:rFonts w:eastAsia="Times New Roman"/>
      <w:color w:val="000000"/>
      <w:sz w:val="24"/>
      <w:szCs w:val="24"/>
      <w:u w:color="000000"/>
      <w:lang w:val="es-ES_tradnl"/>
    </w:rPr>
  </w:style>
  <w:style w:type="paragraph" w:styleId="ListParagraph">
    <w:name w:val="List Paragraph"/>
    <w:aliases w:val="Párrafo de lista1,List Paragraph1,Colorful List - Accent 11,List Paragraph11,List Paragraph2,Lista vistosa - Énfasis 11"/>
    <w:link w:val="ListParagraphChar"/>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
    <w:name w:val="List 51"/>
    <w:basedOn w:val="Estiloimportado6"/>
    <w:pPr>
      <w:numPr>
        <w:numId w:val="53"/>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1">
    <w:name w:val="List 21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1">
    <w:name w:val="List 31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1">
    <w:name w:val="List 41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1">
    <w:name w:val="List 51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pPr>
      <w:pBdr>
        <w:top w:val="nil"/>
        <w:left w:val="nil"/>
        <w:bottom w:val="nil"/>
        <w:right w:val="nil"/>
        <w:between w:val="nil"/>
        <w:bar w:val="nil"/>
      </w:pBdr>
    </w:pPr>
    <w:rPr>
      <w:rFonts w:ascii="Tahoma" w:hAnsi="Tahoma" w:cs="Tahoma"/>
      <w:sz w:val="16"/>
      <w:szCs w:val="16"/>
      <w:bdr w:val="nil"/>
      <w:lang w:val="en-US" w:eastAsia="en-US"/>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tabs>
        <w:tab w:val="center" w:pos="4320"/>
        <w:tab w:val="right" w:pos="8640"/>
      </w:tabs>
      <w:snapToGrid w:val="0"/>
    </w:pPr>
    <w:rPr>
      <w:rFonts w:ascii="Univers" w:eastAsia="Times New Roman" w:hAnsi="Univers" w:cs="Univers"/>
      <w:lang w:val="en-US" w:eastAsia="en-US"/>
    </w:rPr>
  </w:style>
  <w:style w:type="character" w:customStyle="1" w:styleId="HeaderChar">
    <w:name w:val="Header Char"/>
    <w:aliases w:val="encabezado Char"/>
    <w:basedOn w:val="DefaultParagraphFont"/>
    <w:link w:val="Header"/>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4F16B0"/>
    <w:rPr>
      <w:rFonts w:ascii="Cambria" w:eastAsia="Calibri" w:hAnsi="Cambria" w:cs="Cambria"/>
      <w:b/>
      <w:color w:val="000000"/>
      <w:u w:color="000000"/>
      <w:bdr w:val="none" w:sz="0" w:space="0" w:color="auto"/>
      <w:lang w:val="es-ES_tradnl"/>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672356"/>
    <w:pPr>
      <w:pBdr>
        <w:top w:val="nil"/>
        <w:left w:val="nil"/>
        <w:bottom w:val="nil"/>
        <w:right w:val="nil"/>
        <w:between w:val="nil"/>
        <w:bar w:val="nil"/>
      </w:pBdr>
      <w:tabs>
        <w:tab w:val="left" w:pos="1134"/>
        <w:tab w:val="right" w:leader="dot" w:pos="8931"/>
      </w:tabs>
      <w:spacing w:line="360" w:lineRule="auto"/>
      <w:ind w:left="709" w:right="686" w:firstLine="11"/>
      <w:jc w:val="both"/>
    </w:pPr>
    <w:rPr>
      <w:bdr w:val="nil"/>
      <w:lang w:val="en-US" w:eastAsia="en-US"/>
    </w:rPr>
  </w:style>
  <w:style w:type="paragraph" w:styleId="TOC1">
    <w:name w:val="toc 1"/>
    <w:basedOn w:val="Normal"/>
    <w:next w:val="Normal"/>
    <w:autoRedefine/>
    <w:uiPriority w:val="39"/>
    <w:unhideWhenUsed/>
    <w:rsid w:val="003F1B50"/>
    <w:pPr>
      <w:pBdr>
        <w:top w:val="nil"/>
        <w:left w:val="nil"/>
        <w:bottom w:val="nil"/>
        <w:right w:val="nil"/>
        <w:between w:val="nil"/>
        <w:bar w:val="nil"/>
      </w:pBdr>
      <w:tabs>
        <w:tab w:val="left" w:pos="567"/>
        <w:tab w:val="left" w:pos="8910"/>
      </w:tabs>
      <w:spacing w:after="100"/>
      <w:ind w:right="707"/>
      <w:jc w:val="both"/>
    </w:pPr>
    <w:rPr>
      <w:rFonts w:ascii="Cambria" w:hAnsi="Cambria"/>
      <w:b/>
      <w:noProof/>
      <w:sz w:val="20"/>
      <w:szCs w:val="20"/>
      <w:bdr w:val="nil"/>
      <w:lang w:val="en-US" w:eastAsia="en-US"/>
    </w:rPr>
  </w:style>
  <w:style w:type="paragraph" w:styleId="TOC3">
    <w:name w:val="toc 3"/>
    <w:basedOn w:val="Normal"/>
    <w:next w:val="Normal"/>
    <w:autoRedefine/>
    <w:uiPriority w:val="39"/>
    <w:unhideWhenUsed/>
    <w:rsid w:val="002B61E0"/>
    <w:pPr>
      <w:pBdr>
        <w:top w:val="nil"/>
        <w:left w:val="nil"/>
        <w:bottom w:val="nil"/>
        <w:right w:val="nil"/>
        <w:between w:val="nil"/>
        <w:bar w:val="nil"/>
      </w:pBdr>
      <w:tabs>
        <w:tab w:val="left" w:pos="880"/>
        <w:tab w:val="left" w:pos="2160"/>
        <w:tab w:val="right" w:leader="dot" w:pos="9356"/>
      </w:tabs>
      <w:spacing w:after="100"/>
      <w:ind w:left="2160" w:hanging="720"/>
      <w:jc w:val="both"/>
    </w:pPr>
    <w:rPr>
      <w:bdr w:val="nil"/>
      <w:lang w:val="en-US" w:eastAsia="en-US"/>
    </w:rPr>
  </w:style>
  <w:style w:type="paragraph" w:styleId="TOC4">
    <w:name w:val="toc 4"/>
    <w:basedOn w:val="Normal"/>
    <w:next w:val="Normal"/>
    <w:autoRedefine/>
    <w:uiPriority w:val="39"/>
    <w:unhideWhenUsed/>
    <w:rsid w:val="004537E3"/>
    <w:pPr>
      <w:pBdr>
        <w:top w:val="nil"/>
        <w:left w:val="nil"/>
        <w:bottom w:val="nil"/>
        <w:right w:val="nil"/>
        <w:between w:val="nil"/>
        <w:bar w:val="nil"/>
      </w:pBdr>
      <w:tabs>
        <w:tab w:val="left" w:pos="2127"/>
        <w:tab w:val="right" w:leader="dot" w:pos="9350"/>
      </w:tabs>
      <w:spacing w:line="360" w:lineRule="auto"/>
      <w:ind w:left="1843"/>
      <w:jc w:val="both"/>
    </w:pPr>
    <w:rPr>
      <w:bdr w:val="nil"/>
      <w:lang w:val="en-US" w:eastAsia="en-US"/>
    </w:r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1,4_G,16 Point,Superscript 6 Point,Footnote symbol,Footnote,Texto nota al pie,f11,Ref. de nota al"/>
    <w:basedOn w:val="DefaultParagraphFont"/>
    <w:link w:val="FootnotesrefssChar1Char"/>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pBdr>
        <w:top w:val="nil"/>
        <w:left w:val="nil"/>
        <w:bottom w:val="nil"/>
        <w:right w:val="nil"/>
        <w:between w:val="nil"/>
        <w:bar w:val="nil"/>
      </w:pBdr>
      <w:spacing w:after="120"/>
    </w:pPr>
    <w:rPr>
      <w:bdr w:val="nil"/>
      <w:lang w:val="en-US" w:eastAsia="en-US"/>
    </w:r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365006"/>
    <w:rPr>
      <w:rFonts w:ascii="Cambria" w:eastAsia="Calibri" w:hAnsi="Cambria" w:cs="Cambria"/>
      <w:b/>
      <w:color w:val="000000"/>
      <w:u w:color="000000"/>
      <w:bdr w:val="none" w:sz="0" w:space="0" w:color="auto"/>
      <w:lang w:val="es-ES_tradnl"/>
    </w:rPr>
  </w:style>
  <w:style w:type="character" w:customStyle="1" w:styleId="Heading3Char">
    <w:name w:val="Heading 3 Char"/>
    <w:basedOn w:val="DefaultParagraphFont"/>
    <w:link w:val="Heading3"/>
    <w:uiPriority w:val="9"/>
    <w:rsid w:val="003C1378"/>
    <w:rPr>
      <w:rFonts w:ascii="Cambria" w:eastAsia="Calibri" w:hAnsi="Cambria"/>
      <w:b/>
      <w:bdr w:val="none" w:sz="0" w:space="0" w:color="auto"/>
      <w:lang w:val="es-AR"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spacing w:before="100" w:beforeAutospacing="1" w:after="100" w:afterAutospacing="1"/>
    </w:pPr>
    <w:rPr>
      <w:rFonts w:eastAsia="Times New Roman"/>
      <w:lang w:val="en-US" w:eastAsia="en-US"/>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character" w:customStyle="1" w:styleId="Heading4Char">
    <w:name w:val="Heading 4 Char"/>
    <w:basedOn w:val="DefaultParagraphFont"/>
    <w:link w:val="Heading4"/>
    <w:uiPriority w:val="9"/>
    <w:rsid w:val="00F54071"/>
    <w:rPr>
      <w:rFonts w:asciiTheme="majorHAnsi" w:eastAsia="Cambria" w:hAnsiTheme="majorHAnsi" w:cs="Cambria"/>
      <w:b/>
      <w:color w:val="000000"/>
      <w:u w:color="000000"/>
      <w:lang w:val="es-US"/>
    </w:rPr>
  </w:style>
  <w:style w:type="numbering" w:customStyle="1" w:styleId="NoList1">
    <w:name w:val="No List1"/>
    <w:next w:val="NoList"/>
    <w:uiPriority w:val="99"/>
    <w:semiHidden/>
    <w:unhideWhenUsed/>
    <w:rsid w:val="009F70EA"/>
  </w:style>
  <w:style w:type="character" w:styleId="CommentReference">
    <w:name w:val="annotation reference"/>
    <w:basedOn w:val="DefaultParagraphFont"/>
    <w:uiPriority w:val="99"/>
    <w:semiHidden/>
    <w:unhideWhenUsed/>
    <w:rsid w:val="009F70EA"/>
    <w:rPr>
      <w:sz w:val="16"/>
      <w:szCs w:val="16"/>
    </w:rPr>
  </w:style>
  <w:style w:type="paragraph" w:customStyle="1" w:styleId="CommentText1">
    <w:name w:val="Comment Text1"/>
    <w:basedOn w:val="Normal"/>
    <w:next w:val="CommentText"/>
    <w:link w:val="CommentTextChar"/>
    <w:uiPriority w:val="99"/>
    <w:semiHidden/>
    <w:unhideWhenUsed/>
    <w:rsid w:val="009F70EA"/>
    <w:pPr>
      <w:spacing w:after="160"/>
    </w:pPr>
    <w:rPr>
      <w:sz w:val="20"/>
      <w:szCs w:val="20"/>
      <w:bdr w:val="nil"/>
      <w:lang w:val="es-ES" w:eastAsia="es-ES"/>
    </w:rPr>
  </w:style>
  <w:style w:type="character" w:customStyle="1" w:styleId="CommentTextChar">
    <w:name w:val="Comment Text Char"/>
    <w:basedOn w:val="DefaultParagraphFont"/>
    <w:link w:val="CommentText1"/>
    <w:uiPriority w:val="99"/>
    <w:semiHidden/>
    <w:rsid w:val="009F70EA"/>
    <w:rPr>
      <w:sz w:val="20"/>
      <w:szCs w:val="20"/>
    </w:rPr>
  </w:style>
  <w:style w:type="character" w:styleId="Strong">
    <w:name w:val="Strong"/>
    <w:basedOn w:val="DefaultParagraphFont"/>
    <w:uiPriority w:val="22"/>
    <w:qFormat/>
    <w:rsid w:val="009F70EA"/>
    <w:rPr>
      <w:b/>
      <w:bCs/>
    </w:r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link w:val="FootnoteReference"/>
    <w:uiPriority w:val="99"/>
    <w:qFormat/>
    <w:rsid w:val="009F70EA"/>
    <w:pPr>
      <w:spacing w:after="160" w:line="240" w:lineRule="exact"/>
    </w:pPr>
    <w:rPr>
      <w:sz w:val="20"/>
      <w:szCs w:val="20"/>
      <w:bdr w:val="nil"/>
      <w:vertAlign w:val="superscript"/>
      <w:lang w:val="es-ES" w:eastAsia="es-ES"/>
    </w:rPr>
  </w:style>
  <w:style w:type="character" w:customStyle="1" w:styleId="ListParagraphChar">
    <w:name w:val="List Paragraph Char"/>
    <w:aliases w:val="Párrafo de lista1 Char,List Paragraph1 Char,Colorful List - Accent 11 Char,List Paragraph11 Char,List Paragraph2 Char,Lista vistosa - Énfasis 11 Char"/>
    <w:link w:val="ListParagraph"/>
    <w:uiPriority w:val="34"/>
    <w:locked/>
    <w:rsid w:val="009F70EA"/>
    <w:rPr>
      <w:rFonts w:ascii="Cambria" w:eastAsia="Cambria" w:hAnsi="Cambria" w:cs="Cambria"/>
      <w:color w:val="000000"/>
      <w:sz w:val="24"/>
      <w:szCs w:val="24"/>
      <w:u w:color="000000"/>
      <w:lang w:val="en-US"/>
    </w:rPr>
  </w:style>
  <w:style w:type="paragraph" w:customStyle="1" w:styleId="CommentSubject1">
    <w:name w:val="Comment Subject1"/>
    <w:basedOn w:val="CommentText"/>
    <w:next w:val="CommentText"/>
    <w:uiPriority w:val="99"/>
    <w:semiHidden/>
    <w:unhideWhenUsed/>
    <w:rsid w:val="009F70EA"/>
    <w:pPr>
      <w:pBdr>
        <w:top w:val="none" w:sz="0" w:space="0" w:color="auto"/>
        <w:left w:val="none" w:sz="0" w:space="0" w:color="auto"/>
        <w:bottom w:val="none" w:sz="0" w:space="0" w:color="auto"/>
        <w:right w:val="none" w:sz="0" w:space="0" w:color="auto"/>
        <w:between w:val="none" w:sz="0" w:space="0" w:color="auto"/>
        <w:bar w:val="none" w:sz="0" w:color="auto"/>
      </w:pBdr>
      <w:spacing w:after="160"/>
    </w:pPr>
    <w:rPr>
      <w:rFonts w:ascii="Calibri" w:eastAsia="Calibri" w:hAnsi="Calibri"/>
      <w:b/>
      <w:bCs/>
      <w:bdr w:val="none" w:sz="0" w:space="0" w:color="auto"/>
    </w:rPr>
  </w:style>
  <w:style w:type="character" w:customStyle="1" w:styleId="CommentSubjectChar">
    <w:name w:val="Comment Subject Char"/>
    <w:basedOn w:val="CommentTextChar"/>
    <w:link w:val="CommentSubject"/>
    <w:uiPriority w:val="99"/>
    <w:semiHidden/>
    <w:rsid w:val="009F70EA"/>
    <w:rPr>
      <w:b/>
      <w:bCs/>
      <w:sz w:val="20"/>
      <w:szCs w:val="20"/>
    </w:rPr>
  </w:style>
  <w:style w:type="character" w:customStyle="1" w:styleId="FollowedHyperlink1">
    <w:name w:val="FollowedHyperlink1"/>
    <w:basedOn w:val="DefaultParagraphFont"/>
    <w:uiPriority w:val="99"/>
    <w:semiHidden/>
    <w:unhideWhenUsed/>
    <w:rsid w:val="009F70EA"/>
    <w:rPr>
      <w:color w:val="954F72"/>
      <w:u w:val="single"/>
    </w:rPr>
  </w:style>
  <w:style w:type="paragraph" w:customStyle="1" w:styleId="NoSpacing1">
    <w:name w:val="No Spacing1"/>
    <w:basedOn w:val="Normal"/>
    <w:next w:val="NoSpacing"/>
    <w:uiPriority w:val="1"/>
    <w:qFormat/>
    <w:rsid w:val="00AC6566"/>
    <w:pPr>
      <w:numPr>
        <w:numId w:val="54"/>
      </w:numPr>
      <w:spacing w:after="160" w:line="259" w:lineRule="auto"/>
      <w:ind w:left="0" w:firstLine="0"/>
      <w:jc w:val="both"/>
      <w:outlineLvl w:val="1"/>
    </w:pPr>
    <w:rPr>
      <w:rFonts w:ascii="Cambria" w:eastAsia="Calibri" w:hAnsi="Cambria"/>
      <w:sz w:val="20"/>
      <w:szCs w:val="20"/>
      <w:lang w:val="es-AR" w:eastAsia="en-US"/>
    </w:rPr>
  </w:style>
  <w:style w:type="paragraph" w:styleId="NormalWeb">
    <w:name w:val="Normal (Web)"/>
    <w:basedOn w:val="Normal"/>
    <w:uiPriority w:val="99"/>
    <w:unhideWhenUsed/>
    <w:rsid w:val="009F70EA"/>
    <w:pPr>
      <w:spacing w:before="100" w:beforeAutospacing="1" w:after="100" w:afterAutospacing="1"/>
    </w:pPr>
    <w:rPr>
      <w:rFonts w:eastAsia="Times New Roman"/>
      <w:lang w:val="en-US" w:eastAsia="en-US"/>
    </w:rPr>
  </w:style>
  <w:style w:type="paragraph" w:styleId="Quote">
    <w:name w:val="Quote"/>
    <w:basedOn w:val="Normal"/>
    <w:next w:val="Normal"/>
    <w:link w:val="QuoteChar"/>
    <w:autoRedefine/>
    <w:uiPriority w:val="29"/>
    <w:qFormat/>
    <w:rsid w:val="003676A3"/>
    <w:pPr>
      <w:ind w:left="567" w:right="855"/>
      <w:jc w:val="both"/>
    </w:pPr>
    <w:rPr>
      <w:rFonts w:ascii="Cambria" w:eastAsia="Times New Roman" w:hAnsi="Cambria"/>
      <w:iCs/>
      <w:sz w:val="18"/>
      <w:szCs w:val="20"/>
      <w:lang w:val="es-ES" w:eastAsia="en-US"/>
    </w:rPr>
  </w:style>
  <w:style w:type="character" w:customStyle="1" w:styleId="QuoteChar">
    <w:name w:val="Quote Char"/>
    <w:basedOn w:val="DefaultParagraphFont"/>
    <w:link w:val="Quote"/>
    <w:uiPriority w:val="29"/>
    <w:rsid w:val="003676A3"/>
    <w:rPr>
      <w:rFonts w:ascii="Cambria" w:eastAsia="Times New Roman" w:hAnsi="Cambria"/>
      <w:iCs/>
      <w:sz w:val="18"/>
      <w:bdr w:val="none" w:sz="0" w:space="0" w:color="auto"/>
      <w:lang w:eastAsia="en-US"/>
    </w:rPr>
  </w:style>
  <w:style w:type="paragraph" w:styleId="CommentText">
    <w:name w:val="annotation text"/>
    <w:basedOn w:val="Normal"/>
    <w:link w:val="CommentTextChar1"/>
    <w:uiPriority w:val="99"/>
    <w:semiHidden/>
    <w:unhideWhenUsed/>
    <w:rsid w:val="009F70EA"/>
    <w:pPr>
      <w:pBdr>
        <w:top w:val="nil"/>
        <w:left w:val="nil"/>
        <w:bottom w:val="nil"/>
        <w:right w:val="nil"/>
        <w:between w:val="nil"/>
        <w:bar w:val="nil"/>
      </w:pBdr>
    </w:pPr>
    <w:rPr>
      <w:sz w:val="20"/>
      <w:szCs w:val="20"/>
      <w:bdr w:val="nil"/>
      <w:lang w:val="en-US" w:eastAsia="en-US"/>
    </w:rPr>
  </w:style>
  <w:style w:type="character" w:customStyle="1" w:styleId="CommentTextChar1">
    <w:name w:val="Comment Text Char1"/>
    <w:basedOn w:val="DefaultParagraphFont"/>
    <w:link w:val="CommentText"/>
    <w:uiPriority w:val="99"/>
    <w:semiHidden/>
    <w:rsid w:val="009F70EA"/>
    <w:rPr>
      <w:lang w:val="en-US" w:eastAsia="en-US"/>
    </w:rPr>
  </w:style>
  <w:style w:type="paragraph" w:styleId="CommentSubject">
    <w:name w:val="annotation subject"/>
    <w:basedOn w:val="CommentText"/>
    <w:next w:val="CommentText"/>
    <w:link w:val="CommentSubjectChar"/>
    <w:uiPriority w:val="99"/>
    <w:semiHidden/>
    <w:unhideWhenUsed/>
    <w:rsid w:val="009F70EA"/>
    <w:rPr>
      <w:b/>
      <w:bCs/>
      <w:lang w:val="es-ES" w:eastAsia="es-ES"/>
    </w:rPr>
  </w:style>
  <w:style w:type="character" w:customStyle="1" w:styleId="CommentSubjectChar1">
    <w:name w:val="Comment Subject Char1"/>
    <w:basedOn w:val="CommentTextChar1"/>
    <w:uiPriority w:val="99"/>
    <w:semiHidden/>
    <w:rsid w:val="009F70EA"/>
    <w:rPr>
      <w:b/>
      <w:bCs/>
      <w:lang w:val="en-US" w:eastAsia="en-US"/>
    </w:rPr>
  </w:style>
  <w:style w:type="character" w:styleId="FollowedHyperlink">
    <w:name w:val="FollowedHyperlink"/>
    <w:basedOn w:val="DefaultParagraphFont"/>
    <w:uiPriority w:val="99"/>
    <w:semiHidden/>
    <w:unhideWhenUsed/>
    <w:rsid w:val="009F70EA"/>
    <w:rPr>
      <w:color w:val="800080" w:themeColor="followedHyperlink"/>
      <w:u w:val="single"/>
    </w:rPr>
  </w:style>
  <w:style w:type="paragraph" w:styleId="NoSpacing">
    <w:name w:val="No Spacing"/>
    <w:uiPriority w:val="1"/>
    <w:qFormat/>
    <w:rsid w:val="009F70EA"/>
    <w:rPr>
      <w:sz w:val="24"/>
      <w:szCs w:val="24"/>
      <w:lang w:val="en-US" w:eastAsia="en-US"/>
    </w:rPr>
  </w:style>
  <w:style w:type="character" w:customStyle="1" w:styleId="Heading5Char">
    <w:name w:val="Heading 5 Char"/>
    <w:basedOn w:val="DefaultParagraphFont"/>
    <w:link w:val="Heading5"/>
    <w:uiPriority w:val="9"/>
    <w:rsid w:val="00F54071"/>
    <w:rPr>
      <w:rFonts w:asciiTheme="majorHAnsi" w:eastAsia="Calibri" w:hAnsiTheme="majorHAnsi" w:cs="Cambria"/>
      <w:b/>
      <w:color w:val="000000"/>
      <w:u w:color="000000"/>
      <w:lang w:val="es-AR"/>
    </w:rPr>
  </w:style>
  <w:style w:type="paragraph" w:styleId="Subtitle">
    <w:name w:val="Subtitle"/>
    <w:basedOn w:val="Normal"/>
    <w:link w:val="SubtitleChar"/>
    <w:qFormat/>
    <w:rsid w:val="00BE7759"/>
    <w:pPr>
      <w:spacing w:after="60"/>
      <w:jc w:val="center"/>
      <w:outlineLvl w:val="1"/>
    </w:pPr>
    <w:rPr>
      <w:rFonts w:ascii="Arial" w:eastAsia="MS Mincho" w:hAnsi="Arial" w:cs="Arial"/>
      <w:lang w:val="es-ES_tradnl" w:eastAsia="en-US"/>
    </w:rPr>
  </w:style>
  <w:style w:type="character" w:customStyle="1" w:styleId="SubtitleChar">
    <w:name w:val="Subtitle Char"/>
    <w:basedOn w:val="DefaultParagraphFont"/>
    <w:link w:val="Subtitle"/>
    <w:rsid w:val="00BE7759"/>
    <w:rPr>
      <w:rFonts w:ascii="Arial" w:eastAsia="MS Mincho" w:hAnsi="Arial" w:cs="Arial"/>
      <w:sz w:val="24"/>
      <w:szCs w:val="24"/>
      <w:bdr w:val="none" w:sz="0" w:space="0" w:color="auto"/>
      <w:lang w:val="es-ES_tradnl" w:eastAsia="en-US"/>
    </w:rPr>
  </w:style>
  <w:style w:type="paragraph" w:customStyle="1" w:styleId="parrafos">
    <w:name w:val="parrafos"/>
    <w:basedOn w:val="Normal"/>
    <w:link w:val="parrafosChar"/>
    <w:qFormat/>
    <w:rsid w:val="00055252"/>
    <w:pPr>
      <w:tabs>
        <w:tab w:val="left" w:pos="360"/>
      </w:tabs>
      <w:jc w:val="both"/>
    </w:pPr>
    <w:rPr>
      <w:rFonts w:asciiTheme="majorHAnsi" w:hAnsiTheme="majorHAnsi"/>
      <w:color w:val="000000" w:themeColor="text1"/>
      <w:sz w:val="20"/>
      <w:szCs w:val="20"/>
      <w:bdr w:val="nil"/>
      <w:lang w:val="es-VE" w:eastAsia="en-US"/>
    </w:rPr>
  </w:style>
  <w:style w:type="character" w:customStyle="1" w:styleId="parrafosChar">
    <w:name w:val="parrafos Char"/>
    <w:basedOn w:val="DefaultParagraphFont"/>
    <w:link w:val="parrafos"/>
    <w:rsid w:val="00055252"/>
    <w:rPr>
      <w:rFonts w:asciiTheme="majorHAnsi" w:hAnsiTheme="majorHAnsi"/>
      <w:color w:val="000000" w:themeColor="text1"/>
      <w:lang w:val="es-VE" w:eastAsia="en-US"/>
    </w:rPr>
  </w:style>
  <w:style w:type="paragraph" w:styleId="Revision">
    <w:name w:val="Revision"/>
    <w:hidden/>
    <w:uiPriority w:val="99"/>
    <w:semiHidden/>
    <w:rsid w:val="002F417B"/>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customStyle="1" w:styleId="apple-converted-space">
    <w:name w:val="apple-converted-space"/>
    <w:basedOn w:val="DefaultParagraphFont"/>
    <w:rsid w:val="00FB1535"/>
  </w:style>
  <w:style w:type="character" w:customStyle="1" w:styleId="BodyTextIndentChar">
    <w:name w:val="Body Text Indent Char"/>
    <w:link w:val="BodyTextIndent"/>
    <w:locked/>
    <w:rsid w:val="00DC6EDE"/>
    <w:rPr>
      <w:rFonts w:eastAsia="Times New Roman"/>
      <w:color w:val="000000"/>
      <w:sz w:val="24"/>
      <w:szCs w:val="24"/>
      <w:u w:color="000000"/>
      <w:lang w:val="es-ES_tradnl"/>
    </w:rPr>
  </w:style>
  <w:style w:type="paragraph" w:customStyle="1" w:styleId="Prrafodelista2">
    <w:name w:val="Párrafo de lista2"/>
    <w:basedOn w:val="Normal"/>
    <w:uiPriority w:val="34"/>
    <w:qFormat/>
    <w:rsid w:val="0098796A"/>
    <w:pPr>
      <w:ind w:left="708"/>
    </w:pPr>
    <w:rPr>
      <w:rFonts w:eastAsia="Times New Roman"/>
      <w:sz w:val="20"/>
      <w:szCs w:val="20"/>
      <w:lang w:val="es-SV" w:eastAsia="en-US"/>
    </w:rPr>
  </w:style>
  <w:style w:type="character" w:customStyle="1" w:styleId="UnresolvedMention1">
    <w:name w:val="Unresolved Mention1"/>
    <w:basedOn w:val="DefaultParagraphFont"/>
    <w:uiPriority w:val="99"/>
    <w:semiHidden/>
    <w:unhideWhenUsed/>
    <w:rsid w:val="00495DB1"/>
    <w:rPr>
      <w:color w:val="605E5C"/>
      <w:shd w:val="clear" w:color="auto" w:fill="E1DFDD"/>
    </w:rPr>
  </w:style>
  <w:style w:type="paragraph" w:styleId="TOCHeading">
    <w:name w:val="TOC Heading"/>
    <w:basedOn w:val="Heading1"/>
    <w:next w:val="Normal"/>
    <w:uiPriority w:val="39"/>
    <w:unhideWhenUsed/>
    <w:qFormat/>
    <w:rsid w:val="00C87214"/>
    <w:pPr>
      <w:numPr>
        <w:numId w:val="0"/>
      </w:numPr>
      <w:spacing w:before="240" w:after="0"/>
      <w:jc w:val="left"/>
      <w:outlineLvl w:val="9"/>
    </w:pPr>
    <w:rPr>
      <w:rFonts w:asciiTheme="majorHAnsi" w:eastAsiaTheme="majorEastAsia" w:hAnsiTheme="majorHAnsi" w:cstheme="majorBidi"/>
      <w:b w:val="0"/>
      <w:color w:val="365F91" w:themeColor="accent1" w:themeShade="BF"/>
      <w:sz w:val="32"/>
      <w:szCs w:val="32"/>
      <w:lang w:val="en-US" w:eastAsia="en-US"/>
    </w:rPr>
  </w:style>
  <w:style w:type="paragraph" w:styleId="TOC5">
    <w:name w:val="toc 5"/>
    <w:basedOn w:val="Normal"/>
    <w:next w:val="Normal"/>
    <w:autoRedefine/>
    <w:uiPriority w:val="39"/>
    <w:unhideWhenUsed/>
    <w:rsid w:val="000B23D0"/>
    <w:pPr>
      <w:spacing w:after="100"/>
      <w:ind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315080">
      <w:bodyDiv w:val="1"/>
      <w:marLeft w:val="0"/>
      <w:marRight w:val="0"/>
      <w:marTop w:val="0"/>
      <w:marBottom w:val="0"/>
      <w:divBdr>
        <w:top w:val="none" w:sz="0" w:space="0" w:color="auto"/>
        <w:left w:val="none" w:sz="0" w:space="0" w:color="auto"/>
        <w:bottom w:val="none" w:sz="0" w:space="0" w:color="auto"/>
        <w:right w:val="none" w:sz="0" w:space="0" w:color="auto"/>
      </w:divBdr>
    </w:div>
    <w:div w:id="243154003">
      <w:bodyDiv w:val="1"/>
      <w:marLeft w:val="0"/>
      <w:marRight w:val="0"/>
      <w:marTop w:val="0"/>
      <w:marBottom w:val="0"/>
      <w:divBdr>
        <w:top w:val="none" w:sz="0" w:space="0" w:color="auto"/>
        <w:left w:val="none" w:sz="0" w:space="0" w:color="auto"/>
        <w:bottom w:val="none" w:sz="0" w:space="0" w:color="auto"/>
        <w:right w:val="none" w:sz="0" w:space="0" w:color="auto"/>
      </w:divBdr>
    </w:div>
    <w:div w:id="465902948">
      <w:bodyDiv w:val="1"/>
      <w:marLeft w:val="0"/>
      <w:marRight w:val="0"/>
      <w:marTop w:val="0"/>
      <w:marBottom w:val="0"/>
      <w:divBdr>
        <w:top w:val="none" w:sz="0" w:space="0" w:color="auto"/>
        <w:left w:val="none" w:sz="0" w:space="0" w:color="auto"/>
        <w:bottom w:val="none" w:sz="0" w:space="0" w:color="auto"/>
        <w:right w:val="none" w:sz="0" w:space="0" w:color="auto"/>
      </w:divBdr>
    </w:div>
    <w:div w:id="538860302">
      <w:bodyDiv w:val="1"/>
      <w:marLeft w:val="0"/>
      <w:marRight w:val="0"/>
      <w:marTop w:val="0"/>
      <w:marBottom w:val="0"/>
      <w:divBdr>
        <w:top w:val="none" w:sz="0" w:space="0" w:color="auto"/>
        <w:left w:val="none" w:sz="0" w:space="0" w:color="auto"/>
        <w:bottom w:val="none" w:sz="0" w:space="0" w:color="auto"/>
        <w:right w:val="none" w:sz="0" w:space="0" w:color="auto"/>
      </w:divBdr>
    </w:div>
    <w:div w:id="568616037">
      <w:bodyDiv w:val="1"/>
      <w:marLeft w:val="0"/>
      <w:marRight w:val="0"/>
      <w:marTop w:val="0"/>
      <w:marBottom w:val="0"/>
      <w:divBdr>
        <w:top w:val="none" w:sz="0" w:space="0" w:color="auto"/>
        <w:left w:val="none" w:sz="0" w:space="0" w:color="auto"/>
        <w:bottom w:val="none" w:sz="0" w:space="0" w:color="auto"/>
        <w:right w:val="none" w:sz="0" w:space="0" w:color="auto"/>
      </w:divBdr>
    </w:div>
    <w:div w:id="619073317">
      <w:bodyDiv w:val="1"/>
      <w:marLeft w:val="0"/>
      <w:marRight w:val="0"/>
      <w:marTop w:val="0"/>
      <w:marBottom w:val="0"/>
      <w:divBdr>
        <w:top w:val="none" w:sz="0" w:space="0" w:color="auto"/>
        <w:left w:val="none" w:sz="0" w:space="0" w:color="auto"/>
        <w:bottom w:val="none" w:sz="0" w:space="0" w:color="auto"/>
        <w:right w:val="none" w:sz="0" w:space="0" w:color="auto"/>
      </w:divBdr>
    </w:div>
    <w:div w:id="686061938">
      <w:bodyDiv w:val="1"/>
      <w:marLeft w:val="0"/>
      <w:marRight w:val="0"/>
      <w:marTop w:val="0"/>
      <w:marBottom w:val="0"/>
      <w:divBdr>
        <w:top w:val="none" w:sz="0" w:space="0" w:color="auto"/>
        <w:left w:val="none" w:sz="0" w:space="0" w:color="auto"/>
        <w:bottom w:val="none" w:sz="0" w:space="0" w:color="auto"/>
        <w:right w:val="none" w:sz="0" w:space="0" w:color="auto"/>
      </w:divBdr>
    </w:div>
    <w:div w:id="775908067">
      <w:bodyDiv w:val="1"/>
      <w:marLeft w:val="0"/>
      <w:marRight w:val="0"/>
      <w:marTop w:val="0"/>
      <w:marBottom w:val="0"/>
      <w:divBdr>
        <w:top w:val="none" w:sz="0" w:space="0" w:color="auto"/>
        <w:left w:val="none" w:sz="0" w:space="0" w:color="auto"/>
        <w:bottom w:val="none" w:sz="0" w:space="0" w:color="auto"/>
        <w:right w:val="none" w:sz="0" w:space="0" w:color="auto"/>
      </w:divBdr>
    </w:div>
    <w:div w:id="822088008">
      <w:bodyDiv w:val="1"/>
      <w:marLeft w:val="0"/>
      <w:marRight w:val="0"/>
      <w:marTop w:val="0"/>
      <w:marBottom w:val="0"/>
      <w:divBdr>
        <w:top w:val="none" w:sz="0" w:space="0" w:color="auto"/>
        <w:left w:val="none" w:sz="0" w:space="0" w:color="auto"/>
        <w:bottom w:val="none" w:sz="0" w:space="0" w:color="auto"/>
        <w:right w:val="none" w:sz="0" w:space="0" w:color="auto"/>
      </w:divBdr>
    </w:div>
    <w:div w:id="834146538">
      <w:bodyDiv w:val="1"/>
      <w:marLeft w:val="0"/>
      <w:marRight w:val="0"/>
      <w:marTop w:val="0"/>
      <w:marBottom w:val="0"/>
      <w:divBdr>
        <w:top w:val="none" w:sz="0" w:space="0" w:color="auto"/>
        <w:left w:val="none" w:sz="0" w:space="0" w:color="auto"/>
        <w:bottom w:val="none" w:sz="0" w:space="0" w:color="auto"/>
        <w:right w:val="none" w:sz="0" w:space="0" w:color="auto"/>
      </w:divBdr>
    </w:div>
    <w:div w:id="851995475">
      <w:bodyDiv w:val="1"/>
      <w:marLeft w:val="0"/>
      <w:marRight w:val="0"/>
      <w:marTop w:val="0"/>
      <w:marBottom w:val="0"/>
      <w:divBdr>
        <w:top w:val="none" w:sz="0" w:space="0" w:color="auto"/>
        <w:left w:val="none" w:sz="0" w:space="0" w:color="auto"/>
        <w:bottom w:val="none" w:sz="0" w:space="0" w:color="auto"/>
        <w:right w:val="none" w:sz="0" w:space="0" w:color="auto"/>
      </w:divBdr>
    </w:div>
    <w:div w:id="885410069">
      <w:bodyDiv w:val="1"/>
      <w:marLeft w:val="0"/>
      <w:marRight w:val="0"/>
      <w:marTop w:val="0"/>
      <w:marBottom w:val="0"/>
      <w:divBdr>
        <w:top w:val="none" w:sz="0" w:space="0" w:color="auto"/>
        <w:left w:val="none" w:sz="0" w:space="0" w:color="auto"/>
        <w:bottom w:val="none" w:sz="0" w:space="0" w:color="auto"/>
        <w:right w:val="none" w:sz="0" w:space="0" w:color="auto"/>
      </w:divBdr>
    </w:div>
    <w:div w:id="1058163635">
      <w:bodyDiv w:val="1"/>
      <w:marLeft w:val="0"/>
      <w:marRight w:val="0"/>
      <w:marTop w:val="0"/>
      <w:marBottom w:val="0"/>
      <w:divBdr>
        <w:top w:val="none" w:sz="0" w:space="0" w:color="auto"/>
        <w:left w:val="none" w:sz="0" w:space="0" w:color="auto"/>
        <w:bottom w:val="none" w:sz="0" w:space="0" w:color="auto"/>
        <w:right w:val="none" w:sz="0" w:space="0" w:color="auto"/>
      </w:divBdr>
    </w:div>
    <w:div w:id="1059597041">
      <w:bodyDiv w:val="1"/>
      <w:marLeft w:val="0"/>
      <w:marRight w:val="0"/>
      <w:marTop w:val="0"/>
      <w:marBottom w:val="0"/>
      <w:divBdr>
        <w:top w:val="none" w:sz="0" w:space="0" w:color="auto"/>
        <w:left w:val="none" w:sz="0" w:space="0" w:color="auto"/>
        <w:bottom w:val="none" w:sz="0" w:space="0" w:color="auto"/>
        <w:right w:val="none" w:sz="0" w:space="0" w:color="auto"/>
      </w:divBdr>
    </w:div>
    <w:div w:id="1108506864">
      <w:bodyDiv w:val="1"/>
      <w:marLeft w:val="0"/>
      <w:marRight w:val="0"/>
      <w:marTop w:val="0"/>
      <w:marBottom w:val="0"/>
      <w:divBdr>
        <w:top w:val="none" w:sz="0" w:space="0" w:color="auto"/>
        <w:left w:val="none" w:sz="0" w:space="0" w:color="auto"/>
        <w:bottom w:val="none" w:sz="0" w:space="0" w:color="auto"/>
        <w:right w:val="none" w:sz="0" w:space="0" w:color="auto"/>
      </w:divBdr>
    </w:div>
    <w:div w:id="1118378477">
      <w:bodyDiv w:val="1"/>
      <w:marLeft w:val="0"/>
      <w:marRight w:val="0"/>
      <w:marTop w:val="0"/>
      <w:marBottom w:val="0"/>
      <w:divBdr>
        <w:top w:val="none" w:sz="0" w:space="0" w:color="auto"/>
        <w:left w:val="none" w:sz="0" w:space="0" w:color="auto"/>
        <w:bottom w:val="none" w:sz="0" w:space="0" w:color="auto"/>
        <w:right w:val="none" w:sz="0" w:space="0" w:color="auto"/>
      </w:divBdr>
    </w:div>
    <w:div w:id="1130170700">
      <w:bodyDiv w:val="1"/>
      <w:marLeft w:val="0"/>
      <w:marRight w:val="0"/>
      <w:marTop w:val="0"/>
      <w:marBottom w:val="0"/>
      <w:divBdr>
        <w:top w:val="none" w:sz="0" w:space="0" w:color="auto"/>
        <w:left w:val="none" w:sz="0" w:space="0" w:color="auto"/>
        <w:bottom w:val="none" w:sz="0" w:space="0" w:color="auto"/>
        <w:right w:val="none" w:sz="0" w:space="0" w:color="auto"/>
      </w:divBdr>
    </w:div>
    <w:div w:id="1229147516">
      <w:bodyDiv w:val="1"/>
      <w:marLeft w:val="0"/>
      <w:marRight w:val="0"/>
      <w:marTop w:val="0"/>
      <w:marBottom w:val="0"/>
      <w:divBdr>
        <w:top w:val="none" w:sz="0" w:space="0" w:color="auto"/>
        <w:left w:val="none" w:sz="0" w:space="0" w:color="auto"/>
        <w:bottom w:val="none" w:sz="0" w:space="0" w:color="auto"/>
        <w:right w:val="none" w:sz="0" w:space="0" w:color="auto"/>
      </w:divBdr>
    </w:div>
    <w:div w:id="1274050785">
      <w:bodyDiv w:val="1"/>
      <w:marLeft w:val="0"/>
      <w:marRight w:val="0"/>
      <w:marTop w:val="0"/>
      <w:marBottom w:val="0"/>
      <w:divBdr>
        <w:top w:val="none" w:sz="0" w:space="0" w:color="auto"/>
        <w:left w:val="none" w:sz="0" w:space="0" w:color="auto"/>
        <w:bottom w:val="none" w:sz="0" w:space="0" w:color="auto"/>
        <w:right w:val="none" w:sz="0" w:space="0" w:color="auto"/>
      </w:divBdr>
    </w:div>
    <w:div w:id="1368332212">
      <w:bodyDiv w:val="1"/>
      <w:marLeft w:val="0"/>
      <w:marRight w:val="0"/>
      <w:marTop w:val="0"/>
      <w:marBottom w:val="0"/>
      <w:divBdr>
        <w:top w:val="none" w:sz="0" w:space="0" w:color="auto"/>
        <w:left w:val="none" w:sz="0" w:space="0" w:color="auto"/>
        <w:bottom w:val="none" w:sz="0" w:space="0" w:color="auto"/>
        <w:right w:val="none" w:sz="0" w:space="0" w:color="auto"/>
      </w:divBdr>
    </w:div>
    <w:div w:id="1406755232">
      <w:bodyDiv w:val="1"/>
      <w:marLeft w:val="0"/>
      <w:marRight w:val="0"/>
      <w:marTop w:val="0"/>
      <w:marBottom w:val="0"/>
      <w:divBdr>
        <w:top w:val="none" w:sz="0" w:space="0" w:color="auto"/>
        <w:left w:val="none" w:sz="0" w:space="0" w:color="auto"/>
        <w:bottom w:val="none" w:sz="0" w:space="0" w:color="auto"/>
        <w:right w:val="none" w:sz="0" w:space="0" w:color="auto"/>
      </w:divBdr>
    </w:div>
    <w:div w:id="1654748539">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985693969">
      <w:bodyDiv w:val="1"/>
      <w:marLeft w:val="0"/>
      <w:marRight w:val="0"/>
      <w:marTop w:val="0"/>
      <w:marBottom w:val="0"/>
      <w:divBdr>
        <w:top w:val="none" w:sz="0" w:space="0" w:color="auto"/>
        <w:left w:val="none" w:sz="0" w:space="0" w:color="auto"/>
        <w:bottom w:val="none" w:sz="0" w:space="0" w:color="auto"/>
        <w:right w:val="none" w:sz="0" w:space="0" w:color="auto"/>
      </w:divBdr>
    </w:div>
    <w:div w:id="2028821797">
      <w:bodyDiv w:val="1"/>
      <w:marLeft w:val="0"/>
      <w:marRight w:val="0"/>
      <w:marTop w:val="0"/>
      <w:marBottom w:val="0"/>
      <w:divBdr>
        <w:top w:val="none" w:sz="0" w:space="0" w:color="auto"/>
        <w:left w:val="none" w:sz="0" w:space="0" w:color="auto"/>
        <w:bottom w:val="none" w:sz="0" w:space="0" w:color="auto"/>
        <w:right w:val="none" w:sz="0" w:space="0" w:color="auto"/>
      </w:divBdr>
    </w:div>
    <w:div w:id="21243816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emf"/></Relationships>
</file>

<file path=word/_rels/footnotes.xml.rels><?xml version="1.0" encoding="UTF-8" standalone="yes"?>
<Relationships xmlns="http://schemas.openxmlformats.org/package/2006/relationships"><Relationship Id="rId8" Type="http://schemas.openxmlformats.org/officeDocument/2006/relationships/hyperlink" Target="https://undocs.org/es/A/HRC/20/14" TargetMode="External"/><Relationship Id="rId13" Type="http://schemas.openxmlformats.org/officeDocument/2006/relationships/hyperlink" Target="https://undocs.org/es/A/HRC/20/14" TargetMode="External"/><Relationship Id="rId18" Type="http://schemas.openxmlformats.org/officeDocument/2006/relationships/hyperlink" Target="https://www.amia.org.ar/mision-vision-y-valores/" TargetMode="External"/><Relationship Id="rId3" Type="http://schemas.openxmlformats.org/officeDocument/2006/relationships/hyperlink" Target="https://www.un.org/sc/ctc/resources/international-legal-instruments/" TargetMode="External"/><Relationship Id="rId21" Type="http://schemas.openxmlformats.org/officeDocument/2006/relationships/hyperlink" Target="https://undocs.org/es/A/HRC/20/14" TargetMode="External"/><Relationship Id="rId7" Type="http://schemas.openxmlformats.org/officeDocument/2006/relationships/hyperlink" Target="https://undocs.org/pdf?symbol=es/A/RES/60/288" TargetMode="External"/><Relationship Id="rId12" Type="http://schemas.openxmlformats.org/officeDocument/2006/relationships/hyperlink" Target="https://undocs.org/es/A/HRC/20/14" TargetMode="External"/><Relationship Id="rId17" Type="http://schemas.openxmlformats.org/officeDocument/2006/relationships/hyperlink" Target="https://undocs.org/es/A/HRC/20/14" TargetMode="External"/><Relationship Id="rId2" Type="http://schemas.openxmlformats.org/officeDocument/2006/relationships/hyperlink" Target="https://www.oas.org/es/centro_noticias/comunicado_prensa.asp?sCodigo=CIDH-5-S" TargetMode="External"/><Relationship Id="rId16" Type="http://schemas.openxmlformats.org/officeDocument/2006/relationships/hyperlink" Target="https://www.cij.gov.ar/nota-15040-Informe-sobre-el-estado-de-la-causa-relativa-al-atentado-a-la-Embajada-de-Israel.-Informe-de-la-Secretar-a-Judicial-N--3.-Dr-Canevari.html" TargetMode="External"/><Relationship Id="rId20" Type="http://schemas.openxmlformats.org/officeDocument/2006/relationships/hyperlink" Target="https://www.ica.org/en/universal-declaration-archives" TargetMode="External"/><Relationship Id="rId1" Type="http://schemas.openxmlformats.org/officeDocument/2006/relationships/hyperlink" Target="https://www.youtube.com/watch?v=EyTmlo6Anos" TargetMode="External"/><Relationship Id="rId6" Type="http://schemas.openxmlformats.org/officeDocument/2006/relationships/hyperlink" Target="https://undocs.org/pdf?symbol=es/A/RES/51/210" TargetMode="External"/><Relationship Id="rId11" Type="http://schemas.openxmlformats.org/officeDocument/2006/relationships/hyperlink" Target="https://undocs.org/es/A/HRC/20/14" TargetMode="External"/><Relationship Id="rId5" Type="http://schemas.openxmlformats.org/officeDocument/2006/relationships/hyperlink" Target="https://undocs.org/pdf?symbol=es/A/RES/51/210" TargetMode="External"/><Relationship Id="rId15" Type="http://schemas.openxmlformats.org/officeDocument/2006/relationships/hyperlink" Target="https://www.cij.gov.ar/nota-15040-Informe-sobre-el-estado-de-la-causa-relativa-al-atentado-a-la-Embajada-de-Israel.-Informe-de-la-Secretar-a-Judicial-N--3.-Dr-Canevari.html" TargetMode="External"/><Relationship Id="rId10" Type="http://schemas.openxmlformats.org/officeDocument/2006/relationships/hyperlink" Target="http://www.oas.org/juridico/spanish/Terro2.htm" TargetMode="External"/><Relationship Id="rId19" Type="http://schemas.openxmlformats.org/officeDocument/2006/relationships/hyperlink" Target="http://www.daia.org.ar/la-daia/" TargetMode="External"/><Relationship Id="rId4" Type="http://schemas.openxmlformats.org/officeDocument/2006/relationships/hyperlink" Target="https://undocs.org/es/A/RES/49/60" TargetMode="External"/><Relationship Id="rId9" Type="http://schemas.openxmlformats.org/officeDocument/2006/relationships/hyperlink" Target="https://www.oas.org/juridico/spanish/tratados/a-49.html" TargetMode="External"/><Relationship Id="rId14" Type="http://schemas.openxmlformats.org/officeDocument/2006/relationships/hyperlink" Target="https://undocs.org/es/A/HRC/20/1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8E721D-002D-4991-8A05-8CBF8A815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36516</Words>
  <Characters>208146</Characters>
  <Application>Microsoft Office Word</Application>
  <DocSecurity>0</DocSecurity>
  <Lines>1734</Lines>
  <Paragraphs>488</Paragraphs>
  <ScaleCrop>false</ScaleCrop>
  <Company/>
  <LinksUpToDate>false</LinksUpToDate>
  <CharactersWithSpaces>244174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2021-05-19T16:39:00Z</dcterms:created>
  <dcterms:modified xsi:type="dcterms:W3CDTF">2021-05-19T16:39:00Z</dcterms:modified>
</cp:coreProperties>
</file>