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51FF" w14:textId="77777777" w:rsidR="00040C3A" w:rsidRPr="00407A7B" w:rsidRDefault="00D306D1" w:rsidP="00627C9F">
      <w:pPr>
        <w:jc w:val="both"/>
        <w:rPr>
          <w:rFonts w:asciiTheme="majorHAnsi" w:hAnsiTheme="majorHAnsi" w:cs="Univers"/>
          <w:b/>
          <w:bCs/>
          <w:sz w:val="22"/>
          <w:szCs w:val="22"/>
          <w:lang w:val="es-ES_tradnl"/>
        </w:rPr>
      </w:pPr>
      <w:r w:rsidRPr="00407A7B">
        <w:rPr>
          <w:rFonts w:asciiTheme="majorHAnsi" w:hAnsiTheme="majorHAnsi"/>
          <w:noProof/>
          <w:sz w:val="22"/>
          <w:szCs w:val="22"/>
          <w:lang w:val="es-AR" w:eastAsia="es-AR"/>
        </w:rPr>
        <mc:AlternateContent>
          <mc:Choice Requires="wps">
            <w:drawing>
              <wp:anchor distT="0" distB="0" distL="114300" distR="114300" simplePos="0" relativeHeight="251661311" behindDoc="0" locked="0" layoutInCell="1" allowOverlap="1" wp14:anchorId="5891488F" wp14:editId="58997F7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8B07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07A7B">
        <w:rPr>
          <w:rFonts w:asciiTheme="majorHAnsi" w:hAnsiTheme="majorHAnsi"/>
          <w:noProof/>
          <w:sz w:val="22"/>
          <w:szCs w:val="22"/>
          <w:lang w:val="es-AR" w:eastAsia="es-AR"/>
        </w:rPr>
        <mc:AlternateContent>
          <mc:Choice Requires="wps">
            <w:drawing>
              <wp:anchor distT="0" distB="0" distL="114300" distR="114300" simplePos="0" relativeHeight="251673600" behindDoc="0" locked="0" layoutInCell="1" allowOverlap="1" wp14:anchorId="13BB2F07" wp14:editId="0F07E7A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D64FD" w14:textId="77777777" w:rsidR="00D42427" w:rsidRDefault="00D42427" w:rsidP="00AE5488">
                            <w:r>
                              <w:rPr>
                                <w:noProof/>
                                <w:lang w:val="es-AR" w:eastAsia="es-AR"/>
                              </w:rPr>
                              <w:drawing>
                                <wp:inline distT="0" distB="0" distL="0" distR="0" wp14:anchorId="1F6601BD" wp14:editId="275D7F9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B2F0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82D64FD" w14:textId="77777777" w:rsidR="00D42427" w:rsidRDefault="00D42427" w:rsidP="00AE5488">
                      <w:r>
                        <w:rPr>
                          <w:noProof/>
                          <w:lang w:val="es-AR" w:eastAsia="es-AR"/>
                        </w:rPr>
                        <w:drawing>
                          <wp:inline distT="0" distB="0" distL="0" distR="0" wp14:anchorId="1F6601BD" wp14:editId="275D7F9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513881AC" w14:textId="77777777" w:rsidR="00040C3A" w:rsidRPr="00407A7B" w:rsidRDefault="00040C3A" w:rsidP="00040C3A">
      <w:pPr>
        <w:tabs>
          <w:tab w:val="center" w:pos="5400"/>
        </w:tabs>
        <w:suppressAutoHyphens/>
        <w:jc w:val="both"/>
        <w:rPr>
          <w:rFonts w:asciiTheme="majorHAnsi" w:hAnsiTheme="majorHAnsi"/>
          <w:sz w:val="22"/>
          <w:szCs w:val="22"/>
          <w:lang w:val="es-ES"/>
        </w:rPr>
      </w:pPr>
    </w:p>
    <w:p w14:paraId="7FD37BBF" w14:textId="77777777" w:rsidR="00040C3A" w:rsidRPr="00407A7B" w:rsidRDefault="00040C3A" w:rsidP="00040C3A">
      <w:pPr>
        <w:tabs>
          <w:tab w:val="center" w:pos="5400"/>
        </w:tabs>
        <w:suppressAutoHyphens/>
        <w:jc w:val="both"/>
        <w:rPr>
          <w:rFonts w:asciiTheme="majorHAnsi" w:hAnsiTheme="majorHAnsi"/>
          <w:sz w:val="22"/>
          <w:szCs w:val="22"/>
          <w:lang w:val="es-ES"/>
        </w:rPr>
      </w:pPr>
    </w:p>
    <w:p w14:paraId="6F3F4D8A" w14:textId="77777777" w:rsidR="005128E4" w:rsidRPr="00407A7B" w:rsidRDefault="005128E4" w:rsidP="00040C3A">
      <w:pPr>
        <w:tabs>
          <w:tab w:val="center" w:pos="5400"/>
        </w:tabs>
        <w:suppressAutoHyphens/>
        <w:rPr>
          <w:rFonts w:asciiTheme="majorHAnsi" w:hAnsiTheme="majorHAnsi"/>
          <w:sz w:val="22"/>
          <w:szCs w:val="22"/>
          <w:lang w:val="es-ES_tradnl"/>
        </w:rPr>
      </w:pPr>
    </w:p>
    <w:p w14:paraId="6A8E8A69" w14:textId="77777777" w:rsidR="005128E4" w:rsidRPr="00407A7B" w:rsidRDefault="005128E4" w:rsidP="00040C3A">
      <w:pPr>
        <w:tabs>
          <w:tab w:val="center" w:pos="5400"/>
        </w:tabs>
        <w:suppressAutoHyphens/>
        <w:rPr>
          <w:rFonts w:asciiTheme="majorHAnsi" w:hAnsiTheme="majorHAnsi"/>
          <w:sz w:val="22"/>
          <w:szCs w:val="22"/>
          <w:lang w:val="es-ES_tradnl"/>
        </w:rPr>
      </w:pPr>
    </w:p>
    <w:p w14:paraId="7960D1E8" w14:textId="77777777" w:rsidR="005128E4" w:rsidRPr="00407A7B" w:rsidRDefault="005128E4" w:rsidP="00040C3A">
      <w:pPr>
        <w:tabs>
          <w:tab w:val="center" w:pos="5400"/>
        </w:tabs>
        <w:suppressAutoHyphens/>
        <w:rPr>
          <w:rFonts w:asciiTheme="majorHAnsi" w:hAnsiTheme="majorHAnsi"/>
          <w:sz w:val="22"/>
          <w:szCs w:val="22"/>
          <w:lang w:val="es-ES_tradnl"/>
        </w:rPr>
      </w:pPr>
    </w:p>
    <w:p w14:paraId="1261A37A" w14:textId="77777777" w:rsidR="00040C3A" w:rsidRPr="00407A7B" w:rsidRDefault="00040C3A" w:rsidP="005128E4">
      <w:pPr>
        <w:tabs>
          <w:tab w:val="center" w:pos="5400"/>
        </w:tabs>
        <w:suppressAutoHyphens/>
        <w:jc w:val="center"/>
        <w:rPr>
          <w:rFonts w:asciiTheme="majorHAnsi" w:hAnsiTheme="majorHAnsi"/>
          <w:sz w:val="22"/>
          <w:szCs w:val="22"/>
          <w:lang w:val="es-ES_tradnl"/>
        </w:rPr>
      </w:pPr>
    </w:p>
    <w:p w14:paraId="46C92BE7" w14:textId="77777777" w:rsidR="00040C3A" w:rsidRPr="00407A7B" w:rsidRDefault="00040C3A" w:rsidP="005128E4">
      <w:pPr>
        <w:tabs>
          <w:tab w:val="center" w:pos="5400"/>
        </w:tabs>
        <w:suppressAutoHyphens/>
        <w:jc w:val="center"/>
        <w:rPr>
          <w:rFonts w:asciiTheme="majorHAnsi" w:hAnsiTheme="majorHAnsi"/>
          <w:sz w:val="22"/>
          <w:szCs w:val="22"/>
          <w:lang w:val="es-ES_tradnl"/>
        </w:rPr>
      </w:pPr>
    </w:p>
    <w:p w14:paraId="2EA619AE" w14:textId="77777777" w:rsidR="005B52B0" w:rsidRPr="00407A7B" w:rsidRDefault="005B52B0" w:rsidP="005128E4">
      <w:pPr>
        <w:tabs>
          <w:tab w:val="center" w:pos="5400"/>
        </w:tabs>
        <w:suppressAutoHyphens/>
        <w:jc w:val="center"/>
        <w:rPr>
          <w:rFonts w:asciiTheme="majorHAnsi" w:hAnsiTheme="majorHAnsi"/>
          <w:sz w:val="22"/>
          <w:szCs w:val="22"/>
          <w:lang w:val="es-ES_tradnl"/>
        </w:rPr>
      </w:pPr>
    </w:p>
    <w:p w14:paraId="3533FD1B" w14:textId="77777777" w:rsidR="005B52B0" w:rsidRPr="00407A7B" w:rsidRDefault="005B52B0" w:rsidP="005128E4">
      <w:pPr>
        <w:tabs>
          <w:tab w:val="center" w:pos="5400"/>
        </w:tabs>
        <w:suppressAutoHyphens/>
        <w:jc w:val="center"/>
        <w:rPr>
          <w:rFonts w:asciiTheme="majorHAnsi" w:hAnsiTheme="majorHAnsi"/>
          <w:sz w:val="22"/>
          <w:szCs w:val="22"/>
          <w:lang w:val="es-ES_tradnl"/>
        </w:rPr>
      </w:pPr>
    </w:p>
    <w:p w14:paraId="2681C6EF" w14:textId="77777777" w:rsidR="005B52B0" w:rsidRPr="00407A7B" w:rsidRDefault="005B52B0" w:rsidP="005128E4">
      <w:pPr>
        <w:tabs>
          <w:tab w:val="center" w:pos="5400"/>
        </w:tabs>
        <w:suppressAutoHyphens/>
        <w:jc w:val="center"/>
        <w:rPr>
          <w:rFonts w:asciiTheme="majorHAnsi" w:hAnsiTheme="majorHAnsi"/>
          <w:sz w:val="22"/>
          <w:szCs w:val="22"/>
          <w:lang w:val="es-ES_tradnl"/>
        </w:rPr>
      </w:pPr>
    </w:p>
    <w:p w14:paraId="5BB9754C" w14:textId="77777777" w:rsidR="00040C3A" w:rsidRPr="00407A7B" w:rsidRDefault="00040C3A" w:rsidP="00040C3A">
      <w:pPr>
        <w:tabs>
          <w:tab w:val="center" w:pos="5400"/>
        </w:tabs>
        <w:suppressAutoHyphens/>
        <w:jc w:val="center"/>
        <w:rPr>
          <w:rFonts w:asciiTheme="majorHAnsi" w:hAnsiTheme="majorHAnsi"/>
          <w:sz w:val="22"/>
          <w:szCs w:val="22"/>
          <w:lang w:val="es-ES_tradnl"/>
        </w:rPr>
      </w:pPr>
    </w:p>
    <w:p w14:paraId="74D5C078" w14:textId="77777777" w:rsidR="00040C3A" w:rsidRPr="00407A7B" w:rsidRDefault="00040C3A" w:rsidP="00040C3A">
      <w:pPr>
        <w:tabs>
          <w:tab w:val="center" w:pos="5400"/>
        </w:tabs>
        <w:suppressAutoHyphens/>
        <w:jc w:val="center"/>
        <w:rPr>
          <w:rFonts w:asciiTheme="majorHAnsi" w:hAnsiTheme="majorHAnsi"/>
          <w:sz w:val="22"/>
          <w:szCs w:val="22"/>
          <w:lang w:val="es-ES_tradnl"/>
        </w:rPr>
      </w:pPr>
    </w:p>
    <w:p w14:paraId="4745AFF5" w14:textId="77777777" w:rsidR="00040C3A" w:rsidRPr="00407A7B" w:rsidRDefault="003D3BC2" w:rsidP="00040C3A">
      <w:pPr>
        <w:tabs>
          <w:tab w:val="center" w:pos="5400"/>
        </w:tabs>
        <w:suppressAutoHyphens/>
        <w:jc w:val="center"/>
        <w:rPr>
          <w:rFonts w:asciiTheme="majorHAnsi" w:hAnsiTheme="majorHAnsi"/>
          <w:sz w:val="22"/>
          <w:szCs w:val="22"/>
          <w:lang w:val="es-ES_tradnl"/>
        </w:rPr>
      </w:pPr>
      <w:r w:rsidRPr="00407A7B">
        <w:rPr>
          <w:rFonts w:asciiTheme="majorHAnsi" w:hAnsiTheme="majorHAnsi"/>
          <w:noProof/>
          <w:sz w:val="22"/>
          <w:szCs w:val="22"/>
          <w:lang w:val="es-AR" w:eastAsia="es-AR"/>
        </w:rPr>
        <mc:AlternateContent>
          <mc:Choice Requires="wps">
            <w:drawing>
              <wp:anchor distT="0" distB="0" distL="114300" distR="114300" simplePos="0" relativeHeight="251669504" behindDoc="0" locked="0" layoutInCell="1" allowOverlap="1" wp14:anchorId="3D4DB4ED" wp14:editId="6922ACB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54074" w14:textId="77777777" w:rsidR="00D42427" w:rsidRPr="004E2649" w:rsidRDefault="00D4242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380</w:t>
                            </w:r>
                            <w:r w:rsidRPr="004E2649">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20</w:t>
                            </w:r>
                          </w:p>
                          <w:p w14:paraId="3B265AF0" w14:textId="77777777" w:rsidR="00D42427" w:rsidRPr="004E2649" w:rsidRDefault="00D4242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13.193</w:t>
                            </w:r>
                          </w:p>
                          <w:p w14:paraId="497B8264" w14:textId="77777777" w:rsidR="00D42427" w:rsidRPr="0010736F" w:rsidRDefault="00D4242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r>
                              <w:rPr>
                                <w:rFonts w:asciiTheme="majorHAnsi" w:hAnsiTheme="majorHAnsi" w:cs="Arial"/>
                                <w:color w:val="0D0D0D" w:themeColor="text1" w:themeTint="F2"/>
                                <w:szCs w:val="22"/>
                                <w:lang w:val="es-ES_tradnl"/>
                              </w:rPr>
                              <w:t>Y FONDO</w:t>
                            </w:r>
                          </w:p>
                          <w:p w14:paraId="2246065B" w14:textId="77777777" w:rsidR="00D42427" w:rsidRPr="0010736F" w:rsidRDefault="00D42427" w:rsidP="00997BC5">
                            <w:pPr>
                              <w:spacing w:line="276" w:lineRule="auto"/>
                              <w:rPr>
                                <w:rFonts w:asciiTheme="majorHAnsi" w:hAnsiTheme="majorHAnsi" w:cs="Arial"/>
                                <w:color w:val="0D0D0D" w:themeColor="text1" w:themeTint="F2"/>
                                <w:szCs w:val="22"/>
                                <w:lang w:val="es-ES_tradnl"/>
                              </w:rPr>
                            </w:pPr>
                            <w:bookmarkStart w:id="0" w:name="_ftnref1"/>
                          </w:p>
                          <w:p w14:paraId="736E843B" w14:textId="77777777" w:rsidR="00D42427" w:rsidRPr="0010736F" w:rsidRDefault="00D4242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THOMAS SCOT COCHRAN </w:t>
                            </w:r>
                          </w:p>
                          <w:bookmarkEnd w:id="0"/>
                          <w:p w14:paraId="71D3CDF5" w14:textId="77777777" w:rsidR="00D42427" w:rsidRPr="0010736F" w:rsidRDefault="00D4242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COSTA RICA </w:t>
                            </w:r>
                          </w:p>
                          <w:p w14:paraId="65911A07" w14:textId="77777777" w:rsidR="00D42427" w:rsidRPr="00AE5488" w:rsidRDefault="00D4242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DB4ED"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7254074" w14:textId="77777777" w:rsidR="00D42427" w:rsidRPr="004E2649" w:rsidRDefault="00D4242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380</w:t>
                      </w:r>
                      <w:r w:rsidRPr="004E2649">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20</w:t>
                      </w:r>
                    </w:p>
                    <w:p w14:paraId="3B265AF0" w14:textId="77777777" w:rsidR="00D42427" w:rsidRPr="004E2649" w:rsidRDefault="00D4242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13.193</w:t>
                      </w:r>
                    </w:p>
                    <w:p w14:paraId="497B8264" w14:textId="77777777" w:rsidR="00D42427" w:rsidRPr="0010736F" w:rsidRDefault="00D4242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r>
                        <w:rPr>
                          <w:rFonts w:asciiTheme="majorHAnsi" w:hAnsiTheme="majorHAnsi" w:cs="Arial"/>
                          <w:color w:val="0D0D0D" w:themeColor="text1" w:themeTint="F2"/>
                          <w:szCs w:val="22"/>
                          <w:lang w:val="es-ES_tradnl"/>
                        </w:rPr>
                        <w:t>Y FONDO</w:t>
                      </w:r>
                    </w:p>
                    <w:p w14:paraId="2246065B" w14:textId="77777777" w:rsidR="00D42427" w:rsidRPr="0010736F" w:rsidRDefault="00D42427" w:rsidP="00997BC5">
                      <w:pPr>
                        <w:spacing w:line="276" w:lineRule="auto"/>
                        <w:rPr>
                          <w:rFonts w:asciiTheme="majorHAnsi" w:hAnsiTheme="majorHAnsi" w:cs="Arial"/>
                          <w:color w:val="0D0D0D" w:themeColor="text1" w:themeTint="F2"/>
                          <w:szCs w:val="22"/>
                          <w:lang w:val="es-ES_tradnl"/>
                        </w:rPr>
                      </w:pPr>
                      <w:bookmarkStart w:id="1" w:name="_ftnref1"/>
                    </w:p>
                    <w:p w14:paraId="736E843B" w14:textId="77777777" w:rsidR="00D42427" w:rsidRPr="0010736F" w:rsidRDefault="00D4242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THOMAS SCOT COCHRAN </w:t>
                      </w:r>
                    </w:p>
                    <w:bookmarkEnd w:id="1"/>
                    <w:p w14:paraId="71D3CDF5" w14:textId="77777777" w:rsidR="00D42427" w:rsidRPr="0010736F" w:rsidRDefault="00D4242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COSTA RICA </w:t>
                      </w:r>
                    </w:p>
                    <w:p w14:paraId="65911A07" w14:textId="77777777" w:rsidR="00D42427" w:rsidRPr="00AE5488" w:rsidRDefault="00D42427" w:rsidP="007A5817">
                      <w:pPr>
                        <w:rPr>
                          <w:color w:val="0D0D0D" w:themeColor="text1" w:themeTint="F2"/>
                          <w:lang w:val="es-ES_tradnl"/>
                        </w:rPr>
                      </w:pPr>
                    </w:p>
                  </w:txbxContent>
                </v:textbox>
              </v:shape>
            </w:pict>
          </mc:Fallback>
        </mc:AlternateContent>
      </w:r>
      <w:r w:rsidR="004E2649" w:rsidRPr="00407A7B">
        <w:rPr>
          <w:rFonts w:asciiTheme="majorHAnsi" w:hAnsiTheme="majorHAnsi"/>
          <w:noProof/>
          <w:sz w:val="22"/>
          <w:szCs w:val="22"/>
          <w:lang w:val="es-AR" w:eastAsia="es-AR"/>
        </w:rPr>
        <mc:AlternateContent>
          <mc:Choice Requires="wps">
            <w:drawing>
              <wp:anchor distT="0" distB="0" distL="114300" distR="114300" simplePos="0" relativeHeight="251671552" behindDoc="0" locked="0" layoutInCell="1" allowOverlap="1" wp14:anchorId="72496A75" wp14:editId="0585F34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DF7B9" w14:textId="77777777" w:rsidR="00D42427" w:rsidRPr="004E2649" w:rsidRDefault="00D4242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OEA/Ser.L/V/II.178</w:t>
                            </w:r>
                          </w:p>
                          <w:p w14:paraId="15654283" w14:textId="77777777" w:rsidR="00D42427" w:rsidRPr="004E2649" w:rsidRDefault="00D4242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397</w:t>
                            </w:r>
                          </w:p>
                          <w:p w14:paraId="68B547F2" w14:textId="77777777" w:rsidR="00D42427" w:rsidRPr="00A9284B" w:rsidRDefault="00D42427" w:rsidP="007A5817">
                            <w:pPr>
                              <w:spacing w:line="276" w:lineRule="auto"/>
                              <w:jc w:val="right"/>
                              <w:rPr>
                                <w:rFonts w:asciiTheme="minorHAnsi" w:hAnsiTheme="minorHAnsi"/>
                                <w:color w:val="FFFFFF" w:themeColor="background1"/>
                                <w:sz w:val="22"/>
                                <w:lang w:val="fr-CH"/>
                              </w:rPr>
                            </w:pPr>
                            <w:r>
                              <w:rPr>
                                <w:rFonts w:asciiTheme="minorHAnsi" w:hAnsiTheme="minorHAnsi"/>
                                <w:color w:val="FFFFFF" w:themeColor="background1"/>
                                <w:sz w:val="22"/>
                                <w:lang w:val="fr-CH"/>
                              </w:rPr>
                              <w:t>15 diciembre</w:t>
                            </w:r>
                            <w:r w:rsidRPr="00A9284B">
                              <w:rPr>
                                <w:rFonts w:asciiTheme="minorHAnsi" w:hAnsiTheme="minorHAnsi"/>
                                <w:color w:val="FFFFFF" w:themeColor="background1"/>
                                <w:sz w:val="22"/>
                                <w:lang w:val="fr-CH"/>
                              </w:rPr>
                              <w:t xml:space="preserve"> 2020</w:t>
                            </w:r>
                          </w:p>
                          <w:p w14:paraId="0D95FD23" w14:textId="77777777" w:rsidR="00D42427" w:rsidRPr="00384A58" w:rsidRDefault="00D42427" w:rsidP="007A5817">
                            <w:pPr>
                              <w:spacing w:line="276" w:lineRule="auto"/>
                              <w:jc w:val="right"/>
                              <w:rPr>
                                <w:rFonts w:asciiTheme="minorHAnsi" w:hAnsiTheme="minorHAnsi"/>
                                <w:color w:val="FFFFFF" w:themeColor="background1"/>
                                <w:sz w:val="22"/>
                                <w:lang w:val="es-AR"/>
                              </w:rPr>
                            </w:pPr>
                            <w:r w:rsidRPr="00384A58">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96A7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48DF7B9" w14:textId="77777777" w:rsidR="00D42427" w:rsidRPr="004E2649" w:rsidRDefault="00D4242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OEA/Ser.L/V/II.178</w:t>
                      </w:r>
                    </w:p>
                    <w:p w14:paraId="15654283" w14:textId="77777777" w:rsidR="00D42427" w:rsidRPr="004E2649" w:rsidRDefault="00D4242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397</w:t>
                      </w:r>
                    </w:p>
                    <w:p w14:paraId="68B547F2" w14:textId="77777777" w:rsidR="00D42427" w:rsidRPr="00A9284B" w:rsidRDefault="00D42427" w:rsidP="007A5817">
                      <w:pPr>
                        <w:spacing w:line="276" w:lineRule="auto"/>
                        <w:jc w:val="right"/>
                        <w:rPr>
                          <w:rFonts w:asciiTheme="minorHAnsi" w:hAnsiTheme="minorHAnsi"/>
                          <w:color w:val="FFFFFF" w:themeColor="background1"/>
                          <w:sz w:val="22"/>
                          <w:lang w:val="fr-CH"/>
                        </w:rPr>
                      </w:pPr>
                      <w:r>
                        <w:rPr>
                          <w:rFonts w:asciiTheme="minorHAnsi" w:hAnsiTheme="minorHAnsi"/>
                          <w:color w:val="FFFFFF" w:themeColor="background1"/>
                          <w:sz w:val="22"/>
                          <w:lang w:val="fr-CH"/>
                        </w:rPr>
                        <w:t>15 diciembre</w:t>
                      </w:r>
                      <w:r w:rsidRPr="00A9284B">
                        <w:rPr>
                          <w:rFonts w:asciiTheme="minorHAnsi" w:hAnsiTheme="minorHAnsi"/>
                          <w:color w:val="FFFFFF" w:themeColor="background1"/>
                          <w:sz w:val="22"/>
                          <w:lang w:val="fr-CH"/>
                        </w:rPr>
                        <w:t xml:space="preserve"> 2020</w:t>
                      </w:r>
                    </w:p>
                    <w:p w14:paraId="0D95FD23" w14:textId="77777777" w:rsidR="00D42427" w:rsidRPr="00384A58" w:rsidRDefault="00D42427" w:rsidP="007A5817">
                      <w:pPr>
                        <w:spacing w:line="276" w:lineRule="auto"/>
                        <w:jc w:val="right"/>
                        <w:rPr>
                          <w:rFonts w:asciiTheme="minorHAnsi" w:hAnsiTheme="minorHAnsi"/>
                          <w:color w:val="FFFFFF" w:themeColor="background1"/>
                          <w:sz w:val="22"/>
                          <w:lang w:val="es-AR"/>
                        </w:rPr>
                      </w:pPr>
                      <w:r w:rsidRPr="00384A58">
                        <w:rPr>
                          <w:rFonts w:asciiTheme="minorHAnsi" w:hAnsiTheme="minorHAnsi"/>
                          <w:color w:val="FFFFFF" w:themeColor="background1"/>
                          <w:sz w:val="22"/>
                          <w:lang w:val="es-AR"/>
                        </w:rPr>
                        <w:t>Original: español</w:t>
                      </w:r>
                    </w:p>
                  </w:txbxContent>
                </v:textbox>
              </v:shape>
            </w:pict>
          </mc:Fallback>
        </mc:AlternateContent>
      </w:r>
    </w:p>
    <w:p w14:paraId="577C274A" w14:textId="77777777" w:rsidR="00040C3A" w:rsidRPr="00407A7B" w:rsidRDefault="00040C3A" w:rsidP="00040C3A">
      <w:pPr>
        <w:tabs>
          <w:tab w:val="center" w:pos="5400"/>
        </w:tabs>
        <w:suppressAutoHyphens/>
        <w:jc w:val="center"/>
        <w:rPr>
          <w:rFonts w:asciiTheme="majorHAnsi" w:hAnsiTheme="majorHAnsi"/>
          <w:sz w:val="22"/>
          <w:szCs w:val="22"/>
          <w:lang w:val="es-ES_tradnl"/>
        </w:rPr>
      </w:pPr>
    </w:p>
    <w:p w14:paraId="50FC2131" w14:textId="77777777" w:rsidR="00040C3A" w:rsidRPr="00407A7B" w:rsidRDefault="00040C3A" w:rsidP="00040C3A">
      <w:pPr>
        <w:tabs>
          <w:tab w:val="center" w:pos="5400"/>
        </w:tabs>
        <w:suppressAutoHyphens/>
        <w:jc w:val="center"/>
        <w:rPr>
          <w:rFonts w:asciiTheme="majorHAnsi" w:hAnsiTheme="majorHAnsi"/>
          <w:sz w:val="22"/>
          <w:szCs w:val="22"/>
          <w:lang w:val="es-ES_tradnl"/>
        </w:rPr>
      </w:pPr>
    </w:p>
    <w:p w14:paraId="7392306F" w14:textId="77777777" w:rsidR="00040C3A" w:rsidRPr="00407A7B" w:rsidRDefault="00040C3A" w:rsidP="00040C3A">
      <w:pPr>
        <w:tabs>
          <w:tab w:val="center" w:pos="5400"/>
        </w:tabs>
        <w:suppressAutoHyphens/>
        <w:jc w:val="center"/>
        <w:rPr>
          <w:rFonts w:asciiTheme="majorHAnsi" w:hAnsiTheme="majorHAnsi" w:cs="Arial"/>
          <w:sz w:val="22"/>
          <w:szCs w:val="22"/>
          <w:lang w:val="es-ES_tradnl"/>
        </w:rPr>
      </w:pPr>
    </w:p>
    <w:p w14:paraId="4A591825" w14:textId="77777777" w:rsidR="00040C3A" w:rsidRPr="00407A7B" w:rsidRDefault="00040C3A" w:rsidP="00040C3A">
      <w:pPr>
        <w:tabs>
          <w:tab w:val="center" w:pos="5400"/>
        </w:tabs>
        <w:suppressAutoHyphens/>
        <w:jc w:val="center"/>
        <w:rPr>
          <w:rFonts w:asciiTheme="majorHAnsi" w:hAnsiTheme="majorHAnsi"/>
          <w:sz w:val="22"/>
          <w:szCs w:val="22"/>
          <w:lang w:val="es-ES_tradnl"/>
        </w:rPr>
      </w:pPr>
    </w:p>
    <w:p w14:paraId="57002D2A" w14:textId="77777777" w:rsidR="00040C3A" w:rsidRPr="00407A7B" w:rsidRDefault="00040C3A" w:rsidP="00040C3A">
      <w:pPr>
        <w:tabs>
          <w:tab w:val="center" w:pos="5400"/>
        </w:tabs>
        <w:suppressAutoHyphens/>
        <w:jc w:val="center"/>
        <w:rPr>
          <w:rFonts w:asciiTheme="majorHAnsi" w:hAnsiTheme="majorHAnsi"/>
          <w:sz w:val="22"/>
          <w:szCs w:val="22"/>
          <w:lang w:val="es-ES_tradnl"/>
        </w:rPr>
      </w:pPr>
    </w:p>
    <w:p w14:paraId="3CD18969" w14:textId="77777777" w:rsidR="00040C3A" w:rsidRPr="00407A7B" w:rsidRDefault="00040C3A" w:rsidP="00040C3A">
      <w:pPr>
        <w:tabs>
          <w:tab w:val="center" w:pos="5400"/>
        </w:tabs>
        <w:suppressAutoHyphens/>
        <w:jc w:val="center"/>
        <w:rPr>
          <w:rFonts w:asciiTheme="majorHAnsi" w:hAnsiTheme="majorHAnsi"/>
          <w:sz w:val="22"/>
          <w:szCs w:val="22"/>
          <w:lang w:val="es-ES_tradnl"/>
        </w:rPr>
      </w:pPr>
    </w:p>
    <w:p w14:paraId="4D91633A" w14:textId="77777777" w:rsidR="00040C3A" w:rsidRPr="00407A7B" w:rsidRDefault="00040C3A" w:rsidP="00040C3A">
      <w:pPr>
        <w:tabs>
          <w:tab w:val="center" w:pos="5400"/>
        </w:tabs>
        <w:suppressAutoHyphens/>
        <w:jc w:val="center"/>
        <w:rPr>
          <w:rFonts w:asciiTheme="majorHAnsi" w:hAnsiTheme="majorHAnsi"/>
          <w:sz w:val="22"/>
          <w:szCs w:val="22"/>
          <w:lang w:val="es-ES_tradnl"/>
        </w:rPr>
      </w:pPr>
    </w:p>
    <w:p w14:paraId="5D9878FE" w14:textId="77777777" w:rsidR="005128E4" w:rsidRPr="00407A7B" w:rsidRDefault="005128E4" w:rsidP="00040C3A">
      <w:pPr>
        <w:tabs>
          <w:tab w:val="center" w:pos="5400"/>
        </w:tabs>
        <w:suppressAutoHyphens/>
        <w:jc w:val="center"/>
        <w:rPr>
          <w:rFonts w:asciiTheme="majorHAnsi" w:hAnsiTheme="majorHAnsi"/>
          <w:sz w:val="22"/>
          <w:szCs w:val="22"/>
          <w:lang w:val="es-ES_tradnl"/>
        </w:rPr>
      </w:pPr>
    </w:p>
    <w:p w14:paraId="3D6688B5" w14:textId="77777777" w:rsidR="00040C3A" w:rsidRPr="00407A7B" w:rsidRDefault="00040C3A" w:rsidP="00040C3A">
      <w:pPr>
        <w:tabs>
          <w:tab w:val="center" w:pos="5400"/>
        </w:tabs>
        <w:suppressAutoHyphens/>
        <w:jc w:val="center"/>
        <w:rPr>
          <w:rFonts w:asciiTheme="majorHAnsi" w:hAnsiTheme="majorHAnsi"/>
          <w:sz w:val="22"/>
          <w:szCs w:val="22"/>
          <w:lang w:val="es-ES_tradnl"/>
        </w:rPr>
      </w:pPr>
    </w:p>
    <w:p w14:paraId="219758D4" w14:textId="77777777" w:rsidR="005128E4" w:rsidRPr="00407A7B" w:rsidRDefault="005128E4" w:rsidP="00040C3A">
      <w:pPr>
        <w:tabs>
          <w:tab w:val="center" w:pos="5400"/>
        </w:tabs>
        <w:suppressAutoHyphens/>
        <w:jc w:val="center"/>
        <w:rPr>
          <w:rFonts w:asciiTheme="majorHAnsi" w:hAnsiTheme="majorHAnsi"/>
          <w:sz w:val="22"/>
          <w:szCs w:val="22"/>
          <w:lang w:val="es-ES_tradnl"/>
        </w:rPr>
      </w:pPr>
    </w:p>
    <w:p w14:paraId="46378506" w14:textId="77777777" w:rsidR="005128E4" w:rsidRPr="00407A7B" w:rsidRDefault="005128E4" w:rsidP="00040C3A">
      <w:pPr>
        <w:tabs>
          <w:tab w:val="center" w:pos="5400"/>
        </w:tabs>
        <w:suppressAutoHyphens/>
        <w:jc w:val="center"/>
        <w:rPr>
          <w:rFonts w:asciiTheme="majorHAnsi" w:hAnsiTheme="majorHAnsi"/>
          <w:sz w:val="22"/>
          <w:szCs w:val="22"/>
          <w:lang w:val="es-ES_tradnl"/>
        </w:rPr>
      </w:pPr>
    </w:p>
    <w:p w14:paraId="5AF70002" w14:textId="77777777" w:rsidR="005128E4" w:rsidRPr="00407A7B" w:rsidRDefault="005128E4" w:rsidP="00040C3A">
      <w:pPr>
        <w:tabs>
          <w:tab w:val="center" w:pos="5400"/>
        </w:tabs>
        <w:suppressAutoHyphens/>
        <w:jc w:val="center"/>
        <w:rPr>
          <w:rFonts w:asciiTheme="majorHAnsi" w:hAnsiTheme="majorHAnsi"/>
          <w:sz w:val="22"/>
          <w:szCs w:val="22"/>
          <w:lang w:val="es-ES_tradnl"/>
        </w:rPr>
      </w:pPr>
    </w:p>
    <w:p w14:paraId="50C83BD8" w14:textId="77777777" w:rsidR="00040C3A" w:rsidRPr="00407A7B" w:rsidRDefault="00040C3A" w:rsidP="00040C3A">
      <w:pPr>
        <w:tabs>
          <w:tab w:val="center" w:pos="5400"/>
        </w:tabs>
        <w:suppressAutoHyphens/>
        <w:jc w:val="center"/>
        <w:rPr>
          <w:rFonts w:asciiTheme="majorHAnsi" w:hAnsiTheme="majorHAnsi"/>
          <w:sz w:val="22"/>
          <w:szCs w:val="22"/>
          <w:lang w:val="es-ES_tradnl"/>
        </w:rPr>
      </w:pPr>
    </w:p>
    <w:p w14:paraId="2CACB59F" w14:textId="77777777" w:rsidR="00040C3A" w:rsidRPr="00407A7B" w:rsidRDefault="00040C3A" w:rsidP="00040C3A">
      <w:pPr>
        <w:tabs>
          <w:tab w:val="center" w:pos="5400"/>
        </w:tabs>
        <w:suppressAutoHyphens/>
        <w:jc w:val="center"/>
        <w:rPr>
          <w:rFonts w:asciiTheme="majorHAnsi" w:hAnsiTheme="majorHAnsi"/>
          <w:sz w:val="22"/>
          <w:szCs w:val="22"/>
          <w:lang w:val="es-ES_tradnl"/>
        </w:rPr>
      </w:pPr>
    </w:p>
    <w:p w14:paraId="78C05AAB" w14:textId="77777777" w:rsidR="00A50FCF" w:rsidRPr="00407A7B" w:rsidRDefault="00A50FCF" w:rsidP="00040C3A">
      <w:pPr>
        <w:tabs>
          <w:tab w:val="center" w:pos="5400"/>
        </w:tabs>
        <w:suppressAutoHyphens/>
        <w:jc w:val="center"/>
        <w:rPr>
          <w:rFonts w:asciiTheme="majorHAnsi" w:hAnsiTheme="majorHAnsi"/>
          <w:sz w:val="18"/>
          <w:szCs w:val="22"/>
          <w:lang w:val="es-ES_tradnl"/>
        </w:rPr>
      </w:pPr>
    </w:p>
    <w:p w14:paraId="06633E06" w14:textId="77777777" w:rsidR="00A50FCF" w:rsidRPr="00407A7B" w:rsidRDefault="00A50FCF" w:rsidP="00040C3A">
      <w:pPr>
        <w:tabs>
          <w:tab w:val="center" w:pos="5400"/>
        </w:tabs>
        <w:suppressAutoHyphens/>
        <w:jc w:val="center"/>
        <w:rPr>
          <w:rFonts w:asciiTheme="majorHAnsi" w:hAnsiTheme="majorHAnsi"/>
          <w:sz w:val="18"/>
          <w:szCs w:val="22"/>
          <w:lang w:val="es-ES_tradnl"/>
        </w:rPr>
      </w:pPr>
    </w:p>
    <w:p w14:paraId="284F0EE0" w14:textId="77777777" w:rsidR="00A50FCF" w:rsidRPr="00407A7B" w:rsidRDefault="00A50FCF" w:rsidP="00040C3A">
      <w:pPr>
        <w:tabs>
          <w:tab w:val="center" w:pos="5400"/>
        </w:tabs>
        <w:suppressAutoHyphens/>
        <w:jc w:val="center"/>
        <w:rPr>
          <w:rFonts w:asciiTheme="majorHAnsi" w:hAnsiTheme="majorHAnsi"/>
          <w:sz w:val="18"/>
          <w:szCs w:val="22"/>
          <w:lang w:val="es-ES_tradnl"/>
        </w:rPr>
      </w:pPr>
    </w:p>
    <w:p w14:paraId="7BFA5EAB" w14:textId="77777777" w:rsidR="00A50FCF" w:rsidRPr="00407A7B" w:rsidRDefault="00A50FCF" w:rsidP="00040C3A">
      <w:pPr>
        <w:tabs>
          <w:tab w:val="center" w:pos="5400"/>
        </w:tabs>
        <w:suppressAutoHyphens/>
        <w:jc w:val="center"/>
        <w:rPr>
          <w:rFonts w:asciiTheme="majorHAnsi" w:hAnsiTheme="majorHAnsi"/>
          <w:sz w:val="18"/>
          <w:szCs w:val="22"/>
          <w:lang w:val="es-ES_tradnl"/>
        </w:rPr>
      </w:pPr>
    </w:p>
    <w:p w14:paraId="4F0EC845" w14:textId="77777777" w:rsidR="00A50FCF" w:rsidRPr="00407A7B" w:rsidRDefault="00A50FCF" w:rsidP="00040C3A">
      <w:pPr>
        <w:tabs>
          <w:tab w:val="center" w:pos="5400"/>
        </w:tabs>
        <w:suppressAutoHyphens/>
        <w:jc w:val="center"/>
        <w:rPr>
          <w:rFonts w:asciiTheme="majorHAnsi" w:hAnsiTheme="majorHAnsi"/>
          <w:sz w:val="18"/>
          <w:szCs w:val="22"/>
          <w:lang w:val="es-ES_tradnl"/>
        </w:rPr>
      </w:pPr>
    </w:p>
    <w:p w14:paraId="0525EC8A" w14:textId="77777777" w:rsidR="00A50FCF" w:rsidRPr="00407A7B" w:rsidRDefault="00A50FCF" w:rsidP="00040C3A">
      <w:pPr>
        <w:tabs>
          <w:tab w:val="center" w:pos="5400"/>
        </w:tabs>
        <w:suppressAutoHyphens/>
        <w:jc w:val="center"/>
        <w:rPr>
          <w:rFonts w:asciiTheme="majorHAnsi" w:hAnsiTheme="majorHAnsi"/>
          <w:sz w:val="18"/>
          <w:szCs w:val="22"/>
          <w:lang w:val="es-ES_tradnl"/>
        </w:rPr>
      </w:pPr>
    </w:p>
    <w:p w14:paraId="1AF02C13" w14:textId="77777777" w:rsidR="00A50FCF" w:rsidRPr="00407A7B" w:rsidRDefault="00A50FCF" w:rsidP="00040C3A">
      <w:pPr>
        <w:tabs>
          <w:tab w:val="center" w:pos="5400"/>
        </w:tabs>
        <w:suppressAutoHyphens/>
        <w:jc w:val="center"/>
        <w:rPr>
          <w:rFonts w:asciiTheme="majorHAnsi" w:hAnsiTheme="majorHAnsi"/>
          <w:sz w:val="18"/>
          <w:szCs w:val="22"/>
          <w:lang w:val="es-ES_tradnl"/>
        </w:rPr>
      </w:pPr>
    </w:p>
    <w:p w14:paraId="0AD78263" w14:textId="77777777" w:rsidR="00A50FCF" w:rsidRPr="00407A7B" w:rsidRDefault="00A50FCF" w:rsidP="00040C3A">
      <w:pPr>
        <w:tabs>
          <w:tab w:val="center" w:pos="5400"/>
        </w:tabs>
        <w:suppressAutoHyphens/>
        <w:jc w:val="center"/>
        <w:rPr>
          <w:rFonts w:asciiTheme="majorHAnsi" w:hAnsiTheme="majorHAnsi"/>
          <w:sz w:val="18"/>
          <w:szCs w:val="22"/>
          <w:lang w:val="es-ES_tradnl"/>
        </w:rPr>
      </w:pPr>
    </w:p>
    <w:p w14:paraId="08B1CD43" w14:textId="77777777" w:rsidR="00A50FCF" w:rsidRPr="00407A7B" w:rsidRDefault="00A50FCF" w:rsidP="00040C3A">
      <w:pPr>
        <w:tabs>
          <w:tab w:val="center" w:pos="5400"/>
        </w:tabs>
        <w:suppressAutoHyphens/>
        <w:jc w:val="center"/>
        <w:rPr>
          <w:rFonts w:asciiTheme="majorHAnsi" w:hAnsiTheme="majorHAnsi"/>
          <w:sz w:val="18"/>
          <w:szCs w:val="22"/>
          <w:lang w:val="es-ES_tradnl"/>
        </w:rPr>
      </w:pPr>
    </w:p>
    <w:p w14:paraId="281C26C8" w14:textId="77777777" w:rsidR="00A50FCF" w:rsidRPr="00407A7B" w:rsidRDefault="00A50FCF" w:rsidP="00040C3A">
      <w:pPr>
        <w:tabs>
          <w:tab w:val="center" w:pos="5400"/>
        </w:tabs>
        <w:suppressAutoHyphens/>
        <w:jc w:val="center"/>
        <w:rPr>
          <w:rFonts w:asciiTheme="majorHAnsi" w:hAnsiTheme="majorHAnsi"/>
          <w:sz w:val="18"/>
          <w:szCs w:val="22"/>
          <w:lang w:val="es-ES_tradnl"/>
        </w:rPr>
      </w:pPr>
    </w:p>
    <w:p w14:paraId="5B089D46" w14:textId="77777777" w:rsidR="00A50FCF" w:rsidRPr="00407A7B" w:rsidRDefault="00A50FCF" w:rsidP="00040C3A">
      <w:pPr>
        <w:tabs>
          <w:tab w:val="center" w:pos="5400"/>
        </w:tabs>
        <w:suppressAutoHyphens/>
        <w:jc w:val="center"/>
        <w:rPr>
          <w:rFonts w:asciiTheme="majorHAnsi" w:hAnsiTheme="majorHAnsi"/>
          <w:sz w:val="18"/>
          <w:szCs w:val="22"/>
          <w:lang w:val="es-ES_tradnl"/>
        </w:rPr>
      </w:pPr>
    </w:p>
    <w:p w14:paraId="74865F5E" w14:textId="77777777" w:rsidR="00A50FCF" w:rsidRPr="00407A7B" w:rsidRDefault="00A50FCF" w:rsidP="00040C3A">
      <w:pPr>
        <w:tabs>
          <w:tab w:val="center" w:pos="5400"/>
        </w:tabs>
        <w:suppressAutoHyphens/>
        <w:jc w:val="center"/>
        <w:rPr>
          <w:rFonts w:asciiTheme="majorHAnsi" w:hAnsiTheme="majorHAnsi"/>
          <w:sz w:val="18"/>
          <w:szCs w:val="22"/>
          <w:lang w:val="es-ES_tradnl"/>
        </w:rPr>
      </w:pPr>
    </w:p>
    <w:p w14:paraId="62058A4A" w14:textId="77777777" w:rsidR="00A50FCF" w:rsidRPr="00407A7B" w:rsidRDefault="00A50FCF" w:rsidP="00040C3A">
      <w:pPr>
        <w:tabs>
          <w:tab w:val="center" w:pos="5400"/>
        </w:tabs>
        <w:suppressAutoHyphens/>
        <w:jc w:val="center"/>
        <w:rPr>
          <w:rFonts w:asciiTheme="majorHAnsi" w:hAnsiTheme="majorHAnsi"/>
          <w:sz w:val="18"/>
          <w:szCs w:val="22"/>
          <w:lang w:val="es-ES_tradnl"/>
        </w:rPr>
      </w:pPr>
    </w:p>
    <w:p w14:paraId="09971D84" w14:textId="77777777" w:rsidR="00A50FCF" w:rsidRPr="00407A7B" w:rsidRDefault="00A50FCF" w:rsidP="00040C3A">
      <w:pPr>
        <w:tabs>
          <w:tab w:val="center" w:pos="5400"/>
        </w:tabs>
        <w:suppressAutoHyphens/>
        <w:jc w:val="center"/>
        <w:rPr>
          <w:rFonts w:asciiTheme="majorHAnsi" w:hAnsiTheme="majorHAnsi"/>
          <w:sz w:val="18"/>
          <w:szCs w:val="22"/>
          <w:lang w:val="es-ES_tradnl"/>
        </w:rPr>
      </w:pPr>
    </w:p>
    <w:p w14:paraId="05540243" w14:textId="77777777" w:rsidR="00A50FCF" w:rsidRPr="00407A7B" w:rsidRDefault="0090270B" w:rsidP="00040C3A">
      <w:pPr>
        <w:tabs>
          <w:tab w:val="center" w:pos="5400"/>
        </w:tabs>
        <w:suppressAutoHyphens/>
        <w:jc w:val="center"/>
        <w:rPr>
          <w:rFonts w:asciiTheme="majorHAnsi" w:hAnsiTheme="majorHAnsi"/>
          <w:sz w:val="18"/>
          <w:szCs w:val="22"/>
          <w:lang w:val="es-ES_tradnl"/>
        </w:rPr>
      </w:pPr>
      <w:r w:rsidRPr="00407A7B">
        <w:rPr>
          <w:rFonts w:asciiTheme="majorHAnsi" w:hAnsiTheme="majorHAnsi"/>
          <w:noProof/>
          <w:sz w:val="22"/>
          <w:szCs w:val="22"/>
          <w:lang w:val="es-AR" w:eastAsia="es-AR"/>
        </w:rPr>
        <mc:AlternateContent>
          <mc:Choice Requires="wps">
            <w:drawing>
              <wp:anchor distT="0" distB="0" distL="114300" distR="114300" simplePos="0" relativeHeight="251670528" behindDoc="0" locked="0" layoutInCell="1" allowOverlap="1" wp14:anchorId="7ED1DC0D" wp14:editId="53F3DDF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E4BAB" w14:textId="77777777" w:rsidR="00D42427" w:rsidRPr="00890650" w:rsidRDefault="00D42427"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2198 celebrada el 15 de Diciembre</w:t>
                            </w:r>
                            <w:r w:rsidRPr="00890650">
                              <w:rPr>
                                <w:rFonts w:asciiTheme="majorHAnsi" w:hAnsiTheme="majorHAnsi"/>
                                <w:color w:val="0D0D0D" w:themeColor="text1" w:themeTint="F2"/>
                                <w:sz w:val="18"/>
                                <w:szCs w:val="20"/>
                                <w:lang w:val="es-ES"/>
                              </w:rPr>
                              <w:t xml:space="preserve"> de 20</w:t>
                            </w:r>
                            <w:r>
                              <w:rPr>
                                <w:rFonts w:asciiTheme="majorHAnsi" w:hAnsiTheme="majorHAnsi"/>
                                <w:color w:val="0D0D0D" w:themeColor="text1" w:themeTint="F2"/>
                                <w:sz w:val="18"/>
                                <w:szCs w:val="20"/>
                                <w:lang w:val="es-ES"/>
                              </w:rPr>
                              <w:t>20</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178</w:t>
                            </w:r>
                            <w:r w:rsidRPr="00890650">
                              <w:rPr>
                                <w:rFonts w:asciiTheme="majorHAnsi" w:hAnsiTheme="majorHAnsi" w:cs="Univers"/>
                                <w:color w:val="0D0D0D" w:themeColor="text1" w:themeTint="F2"/>
                                <w:sz w:val="18"/>
                                <w:szCs w:val="20"/>
                                <w:lang w:val="es-ES_tradnl"/>
                              </w:rPr>
                              <w:t xml:space="preserve"> período ordinario de sesiones</w:t>
                            </w:r>
                          </w:p>
                          <w:p w14:paraId="1C19C686" w14:textId="77777777" w:rsidR="00D42427" w:rsidRPr="00FE3353" w:rsidRDefault="00D42427"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23E1CFA2" w14:textId="77777777" w:rsidR="00D42427" w:rsidRPr="00167A34" w:rsidRDefault="00D4242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1DC0D"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52E4BAB" w14:textId="77777777" w:rsidR="00D42427" w:rsidRPr="00890650" w:rsidRDefault="00D42427"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2198 celebrada el 15 de Diciembre</w:t>
                      </w:r>
                      <w:r w:rsidRPr="00890650">
                        <w:rPr>
                          <w:rFonts w:asciiTheme="majorHAnsi" w:hAnsiTheme="majorHAnsi"/>
                          <w:color w:val="0D0D0D" w:themeColor="text1" w:themeTint="F2"/>
                          <w:sz w:val="18"/>
                          <w:szCs w:val="20"/>
                          <w:lang w:val="es-ES"/>
                        </w:rPr>
                        <w:t xml:space="preserve"> de 20</w:t>
                      </w:r>
                      <w:r>
                        <w:rPr>
                          <w:rFonts w:asciiTheme="majorHAnsi" w:hAnsiTheme="majorHAnsi"/>
                          <w:color w:val="0D0D0D" w:themeColor="text1" w:themeTint="F2"/>
                          <w:sz w:val="18"/>
                          <w:szCs w:val="20"/>
                          <w:lang w:val="es-ES"/>
                        </w:rPr>
                        <w:t>20</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178</w:t>
                      </w:r>
                      <w:r w:rsidRPr="00890650">
                        <w:rPr>
                          <w:rFonts w:asciiTheme="majorHAnsi" w:hAnsiTheme="majorHAnsi" w:cs="Univers"/>
                          <w:color w:val="0D0D0D" w:themeColor="text1" w:themeTint="F2"/>
                          <w:sz w:val="18"/>
                          <w:szCs w:val="20"/>
                          <w:lang w:val="es-ES_tradnl"/>
                        </w:rPr>
                        <w:t xml:space="preserve"> período ordinario de sesiones</w:t>
                      </w:r>
                    </w:p>
                    <w:p w14:paraId="1C19C686" w14:textId="77777777" w:rsidR="00D42427" w:rsidRPr="00FE3353" w:rsidRDefault="00D42427"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23E1CFA2" w14:textId="77777777" w:rsidR="00D42427" w:rsidRPr="00167A34" w:rsidRDefault="00D4242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2E76563" w14:textId="77777777" w:rsidR="00A50FCF" w:rsidRPr="00407A7B" w:rsidRDefault="00A50FCF" w:rsidP="00040C3A">
      <w:pPr>
        <w:tabs>
          <w:tab w:val="center" w:pos="5400"/>
        </w:tabs>
        <w:suppressAutoHyphens/>
        <w:jc w:val="center"/>
        <w:rPr>
          <w:rFonts w:asciiTheme="majorHAnsi" w:hAnsiTheme="majorHAnsi"/>
          <w:sz w:val="18"/>
          <w:szCs w:val="22"/>
          <w:lang w:val="es-ES_tradnl"/>
        </w:rPr>
      </w:pPr>
    </w:p>
    <w:p w14:paraId="02293E6A" w14:textId="77777777" w:rsidR="00A50FCF" w:rsidRPr="00407A7B" w:rsidRDefault="00A50FCF" w:rsidP="00040C3A">
      <w:pPr>
        <w:tabs>
          <w:tab w:val="center" w:pos="5400"/>
        </w:tabs>
        <w:suppressAutoHyphens/>
        <w:jc w:val="center"/>
        <w:rPr>
          <w:rFonts w:asciiTheme="majorHAnsi" w:hAnsiTheme="majorHAnsi"/>
          <w:sz w:val="18"/>
          <w:szCs w:val="22"/>
          <w:lang w:val="es-ES_tradnl"/>
        </w:rPr>
      </w:pPr>
    </w:p>
    <w:p w14:paraId="034C2BE0" w14:textId="77777777" w:rsidR="00A50FCF" w:rsidRPr="00407A7B" w:rsidRDefault="00A50FCF" w:rsidP="00040C3A">
      <w:pPr>
        <w:tabs>
          <w:tab w:val="center" w:pos="5400"/>
        </w:tabs>
        <w:suppressAutoHyphens/>
        <w:jc w:val="center"/>
        <w:rPr>
          <w:rFonts w:asciiTheme="majorHAnsi" w:hAnsiTheme="majorHAnsi"/>
          <w:sz w:val="18"/>
          <w:szCs w:val="22"/>
          <w:lang w:val="es-ES_tradnl"/>
        </w:rPr>
      </w:pPr>
    </w:p>
    <w:p w14:paraId="1C3BDFCD" w14:textId="77777777" w:rsidR="00A50FCF" w:rsidRPr="00407A7B" w:rsidRDefault="00A50FCF" w:rsidP="00040C3A">
      <w:pPr>
        <w:tabs>
          <w:tab w:val="center" w:pos="5400"/>
        </w:tabs>
        <w:suppressAutoHyphens/>
        <w:jc w:val="center"/>
        <w:rPr>
          <w:rFonts w:asciiTheme="majorHAnsi" w:hAnsiTheme="majorHAnsi"/>
          <w:sz w:val="18"/>
          <w:szCs w:val="22"/>
          <w:lang w:val="es-ES_tradnl"/>
        </w:rPr>
      </w:pPr>
    </w:p>
    <w:p w14:paraId="40058CDD" w14:textId="77777777" w:rsidR="00A50FCF" w:rsidRPr="00407A7B" w:rsidRDefault="0090270B" w:rsidP="00040C3A">
      <w:pPr>
        <w:tabs>
          <w:tab w:val="center" w:pos="5400"/>
        </w:tabs>
        <w:suppressAutoHyphens/>
        <w:jc w:val="center"/>
        <w:rPr>
          <w:rFonts w:asciiTheme="majorHAnsi" w:hAnsiTheme="majorHAnsi"/>
          <w:sz w:val="18"/>
          <w:szCs w:val="22"/>
          <w:lang w:val="es-ES_tradnl"/>
        </w:rPr>
      </w:pPr>
      <w:r w:rsidRPr="00407A7B">
        <w:rPr>
          <w:rFonts w:asciiTheme="majorHAnsi" w:hAnsiTheme="majorHAnsi"/>
          <w:noProof/>
          <w:sz w:val="18"/>
          <w:szCs w:val="22"/>
          <w:lang w:val="es-AR" w:eastAsia="es-AR"/>
        </w:rPr>
        <mc:AlternateContent>
          <mc:Choice Requires="wps">
            <w:drawing>
              <wp:anchor distT="0" distB="0" distL="114300" distR="114300" simplePos="0" relativeHeight="251678720" behindDoc="0" locked="0" layoutInCell="1" allowOverlap="1" wp14:anchorId="4D969D9A" wp14:editId="2628ED1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4BD1B" w14:textId="77777777" w:rsidR="00D42427" w:rsidRPr="00F824BE" w:rsidRDefault="00D42427" w:rsidP="00113F73">
                            <w:pPr>
                              <w:spacing w:line="276" w:lineRule="auto"/>
                              <w:rPr>
                                <w:rFonts w:asciiTheme="majorHAnsi" w:hAnsiTheme="majorHAnsi"/>
                                <w:color w:val="595959" w:themeColor="text1" w:themeTint="A6"/>
                                <w:sz w:val="18"/>
                                <w:szCs w:val="18"/>
                                <w:lang w:val="es-A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Pr>
                                <w:rFonts w:asciiTheme="majorHAnsi" w:hAnsiTheme="majorHAnsi"/>
                                <w:color w:val="595959" w:themeColor="text1" w:themeTint="A6"/>
                                <w:sz w:val="18"/>
                                <w:szCs w:val="18"/>
                                <w:lang w:val="pt-BR"/>
                              </w:rPr>
                              <w:t xml:space="preserve"> 380/20</w:t>
                            </w:r>
                            <w:r w:rsidRPr="00890650">
                              <w:rPr>
                                <w:rFonts w:asciiTheme="majorHAnsi" w:hAnsiTheme="majorHAnsi"/>
                                <w:color w:val="595959" w:themeColor="text1" w:themeTint="A6"/>
                                <w:sz w:val="18"/>
                                <w:szCs w:val="18"/>
                                <w:lang w:val="es-ES_tradnl"/>
                              </w:rPr>
                              <w:t xml:space="preserve">, Caso </w:t>
                            </w:r>
                            <w:r>
                              <w:rPr>
                                <w:rFonts w:asciiTheme="majorHAnsi" w:hAnsiTheme="majorHAnsi"/>
                                <w:color w:val="595959" w:themeColor="text1" w:themeTint="A6"/>
                                <w:sz w:val="18"/>
                                <w:szCs w:val="18"/>
                                <w:lang w:val="es-ES_tradnl"/>
                              </w:rPr>
                              <w:t>13.193</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Admisibilidad y Fondo. Thomas Scot Cochran</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Costa Rica. 15 de diciembre de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69D9A"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AE4BD1B" w14:textId="77777777" w:rsidR="00D42427" w:rsidRPr="00F824BE" w:rsidRDefault="00D42427" w:rsidP="00113F73">
                      <w:pPr>
                        <w:spacing w:line="276" w:lineRule="auto"/>
                        <w:rPr>
                          <w:rFonts w:asciiTheme="majorHAnsi" w:hAnsiTheme="majorHAnsi"/>
                          <w:color w:val="595959" w:themeColor="text1" w:themeTint="A6"/>
                          <w:sz w:val="18"/>
                          <w:szCs w:val="18"/>
                          <w:lang w:val="es-A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Pr>
                          <w:rFonts w:asciiTheme="majorHAnsi" w:hAnsiTheme="majorHAnsi"/>
                          <w:color w:val="595959" w:themeColor="text1" w:themeTint="A6"/>
                          <w:sz w:val="18"/>
                          <w:szCs w:val="18"/>
                          <w:lang w:val="pt-BR"/>
                        </w:rPr>
                        <w:t xml:space="preserve"> 380/20</w:t>
                      </w:r>
                      <w:r w:rsidRPr="00890650">
                        <w:rPr>
                          <w:rFonts w:asciiTheme="majorHAnsi" w:hAnsiTheme="majorHAnsi"/>
                          <w:color w:val="595959" w:themeColor="text1" w:themeTint="A6"/>
                          <w:sz w:val="18"/>
                          <w:szCs w:val="18"/>
                          <w:lang w:val="es-ES_tradnl"/>
                        </w:rPr>
                        <w:t xml:space="preserve">, Caso </w:t>
                      </w:r>
                      <w:r>
                        <w:rPr>
                          <w:rFonts w:asciiTheme="majorHAnsi" w:hAnsiTheme="majorHAnsi"/>
                          <w:color w:val="595959" w:themeColor="text1" w:themeTint="A6"/>
                          <w:sz w:val="18"/>
                          <w:szCs w:val="18"/>
                          <w:lang w:val="es-ES_tradnl"/>
                        </w:rPr>
                        <w:t>13.193</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Admisibilidad y Fondo. Thomas Scot Cochran</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Costa Rica. 15 de diciembre de 2020. </w:t>
                      </w:r>
                    </w:p>
                  </w:txbxContent>
                </v:textbox>
              </v:shape>
            </w:pict>
          </mc:Fallback>
        </mc:AlternateContent>
      </w:r>
    </w:p>
    <w:p w14:paraId="2FF9BF55" w14:textId="77777777" w:rsidR="00A50FCF" w:rsidRPr="00407A7B" w:rsidRDefault="00A50FCF" w:rsidP="00040C3A">
      <w:pPr>
        <w:tabs>
          <w:tab w:val="center" w:pos="5400"/>
        </w:tabs>
        <w:suppressAutoHyphens/>
        <w:jc w:val="center"/>
        <w:rPr>
          <w:rFonts w:asciiTheme="majorHAnsi" w:hAnsiTheme="majorHAnsi"/>
          <w:sz w:val="18"/>
          <w:szCs w:val="22"/>
          <w:lang w:val="es-ES_tradnl"/>
        </w:rPr>
      </w:pPr>
    </w:p>
    <w:p w14:paraId="1B2DF526" w14:textId="77777777" w:rsidR="0090270B" w:rsidRPr="00407A7B" w:rsidRDefault="00D306D1" w:rsidP="005516A1">
      <w:pPr>
        <w:tabs>
          <w:tab w:val="center" w:pos="5400"/>
        </w:tabs>
        <w:suppressAutoHyphens/>
        <w:jc w:val="center"/>
        <w:rPr>
          <w:rFonts w:asciiTheme="majorHAnsi" w:hAnsiTheme="majorHAnsi"/>
          <w:b/>
          <w:sz w:val="20"/>
          <w:lang w:val="es-ES_tradnl"/>
        </w:rPr>
      </w:pPr>
      <w:r w:rsidRPr="00407A7B">
        <w:rPr>
          <w:rFonts w:asciiTheme="majorHAnsi" w:hAnsiTheme="majorHAnsi"/>
          <w:noProof/>
          <w:sz w:val="18"/>
          <w:szCs w:val="22"/>
          <w:lang w:val="es-AR" w:eastAsia="es-AR"/>
        </w:rPr>
        <mc:AlternateContent>
          <mc:Choice Requires="wps">
            <w:drawing>
              <wp:anchor distT="0" distB="0" distL="114300" distR="114300" simplePos="0" relativeHeight="251680768" behindDoc="0" locked="0" layoutInCell="1" allowOverlap="1" wp14:anchorId="0B1D7F61" wp14:editId="05AC59C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8226D1" w14:textId="77777777" w:rsidR="00D42427" w:rsidRPr="00D72DC6" w:rsidRDefault="00D42427" w:rsidP="00F02AD1">
                            <w:pPr>
                              <w:rPr>
                                <w:color w:val="FFFFFF" w:themeColor="background1"/>
                                <w14:textFill>
                                  <w14:noFill/>
                                </w14:textFill>
                              </w:rPr>
                            </w:pPr>
                            <w:r>
                              <w:rPr>
                                <w:noProof/>
                                <w:color w:val="FFFFFF" w:themeColor="background1"/>
                                <w:lang w:val="es-AR" w:eastAsia="es-AR"/>
                              </w:rPr>
                              <w:drawing>
                                <wp:inline distT="0" distB="0" distL="0" distR="0" wp14:anchorId="48F5563E" wp14:editId="06FA68C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D7F6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28226D1" w14:textId="77777777" w:rsidR="00D42427" w:rsidRPr="00D72DC6" w:rsidRDefault="00D42427" w:rsidP="00F02AD1">
                      <w:pPr>
                        <w:rPr>
                          <w:color w:val="FFFFFF" w:themeColor="background1"/>
                          <w14:textFill>
                            <w14:noFill/>
                          </w14:textFill>
                        </w:rPr>
                      </w:pPr>
                      <w:r>
                        <w:rPr>
                          <w:noProof/>
                          <w:color w:val="FFFFFF" w:themeColor="background1"/>
                          <w:lang w:val="es-AR" w:eastAsia="es-AR"/>
                        </w:rPr>
                        <w:drawing>
                          <wp:inline distT="0" distB="0" distL="0" distR="0" wp14:anchorId="48F5563E" wp14:editId="06FA68C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407A7B">
        <w:rPr>
          <w:rFonts w:asciiTheme="majorHAnsi" w:hAnsiTheme="majorHAnsi"/>
          <w:noProof/>
          <w:sz w:val="22"/>
          <w:szCs w:val="22"/>
          <w:lang w:val="es-AR" w:eastAsia="es-AR"/>
        </w:rPr>
        <mc:AlternateContent>
          <mc:Choice Requires="wps">
            <w:drawing>
              <wp:anchor distT="0" distB="0" distL="114300" distR="114300" simplePos="0" relativeHeight="251682816" behindDoc="0" locked="0" layoutInCell="1" allowOverlap="1" wp14:anchorId="3FFDAB5F" wp14:editId="01A4213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586AC" w14:textId="77777777" w:rsidR="00D42427" w:rsidRPr="004B7EB6" w:rsidRDefault="00D4242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DAB5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B3586AC" w14:textId="77777777" w:rsidR="00D42427" w:rsidRPr="004B7EB6" w:rsidRDefault="00D4242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D228167" w14:textId="77777777" w:rsidR="0070697F" w:rsidRPr="00407A7B" w:rsidRDefault="0070697F" w:rsidP="005516A1">
      <w:pPr>
        <w:tabs>
          <w:tab w:val="center" w:pos="5400"/>
        </w:tabs>
        <w:suppressAutoHyphens/>
        <w:jc w:val="center"/>
        <w:rPr>
          <w:rFonts w:asciiTheme="majorHAnsi" w:hAnsiTheme="majorHAnsi"/>
          <w:b/>
          <w:sz w:val="20"/>
          <w:lang w:val="es-ES_tradnl"/>
        </w:rPr>
        <w:sectPr w:rsidR="0070697F" w:rsidRPr="00407A7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FCB3B03" w14:textId="77777777" w:rsidR="00722C9F" w:rsidRPr="00407A7B" w:rsidRDefault="00FE3353"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380</w:t>
      </w:r>
      <w:r w:rsidR="00722C9F" w:rsidRPr="00407A7B">
        <w:rPr>
          <w:rFonts w:asciiTheme="majorHAnsi" w:hAnsiTheme="majorHAnsi"/>
          <w:b/>
          <w:sz w:val="18"/>
          <w:szCs w:val="20"/>
          <w:lang w:val="es-ES_tradnl"/>
        </w:rPr>
        <w:t>/</w:t>
      </w:r>
      <w:r w:rsidR="0078416C" w:rsidRPr="00407A7B">
        <w:rPr>
          <w:rFonts w:asciiTheme="majorHAnsi" w:hAnsiTheme="majorHAnsi"/>
          <w:b/>
          <w:sz w:val="18"/>
          <w:szCs w:val="20"/>
          <w:lang w:val="es-ES_tradnl"/>
        </w:rPr>
        <w:t>20</w:t>
      </w:r>
    </w:p>
    <w:p w14:paraId="72A3BFD3" w14:textId="77777777" w:rsidR="00722C9F" w:rsidRPr="00407A7B" w:rsidRDefault="00722C9F" w:rsidP="00722C9F">
      <w:pPr>
        <w:tabs>
          <w:tab w:val="center" w:pos="5400"/>
        </w:tabs>
        <w:suppressAutoHyphens/>
        <w:spacing w:line="276" w:lineRule="auto"/>
        <w:jc w:val="center"/>
        <w:rPr>
          <w:rFonts w:asciiTheme="majorHAnsi" w:hAnsiTheme="majorHAnsi"/>
          <w:b/>
          <w:sz w:val="18"/>
          <w:szCs w:val="20"/>
          <w:lang w:val="es-ES_tradnl"/>
        </w:rPr>
      </w:pPr>
      <w:r w:rsidRPr="00407A7B">
        <w:rPr>
          <w:rFonts w:asciiTheme="majorHAnsi" w:hAnsiTheme="majorHAnsi"/>
          <w:b/>
          <w:sz w:val="18"/>
          <w:szCs w:val="20"/>
          <w:lang w:val="es-ES_tradnl"/>
        </w:rPr>
        <w:t xml:space="preserve">CASO </w:t>
      </w:r>
      <w:r w:rsidR="0078416C" w:rsidRPr="00407A7B">
        <w:rPr>
          <w:rFonts w:asciiTheme="majorHAnsi" w:hAnsiTheme="majorHAnsi"/>
          <w:b/>
          <w:sz w:val="18"/>
          <w:szCs w:val="20"/>
          <w:lang w:val="es-ES_tradnl"/>
        </w:rPr>
        <w:t>13.193</w:t>
      </w:r>
    </w:p>
    <w:p w14:paraId="0F02E469" w14:textId="77777777" w:rsidR="00722C9F" w:rsidRPr="00407A7B" w:rsidRDefault="00722C9F" w:rsidP="00722C9F">
      <w:pPr>
        <w:tabs>
          <w:tab w:val="center" w:pos="5400"/>
        </w:tabs>
        <w:suppressAutoHyphens/>
        <w:spacing w:line="276" w:lineRule="auto"/>
        <w:jc w:val="center"/>
        <w:rPr>
          <w:rFonts w:asciiTheme="majorHAnsi" w:hAnsiTheme="majorHAnsi"/>
          <w:sz w:val="18"/>
          <w:szCs w:val="20"/>
          <w:lang w:val="es-ES_tradnl"/>
        </w:rPr>
      </w:pPr>
      <w:r w:rsidRPr="00407A7B">
        <w:rPr>
          <w:rFonts w:asciiTheme="majorHAnsi" w:hAnsiTheme="majorHAnsi"/>
          <w:sz w:val="18"/>
          <w:szCs w:val="20"/>
          <w:lang w:val="es-ES_tradnl"/>
        </w:rPr>
        <w:t xml:space="preserve">INFORME DE ADMISIBILIDAD </w:t>
      </w:r>
      <w:r w:rsidR="0078416C" w:rsidRPr="00407A7B">
        <w:rPr>
          <w:rFonts w:asciiTheme="majorHAnsi" w:hAnsiTheme="majorHAnsi"/>
          <w:sz w:val="18"/>
          <w:szCs w:val="20"/>
          <w:lang w:val="es-ES_tradnl"/>
        </w:rPr>
        <w:t>y FONDO</w:t>
      </w:r>
    </w:p>
    <w:p w14:paraId="7D015334" w14:textId="77777777" w:rsidR="00722C9F" w:rsidRPr="00407A7B" w:rsidRDefault="0078416C" w:rsidP="00722C9F">
      <w:pPr>
        <w:tabs>
          <w:tab w:val="center" w:pos="5400"/>
        </w:tabs>
        <w:suppressAutoHyphens/>
        <w:spacing w:line="276" w:lineRule="auto"/>
        <w:jc w:val="center"/>
        <w:rPr>
          <w:rFonts w:asciiTheme="majorHAnsi" w:hAnsiTheme="majorHAnsi"/>
          <w:sz w:val="18"/>
          <w:szCs w:val="20"/>
          <w:lang w:val="es-ES_tradnl"/>
        </w:rPr>
      </w:pPr>
      <w:r w:rsidRPr="00407A7B">
        <w:rPr>
          <w:rFonts w:asciiTheme="majorHAnsi" w:hAnsiTheme="majorHAnsi"/>
          <w:sz w:val="18"/>
          <w:szCs w:val="20"/>
          <w:lang w:val="es-ES_tradnl"/>
        </w:rPr>
        <w:t xml:space="preserve">THOMAS SCOT COCHRAN </w:t>
      </w:r>
    </w:p>
    <w:p w14:paraId="36E1E189" w14:textId="77777777" w:rsidR="0070697F" w:rsidRPr="00407A7B" w:rsidRDefault="0078416C" w:rsidP="00722C9F">
      <w:pPr>
        <w:tabs>
          <w:tab w:val="center" w:pos="5400"/>
        </w:tabs>
        <w:suppressAutoHyphens/>
        <w:spacing w:line="276" w:lineRule="auto"/>
        <w:jc w:val="center"/>
        <w:rPr>
          <w:rFonts w:asciiTheme="majorHAnsi" w:hAnsiTheme="majorHAnsi"/>
          <w:sz w:val="18"/>
          <w:szCs w:val="20"/>
          <w:lang w:val="es-ES_tradnl"/>
        </w:rPr>
      </w:pPr>
      <w:r w:rsidRPr="00407A7B">
        <w:rPr>
          <w:rFonts w:asciiTheme="majorHAnsi" w:hAnsiTheme="majorHAnsi"/>
          <w:sz w:val="18"/>
          <w:szCs w:val="20"/>
          <w:lang w:val="es-ES_tradnl"/>
        </w:rPr>
        <w:t xml:space="preserve">COSTA RICA </w:t>
      </w:r>
    </w:p>
    <w:p w14:paraId="12961120" w14:textId="77777777" w:rsidR="00722C9F" w:rsidRPr="00407A7B" w:rsidRDefault="007F19C6"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15 DICIEMBRE 2020</w:t>
      </w:r>
    </w:p>
    <w:p w14:paraId="221BAFA0" w14:textId="77777777" w:rsidR="00722C9F" w:rsidRPr="00407A7B" w:rsidRDefault="00722C9F" w:rsidP="00722C9F">
      <w:pPr>
        <w:tabs>
          <w:tab w:val="center" w:pos="5400"/>
        </w:tabs>
        <w:suppressAutoHyphens/>
        <w:spacing w:line="276" w:lineRule="auto"/>
        <w:jc w:val="center"/>
        <w:rPr>
          <w:rFonts w:asciiTheme="majorHAnsi" w:hAnsiTheme="majorHAnsi"/>
          <w:sz w:val="18"/>
          <w:szCs w:val="20"/>
          <w:lang w:val="es-ES_tradnl"/>
        </w:rPr>
      </w:pPr>
    </w:p>
    <w:p w14:paraId="1B2D4D0B" w14:textId="77777777" w:rsidR="00722C9F" w:rsidRPr="00407A7B" w:rsidRDefault="00722C9F" w:rsidP="00722C9F">
      <w:pPr>
        <w:tabs>
          <w:tab w:val="center" w:pos="5400"/>
        </w:tabs>
        <w:suppressAutoHyphens/>
        <w:spacing w:line="276" w:lineRule="auto"/>
        <w:jc w:val="center"/>
        <w:rPr>
          <w:rFonts w:asciiTheme="majorHAnsi" w:hAnsiTheme="majorHAnsi"/>
          <w:b/>
          <w:sz w:val="28"/>
          <w:szCs w:val="20"/>
          <w:lang w:val="es-ES_tradnl"/>
        </w:rPr>
      </w:pPr>
      <w:r w:rsidRPr="00407A7B">
        <w:rPr>
          <w:rFonts w:asciiTheme="majorHAnsi" w:hAnsiTheme="majorHAnsi"/>
          <w:b/>
          <w:szCs w:val="20"/>
          <w:lang w:val="es-ES_tradnl"/>
        </w:rPr>
        <w:t>ÍNDICE</w:t>
      </w:r>
    </w:p>
    <w:sdt>
      <w:sdtPr>
        <w:rPr>
          <w:rFonts w:ascii="Cambria" w:eastAsia="Times New Roman" w:hAnsi="Cambria" w:cs="Times New Roman"/>
          <w:color w:val="auto"/>
          <w:sz w:val="20"/>
          <w:szCs w:val="20"/>
        </w:rPr>
        <w:id w:val="-1115825247"/>
        <w:docPartObj>
          <w:docPartGallery w:val="Table of Contents"/>
          <w:docPartUnique/>
        </w:docPartObj>
      </w:sdtPr>
      <w:sdtEndPr>
        <w:rPr>
          <w:rFonts w:ascii="Times New Roman" w:hAnsi="Times New Roman"/>
          <w:b/>
          <w:bCs/>
          <w:noProof/>
          <w:sz w:val="24"/>
          <w:szCs w:val="24"/>
        </w:rPr>
      </w:sdtEndPr>
      <w:sdtContent>
        <w:p w14:paraId="33F15026" w14:textId="77777777" w:rsidR="00BD5D18" w:rsidRPr="00890F4F" w:rsidRDefault="00BD5D18" w:rsidP="00890F4F">
          <w:pPr>
            <w:pStyle w:val="TOCHeading"/>
            <w:jc w:val="both"/>
            <w:rPr>
              <w:rFonts w:ascii="Cambria" w:hAnsi="Cambria"/>
              <w:sz w:val="20"/>
              <w:szCs w:val="20"/>
            </w:rPr>
          </w:pPr>
        </w:p>
        <w:p w14:paraId="4B9CA1A3" w14:textId="146AF8A6" w:rsidR="00890F4F" w:rsidRPr="0036143B" w:rsidRDefault="00BD5D18" w:rsidP="00890F4F">
          <w:pPr>
            <w:pStyle w:val="TOC1"/>
            <w:rPr>
              <w:rFonts w:eastAsiaTheme="minorEastAsia" w:cstheme="minorBidi"/>
              <w:lang w:val="es-AR" w:eastAsia="es-AR"/>
            </w:rPr>
          </w:pPr>
          <w:r w:rsidRPr="0036143B">
            <w:rPr>
              <w:noProof w:val="0"/>
            </w:rPr>
            <w:fldChar w:fldCharType="begin"/>
          </w:r>
          <w:r w:rsidRPr="0036143B">
            <w:instrText xml:space="preserve"> TOC \o "1-3" \h \z \u </w:instrText>
          </w:r>
          <w:r w:rsidRPr="0036143B">
            <w:rPr>
              <w:noProof w:val="0"/>
            </w:rPr>
            <w:fldChar w:fldCharType="separate"/>
          </w:r>
          <w:hyperlink w:anchor="_Toc54369860" w:history="1">
            <w:r w:rsidR="00890F4F" w:rsidRPr="0036143B">
              <w:rPr>
                <w:rStyle w:val="Hyperlink"/>
              </w:rPr>
              <w:t>I.</w:t>
            </w:r>
            <w:r w:rsidR="00890F4F" w:rsidRPr="0036143B">
              <w:rPr>
                <w:rFonts w:eastAsiaTheme="minorEastAsia" w:cstheme="minorBidi"/>
                <w:lang w:val="es-AR" w:eastAsia="es-AR"/>
              </w:rPr>
              <w:tab/>
            </w:r>
            <w:r w:rsidR="00890F4F" w:rsidRPr="0036143B">
              <w:rPr>
                <w:rStyle w:val="Hyperlink"/>
                <w:b/>
              </w:rPr>
              <w:t>INTRODUCCIÓN</w:t>
            </w:r>
            <w:r w:rsidR="00890F4F" w:rsidRPr="0036143B">
              <w:rPr>
                <w:webHidden/>
              </w:rPr>
              <w:tab/>
            </w:r>
            <w:r w:rsidR="00890F4F" w:rsidRPr="0036143B">
              <w:rPr>
                <w:webHidden/>
              </w:rPr>
              <w:fldChar w:fldCharType="begin"/>
            </w:r>
            <w:r w:rsidR="00890F4F" w:rsidRPr="0036143B">
              <w:rPr>
                <w:webHidden/>
              </w:rPr>
              <w:instrText xml:space="preserve"> PAGEREF _Toc54369860 \h </w:instrText>
            </w:r>
            <w:r w:rsidR="00890F4F" w:rsidRPr="0036143B">
              <w:rPr>
                <w:webHidden/>
              </w:rPr>
            </w:r>
            <w:r w:rsidR="00890F4F" w:rsidRPr="0036143B">
              <w:rPr>
                <w:webHidden/>
              </w:rPr>
              <w:fldChar w:fldCharType="separate"/>
            </w:r>
            <w:r w:rsidR="00F4327D">
              <w:rPr>
                <w:webHidden/>
              </w:rPr>
              <w:t>3</w:t>
            </w:r>
            <w:r w:rsidR="00890F4F" w:rsidRPr="0036143B">
              <w:rPr>
                <w:webHidden/>
              </w:rPr>
              <w:fldChar w:fldCharType="end"/>
            </w:r>
          </w:hyperlink>
        </w:p>
        <w:p w14:paraId="52F1D044" w14:textId="154D629B" w:rsidR="00890F4F" w:rsidRPr="0036143B" w:rsidRDefault="00F4327D" w:rsidP="00890F4F">
          <w:pPr>
            <w:pStyle w:val="TOC1"/>
            <w:rPr>
              <w:rFonts w:eastAsiaTheme="minorEastAsia" w:cstheme="minorBidi"/>
              <w:lang w:val="es-AR" w:eastAsia="es-AR"/>
            </w:rPr>
          </w:pPr>
          <w:hyperlink w:anchor="_Toc54369861" w:history="1">
            <w:r w:rsidR="00890F4F" w:rsidRPr="0036143B">
              <w:rPr>
                <w:rStyle w:val="Hyperlink"/>
                <w:b/>
              </w:rPr>
              <w:t>II.</w:t>
            </w:r>
            <w:r w:rsidR="00890F4F" w:rsidRPr="0036143B">
              <w:rPr>
                <w:rFonts w:eastAsiaTheme="minorEastAsia" w:cstheme="minorBidi"/>
                <w:lang w:val="es-AR" w:eastAsia="es-AR"/>
              </w:rPr>
              <w:tab/>
            </w:r>
            <w:r w:rsidR="00890F4F" w:rsidRPr="0036143B">
              <w:rPr>
                <w:rStyle w:val="Hyperlink"/>
                <w:b/>
              </w:rPr>
              <w:t>ALEGATOS DE LAS PARTES</w:t>
            </w:r>
            <w:r w:rsidR="00890F4F" w:rsidRPr="0036143B">
              <w:rPr>
                <w:webHidden/>
              </w:rPr>
              <w:tab/>
            </w:r>
            <w:r w:rsidR="00890F4F" w:rsidRPr="0036143B">
              <w:rPr>
                <w:webHidden/>
              </w:rPr>
              <w:fldChar w:fldCharType="begin"/>
            </w:r>
            <w:r w:rsidR="00890F4F" w:rsidRPr="0036143B">
              <w:rPr>
                <w:webHidden/>
              </w:rPr>
              <w:instrText xml:space="preserve"> PAGEREF _Toc54369861 \h </w:instrText>
            </w:r>
            <w:r w:rsidR="00890F4F" w:rsidRPr="0036143B">
              <w:rPr>
                <w:webHidden/>
              </w:rPr>
            </w:r>
            <w:r w:rsidR="00890F4F" w:rsidRPr="0036143B">
              <w:rPr>
                <w:webHidden/>
              </w:rPr>
              <w:fldChar w:fldCharType="separate"/>
            </w:r>
            <w:r>
              <w:rPr>
                <w:webHidden/>
              </w:rPr>
              <w:t>3</w:t>
            </w:r>
            <w:r w:rsidR="00890F4F" w:rsidRPr="0036143B">
              <w:rPr>
                <w:webHidden/>
              </w:rPr>
              <w:fldChar w:fldCharType="end"/>
            </w:r>
          </w:hyperlink>
        </w:p>
        <w:p w14:paraId="21CFA9AE" w14:textId="47D2210D" w:rsidR="00890F4F" w:rsidRPr="0036143B" w:rsidRDefault="00F4327D" w:rsidP="00890F4F">
          <w:pPr>
            <w:pStyle w:val="TOC1"/>
            <w:rPr>
              <w:rFonts w:eastAsiaTheme="minorEastAsia" w:cstheme="minorBidi"/>
              <w:lang w:val="es-AR" w:eastAsia="es-AR"/>
            </w:rPr>
          </w:pPr>
          <w:hyperlink w:anchor="_Toc54369862" w:history="1">
            <w:r w:rsidR="00890F4F" w:rsidRPr="0036143B">
              <w:rPr>
                <w:rStyle w:val="Hyperlink"/>
                <w:b/>
                <w:lang w:val="es-ES"/>
              </w:rPr>
              <w:t>III.</w:t>
            </w:r>
            <w:r w:rsidR="00890F4F" w:rsidRPr="0036143B">
              <w:rPr>
                <w:rFonts w:eastAsiaTheme="minorEastAsia" w:cstheme="minorBidi"/>
                <w:lang w:val="es-AR" w:eastAsia="es-AR"/>
              </w:rPr>
              <w:tab/>
            </w:r>
            <w:r w:rsidR="00890F4F" w:rsidRPr="0036143B">
              <w:rPr>
                <w:rStyle w:val="Hyperlink"/>
                <w:b/>
                <w:lang w:val="es-ES"/>
              </w:rPr>
              <w:t>ANÁLISIS DE ADMISIBILIDAD</w:t>
            </w:r>
            <w:r w:rsidR="00890F4F" w:rsidRPr="0036143B">
              <w:rPr>
                <w:webHidden/>
              </w:rPr>
              <w:tab/>
            </w:r>
            <w:r w:rsidR="00890F4F" w:rsidRPr="0036143B">
              <w:rPr>
                <w:webHidden/>
              </w:rPr>
              <w:fldChar w:fldCharType="begin"/>
            </w:r>
            <w:r w:rsidR="00890F4F" w:rsidRPr="0036143B">
              <w:rPr>
                <w:webHidden/>
              </w:rPr>
              <w:instrText xml:space="preserve"> PAGEREF _Toc54369862 \h </w:instrText>
            </w:r>
            <w:r w:rsidR="00890F4F" w:rsidRPr="0036143B">
              <w:rPr>
                <w:webHidden/>
              </w:rPr>
            </w:r>
            <w:r w:rsidR="00890F4F" w:rsidRPr="0036143B">
              <w:rPr>
                <w:webHidden/>
              </w:rPr>
              <w:fldChar w:fldCharType="separate"/>
            </w:r>
            <w:r>
              <w:rPr>
                <w:webHidden/>
              </w:rPr>
              <w:t>5</w:t>
            </w:r>
            <w:r w:rsidR="00890F4F" w:rsidRPr="0036143B">
              <w:rPr>
                <w:webHidden/>
              </w:rPr>
              <w:fldChar w:fldCharType="end"/>
            </w:r>
          </w:hyperlink>
        </w:p>
        <w:p w14:paraId="36AD3E0C" w14:textId="4654744C" w:rsidR="00890F4F" w:rsidRPr="0036143B" w:rsidRDefault="00F4327D" w:rsidP="00890F4F">
          <w:pPr>
            <w:pStyle w:val="TOC2"/>
            <w:jc w:val="both"/>
            <w:rPr>
              <w:rFonts w:ascii="Cambria" w:eastAsiaTheme="minorEastAsia" w:hAnsi="Cambria" w:cstheme="minorBidi"/>
              <w:noProof/>
              <w:sz w:val="20"/>
              <w:szCs w:val="20"/>
              <w:lang w:val="es-AR" w:eastAsia="es-AR"/>
            </w:rPr>
          </w:pPr>
          <w:hyperlink w:anchor="_Toc54369863" w:history="1">
            <w:r w:rsidR="00890F4F" w:rsidRPr="0036143B">
              <w:rPr>
                <w:rStyle w:val="Hyperlink"/>
                <w:rFonts w:ascii="Cambria" w:hAnsi="Cambria"/>
                <w:noProof/>
                <w:sz w:val="20"/>
                <w:szCs w:val="20"/>
              </w:rPr>
              <w:t>A.</w:t>
            </w:r>
            <w:r w:rsidR="00890F4F" w:rsidRPr="0036143B">
              <w:rPr>
                <w:rFonts w:ascii="Cambria" w:eastAsiaTheme="minorEastAsia" w:hAnsi="Cambria" w:cstheme="minorBidi"/>
                <w:noProof/>
                <w:sz w:val="20"/>
                <w:szCs w:val="20"/>
                <w:lang w:val="es-AR" w:eastAsia="es-AR"/>
              </w:rPr>
              <w:tab/>
            </w:r>
            <w:r w:rsidR="00890F4F" w:rsidRPr="0036143B">
              <w:rPr>
                <w:rStyle w:val="Hyperlink"/>
                <w:rFonts w:ascii="Cambria" w:hAnsi="Cambria"/>
                <w:noProof/>
                <w:sz w:val="20"/>
                <w:szCs w:val="20"/>
              </w:rPr>
              <w:t>Competencia, duplicidad de procedimiento y cosa juzgada internacional.</w:t>
            </w:r>
            <w:r w:rsidR="00890F4F" w:rsidRPr="0036143B">
              <w:rPr>
                <w:rFonts w:ascii="Cambria" w:hAnsi="Cambria"/>
                <w:noProof/>
                <w:webHidden/>
                <w:sz w:val="20"/>
                <w:szCs w:val="20"/>
              </w:rPr>
              <w:tab/>
            </w:r>
            <w:r w:rsidR="00890F4F" w:rsidRPr="0036143B">
              <w:rPr>
                <w:rFonts w:ascii="Cambria" w:hAnsi="Cambria"/>
                <w:noProof/>
                <w:webHidden/>
                <w:sz w:val="20"/>
                <w:szCs w:val="20"/>
              </w:rPr>
              <w:fldChar w:fldCharType="begin"/>
            </w:r>
            <w:r w:rsidR="00890F4F" w:rsidRPr="0036143B">
              <w:rPr>
                <w:rFonts w:ascii="Cambria" w:hAnsi="Cambria"/>
                <w:noProof/>
                <w:webHidden/>
                <w:sz w:val="20"/>
                <w:szCs w:val="20"/>
              </w:rPr>
              <w:instrText xml:space="preserve"> PAGEREF _Toc54369863 \h </w:instrText>
            </w:r>
            <w:r w:rsidR="00890F4F" w:rsidRPr="0036143B">
              <w:rPr>
                <w:rFonts w:ascii="Cambria" w:hAnsi="Cambria"/>
                <w:noProof/>
                <w:webHidden/>
                <w:sz w:val="20"/>
                <w:szCs w:val="20"/>
              </w:rPr>
            </w:r>
            <w:r w:rsidR="00890F4F" w:rsidRPr="0036143B">
              <w:rPr>
                <w:rFonts w:ascii="Cambria" w:hAnsi="Cambria"/>
                <w:noProof/>
                <w:webHidden/>
                <w:sz w:val="20"/>
                <w:szCs w:val="20"/>
              </w:rPr>
              <w:fldChar w:fldCharType="separate"/>
            </w:r>
            <w:r>
              <w:rPr>
                <w:rFonts w:ascii="Cambria" w:hAnsi="Cambria"/>
                <w:noProof/>
                <w:webHidden/>
                <w:sz w:val="20"/>
                <w:szCs w:val="20"/>
              </w:rPr>
              <w:t>5</w:t>
            </w:r>
            <w:r w:rsidR="00890F4F" w:rsidRPr="0036143B">
              <w:rPr>
                <w:rFonts w:ascii="Cambria" w:hAnsi="Cambria"/>
                <w:noProof/>
                <w:webHidden/>
                <w:sz w:val="20"/>
                <w:szCs w:val="20"/>
              </w:rPr>
              <w:fldChar w:fldCharType="end"/>
            </w:r>
          </w:hyperlink>
        </w:p>
        <w:p w14:paraId="2F3210ED" w14:textId="28551CD1" w:rsidR="00890F4F" w:rsidRPr="0036143B" w:rsidRDefault="00F4327D" w:rsidP="00890F4F">
          <w:pPr>
            <w:pStyle w:val="TOC2"/>
            <w:jc w:val="both"/>
            <w:rPr>
              <w:rFonts w:ascii="Cambria" w:eastAsiaTheme="minorEastAsia" w:hAnsi="Cambria" w:cstheme="minorBidi"/>
              <w:noProof/>
              <w:sz w:val="20"/>
              <w:szCs w:val="20"/>
              <w:lang w:val="es-AR" w:eastAsia="es-AR"/>
            </w:rPr>
          </w:pPr>
          <w:hyperlink w:anchor="_Toc54369864" w:history="1">
            <w:r w:rsidR="00890F4F" w:rsidRPr="0036143B">
              <w:rPr>
                <w:rStyle w:val="Hyperlink"/>
                <w:rFonts w:ascii="Cambria" w:hAnsi="Cambria"/>
                <w:noProof/>
                <w:sz w:val="20"/>
                <w:szCs w:val="20"/>
                <w:lang w:val="es-AR"/>
              </w:rPr>
              <w:t>B.</w:t>
            </w:r>
            <w:r w:rsidR="00890F4F" w:rsidRPr="0036143B">
              <w:rPr>
                <w:rFonts w:ascii="Cambria" w:eastAsiaTheme="minorEastAsia" w:hAnsi="Cambria" w:cstheme="minorBidi"/>
                <w:noProof/>
                <w:sz w:val="20"/>
                <w:szCs w:val="20"/>
                <w:lang w:val="es-AR" w:eastAsia="es-AR"/>
              </w:rPr>
              <w:tab/>
            </w:r>
            <w:r w:rsidR="00890F4F" w:rsidRPr="0036143B">
              <w:rPr>
                <w:rStyle w:val="Hyperlink"/>
                <w:rFonts w:ascii="Cambria" w:hAnsi="Cambria"/>
                <w:noProof/>
                <w:sz w:val="20"/>
                <w:szCs w:val="20"/>
              </w:rPr>
              <w:t>Agotamiento de los recursos internos y plazo de presentación</w:t>
            </w:r>
            <w:r w:rsidR="00890F4F" w:rsidRPr="0036143B">
              <w:rPr>
                <w:rStyle w:val="Hyperlink"/>
                <w:rFonts w:ascii="Cambria" w:hAnsi="Cambria"/>
                <w:noProof/>
                <w:sz w:val="20"/>
                <w:szCs w:val="20"/>
                <w:lang w:val="es-AR"/>
              </w:rPr>
              <w:t>.</w:t>
            </w:r>
            <w:r w:rsidR="00890F4F" w:rsidRPr="0036143B">
              <w:rPr>
                <w:rFonts w:ascii="Cambria" w:hAnsi="Cambria"/>
                <w:noProof/>
                <w:webHidden/>
                <w:sz w:val="20"/>
                <w:szCs w:val="20"/>
              </w:rPr>
              <w:tab/>
            </w:r>
            <w:r w:rsidR="00890F4F" w:rsidRPr="0036143B">
              <w:rPr>
                <w:rFonts w:ascii="Cambria" w:hAnsi="Cambria"/>
                <w:noProof/>
                <w:webHidden/>
                <w:sz w:val="20"/>
                <w:szCs w:val="20"/>
              </w:rPr>
              <w:fldChar w:fldCharType="begin"/>
            </w:r>
            <w:r w:rsidR="00890F4F" w:rsidRPr="0036143B">
              <w:rPr>
                <w:rFonts w:ascii="Cambria" w:hAnsi="Cambria"/>
                <w:noProof/>
                <w:webHidden/>
                <w:sz w:val="20"/>
                <w:szCs w:val="20"/>
              </w:rPr>
              <w:instrText xml:space="preserve"> PAGEREF _Toc54369864 \h </w:instrText>
            </w:r>
            <w:r w:rsidR="00890F4F" w:rsidRPr="0036143B">
              <w:rPr>
                <w:rFonts w:ascii="Cambria" w:hAnsi="Cambria"/>
                <w:noProof/>
                <w:webHidden/>
                <w:sz w:val="20"/>
                <w:szCs w:val="20"/>
              </w:rPr>
            </w:r>
            <w:r w:rsidR="00890F4F" w:rsidRPr="0036143B">
              <w:rPr>
                <w:rFonts w:ascii="Cambria" w:hAnsi="Cambria"/>
                <w:noProof/>
                <w:webHidden/>
                <w:sz w:val="20"/>
                <w:szCs w:val="20"/>
              </w:rPr>
              <w:fldChar w:fldCharType="separate"/>
            </w:r>
            <w:r>
              <w:rPr>
                <w:rFonts w:ascii="Cambria" w:hAnsi="Cambria"/>
                <w:noProof/>
                <w:webHidden/>
                <w:sz w:val="20"/>
                <w:szCs w:val="20"/>
              </w:rPr>
              <w:t>5</w:t>
            </w:r>
            <w:r w:rsidR="00890F4F" w:rsidRPr="0036143B">
              <w:rPr>
                <w:rFonts w:ascii="Cambria" w:hAnsi="Cambria"/>
                <w:noProof/>
                <w:webHidden/>
                <w:sz w:val="20"/>
                <w:szCs w:val="20"/>
              </w:rPr>
              <w:fldChar w:fldCharType="end"/>
            </w:r>
          </w:hyperlink>
        </w:p>
        <w:p w14:paraId="2EC02146" w14:textId="68BB7E0D" w:rsidR="00890F4F" w:rsidRPr="0036143B" w:rsidRDefault="00F4327D" w:rsidP="00890F4F">
          <w:pPr>
            <w:pStyle w:val="TOC2"/>
            <w:jc w:val="both"/>
            <w:rPr>
              <w:rFonts w:ascii="Cambria" w:eastAsiaTheme="minorEastAsia" w:hAnsi="Cambria" w:cstheme="minorBidi"/>
              <w:noProof/>
              <w:sz w:val="20"/>
              <w:szCs w:val="20"/>
              <w:lang w:val="es-AR" w:eastAsia="es-AR"/>
            </w:rPr>
          </w:pPr>
          <w:hyperlink w:anchor="_Toc54369865" w:history="1">
            <w:r w:rsidR="00890F4F" w:rsidRPr="0036143B">
              <w:rPr>
                <w:rStyle w:val="Hyperlink"/>
                <w:rFonts w:ascii="Cambria" w:hAnsi="Cambria"/>
                <w:noProof/>
                <w:sz w:val="20"/>
                <w:szCs w:val="20"/>
              </w:rPr>
              <w:t>C.</w:t>
            </w:r>
            <w:r w:rsidR="00890F4F" w:rsidRPr="0036143B">
              <w:rPr>
                <w:rFonts w:ascii="Cambria" w:eastAsiaTheme="minorEastAsia" w:hAnsi="Cambria" w:cstheme="minorBidi"/>
                <w:noProof/>
                <w:sz w:val="20"/>
                <w:szCs w:val="20"/>
                <w:lang w:val="es-AR" w:eastAsia="es-AR"/>
              </w:rPr>
              <w:tab/>
            </w:r>
            <w:r w:rsidR="00890F4F" w:rsidRPr="0036143B">
              <w:rPr>
                <w:rStyle w:val="Hyperlink"/>
                <w:rFonts w:ascii="Cambria" w:hAnsi="Cambria"/>
                <w:noProof/>
                <w:sz w:val="20"/>
                <w:szCs w:val="20"/>
              </w:rPr>
              <w:t>Caracterización de los hechos alegados</w:t>
            </w:r>
            <w:r w:rsidR="00890F4F" w:rsidRPr="0036143B">
              <w:rPr>
                <w:rFonts w:ascii="Cambria" w:hAnsi="Cambria"/>
                <w:noProof/>
                <w:webHidden/>
                <w:sz w:val="20"/>
                <w:szCs w:val="20"/>
              </w:rPr>
              <w:tab/>
            </w:r>
            <w:r w:rsidR="00890F4F" w:rsidRPr="0036143B">
              <w:rPr>
                <w:rFonts w:ascii="Cambria" w:hAnsi="Cambria"/>
                <w:noProof/>
                <w:webHidden/>
                <w:sz w:val="20"/>
                <w:szCs w:val="20"/>
              </w:rPr>
              <w:fldChar w:fldCharType="begin"/>
            </w:r>
            <w:r w:rsidR="00890F4F" w:rsidRPr="0036143B">
              <w:rPr>
                <w:rFonts w:ascii="Cambria" w:hAnsi="Cambria"/>
                <w:noProof/>
                <w:webHidden/>
                <w:sz w:val="20"/>
                <w:szCs w:val="20"/>
              </w:rPr>
              <w:instrText xml:space="preserve"> PAGEREF _Toc54369865 \h </w:instrText>
            </w:r>
            <w:r w:rsidR="00890F4F" w:rsidRPr="0036143B">
              <w:rPr>
                <w:rFonts w:ascii="Cambria" w:hAnsi="Cambria"/>
                <w:noProof/>
                <w:webHidden/>
                <w:sz w:val="20"/>
                <w:szCs w:val="20"/>
              </w:rPr>
            </w:r>
            <w:r w:rsidR="00890F4F" w:rsidRPr="0036143B">
              <w:rPr>
                <w:rFonts w:ascii="Cambria" w:hAnsi="Cambria"/>
                <w:noProof/>
                <w:webHidden/>
                <w:sz w:val="20"/>
                <w:szCs w:val="20"/>
              </w:rPr>
              <w:fldChar w:fldCharType="separate"/>
            </w:r>
            <w:r>
              <w:rPr>
                <w:rFonts w:ascii="Cambria" w:hAnsi="Cambria"/>
                <w:noProof/>
                <w:webHidden/>
                <w:sz w:val="20"/>
                <w:szCs w:val="20"/>
              </w:rPr>
              <w:t>6</w:t>
            </w:r>
            <w:r w:rsidR="00890F4F" w:rsidRPr="0036143B">
              <w:rPr>
                <w:rFonts w:ascii="Cambria" w:hAnsi="Cambria"/>
                <w:noProof/>
                <w:webHidden/>
                <w:sz w:val="20"/>
                <w:szCs w:val="20"/>
              </w:rPr>
              <w:fldChar w:fldCharType="end"/>
            </w:r>
          </w:hyperlink>
        </w:p>
        <w:p w14:paraId="1BC957B8" w14:textId="4EDD83C1" w:rsidR="00890F4F" w:rsidRPr="0036143B" w:rsidRDefault="00F4327D" w:rsidP="00890F4F">
          <w:pPr>
            <w:pStyle w:val="TOC1"/>
            <w:rPr>
              <w:rFonts w:eastAsiaTheme="minorEastAsia" w:cstheme="minorBidi"/>
              <w:lang w:val="es-AR" w:eastAsia="es-AR"/>
            </w:rPr>
          </w:pPr>
          <w:hyperlink w:anchor="_Toc54369866" w:history="1">
            <w:r w:rsidR="00890F4F" w:rsidRPr="0036143B">
              <w:rPr>
                <w:rStyle w:val="Hyperlink"/>
                <w:b/>
              </w:rPr>
              <w:t>IV.</w:t>
            </w:r>
            <w:r w:rsidR="00890F4F" w:rsidRPr="0036143B">
              <w:rPr>
                <w:rFonts w:eastAsiaTheme="minorEastAsia" w:cstheme="minorBidi"/>
                <w:lang w:val="es-AR" w:eastAsia="es-AR"/>
              </w:rPr>
              <w:tab/>
            </w:r>
            <w:r w:rsidR="00890F4F" w:rsidRPr="0036143B">
              <w:rPr>
                <w:rStyle w:val="Hyperlink"/>
                <w:b/>
              </w:rPr>
              <w:t>DETERMINACIONES DE HECHO</w:t>
            </w:r>
            <w:r w:rsidR="00890F4F" w:rsidRPr="0036143B">
              <w:rPr>
                <w:webHidden/>
              </w:rPr>
              <w:tab/>
            </w:r>
            <w:r w:rsidR="00890F4F" w:rsidRPr="0036143B">
              <w:rPr>
                <w:webHidden/>
              </w:rPr>
              <w:fldChar w:fldCharType="begin"/>
            </w:r>
            <w:r w:rsidR="00890F4F" w:rsidRPr="0036143B">
              <w:rPr>
                <w:webHidden/>
              </w:rPr>
              <w:instrText xml:space="preserve"> PAGEREF _Toc54369866 \h </w:instrText>
            </w:r>
            <w:r w:rsidR="00890F4F" w:rsidRPr="0036143B">
              <w:rPr>
                <w:webHidden/>
              </w:rPr>
            </w:r>
            <w:r w:rsidR="00890F4F" w:rsidRPr="0036143B">
              <w:rPr>
                <w:webHidden/>
              </w:rPr>
              <w:fldChar w:fldCharType="separate"/>
            </w:r>
            <w:r>
              <w:rPr>
                <w:webHidden/>
              </w:rPr>
              <w:t>6</w:t>
            </w:r>
            <w:r w:rsidR="00890F4F" w:rsidRPr="0036143B">
              <w:rPr>
                <w:webHidden/>
              </w:rPr>
              <w:fldChar w:fldCharType="end"/>
            </w:r>
          </w:hyperlink>
        </w:p>
        <w:p w14:paraId="1636E6CB" w14:textId="60AEBDC2" w:rsidR="00890F4F" w:rsidRPr="0036143B" w:rsidRDefault="00F4327D" w:rsidP="00890F4F">
          <w:pPr>
            <w:pStyle w:val="TOC2"/>
            <w:jc w:val="both"/>
            <w:rPr>
              <w:rFonts w:ascii="Cambria" w:eastAsiaTheme="minorEastAsia" w:hAnsi="Cambria" w:cstheme="minorBidi"/>
              <w:noProof/>
              <w:sz w:val="20"/>
              <w:szCs w:val="20"/>
              <w:lang w:val="es-AR" w:eastAsia="es-AR"/>
            </w:rPr>
          </w:pPr>
          <w:hyperlink w:anchor="_Toc54369867" w:history="1">
            <w:r w:rsidR="00890F4F" w:rsidRPr="0036143B">
              <w:rPr>
                <w:rStyle w:val="Hyperlink"/>
                <w:rFonts w:ascii="Cambria" w:hAnsi="Cambria"/>
                <w:noProof/>
                <w:sz w:val="20"/>
                <w:szCs w:val="20"/>
              </w:rPr>
              <w:t>A.</w:t>
            </w:r>
            <w:r w:rsidR="00890F4F" w:rsidRPr="0036143B">
              <w:rPr>
                <w:rFonts w:ascii="Cambria" w:eastAsiaTheme="minorEastAsia" w:hAnsi="Cambria" w:cstheme="minorBidi"/>
                <w:noProof/>
                <w:sz w:val="20"/>
                <w:szCs w:val="20"/>
                <w:lang w:val="es-AR" w:eastAsia="es-AR"/>
              </w:rPr>
              <w:tab/>
            </w:r>
            <w:r w:rsidR="00890F4F" w:rsidRPr="0036143B">
              <w:rPr>
                <w:rStyle w:val="Hyperlink"/>
                <w:rFonts w:ascii="Cambria" w:hAnsi="Cambria"/>
                <w:noProof/>
                <w:sz w:val="20"/>
                <w:szCs w:val="20"/>
              </w:rPr>
              <w:t>Marco Normativo Relevante</w:t>
            </w:r>
            <w:r w:rsidR="00890F4F" w:rsidRPr="0036143B">
              <w:rPr>
                <w:rFonts w:ascii="Cambria" w:hAnsi="Cambria"/>
                <w:noProof/>
                <w:webHidden/>
                <w:sz w:val="20"/>
                <w:szCs w:val="20"/>
              </w:rPr>
              <w:tab/>
            </w:r>
            <w:r w:rsidR="00890F4F" w:rsidRPr="0036143B">
              <w:rPr>
                <w:rFonts w:ascii="Cambria" w:hAnsi="Cambria"/>
                <w:noProof/>
                <w:webHidden/>
                <w:sz w:val="20"/>
                <w:szCs w:val="20"/>
              </w:rPr>
              <w:fldChar w:fldCharType="begin"/>
            </w:r>
            <w:r w:rsidR="00890F4F" w:rsidRPr="0036143B">
              <w:rPr>
                <w:rFonts w:ascii="Cambria" w:hAnsi="Cambria"/>
                <w:noProof/>
                <w:webHidden/>
                <w:sz w:val="20"/>
                <w:szCs w:val="20"/>
              </w:rPr>
              <w:instrText xml:space="preserve"> PAGEREF _Toc54369867 \h </w:instrText>
            </w:r>
            <w:r w:rsidR="00890F4F" w:rsidRPr="0036143B">
              <w:rPr>
                <w:rFonts w:ascii="Cambria" w:hAnsi="Cambria"/>
                <w:noProof/>
                <w:webHidden/>
                <w:sz w:val="20"/>
                <w:szCs w:val="20"/>
              </w:rPr>
            </w:r>
            <w:r w:rsidR="00890F4F" w:rsidRPr="0036143B">
              <w:rPr>
                <w:rFonts w:ascii="Cambria" w:hAnsi="Cambria"/>
                <w:noProof/>
                <w:webHidden/>
                <w:sz w:val="20"/>
                <w:szCs w:val="20"/>
              </w:rPr>
              <w:fldChar w:fldCharType="separate"/>
            </w:r>
            <w:r>
              <w:rPr>
                <w:rFonts w:ascii="Cambria" w:hAnsi="Cambria"/>
                <w:noProof/>
                <w:webHidden/>
                <w:sz w:val="20"/>
                <w:szCs w:val="20"/>
              </w:rPr>
              <w:t>7</w:t>
            </w:r>
            <w:r w:rsidR="00890F4F" w:rsidRPr="0036143B">
              <w:rPr>
                <w:rFonts w:ascii="Cambria" w:hAnsi="Cambria"/>
                <w:noProof/>
                <w:webHidden/>
                <w:sz w:val="20"/>
                <w:szCs w:val="20"/>
              </w:rPr>
              <w:fldChar w:fldCharType="end"/>
            </w:r>
          </w:hyperlink>
        </w:p>
        <w:p w14:paraId="5340AF05" w14:textId="2175C652" w:rsidR="00890F4F" w:rsidRPr="0036143B" w:rsidRDefault="00F4327D" w:rsidP="00890F4F">
          <w:pPr>
            <w:pStyle w:val="TOC2"/>
            <w:jc w:val="both"/>
            <w:rPr>
              <w:rFonts w:ascii="Cambria" w:eastAsiaTheme="minorEastAsia" w:hAnsi="Cambria" w:cstheme="minorBidi"/>
              <w:noProof/>
              <w:sz w:val="20"/>
              <w:szCs w:val="20"/>
              <w:lang w:val="es-AR" w:eastAsia="es-AR"/>
            </w:rPr>
          </w:pPr>
          <w:hyperlink w:anchor="_Toc54369868" w:history="1">
            <w:r w:rsidR="00890F4F" w:rsidRPr="0036143B">
              <w:rPr>
                <w:rStyle w:val="Hyperlink"/>
                <w:rFonts w:ascii="Cambria" w:hAnsi="Cambria"/>
                <w:noProof/>
                <w:sz w:val="20"/>
                <w:szCs w:val="20"/>
              </w:rPr>
              <w:t>B.</w:t>
            </w:r>
            <w:r w:rsidR="00890F4F" w:rsidRPr="0036143B">
              <w:rPr>
                <w:rFonts w:ascii="Cambria" w:eastAsiaTheme="minorEastAsia" w:hAnsi="Cambria" w:cstheme="minorBidi"/>
                <w:noProof/>
                <w:sz w:val="20"/>
                <w:szCs w:val="20"/>
                <w:lang w:val="es-AR" w:eastAsia="es-AR"/>
              </w:rPr>
              <w:tab/>
            </w:r>
            <w:r w:rsidR="00890F4F" w:rsidRPr="0036143B">
              <w:rPr>
                <w:rStyle w:val="Hyperlink"/>
                <w:rFonts w:ascii="Cambria" w:hAnsi="Cambria"/>
                <w:noProof/>
                <w:sz w:val="20"/>
                <w:szCs w:val="20"/>
              </w:rPr>
              <w:t>Sobre el proceso penal seguido al peticionario</w:t>
            </w:r>
            <w:r w:rsidR="00890F4F" w:rsidRPr="0036143B">
              <w:rPr>
                <w:rFonts w:ascii="Cambria" w:hAnsi="Cambria"/>
                <w:noProof/>
                <w:webHidden/>
                <w:sz w:val="20"/>
                <w:szCs w:val="20"/>
              </w:rPr>
              <w:tab/>
            </w:r>
            <w:r w:rsidR="00890F4F" w:rsidRPr="0036143B">
              <w:rPr>
                <w:rFonts w:ascii="Cambria" w:hAnsi="Cambria"/>
                <w:noProof/>
                <w:webHidden/>
                <w:sz w:val="20"/>
                <w:szCs w:val="20"/>
              </w:rPr>
              <w:fldChar w:fldCharType="begin"/>
            </w:r>
            <w:r w:rsidR="00890F4F" w:rsidRPr="0036143B">
              <w:rPr>
                <w:rFonts w:ascii="Cambria" w:hAnsi="Cambria"/>
                <w:noProof/>
                <w:webHidden/>
                <w:sz w:val="20"/>
                <w:szCs w:val="20"/>
              </w:rPr>
              <w:instrText xml:space="preserve"> PAGEREF _Toc54369868 \h </w:instrText>
            </w:r>
            <w:r w:rsidR="00890F4F" w:rsidRPr="0036143B">
              <w:rPr>
                <w:rFonts w:ascii="Cambria" w:hAnsi="Cambria"/>
                <w:noProof/>
                <w:webHidden/>
                <w:sz w:val="20"/>
                <w:szCs w:val="20"/>
              </w:rPr>
            </w:r>
            <w:r w:rsidR="00890F4F" w:rsidRPr="0036143B">
              <w:rPr>
                <w:rFonts w:ascii="Cambria" w:hAnsi="Cambria"/>
                <w:noProof/>
                <w:webHidden/>
                <w:sz w:val="20"/>
                <w:szCs w:val="20"/>
              </w:rPr>
              <w:fldChar w:fldCharType="separate"/>
            </w:r>
            <w:r>
              <w:rPr>
                <w:rFonts w:ascii="Cambria" w:hAnsi="Cambria"/>
                <w:noProof/>
                <w:webHidden/>
                <w:sz w:val="20"/>
                <w:szCs w:val="20"/>
              </w:rPr>
              <w:t>10</w:t>
            </w:r>
            <w:r w:rsidR="00890F4F" w:rsidRPr="0036143B">
              <w:rPr>
                <w:rFonts w:ascii="Cambria" w:hAnsi="Cambria"/>
                <w:noProof/>
                <w:webHidden/>
                <w:sz w:val="20"/>
                <w:szCs w:val="20"/>
              </w:rPr>
              <w:fldChar w:fldCharType="end"/>
            </w:r>
          </w:hyperlink>
        </w:p>
        <w:p w14:paraId="73873246" w14:textId="2072A6EC" w:rsidR="00890F4F" w:rsidRPr="0036143B" w:rsidRDefault="00F4327D" w:rsidP="00890F4F">
          <w:pPr>
            <w:pStyle w:val="TOC2"/>
            <w:jc w:val="both"/>
            <w:rPr>
              <w:rFonts w:ascii="Cambria" w:eastAsiaTheme="minorEastAsia" w:hAnsi="Cambria" w:cstheme="minorBidi"/>
              <w:noProof/>
              <w:sz w:val="20"/>
              <w:szCs w:val="20"/>
              <w:lang w:val="es-AR" w:eastAsia="es-AR"/>
            </w:rPr>
          </w:pPr>
          <w:hyperlink w:anchor="_Toc54369869" w:history="1">
            <w:r w:rsidR="00890F4F" w:rsidRPr="0036143B">
              <w:rPr>
                <w:rStyle w:val="Hyperlink"/>
                <w:rFonts w:ascii="Cambria" w:hAnsi="Cambria"/>
                <w:noProof/>
                <w:sz w:val="20"/>
                <w:szCs w:val="20"/>
              </w:rPr>
              <w:t>C.</w:t>
            </w:r>
            <w:r w:rsidR="00890F4F" w:rsidRPr="0036143B">
              <w:rPr>
                <w:rFonts w:ascii="Cambria" w:eastAsiaTheme="minorEastAsia" w:hAnsi="Cambria" w:cstheme="minorBidi"/>
                <w:noProof/>
                <w:sz w:val="20"/>
                <w:szCs w:val="20"/>
                <w:lang w:val="es-AR" w:eastAsia="es-AR"/>
              </w:rPr>
              <w:tab/>
            </w:r>
            <w:r w:rsidR="00890F4F" w:rsidRPr="0036143B">
              <w:rPr>
                <w:rStyle w:val="Hyperlink"/>
                <w:rFonts w:ascii="Cambria" w:hAnsi="Cambria"/>
                <w:noProof/>
                <w:sz w:val="20"/>
                <w:szCs w:val="20"/>
              </w:rPr>
              <w:t>Sobre los procedimientos de revisión de la sentencia condenatoria</w:t>
            </w:r>
            <w:r w:rsidR="00890F4F" w:rsidRPr="0036143B">
              <w:rPr>
                <w:rFonts w:ascii="Cambria" w:hAnsi="Cambria"/>
                <w:noProof/>
                <w:webHidden/>
                <w:sz w:val="20"/>
                <w:szCs w:val="20"/>
              </w:rPr>
              <w:tab/>
            </w:r>
            <w:r w:rsidR="00890F4F" w:rsidRPr="0036143B">
              <w:rPr>
                <w:rFonts w:ascii="Cambria" w:hAnsi="Cambria"/>
                <w:noProof/>
                <w:webHidden/>
                <w:sz w:val="20"/>
                <w:szCs w:val="20"/>
              </w:rPr>
              <w:fldChar w:fldCharType="begin"/>
            </w:r>
            <w:r w:rsidR="00890F4F" w:rsidRPr="0036143B">
              <w:rPr>
                <w:rFonts w:ascii="Cambria" w:hAnsi="Cambria"/>
                <w:noProof/>
                <w:webHidden/>
                <w:sz w:val="20"/>
                <w:szCs w:val="20"/>
              </w:rPr>
              <w:instrText xml:space="preserve"> PAGEREF _Toc54369869 \h </w:instrText>
            </w:r>
            <w:r w:rsidR="00890F4F" w:rsidRPr="0036143B">
              <w:rPr>
                <w:rFonts w:ascii="Cambria" w:hAnsi="Cambria"/>
                <w:noProof/>
                <w:webHidden/>
                <w:sz w:val="20"/>
                <w:szCs w:val="20"/>
              </w:rPr>
            </w:r>
            <w:r w:rsidR="00890F4F" w:rsidRPr="0036143B">
              <w:rPr>
                <w:rFonts w:ascii="Cambria" w:hAnsi="Cambria"/>
                <w:noProof/>
                <w:webHidden/>
                <w:sz w:val="20"/>
                <w:szCs w:val="20"/>
              </w:rPr>
              <w:fldChar w:fldCharType="separate"/>
            </w:r>
            <w:r>
              <w:rPr>
                <w:rFonts w:ascii="Cambria" w:hAnsi="Cambria"/>
                <w:noProof/>
                <w:webHidden/>
                <w:sz w:val="20"/>
                <w:szCs w:val="20"/>
              </w:rPr>
              <w:t>11</w:t>
            </w:r>
            <w:r w:rsidR="00890F4F" w:rsidRPr="0036143B">
              <w:rPr>
                <w:rFonts w:ascii="Cambria" w:hAnsi="Cambria"/>
                <w:noProof/>
                <w:webHidden/>
                <w:sz w:val="20"/>
                <w:szCs w:val="20"/>
              </w:rPr>
              <w:fldChar w:fldCharType="end"/>
            </w:r>
          </w:hyperlink>
        </w:p>
        <w:p w14:paraId="24A09101" w14:textId="19218F95" w:rsidR="00890F4F" w:rsidRPr="0036143B" w:rsidRDefault="00F4327D" w:rsidP="00890F4F">
          <w:pPr>
            <w:pStyle w:val="TOC1"/>
            <w:rPr>
              <w:rFonts w:eastAsiaTheme="minorEastAsia" w:cstheme="minorBidi"/>
              <w:lang w:val="es-AR" w:eastAsia="es-AR"/>
            </w:rPr>
          </w:pPr>
          <w:hyperlink w:anchor="_Toc54369870" w:history="1">
            <w:r w:rsidR="00890F4F" w:rsidRPr="0036143B">
              <w:rPr>
                <w:rStyle w:val="Hyperlink"/>
                <w:b/>
              </w:rPr>
              <w:t>V.</w:t>
            </w:r>
            <w:r w:rsidR="00890F4F" w:rsidRPr="0036143B">
              <w:rPr>
                <w:rFonts w:eastAsiaTheme="minorEastAsia" w:cstheme="minorBidi"/>
                <w:lang w:val="es-AR" w:eastAsia="es-AR"/>
              </w:rPr>
              <w:tab/>
            </w:r>
            <w:r w:rsidR="00890F4F" w:rsidRPr="0036143B">
              <w:rPr>
                <w:rStyle w:val="Hyperlink"/>
                <w:b/>
              </w:rPr>
              <w:t>ANALISIS DE DERECHO</w:t>
            </w:r>
            <w:r w:rsidR="00890F4F" w:rsidRPr="0036143B">
              <w:rPr>
                <w:webHidden/>
              </w:rPr>
              <w:tab/>
            </w:r>
            <w:r w:rsidR="00890F4F" w:rsidRPr="0036143B">
              <w:rPr>
                <w:webHidden/>
              </w:rPr>
              <w:fldChar w:fldCharType="begin"/>
            </w:r>
            <w:r w:rsidR="00890F4F" w:rsidRPr="0036143B">
              <w:rPr>
                <w:webHidden/>
              </w:rPr>
              <w:instrText xml:space="preserve"> PAGEREF _Toc54369870 \h </w:instrText>
            </w:r>
            <w:r w:rsidR="00890F4F" w:rsidRPr="0036143B">
              <w:rPr>
                <w:webHidden/>
              </w:rPr>
            </w:r>
            <w:r w:rsidR="00890F4F" w:rsidRPr="0036143B">
              <w:rPr>
                <w:webHidden/>
              </w:rPr>
              <w:fldChar w:fldCharType="separate"/>
            </w:r>
            <w:r>
              <w:rPr>
                <w:webHidden/>
              </w:rPr>
              <w:t>13</w:t>
            </w:r>
            <w:r w:rsidR="00890F4F" w:rsidRPr="0036143B">
              <w:rPr>
                <w:webHidden/>
              </w:rPr>
              <w:fldChar w:fldCharType="end"/>
            </w:r>
          </w:hyperlink>
        </w:p>
        <w:p w14:paraId="3EE7AAA8" w14:textId="5DA2D4AB" w:rsidR="00890F4F" w:rsidRPr="0036143B" w:rsidRDefault="00F4327D" w:rsidP="00890F4F">
          <w:pPr>
            <w:pStyle w:val="TOC2"/>
            <w:jc w:val="both"/>
            <w:rPr>
              <w:rFonts w:ascii="Cambria" w:eastAsiaTheme="minorEastAsia" w:hAnsi="Cambria" w:cstheme="minorBidi"/>
              <w:noProof/>
              <w:sz w:val="20"/>
              <w:szCs w:val="20"/>
              <w:lang w:val="es-AR" w:eastAsia="es-AR"/>
            </w:rPr>
          </w:pPr>
          <w:hyperlink w:anchor="_Toc54369871" w:history="1">
            <w:r w:rsidR="00890F4F" w:rsidRPr="0036143B">
              <w:rPr>
                <w:rStyle w:val="Hyperlink"/>
                <w:rFonts w:ascii="Cambria" w:hAnsi="Cambria"/>
                <w:noProof/>
                <w:sz w:val="20"/>
                <w:szCs w:val="20"/>
              </w:rPr>
              <w:t>A.</w:t>
            </w:r>
            <w:r w:rsidR="00890F4F" w:rsidRPr="0036143B">
              <w:rPr>
                <w:rFonts w:ascii="Cambria" w:eastAsiaTheme="minorEastAsia" w:hAnsi="Cambria" w:cstheme="minorBidi"/>
                <w:noProof/>
                <w:sz w:val="20"/>
                <w:szCs w:val="20"/>
                <w:lang w:val="es-AR" w:eastAsia="es-AR"/>
              </w:rPr>
              <w:tab/>
            </w:r>
            <w:r w:rsidR="00890F4F" w:rsidRPr="0036143B">
              <w:rPr>
                <w:rStyle w:val="Hyperlink"/>
                <w:rFonts w:ascii="Cambria" w:hAnsi="Cambria"/>
                <w:noProof/>
                <w:sz w:val="20"/>
                <w:szCs w:val="20"/>
              </w:rPr>
              <w:t>Derecho a no ser objeto de injerencias arbitrarias o abusivas en el domicilio (art 11 de la Convención Americana de Derechos Humanos en relación con su artículo 1.1)</w:t>
            </w:r>
            <w:r w:rsidR="00890F4F" w:rsidRPr="0036143B">
              <w:rPr>
                <w:rFonts w:ascii="Cambria" w:hAnsi="Cambria"/>
                <w:noProof/>
                <w:webHidden/>
                <w:sz w:val="20"/>
                <w:szCs w:val="20"/>
              </w:rPr>
              <w:tab/>
            </w:r>
            <w:r w:rsidR="00890F4F" w:rsidRPr="0036143B">
              <w:rPr>
                <w:rFonts w:ascii="Cambria" w:hAnsi="Cambria"/>
                <w:noProof/>
                <w:webHidden/>
                <w:sz w:val="20"/>
                <w:szCs w:val="20"/>
              </w:rPr>
              <w:fldChar w:fldCharType="begin"/>
            </w:r>
            <w:r w:rsidR="00890F4F" w:rsidRPr="0036143B">
              <w:rPr>
                <w:rFonts w:ascii="Cambria" w:hAnsi="Cambria"/>
                <w:noProof/>
                <w:webHidden/>
                <w:sz w:val="20"/>
                <w:szCs w:val="20"/>
              </w:rPr>
              <w:instrText xml:space="preserve"> PAGEREF _Toc54369871 \h </w:instrText>
            </w:r>
            <w:r w:rsidR="00890F4F" w:rsidRPr="0036143B">
              <w:rPr>
                <w:rFonts w:ascii="Cambria" w:hAnsi="Cambria"/>
                <w:noProof/>
                <w:webHidden/>
                <w:sz w:val="20"/>
                <w:szCs w:val="20"/>
              </w:rPr>
            </w:r>
            <w:r w:rsidR="00890F4F" w:rsidRPr="0036143B">
              <w:rPr>
                <w:rFonts w:ascii="Cambria" w:hAnsi="Cambria"/>
                <w:noProof/>
                <w:webHidden/>
                <w:sz w:val="20"/>
                <w:szCs w:val="20"/>
              </w:rPr>
              <w:fldChar w:fldCharType="separate"/>
            </w:r>
            <w:r>
              <w:rPr>
                <w:rFonts w:ascii="Cambria" w:hAnsi="Cambria"/>
                <w:noProof/>
                <w:webHidden/>
                <w:sz w:val="20"/>
                <w:szCs w:val="20"/>
              </w:rPr>
              <w:t>13</w:t>
            </w:r>
            <w:r w:rsidR="00890F4F" w:rsidRPr="0036143B">
              <w:rPr>
                <w:rFonts w:ascii="Cambria" w:hAnsi="Cambria"/>
                <w:noProof/>
                <w:webHidden/>
                <w:sz w:val="20"/>
                <w:szCs w:val="20"/>
              </w:rPr>
              <w:fldChar w:fldCharType="end"/>
            </w:r>
          </w:hyperlink>
        </w:p>
        <w:p w14:paraId="588AB9F5" w14:textId="16F3C73B" w:rsidR="00890F4F" w:rsidRPr="0036143B" w:rsidRDefault="00F4327D" w:rsidP="00890F4F">
          <w:pPr>
            <w:pStyle w:val="TOC3"/>
            <w:tabs>
              <w:tab w:val="left" w:pos="2160"/>
            </w:tabs>
            <w:jc w:val="both"/>
            <w:rPr>
              <w:rFonts w:ascii="Cambria" w:eastAsiaTheme="minorEastAsia" w:hAnsi="Cambria" w:cstheme="minorBidi"/>
              <w:noProof/>
              <w:sz w:val="20"/>
              <w:szCs w:val="20"/>
              <w:lang w:val="es-AR" w:eastAsia="es-AR"/>
            </w:rPr>
          </w:pPr>
          <w:hyperlink w:anchor="_Toc54369872" w:history="1">
            <w:r w:rsidR="00890F4F" w:rsidRPr="0036143B">
              <w:rPr>
                <w:rStyle w:val="Hyperlink"/>
                <w:rFonts w:ascii="Cambria" w:hAnsi="Cambria"/>
                <w:noProof/>
                <w:sz w:val="20"/>
                <w:szCs w:val="20"/>
              </w:rPr>
              <w:t>1.</w:t>
            </w:r>
            <w:r w:rsidR="00890F4F" w:rsidRPr="0036143B">
              <w:rPr>
                <w:rFonts w:ascii="Cambria" w:eastAsiaTheme="minorEastAsia" w:hAnsi="Cambria" w:cstheme="minorBidi"/>
                <w:noProof/>
                <w:sz w:val="20"/>
                <w:szCs w:val="20"/>
                <w:lang w:val="es-AR" w:eastAsia="es-AR"/>
              </w:rPr>
              <w:tab/>
            </w:r>
            <w:r w:rsidR="00890F4F" w:rsidRPr="0036143B">
              <w:rPr>
                <w:rStyle w:val="Hyperlink"/>
                <w:rFonts w:ascii="Cambria" w:hAnsi="Cambria"/>
                <w:noProof/>
                <w:sz w:val="20"/>
                <w:szCs w:val="20"/>
              </w:rPr>
              <w:t>Consideraciones generales sobre la garantía de la inviolabilidad del domicilio</w:t>
            </w:r>
            <w:r w:rsidR="00890F4F" w:rsidRPr="0036143B">
              <w:rPr>
                <w:rFonts w:ascii="Cambria" w:hAnsi="Cambria"/>
                <w:noProof/>
                <w:webHidden/>
                <w:sz w:val="20"/>
                <w:szCs w:val="20"/>
              </w:rPr>
              <w:tab/>
            </w:r>
            <w:r w:rsidR="00890F4F" w:rsidRPr="0036143B">
              <w:rPr>
                <w:rFonts w:ascii="Cambria" w:hAnsi="Cambria"/>
                <w:noProof/>
                <w:webHidden/>
                <w:sz w:val="20"/>
                <w:szCs w:val="20"/>
              </w:rPr>
              <w:fldChar w:fldCharType="begin"/>
            </w:r>
            <w:r w:rsidR="00890F4F" w:rsidRPr="0036143B">
              <w:rPr>
                <w:rFonts w:ascii="Cambria" w:hAnsi="Cambria"/>
                <w:noProof/>
                <w:webHidden/>
                <w:sz w:val="20"/>
                <w:szCs w:val="20"/>
              </w:rPr>
              <w:instrText xml:space="preserve"> PAGEREF _Toc54369872 \h </w:instrText>
            </w:r>
            <w:r w:rsidR="00890F4F" w:rsidRPr="0036143B">
              <w:rPr>
                <w:rFonts w:ascii="Cambria" w:hAnsi="Cambria"/>
                <w:noProof/>
                <w:webHidden/>
                <w:sz w:val="20"/>
                <w:szCs w:val="20"/>
              </w:rPr>
            </w:r>
            <w:r w:rsidR="00890F4F" w:rsidRPr="0036143B">
              <w:rPr>
                <w:rFonts w:ascii="Cambria" w:hAnsi="Cambria"/>
                <w:noProof/>
                <w:webHidden/>
                <w:sz w:val="20"/>
                <w:szCs w:val="20"/>
              </w:rPr>
              <w:fldChar w:fldCharType="separate"/>
            </w:r>
            <w:r>
              <w:rPr>
                <w:rFonts w:ascii="Cambria" w:hAnsi="Cambria"/>
                <w:noProof/>
                <w:webHidden/>
                <w:sz w:val="20"/>
                <w:szCs w:val="20"/>
              </w:rPr>
              <w:t>13</w:t>
            </w:r>
            <w:r w:rsidR="00890F4F" w:rsidRPr="0036143B">
              <w:rPr>
                <w:rFonts w:ascii="Cambria" w:hAnsi="Cambria"/>
                <w:noProof/>
                <w:webHidden/>
                <w:sz w:val="20"/>
                <w:szCs w:val="20"/>
              </w:rPr>
              <w:fldChar w:fldCharType="end"/>
            </w:r>
          </w:hyperlink>
        </w:p>
        <w:p w14:paraId="5D0CDE6B" w14:textId="1CF39BC4" w:rsidR="00890F4F" w:rsidRPr="0036143B" w:rsidRDefault="00F4327D" w:rsidP="00890F4F">
          <w:pPr>
            <w:pStyle w:val="TOC3"/>
            <w:tabs>
              <w:tab w:val="left" w:pos="2160"/>
            </w:tabs>
            <w:jc w:val="both"/>
            <w:rPr>
              <w:rFonts w:ascii="Cambria" w:eastAsiaTheme="minorEastAsia" w:hAnsi="Cambria" w:cstheme="minorBidi"/>
              <w:noProof/>
              <w:sz w:val="20"/>
              <w:szCs w:val="20"/>
              <w:lang w:val="es-AR" w:eastAsia="es-AR"/>
            </w:rPr>
          </w:pPr>
          <w:hyperlink w:anchor="_Toc54369873" w:history="1">
            <w:r w:rsidR="00890F4F" w:rsidRPr="0036143B">
              <w:rPr>
                <w:rStyle w:val="Hyperlink"/>
                <w:rFonts w:ascii="Cambria" w:hAnsi="Cambria"/>
                <w:noProof/>
                <w:sz w:val="20"/>
                <w:szCs w:val="20"/>
              </w:rPr>
              <w:t>2.</w:t>
            </w:r>
            <w:r w:rsidR="00890F4F" w:rsidRPr="0036143B">
              <w:rPr>
                <w:rFonts w:ascii="Cambria" w:eastAsiaTheme="minorEastAsia" w:hAnsi="Cambria" w:cstheme="minorBidi"/>
                <w:noProof/>
                <w:sz w:val="20"/>
                <w:szCs w:val="20"/>
                <w:lang w:val="es-AR" w:eastAsia="es-AR"/>
              </w:rPr>
              <w:tab/>
            </w:r>
            <w:r w:rsidR="00890F4F" w:rsidRPr="0036143B">
              <w:rPr>
                <w:rStyle w:val="Hyperlink"/>
                <w:rFonts w:ascii="Cambria" w:hAnsi="Cambria"/>
                <w:noProof/>
                <w:sz w:val="20"/>
                <w:szCs w:val="20"/>
              </w:rPr>
              <w:t>Análisis del caso</w:t>
            </w:r>
            <w:r w:rsidR="00890F4F" w:rsidRPr="0036143B">
              <w:rPr>
                <w:rFonts w:ascii="Cambria" w:hAnsi="Cambria"/>
                <w:noProof/>
                <w:webHidden/>
                <w:sz w:val="20"/>
                <w:szCs w:val="20"/>
              </w:rPr>
              <w:tab/>
            </w:r>
            <w:r w:rsidR="00890F4F" w:rsidRPr="0036143B">
              <w:rPr>
                <w:rFonts w:ascii="Cambria" w:hAnsi="Cambria"/>
                <w:noProof/>
                <w:webHidden/>
                <w:sz w:val="20"/>
                <w:szCs w:val="20"/>
              </w:rPr>
              <w:fldChar w:fldCharType="begin"/>
            </w:r>
            <w:r w:rsidR="00890F4F" w:rsidRPr="0036143B">
              <w:rPr>
                <w:rFonts w:ascii="Cambria" w:hAnsi="Cambria"/>
                <w:noProof/>
                <w:webHidden/>
                <w:sz w:val="20"/>
                <w:szCs w:val="20"/>
              </w:rPr>
              <w:instrText xml:space="preserve"> PAGEREF _Toc54369873 \h </w:instrText>
            </w:r>
            <w:r w:rsidR="00890F4F" w:rsidRPr="0036143B">
              <w:rPr>
                <w:rFonts w:ascii="Cambria" w:hAnsi="Cambria"/>
                <w:noProof/>
                <w:webHidden/>
                <w:sz w:val="20"/>
                <w:szCs w:val="20"/>
              </w:rPr>
            </w:r>
            <w:r w:rsidR="00890F4F" w:rsidRPr="0036143B">
              <w:rPr>
                <w:rFonts w:ascii="Cambria" w:hAnsi="Cambria"/>
                <w:noProof/>
                <w:webHidden/>
                <w:sz w:val="20"/>
                <w:szCs w:val="20"/>
              </w:rPr>
              <w:fldChar w:fldCharType="separate"/>
            </w:r>
            <w:r>
              <w:rPr>
                <w:rFonts w:ascii="Cambria" w:hAnsi="Cambria"/>
                <w:noProof/>
                <w:webHidden/>
                <w:sz w:val="20"/>
                <w:szCs w:val="20"/>
              </w:rPr>
              <w:t>14</w:t>
            </w:r>
            <w:r w:rsidR="00890F4F" w:rsidRPr="0036143B">
              <w:rPr>
                <w:rFonts w:ascii="Cambria" w:hAnsi="Cambria"/>
                <w:noProof/>
                <w:webHidden/>
                <w:sz w:val="20"/>
                <w:szCs w:val="20"/>
              </w:rPr>
              <w:fldChar w:fldCharType="end"/>
            </w:r>
          </w:hyperlink>
        </w:p>
        <w:p w14:paraId="51BD96B9" w14:textId="75D43395" w:rsidR="00890F4F" w:rsidRPr="0036143B" w:rsidRDefault="00F4327D" w:rsidP="00890F4F">
          <w:pPr>
            <w:pStyle w:val="TOC2"/>
            <w:jc w:val="both"/>
            <w:rPr>
              <w:rFonts w:ascii="Cambria" w:eastAsiaTheme="minorEastAsia" w:hAnsi="Cambria" w:cstheme="minorBidi"/>
              <w:noProof/>
              <w:sz w:val="20"/>
              <w:szCs w:val="20"/>
              <w:lang w:val="es-AR" w:eastAsia="es-AR"/>
            </w:rPr>
          </w:pPr>
          <w:hyperlink w:anchor="_Toc54369874" w:history="1">
            <w:r w:rsidR="00890F4F" w:rsidRPr="0036143B">
              <w:rPr>
                <w:rStyle w:val="Hyperlink"/>
                <w:rFonts w:ascii="Cambria" w:hAnsi="Cambria"/>
                <w:noProof/>
                <w:sz w:val="20"/>
                <w:szCs w:val="20"/>
              </w:rPr>
              <w:t>B.</w:t>
            </w:r>
            <w:r w:rsidR="00890F4F" w:rsidRPr="0036143B">
              <w:rPr>
                <w:rFonts w:ascii="Cambria" w:eastAsiaTheme="minorEastAsia" w:hAnsi="Cambria" w:cstheme="minorBidi"/>
                <w:noProof/>
                <w:sz w:val="20"/>
                <w:szCs w:val="20"/>
                <w:lang w:val="es-AR" w:eastAsia="es-AR"/>
              </w:rPr>
              <w:tab/>
            </w:r>
            <w:r w:rsidR="00890F4F" w:rsidRPr="0036143B">
              <w:rPr>
                <w:rStyle w:val="Hyperlink"/>
                <w:rFonts w:ascii="Cambria" w:hAnsi="Cambria"/>
                <w:noProof/>
                <w:sz w:val="20"/>
                <w:szCs w:val="20"/>
              </w:rPr>
              <w:t>Derecho a la información sobre la asistencia consular (art 7.4 y 8.2 de la Convención Americana sobre Derechos Humanos en relación con su articulo 1.1)</w:t>
            </w:r>
            <w:r w:rsidR="00890F4F" w:rsidRPr="0036143B">
              <w:rPr>
                <w:rFonts w:ascii="Cambria" w:hAnsi="Cambria"/>
                <w:noProof/>
                <w:webHidden/>
                <w:sz w:val="20"/>
                <w:szCs w:val="20"/>
              </w:rPr>
              <w:tab/>
            </w:r>
            <w:r w:rsidR="00890F4F" w:rsidRPr="0036143B">
              <w:rPr>
                <w:rFonts w:ascii="Cambria" w:hAnsi="Cambria"/>
                <w:noProof/>
                <w:webHidden/>
                <w:sz w:val="20"/>
                <w:szCs w:val="20"/>
              </w:rPr>
              <w:fldChar w:fldCharType="begin"/>
            </w:r>
            <w:r w:rsidR="00890F4F" w:rsidRPr="0036143B">
              <w:rPr>
                <w:rFonts w:ascii="Cambria" w:hAnsi="Cambria"/>
                <w:noProof/>
                <w:webHidden/>
                <w:sz w:val="20"/>
                <w:szCs w:val="20"/>
              </w:rPr>
              <w:instrText xml:space="preserve"> PAGEREF _Toc54369874 \h </w:instrText>
            </w:r>
            <w:r w:rsidR="00890F4F" w:rsidRPr="0036143B">
              <w:rPr>
                <w:rFonts w:ascii="Cambria" w:hAnsi="Cambria"/>
                <w:noProof/>
                <w:webHidden/>
                <w:sz w:val="20"/>
                <w:szCs w:val="20"/>
              </w:rPr>
            </w:r>
            <w:r w:rsidR="00890F4F" w:rsidRPr="0036143B">
              <w:rPr>
                <w:rFonts w:ascii="Cambria" w:hAnsi="Cambria"/>
                <w:noProof/>
                <w:webHidden/>
                <w:sz w:val="20"/>
                <w:szCs w:val="20"/>
              </w:rPr>
              <w:fldChar w:fldCharType="separate"/>
            </w:r>
            <w:r>
              <w:rPr>
                <w:rFonts w:ascii="Cambria" w:hAnsi="Cambria"/>
                <w:noProof/>
                <w:webHidden/>
                <w:sz w:val="20"/>
                <w:szCs w:val="20"/>
              </w:rPr>
              <w:t>15</w:t>
            </w:r>
            <w:r w:rsidR="00890F4F" w:rsidRPr="0036143B">
              <w:rPr>
                <w:rFonts w:ascii="Cambria" w:hAnsi="Cambria"/>
                <w:noProof/>
                <w:webHidden/>
                <w:sz w:val="20"/>
                <w:szCs w:val="20"/>
              </w:rPr>
              <w:fldChar w:fldCharType="end"/>
            </w:r>
          </w:hyperlink>
        </w:p>
        <w:p w14:paraId="714C079A" w14:textId="6CF83CA9" w:rsidR="00890F4F" w:rsidRPr="0036143B" w:rsidRDefault="00F4327D" w:rsidP="00890F4F">
          <w:pPr>
            <w:pStyle w:val="TOC3"/>
            <w:tabs>
              <w:tab w:val="left" w:pos="2160"/>
            </w:tabs>
            <w:jc w:val="both"/>
            <w:rPr>
              <w:rFonts w:ascii="Cambria" w:eastAsiaTheme="minorEastAsia" w:hAnsi="Cambria" w:cstheme="minorBidi"/>
              <w:noProof/>
              <w:sz w:val="20"/>
              <w:szCs w:val="20"/>
              <w:lang w:val="es-AR" w:eastAsia="es-AR"/>
            </w:rPr>
          </w:pPr>
          <w:hyperlink w:anchor="_Toc54369875" w:history="1">
            <w:r w:rsidR="00890F4F" w:rsidRPr="0036143B">
              <w:rPr>
                <w:rStyle w:val="Hyperlink"/>
                <w:rFonts w:ascii="Cambria" w:hAnsi="Cambria"/>
                <w:noProof/>
                <w:sz w:val="20"/>
                <w:szCs w:val="20"/>
              </w:rPr>
              <w:t>1.</w:t>
            </w:r>
            <w:r w:rsidR="00890F4F" w:rsidRPr="0036143B">
              <w:rPr>
                <w:rFonts w:ascii="Cambria" w:eastAsiaTheme="minorEastAsia" w:hAnsi="Cambria" w:cstheme="minorBidi"/>
                <w:noProof/>
                <w:sz w:val="20"/>
                <w:szCs w:val="20"/>
                <w:lang w:val="es-AR" w:eastAsia="es-AR"/>
              </w:rPr>
              <w:tab/>
            </w:r>
            <w:r w:rsidR="00890F4F" w:rsidRPr="0036143B">
              <w:rPr>
                <w:rStyle w:val="Hyperlink"/>
                <w:rFonts w:ascii="Cambria" w:hAnsi="Cambria"/>
                <w:noProof/>
                <w:sz w:val="20"/>
                <w:szCs w:val="20"/>
              </w:rPr>
              <w:t>Consideraciones generales sobre el derecho a la información sobre la asistencia consular.</w:t>
            </w:r>
            <w:r w:rsidR="00890F4F" w:rsidRPr="0036143B">
              <w:rPr>
                <w:rFonts w:ascii="Cambria" w:hAnsi="Cambria"/>
                <w:noProof/>
                <w:webHidden/>
                <w:sz w:val="20"/>
                <w:szCs w:val="20"/>
              </w:rPr>
              <w:tab/>
            </w:r>
            <w:r w:rsidR="00890F4F" w:rsidRPr="0036143B">
              <w:rPr>
                <w:rFonts w:ascii="Cambria" w:hAnsi="Cambria"/>
                <w:noProof/>
                <w:webHidden/>
                <w:sz w:val="20"/>
                <w:szCs w:val="20"/>
              </w:rPr>
              <w:fldChar w:fldCharType="begin"/>
            </w:r>
            <w:r w:rsidR="00890F4F" w:rsidRPr="0036143B">
              <w:rPr>
                <w:rFonts w:ascii="Cambria" w:hAnsi="Cambria"/>
                <w:noProof/>
                <w:webHidden/>
                <w:sz w:val="20"/>
                <w:szCs w:val="20"/>
              </w:rPr>
              <w:instrText xml:space="preserve"> PAGEREF _Toc54369875 \h </w:instrText>
            </w:r>
            <w:r w:rsidR="00890F4F" w:rsidRPr="0036143B">
              <w:rPr>
                <w:rFonts w:ascii="Cambria" w:hAnsi="Cambria"/>
                <w:noProof/>
                <w:webHidden/>
                <w:sz w:val="20"/>
                <w:szCs w:val="20"/>
              </w:rPr>
            </w:r>
            <w:r w:rsidR="00890F4F" w:rsidRPr="0036143B">
              <w:rPr>
                <w:rFonts w:ascii="Cambria" w:hAnsi="Cambria"/>
                <w:noProof/>
                <w:webHidden/>
                <w:sz w:val="20"/>
                <w:szCs w:val="20"/>
              </w:rPr>
              <w:fldChar w:fldCharType="separate"/>
            </w:r>
            <w:r>
              <w:rPr>
                <w:rFonts w:ascii="Cambria" w:hAnsi="Cambria"/>
                <w:noProof/>
                <w:webHidden/>
                <w:sz w:val="20"/>
                <w:szCs w:val="20"/>
              </w:rPr>
              <w:t>15</w:t>
            </w:r>
            <w:r w:rsidR="00890F4F" w:rsidRPr="0036143B">
              <w:rPr>
                <w:rFonts w:ascii="Cambria" w:hAnsi="Cambria"/>
                <w:noProof/>
                <w:webHidden/>
                <w:sz w:val="20"/>
                <w:szCs w:val="20"/>
              </w:rPr>
              <w:fldChar w:fldCharType="end"/>
            </w:r>
          </w:hyperlink>
        </w:p>
        <w:p w14:paraId="0CCC9B54" w14:textId="3F4D25A3" w:rsidR="00890F4F" w:rsidRPr="0036143B" w:rsidRDefault="00F4327D" w:rsidP="00890F4F">
          <w:pPr>
            <w:pStyle w:val="TOC3"/>
            <w:tabs>
              <w:tab w:val="left" w:pos="2160"/>
            </w:tabs>
            <w:jc w:val="both"/>
            <w:rPr>
              <w:rFonts w:ascii="Cambria" w:eastAsiaTheme="minorEastAsia" w:hAnsi="Cambria" w:cstheme="minorBidi"/>
              <w:noProof/>
              <w:sz w:val="20"/>
              <w:szCs w:val="20"/>
              <w:lang w:val="es-AR" w:eastAsia="es-AR"/>
            </w:rPr>
          </w:pPr>
          <w:hyperlink w:anchor="_Toc54369876" w:history="1">
            <w:r w:rsidR="00890F4F" w:rsidRPr="0036143B">
              <w:rPr>
                <w:rStyle w:val="Hyperlink"/>
                <w:rFonts w:ascii="Cambria" w:hAnsi="Cambria"/>
                <w:noProof/>
                <w:sz w:val="20"/>
                <w:szCs w:val="20"/>
              </w:rPr>
              <w:t>2.</w:t>
            </w:r>
            <w:r w:rsidR="00890F4F" w:rsidRPr="0036143B">
              <w:rPr>
                <w:rFonts w:ascii="Cambria" w:eastAsiaTheme="minorEastAsia" w:hAnsi="Cambria" w:cstheme="minorBidi"/>
                <w:noProof/>
                <w:sz w:val="20"/>
                <w:szCs w:val="20"/>
                <w:lang w:val="es-AR" w:eastAsia="es-AR"/>
              </w:rPr>
              <w:tab/>
            </w:r>
            <w:r w:rsidR="00890F4F" w:rsidRPr="0036143B">
              <w:rPr>
                <w:rStyle w:val="Hyperlink"/>
                <w:rFonts w:ascii="Cambria" w:hAnsi="Cambria"/>
                <w:noProof/>
                <w:sz w:val="20"/>
                <w:szCs w:val="20"/>
              </w:rPr>
              <w:t>Análisis del caso</w:t>
            </w:r>
            <w:r w:rsidR="00890F4F" w:rsidRPr="0036143B">
              <w:rPr>
                <w:rFonts w:ascii="Cambria" w:hAnsi="Cambria"/>
                <w:noProof/>
                <w:webHidden/>
                <w:sz w:val="20"/>
                <w:szCs w:val="20"/>
              </w:rPr>
              <w:tab/>
            </w:r>
            <w:r w:rsidR="00890F4F" w:rsidRPr="0036143B">
              <w:rPr>
                <w:rFonts w:ascii="Cambria" w:hAnsi="Cambria"/>
                <w:noProof/>
                <w:webHidden/>
                <w:sz w:val="20"/>
                <w:szCs w:val="20"/>
              </w:rPr>
              <w:fldChar w:fldCharType="begin"/>
            </w:r>
            <w:r w:rsidR="00890F4F" w:rsidRPr="0036143B">
              <w:rPr>
                <w:rFonts w:ascii="Cambria" w:hAnsi="Cambria"/>
                <w:noProof/>
                <w:webHidden/>
                <w:sz w:val="20"/>
                <w:szCs w:val="20"/>
              </w:rPr>
              <w:instrText xml:space="preserve"> PAGEREF _Toc54369876 \h </w:instrText>
            </w:r>
            <w:r w:rsidR="00890F4F" w:rsidRPr="0036143B">
              <w:rPr>
                <w:rFonts w:ascii="Cambria" w:hAnsi="Cambria"/>
                <w:noProof/>
                <w:webHidden/>
                <w:sz w:val="20"/>
                <w:szCs w:val="20"/>
              </w:rPr>
            </w:r>
            <w:r w:rsidR="00890F4F" w:rsidRPr="0036143B">
              <w:rPr>
                <w:rFonts w:ascii="Cambria" w:hAnsi="Cambria"/>
                <w:noProof/>
                <w:webHidden/>
                <w:sz w:val="20"/>
                <w:szCs w:val="20"/>
              </w:rPr>
              <w:fldChar w:fldCharType="separate"/>
            </w:r>
            <w:r>
              <w:rPr>
                <w:rFonts w:ascii="Cambria" w:hAnsi="Cambria"/>
                <w:noProof/>
                <w:webHidden/>
                <w:sz w:val="20"/>
                <w:szCs w:val="20"/>
              </w:rPr>
              <w:t>17</w:t>
            </w:r>
            <w:r w:rsidR="00890F4F" w:rsidRPr="0036143B">
              <w:rPr>
                <w:rFonts w:ascii="Cambria" w:hAnsi="Cambria"/>
                <w:noProof/>
                <w:webHidden/>
                <w:sz w:val="20"/>
                <w:szCs w:val="20"/>
              </w:rPr>
              <w:fldChar w:fldCharType="end"/>
            </w:r>
          </w:hyperlink>
        </w:p>
        <w:p w14:paraId="206FAD13" w14:textId="433D604D" w:rsidR="00890F4F" w:rsidRPr="0036143B" w:rsidRDefault="00F4327D" w:rsidP="00890F4F">
          <w:pPr>
            <w:pStyle w:val="TOC2"/>
            <w:jc w:val="both"/>
            <w:rPr>
              <w:rFonts w:ascii="Cambria" w:eastAsiaTheme="minorEastAsia" w:hAnsi="Cambria" w:cstheme="minorBidi"/>
              <w:noProof/>
              <w:sz w:val="20"/>
              <w:szCs w:val="20"/>
              <w:lang w:val="es-AR" w:eastAsia="es-AR"/>
            </w:rPr>
          </w:pPr>
          <w:hyperlink w:anchor="_Toc54369877" w:history="1">
            <w:r w:rsidR="00890F4F" w:rsidRPr="0036143B">
              <w:rPr>
                <w:rStyle w:val="Hyperlink"/>
                <w:rFonts w:ascii="Cambria" w:hAnsi="Cambria"/>
                <w:noProof/>
                <w:sz w:val="20"/>
                <w:szCs w:val="20"/>
              </w:rPr>
              <w:t>C.</w:t>
            </w:r>
            <w:r w:rsidR="00890F4F" w:rsidRPr="0036143B">
              <w:rPr>
                <w:rFonts w:ascii="Cambria" w:eastAsiaTheme="minorEastAsia" w:hAnsi="Cambria" w:cstheme="minorBidi"/>
                <w:noProof/>
                <w:sz w:val="20"/>
                <w:szCs w:val="20"/>
                <w:lang w:val="es-AR" w:eastAsia="es-AR"/>
              </w:rPr>
              <w:tab/>
            </w:r>
            <w:r w:rsidR="00890F4F" w:rsidRPr="0036143B">
              <w:rPr>
                <w:rStyle w:val="Hyperlink"/>
                <w:rFonts w:ascii="Cambria" w:hAnsi="Cambria"/>
                <w:noProof/>
                <w:sz w:val="20"/>
                <w:szCs w:val="20"/>
              </w:rPr>
              <w:t>Derecho a la libertad personal, a la integridad personal y derecho a la salud (arts. 7, 5 y 26 de la Convención Americana de Derechos Humanos en relación con su artículo 1.1)</w:t>
            </w:r>
            <w:r w:rsidR="00890F4F" w:rsidRPr="0036143B">
              <w:rPr>
                <w:rFonts w:ascii="Cambria" w:hAnsi="Cambria"/>
                <w:noProof/>
                <w:webHidden/>
                <w:sz w:val="20"/>
                <w:szCs w:val="20"/>
              </w:rPr>
              <w:tab/>
            </w:r>
            <w:r w:rsidR="00890F4F" w:rsidRPr="0036143B">
              <w:rPr>
                <w:rFonts w:ascii="Cambria" w:hAnsi="Cambria"/>
                <w:noProof/>
                <w:webHidden/>
                <w:sz w:val="20"/>
                <w:szCs w:val="20"/>
              </w:rPr>
              <w:fldChar w:fldCharType="begin"/>
            </w:r>
            <w:r w:rsidR="00890F4F" w:rsidRPr="0036143B">
              <w:rPr>
                <w:rFonts w:ascii="Cambria" w:hAnsi="Cambria"/>
                <w:noProof/>
                <w:webHidden/>
                <w:sz w:val="20"/>
                <w:szCs w:val="20"/>
              </w:rPr>
              <w:instrText xml:space="preserve"> PAGEREF _Toc54369877 \h </w:instrText>
            </w:r>
            <w:r w:rsidR="00890F4F" w:rsidRPr="0036143B">
              <w:rPr>
                <w:rFonts w:ascii="Cambria" w:hAnsi="Cambria"/>
                <w:noProof/>
                <w:webHidden/>
                <w:sz w:val="20"/>
                <w:szCs w:val="20"/>
              </w:rPr>
            </w:r>
            <w:r w:rsidR="00890F4F" w:rsidRPr="0036143B">
              <w:rPr>
                <w:rFonts w:ascii="Cambria" w:hAnsi="Cambria"/>
                <w:noProof/>
                <w:webHidden/>
                <w:sz w:val="20"/>
                <w:szCs w:val="20"/>
              </w:rPr>
              <w:fldChar w:fldCharType="separate"/>
            </w:r>
            <w:r>
              <w:rPr>
                <w:rFonts w:ascii="Cambria" w:hAnsi="Cambria"/>
                <w:noProof/>
                <w:webHidden/>
                <w:sz w:val="20"/>
                <w:szCs w:val="20"/>
              </w:rPr>
              <w:t>18</w:t>
            </w:r>
            <w:r w:rsidR="00890F4F" w:rsidRPr="0036143B">
              <w:rPr>
                <w:rFonts w:ascii="Cambria" w:hAnsi="Cambria"/>
                <w:noProof/>
                <w:webHidden/>
                <w:sz w:val="20"/>
                <w:szCs w:val="20"/>
              </w:rPr>
              <w:fldChar w:fldCharType="end"/>
            </w:r>
          </w:hyperlink>
        </w:p>
        <w:p w14:paraId="774F7748" w14:textId="4C7CB7BA" w:rsidR="00890F4F" w:rsidRPr="0036143B" w:rsidRDefault="00F4327D" w:rsidP="00890F4F">
          <w:pPr>
            <w:pStyle w:val="TOC3"/>
            <w:tabs>
              <w:tab w:val="left" w:pos="2160"/>
            </w:tabs>
            <w:jc w:val="both"/>
            <w:rPr>
              <w:rFonts w:ascii="Cambria" w:eastAsiaTheme="minorEastAsia" w:hAnsi="Cambria" w:cstheme="minorBidi"/>
              <w:noProof/>
              <w:sz w:val="20"/>
              <w:szCs w:val="20"/>
              <w:lang w:val="es-AR" w:eastAsia="es-AR"/>
            </w:rPr>
          </w:pPr>
          <w:hyperlink w:anchor="_Toc54369878" w:history="1">
            <w:r w:rsidR="00890F4F" w:rsidRPr="0036143B">
              <w:rPr>
                <w:rStyle w:val="Hyperlink"/>
                <w:rFonts w:ascii="Cambria" w:hAnsi="Cambria"/>
                <w:noProof/>
                <w:sz w:val="20"/>
                <w:szCs w:val="20"/>
              </w:rPr>
              <w:t>1.</w:t>
            </w:r>
            <w:r w:rsidR="00890F4F" w:rsidRPr="0036143B">
              <w:rPr>
                <w:rFonts w:ascii="Cambria" w:eastAsiaTheme="minorEastAsia" w:hAnsi="Cambria" w:cstheme="minorBidi"/>
                <w:noProof/>
                <w:sz w:val="20"/>
                <w:szCs w:val="20"/>
                <w:lang w:val="es-AR" w:eastAsia="es-AR"/>
              </w:rPr>
              <w:tab/>
            </w:r>
            <w:r w:rsidR="00890F4F" w:rsidRPr="0036143B">
              <w:rPr>
                <w:rStyle w:val="Hyperlink"/>
                <w:rFonts w:ascii="Cambria" w:hAnsi="Cambria"/>
                <w:noProof/>
                <w:sz w:val="20"/>
                <w:szCs w:val="20"/>
              </w:rPr>
              <w:t>Estándares generales sobre el derecho a la libertad, a la integridad personal y a la salud con respecto a personas sujetas a una medida de detención preventiva</w:t>
            </w:r>
            <w:r w:rsidR="00890F4F" w:rsidRPr="0036143B">
              <w:rPr>
                <w:rFonts w:ascii="Cambria" w:hAnsi="Cambria"/>
                <w:noProof/>
                <w:webHidden/>
                <w:sz w:val="20"/>
                <w:szCs w:val="20"/>
              </w:rPr>
              <w:tab/>
            </w:r>
            <w:r w:rsidR="00890F4F" w:rsidRPr="0036143B">
              <w:rPr>
                <w:rFonts w:ascii="Cambria" w:hAnsi="Cambria"/>
                <w:noProof/>
                <w:webHidden/>
                <w:sz w:val="20"/>
                <w:szCs w:val="20"/>
              </w:rPr>
              <w:fldChar w:fldCharType="begin"/>
            </w:r>
            <w:r w:rsidR="00890F4F" w:rsidRPr="0036143B">
              <w:rPr>
                <w:rFonts w:ascii="Cambria" w:hAnsi="Cambria"/>
                <w:noProof/>
                <w:webHidden/>
                <w:sz w:val="20"/>
                <w:szCs w:val="20"/>
              </w:rPr>
              <w:instrText xml:space="preserve"> PAGEREF _Toc54369878 \h </w:instrText>
            </w:r>
            <w:r w:rsidR="00890F4F" w:rsidRPr="0036143B">
              <w:rPr>
                <w:rFonts w:ascii="Cambria" w:hAnsi="Cambria"/>
                <w:noProof/>
                <w:webHidden/>
                <w:sz w:val="20"/>
                <w:szCs w:val="20"/>
              </w:rPr>
            </w:r>
            <w:r w:rsidR="00890F4F" w:rsidRPr="0036143B">
              <w:rPr>
                <w:rFonts w:ascii="Cambria" w:hAnsi="Cambria"/>
                <w:noProof/>
                <w:webHidden/>
                <w:sz w:val="20"/>
                <w:szCs w:val="20"/>
              </w:rPr>
              <w:fldChar w:fldCharType="separate"/>
            </w:r>
            <w:r>
              <w:rPr>
                <w:rFonts w:ascii="Cambria" w:hAnsi="Cambria"/>
                <w:noProof/>
                <w:webHidden/>
                <w:sz w:val="20"/>
                <w:szCs w:val="20"/>
              </w:rPr>
              <w:t>18</w:t>
            </w:r>
            <w:r w:rsidR="00890F4F" w:rsidRPr="0036143B">
              <w:rPr>
                <w:rFonts w:ascii="Cambria" w:hAnsi="Cambria"/>
                <w:noProof/>
                <w:webHidden/>
                <w:sz w:val="20"/>
                <w:szCs w:val="20"/>
              </w:rPr>
              <w:fldChar w:fldCharType="end"/>
            </w:r>
          </w:hyperlink>
        </w:p>
        <w:p w14:paraId="3EA00D00" w14:textId="2DC09930" w:rsidR="00890F4F" w:rsidRPr="0036143B" w:rsidRDefault="00F4327D" w:rsidP="00890F4F">
          <w:pPr>
            <w:pStyle w:val="TOC3"/>
            <w:tabs>
              <w:tab w:val="left" w:pos="2160"/>
            </w:tabs>
            <w:jc w:val="both"/>
            <w:rPr>
              <w:rFonts w:ascii="Cambria" w:eastAsiaTheme="minorEastAsia" w:hAnsi="Cambria" w:cstheme="minorBidi"/>
              <w:noProof/>
              <w:sz w:val="20"/>
              <w:szCs w:val="20"/>
              <w:lang w:val="es-AR" w:eastAsia="es-AR"/>
            </w:rPr>
          </w:pPr>
          <w:hyperlink w:anchor="_Toc54369879" w:history="1">
            <w:r w:rsidR="00890F4F" w:rsidRPr="0036143B">
              <w:rPr>
                <w:rStyle w:val="Hyperlink"/>
                <w:rFonts w:ascii="Cambria" w:hAnsi="Cambria"/>
                <w:noProof/>
                <w:sz w:val="20"/>
                <w:szCs w:val="20"/>
              </w:rPr>
              <w:t>2.</w:t>
            </w:r>
            <w:r w:rsidR="00890F4F" w:rsidRPr="0036143B">
              <w:rPr>
                <w:rFonts w:ascii="Cambria" w:eastAsiaTheme="minorEastAsia" w:hAnsi="Cambria" w:cstheme="minorBidi"/>
                <w:noProof/>
                <w:sz w:val="20"/>
                <w:szCs w:val="20"/>
                <w:lang w:val="es-AR" w:eastAsia="es-AR"/>
              </w:rPr>
              <w:tab/>
            </w:r>
            <w:r w:rsidR="00890F4F" w:rsidRPr="0036143B">
              <w:rPr>
                <w:rStyle w:val="Hyperlink"/>
                <w:rFonts w:ascii="Cambria" w:hAnsi="Cambria"/>
                <w:noProof/>
                <w:sz w:val="20"/>
                <w:szCs w:val="20"/>
              </w:rPr>
              <w:t>Análisis del caso</w:t>
            </w:r>
            <w:r w:rsidR="00890F4F" w:rsidRPr="0036143B">
              <w:rPr>
                <w:rFonts w:ascii="Cambria" w:hAnsi="Cambria"/>
                <w:noProof/>
                <w:webHidden/>
                <w:sz w:val="20"/>
                <w:szCs w:val="20"/>
              </w:rPr>
              <w:tab/>
            </w:r>
            <w:r w:rsidR="00890F4F" w:rsidRPr="0036143B">
              <w:rPr>
                <w:rFonts w:ascii="Cambria" w:hAnsi="Cambria"/>
                <w:noProof/>
                <w:webHidden/>
                <w:sz w:val="20"/>
                <w:szCs w:val="20"/>
              </w:rPr>
              <w:fldChar w:fldCharType="begin"/>
            </w:r>
            <w:r w:rsidR="00890F4F" w:rsidRPr="0036143B">
              <w:rPr>
                <w:rFonts w:ascii="Cambria" w:hAnsi="Cambria"/>
                <w:noProof/>
                <w:webHidden/>
                <w:sz w:val="20"/>
                <w:szCs w:val="20"/>
              </w:rPr>
              <w:instrText xml:space="preserve"> PAGEREF _Toc54369879 \h </w:instrText>
            </w:r>
            <w:r w:rsidR="00890F4F" w:rsidRPr="0036143B">
              <w:rPr>
                <w:rFonts w:ascii="Cambria" w:hAnsi="Cambria"/>
                <w:noProof/>
                <w:webHidden/>
                <w:sz w:val="20"/>
                <w:szCs w:val="20"/>
              </w:rPr>
            </w:r>
            <w:r w:rsidR="00890F4F" w:rsidRPr="0036143B">
              <w:rPr>
                <w:rFonts w:ascii="Cambria" w:hAnsi="Cambria"/>
                <w:noProof/>
                <w:webHidden/>
                <w:sz w:val="20"/>
                <w:szCs w:val="20"/>
              </w:rPr>
              <w:fldChar w:fldCharType="separate"/>
            </w:r>
            <w:r>
              <w:rPr>
                <w:rFonts w:ascii="Cambria" w:hAnsi="Cambria"/>
                <w:noProof/>
                <w:webHidden/>
                <w:sz w:val="20"/>
                <w:szCs w:val="20"/>
              </w:rPr>
              <w:t>20</w:t>
            </w:r>
            <w:r w:rsidR="00890F4F" w:rsidRPr="0036143B">
              <w:rPr>
                <w:rFonts w:ascii="Cambria" w:hAnsi="Cambria"/>
                <w:noProof/>
                <w:webHidden/>
                <w:sz w:val="20"/>
                <w:szCs w:val="20"/>
              </w:rPr>
              <w:fldChar w:fldCharType="end"/>
            </w:r>
          </w:hyperlink>
        </w:p>
        <w:p w14:paraId="1D1F9EFB" w14:textId="2FD26E18" w:rsidR="00890F4F" w:rsidRPr="0036143B" w:rsidRDefault="00F4327D" w:rsidP="00890F4F">
          <w:pPr>
            <w:pStyle w:val="TOC2"/>
            <w:jc w:val="both"/>
            <w:rPr>
              <w:rFonts w:ascii="Cambria" w:eastAsiaTheme="minorEastAsia" w:hAnsi="Cambria" w:cstheme="minorBidi"/>
              <w:noProof/>
              <w:sz w:val="20"/>
              <w:szCs w:val="20"/>
              <w:lang w:val="es-AR" w:eastAsia="es-AR"/>
            </w:rPr>
          </w:pPr>
          <w:hyperlink w:anchor="_Toc54369880" w:history="1">
            <w:r w:rsidR="00890F4F" w:rsidRPr="0036143B">
              <w:rPr>
                <w:rStyle w:val="Hyperlink"/>
                <w:rFonts w:ascii="Cambria" w:hAnsi="Cambria"/>
                <w:noProof/>
                <w:sz w:val="20"/>
                <w:szCs w:val="20"/>
              </w:rPr>
              <w:t>D.</w:t>
            </w:r>
            <w:r w:rsidR="00890F4F" w:rsidRPr="0036143B">
              <w:rPr>
                <w:rFonts w:ascii="Cambria" w:eastAsiaTheme="minorEastAsia" w:hAnsi="Cambria" w:cstheme="minorBidi"/>
                <w:noProof/>
                <w:sz w:val="20"/>
                <w:szCs w:val="20"/>
                <w:lang w:val="es-AR" w:eastAsia="es-AR"/>
              </w:rPr>
              <w:tab/>
            </w:r>
            <w:r w:rsidR="00890F4F" w:rsidRPr="0036143B">
              <w:rPr>
                <w:rStyle w:val="Hyperlink"/>
                <w:rFonts w:ascii="Cambria" w:hAnsi="Cambria"/>
                <w:noProof/>
                <w:sz w:val="20"/>
                <w:szCs w:val="20"/>
              </w:rPr>
              <w:t>Derecho a ser odio por un juez imparcial (art 8.1 de la Convención Americana de Derechos Humanos en relación con su artículo 1.1)</w:t>
            </w:r>
            <w:r w:rsidR="00890F4F" w:rsidRPr="0036143B">
              <w:rPr>
                <w:rFonts w:ascii="Cambria" w:hAnsi="Cambria"/>
                <w:noProof/>
                <w:webHidden/>
                <w:sz w:val="20"/>
                <w:szCs w:val="20"/>
              </w:rPr>
              <w:tab/>
            </w:r>
            <w:r w:rsidR="00890F4F" w:rsidRPr="0036143B">
              <w:rPr>
                <w:rFonts w:ascii="Cambria" w:hAnsi="Cambria"/>
                <w:noProof/>
                <w:webHidden/>
                <w:sz w:val="20"/>
                <w:szCs w:val="20"/>
              </w:rPr>
              <w:fldChar w:fldCharType="begin"/>
            </w:r>
            <w:r w:rsidR="00890F4F" w:rsidRPr="0036143B">
              <w:rPr>
                <w:rFonts w:ascii="Cambria" w:hAnsi="Cambria"/>
                <w:noProof/>
                <w:webHidden/>
                <w:sz w:val="20"/>
                <w:szCs w:val="20"/>
              </w:rPr>
              <w:instrText xml:space="preserve"> PAGEREF _Toc54369880 \h </w:instrText>
            </w:r>
            <w:r w:rsidR="00890F4F" w:rsidRPr="0036143B">
              <w:rPr>
                <w:rFonts w:ascii="Cambria" w:hAnsi="Cambria"/>
                <w:noProof/>
                <w:webHidden/>
                <w:sz w:val="20"/>
                <w:szCs w:val="20"/>
              </w:rPr>
            </w:r>
            <w:r w:rsidR="00890F4F" w:rsidRPr="0036143B">
              <w:rPr>
                <w:rFonts w:ascii="Cambria" w:hAnsi="Cambria"/>
                <w:noProof/>
                <w:webHidden/>
                <w:sz w:val="20"/>
                <w:szCs w:val="20"/>
              </w:rPr>
              <w:fldChar w:fldCharType="separate"/>
            </w:r>
            <w:r>
              <w:rPr>
                <w:rFonts w:ascii="Cambria" w:hAnsi="Cambria"/>
                <w:noProof/>
                <w:webHidden/>
                <w:sz w:val="20"/>
                <w:szCs w:val="20"/>
              </w:rPr>
              <w:t>21</w:t>
            </w:r>
            <w:r w:rsidR="00890F4F" w:rsidRPr="0036143B">
              <w:rPr>
                <w:rFonts w:ascii="Cambria" w:hAnsi="Cambria"/>
                <w:noProof/>
                <w:webHidden/>
                <w:sz w:val="20"/>
                <w:szCs w:val="20"/>
              </w:rPr>
              <w:fldChar w:fldCharType="end"/>
            </w:r>
          </w:hyperlink>
        </w:p>
        <w:p w14:paraId="6122BED3" w14:textId="59AFB08B" w:rsidR="00890F4F" w:rsidRPr="0036143B" w:rsidRDefault="00F4327D" w:rsidP="00890F4F">
          <w:pPr>
            <w:pStyle w:val="TOC3"/>
            <w:tabs>
              <w:tab w:val="left" w:pos="2160"/>
            </w:tabs>
            <w:jc w:val="both"/>
            <w:rPr>
              <w:rFonts w:ascii="Cambria" w:eastAsiaTheme="minorEastAsia" w:hAnsi="Cambria" w:cstheme="minorBidi"/>
              <w:noProof/>
              <w:sz w:val="20"/>
              <w:szCs w:val="20"/>
              <w:lang w:val="es-AR" w:eastAsia="es-AR"/>
            </w:rPr>
          </w:pPr>
          <w:hyperlink w:anchor="_Toc54369881" w:history="1">
            <w:r w:rsidR="00890F4F" w:rsidRPr="0036143B">
              <w:rPr>
                <w:rStyle w:val="Hyperlink"/>
                <w:rFonts w:ascii="Cambria" w:hAnsi="Cambria"/>
                <w:noProof/>
                <w:sz w:val="20"/>
                <w:szCs w:val="20"/>
              </w:rPr>
              <w:t>1.</w:t>
            </w:r>
            <w:r w:rsidR="00890F4F" w:rsidRPr="0036143B">
              <w:rPr>
                <w:rFonts w:ascii="Cambria" w:eastAsiaTheme="minorEastAsia" w:hAnsi="Cambria" w:cstheme="minorBidi"/>
                <w:noProof/>
                <w:sz w:val="20"/>
                <w:szCs w:val="20"/>
                <w:lang w:val="es-AR" w:eastAsia="es-AR"/>
              </w:rPr>
              <w:tab/>
            </w:r>
            <w:r w:rsidR="00890F4F" w:rsidRPr="0036143B">
              <w:rPr>
                <w:rStyle w:val="Hyperlink"/>
                <w:rFonts w:ascii="Cambria" w:hAnsi="Cambria"/>
                <w:noProof/>
                <w:sz w:val="20"/>
                <w:szCs w:val="20"/>
              </w:rPr>
              <w:t>Consideraciones generales sobre el derecho a ser oído por un juez o tribunal imparcial</w:t>
            </w:r>
            <w:r w:rsidR="00890F4F" w:rsidRPr="0036143B">
              <w:rPr>
                <w:rFonts w:ascii="Cambria" w:hAnsi="Cambria"/>
                <w:noProof/>
                <w:webHidden/>
                <w:sz w:val="20"/>
                <w:szCs w:val="20"/>
              </w:rPr>
              <w:tab/>
            </w:r>
            <w:r w:rsidR="00890F4F" w:rsidRPr="0036143B">
              <w:rPr>
                <w:rFonts w:ascii="Cambria" w:hAnsi="Cambria"/>
                <w:noProof/>
                <w:webHidden/>
                <w:sz w:val="20"/>
                <w:szCs w:val="20"/>
              </w:rPr>
              <w:fldChar w:fldCharType="begin"/>
            </w:r>
            <w:r w:rsidR="00890F4F" w:rsidRPr="0036143B">
              <w:rPr>
                <w:rFonts w:ascii="Cambria" w:hAnsi="Cambria"/>
                <w:noProof/>
                <w:webHidden/>
                <w:sz w:val="20"/>
                <w:szCs w:val="20"/>
              </w:rPr>
              <w:instrText xml:space="preserve"> PAGEREF _Toc54369881 \h </w:instrText>
            </w:r>
            <w:r w:rsidR="00890F4F" w:rsidRPr="0036143B">
              <w:rPr>
                <w:rFonts w:ascii="Cambria" w:hAnsi="Cambria"/>
                <w:noProof/>
                <w:webHidden/>
                <w:sz w:val="20"/>
                <w:szCs w:val="20"/>
              </w:rPr>
            </w:r>
            <w:r w:rsidR="00890F4F" w:rsidRPr="0036143B">
              <w:rPr>
                <w:rFonts w:ascii="Cambria" w:hAnsi="Cambria"/>
                <w:noProof/>
                <w:webHidden/>
                <w:sz w:val="20"/>
                <w:szCs w:val="20"/>
              </w:rPr>
              <w:fldChar w:fldCharType="separate"/>
            </w:r>
            <w:r>
              <w:rPr>
                <w:rFonts w:ascii="Cambria" w:hAnsi="Cambria"/>
                <w:noProof/>
                <w:webHidden/>
                <w:sz w:val="20"/>
                <w:szCs w:val="20"/>
              </w:rPr>
              <w:t>21</w:t>
            </w:r>
            <w:r w:rsidR="00890F4F" w:rsidRPr="0036143B">
              <w:rPr>
                <w:rFonts w:ascii="Cambria" w:hAnsi="Cambria"/>
                <w:noProof/>
                <w:webHidden/>
                <w:sz w:val="20"/>
                <w:szCs w:val="20"/>
              </w:rPr>
              <w:fldChar w:fldCharType="end"/>
            </w:r>
          </w:hyperlink>
        </w:p>
        <w:p w14:paraId="0CFF94F9" w14:textId="68586066" w:rsidR="00890F4F" w:rsidRPr="0036143B" w:rsidRDefault="00F4327D" w:rsidP="00890F4F">
          <w:pPr>
            <w:pStyle w:val="TOC3"/>
            <w:tabs>
              <w:tab w:val="left" w:pos="2160"/>
            </w:tabs>
            <w:jc w:val="both"/>
            <w:rPr>
              <w:rFonts w:ascii="Cambria" w:eastAsiaTheme="minorEastAsia" w:hAnsi="Cambria" w:cstheme="minorBidi"/>
              <w:noProof/>
              <w:sz w:val="20"/>
              <w:szCs w:val="20"/>
              <w:lang w:val="es-AR" w:eastAsia="es-AR"/>
            </w:rPr>
          </w:pPr>
          <w:hyperlink w:anchor="_Toc54369882" w:history="1">
            <w:r w:rsidR="00890F4F" w:rsidRPr="0036143B">
              <w:rPr>
                <w:rStyle w:val="Hyperlink"/>
                <w:rFonts w:ascii="Cambria" w:hAnsi="Cambria"/>
                <w:noProof/>
                <w:sz w:val="20"/>
                <w:szCs w:val="20"/>
              </w:rPr>
              <w:t>2.</w:t>
            </w:r>
            <w:r w:rsidR="00890F4F" w:rsidRPr="0036143B">
              <w:rPr>
                <w:rFonts w:ascii="Cambria" w:eastAsiaTheme="minorEastAsia" w:hAnsi="Cambria" w:cstheme="minorBidi"/>
                <w:noProof/>
                <w:sz w:val="20"/>
                <w:szCs w:val="20"/>
                <w:lang w:val="es-AR" w:eastAsia="es-AR"/>
              </w:rPr>
              <w:tab/>
            </w:r>
            <w:r w:rsidR="00890F4F" w:rsidRPr="0036143B">
              <w:rPr>
                <w:rStyle w:val="Hyperlink"/>
                <w:rFonts w:ascii="Cambria" w:hAnsi="Cambria"/>
                <w:noProof/>
                <w:sz w:val="20"/>
                <w:szCs w:val="20"/>
              </w:rPr>
              <w:t>Análisis del caso</w:t>
            </w:r>
            <w:r w:rsidR="00890F4F" w:rsidRPr="0036143B">
              <w:rPr>
                <w:rFonts w:ascii="Cambria" w:hAnsi="Cambria"/>
                <w:noProof/>
                <w:webHidden/>
                <w:sz w:val="20"/>
                <w:szCs w:val="20"/>
              </w:rPr>
              <w:tab/>
            </w:r>
            <w:r w:rsidR="00890F4F" w:rsidRPr="0036143B">
              <w:rPr>
                <w:rFonts w:ascii="Cambria" w:hAnsi="Cambria"/>
                <w:noProof/>
                <w:webHidden/>
                <w:sz w:val="20"/>
                <w:szCs w:val="20"/>
              </w:rPr>
              <w:fldChar w:fldCharType="begin"/>
            </w:r>
            <w:r w:rsidR="00890F4F" w:rsidRPr="0036143B">
              <w:rPr>
                <w:rFonts w:ascii="Cambria" w:hAnsi="Cambria"/>
                <w:noProof/>
                <w:webHidden/>
                <w:sz w:val="20"/>
                <w:szCs w:val="20"/>
              </w:rPr>
              <w:instrText xml:space="preserve"> PAGEREF _Toc54369882 \h </w:instrText>
            </w:r>
            <w:r w:rsidR="00890F4F" w:rsidRPr="0036143B">
              <w:rPr>
                <w:rFonts w:ascii="Cambria" w:hAnsi="Cambria"/>
                <w:noProof/>
                <w:webHidden/>
                <w:sz w:val="20"/>
                <w:szCs w:val="20"/>
              </w:rPr>
            </w:r>
            <w:r w:rsidR="00890F4F" w:rsidRPr="0036143B">
              <w:rPr>
                <w:rFonts w:ascii="Cambria" w:hAnsi="Cambria"/>
                <w:noProof/>
                <w:webHidden/>
                <w:sz w:val="20"/>
                <w:szCs w:val="20"/>
              </w:rPr>
              <w:fldChar w:fldCharType="separate"/>
            </w:r>
            <w:r>
              <w:rPr>
                <w:rFonts w:ascii="Cambria" w:hAnsi="Cambria"/>
                <w:noProof/>
                <w:webHidden/>
                <w:sz w:val="20"/>
                <w:szCs w:val="20"/>
              </w:rPr>
              <w:t>22</w:t>
            </w:r>
            <w:r w:rsidR="00890F4F" w:rsidRPr="0036143B">
              <w:rPr>
                <w:rFonts w:ascii="Cambria" w:hAnsi="Cambria"/>
                <w:noProof/>
                <w:webHidden/>
                <w:sz w:val="20"/>
                <w:szCs w:val="20"/>
              </w:rPr>
              <w:fldChar w:fldCharType="end"/>
            </w:r>
          </w:hyperlink>
        </w:p>
        <w:p w14:paraId="4402D2A6" w14:textId="7345BCD8" w:rsidR="00890F4F" w:rsidRPr="0036143B" w:rsidRDefault="00F4327D" w:rsidP="00890F4F">
          <w:pPr>
            <w:pStyle w:val="TOC2"/>
            <w:jc w:val="both"/>
            <w:rPr>
              <w:rFonts w:ascii="Cambria" w:eastAsiaTheme="minorEastAsia" w:hAnsi="Cambria" w:cstheme="minorBidi"/>
              <w:noProof/>
              <w:sz w:val="20"/>
              <w:szCs w:val="20"/>
              <w:lang w:val="es-AR" w:eastAsia="es-AR"/>
            </w:rPr>
          </w:pPr>
          <w:hyperlink w:anchor="_Toc54369883" w:history="1">
            <w:r w:rsidR="00890F4F" w:rsidRPr="0036143B">
              <w:rPr>
                <w:rStyle w:val="Hyperlink"/>
                <w:rFonts w:ascii="Cambria" w:hAnsi="Cambria"/>
                <w:noProof/>
                <w:sz w:val="20"/>
                <w:szCs w:val="20"/>
              </w:rPr>
              <w:t>E.</w:t>
            </w:r>
            <w:r w:rsidR="00890F4F" w:rsidRPr="0036143B">
              <w:rPr>
                <w:rFonts w:ascii="Cambria" w:eastAsiaTheme="minorEastAsia" w:hAnsi="Cambria" w:cstheme="minorBidi"/>
                <w:noProof/>
                <w:sz w:val="20"/>
                <w:szCs w:val="20"/>
                <w:lang w:val="es-AR" w:eastAsia="es-AR"/>
              </w:rPr>
              <w:tab/>
            </w:r>
            <w:r w:rsidR="00890F4F" w:rsidRPr="0036143B">
              <w:rPr>
                <w:rStyle w:val="Hyperlink"/>
                <w:rFonts w:ascii="Cambria" w:hAnsi="Cambria"/>
                <w:noProof/>
                <w:sz w:val="20"/>
                <w:szCs w:val="20"/>
              </w:rPr>
              <w:t>Derecho a recurrir el fallo ante juez o tribunal superior (art 8.2.h de la Convención Americana de Derechos Humanos en relación con sus artículos 1.1 y 2)</w:t>
            </w:r>
            <w:r w:rsidR="00890F4F" w:rsidRPr="0036143B">
              <w:rPr>
                <w:rFonts w:ascii="Cambria" w:hAnsi="Cambria"/>
                <w:noProof/>
                <w:webHidden/>
                <w:sz w:val="20"/>
                <w:szCs w:val="20"/>
              </w:rPr>
              <w:tab/>
            </w:r>
            <w:r w:rsidR="00890F4F" w:rsidRPr="0036143B">
              <w:rPr>
                <w:rFonts w:ascii="Cambria" w:hAnsi="Cambria"/>
                <w:noProof/>
                <w:webHidden/>
                <w:sz w:val="20"/>
                <w:szCs w:val="20"/>
              </w:rPr>
              <w:fldChar w:fldCharType="begin"/>
            </w:r>
            <w:r w:rsidR="00890F4F" w:rsidRPr="0036143B">
              <w:rPr>
                <w:rFonts w:ascii="Cambria" w:hAnsi="Cambria"/>
                <w:noProof/>
                <w:webHidden/>
                <w:sz w:val="20"/>
                <w:szCs w:val="20"/>
              </w:rPr>
              <w:instrText xml:space="preserve"> PAGEREF _Toc54369883 \h </w:instrText>
            </w:r>
            <w:r w:rsidR="00890F4F" w:rsidRPr="0036143B">
              <w:rPr>
                <w:rFonts w:ascii="Cambria" w:hAnsi="Cambria"/>
                <w:noProof/>
                <w:webHidden/>
                <w:sz w:val="20"/>
                <w:szCs w:val="20"/>
              </w:rPr>
            </w:r>
            <w:r w:rsidR="00890F4F" w:rsidRPr="0036143B">
              <w:rPr>
                <w:rFonts w:ascii="Cambria" w:hAnsi="Cambria"/>
                <w:noProof/>
                <w:webHidden/>
                <w:sz w:val="20"/>
                <w:szCs w:val="20"/>
              </w:rPr>
              <w:fldChar w:fldCharType="separate"/>
            </w:r>
            <w:r>
              <w:rPr>
                <w:rFonts w:ascii="Cambria" w:hAnsi="Cambria"/>
                <w:noProof/>
                <w:webHidden/>
                <w:sz w:val="20"/>
                <w:szCs w:val="20"/>
              </w:rPr>
              <w:t>24</w:t>
            </w:r>
            <w:r w:rsidR="00890F4F" w:rsidRPr="0036143B">
              <w:rPr>
                <w:rFonts w:ascii="Cambria" w:hAnsi="Cambria"/>
                <w:noProof/>
                <w:webHidden/>
                <w:sz w:val="20"/>
                <w:szCs w:val="20"/>
              </w:rPr>
              <w:fldChar w:fldCharType="end"/>
            </w:r>
          </w:hyperlink>
        </w:p>
        <w:p w14:paraId="3B57FB01" w14:textId="77114670" w:rsidR="00890F4F" w:rsidRPr="0036143B" w:rsidRDefault="00F4327D" w:rsidP="00890F4F">
          <w:pPr>
            <w:pStyle w:val="TOC3"/>
            <w:tabs>
              <w:tab w:val="left" w:pos="2160"/>
            </w:tabs>
            <w:jc w:val="both"/>
            <w:rPr>
              <w:rFonts w:ascii="Cambria" w:eastAsiaTheme="minorEastAsia" w:hAnsi="Cambria" w:cstheme="minorBidi"/>
              <w:noProof/>
              <w:sz w:val="20"/>
              <w:szCs w:val="20"/>
              <w:lang w:val="es-AR" w:eastAsia="es-AR"/>
            </w:rPr>
          </w:pPr>
          <w:hyperlink w:anchor="_Toc54369884" w:history="1">
            <w:r w:rsidR="00890F4F" w:rsidRPr="0036143B">
              <w:rPr>
                <w:rStyle w:val="Hyperlink"/>
                <w:rFonts w:ascii="Cambria" w:hAnsi="Cambria"/>
                <w:noProof/>
                <w:sz w:val="20"/>
                <w:szCs w:val="20"/>
              </w:rPr>
              <w:t>1.</w:t>
            </w:r>
            <w:r w:rsidR="00890F4F" w:rsidRPr="0036143B">
              <w:rPr>
                <w:rFonts w:ascii="Cambria" w:eastAsiaTheme="minorEastAsia" w:hAnsi="Cambria" w:cstheme="minorBidi"/>
                <w:noProof/>
                <w:sz w:val="20"/>
                <w:szCs w:val="20"/>
                <w:lang w:val="es-AR" w:eastAsia="es-AR"/>
              </w:rPr>
              <w:tab/>
            </w:r>
            <w:r w:rsidR="00890F4F" w:rsidRPr="0036143B">
              <w:rPr>
                <w:rStyle w:val="Hyperlink"/>
                <w:rFonts w:ascii="Cambria" w:hAnsi="Cambria"/>
                <w:noProof/>
                <w:sz w:val="20"/>
                <w:szCs w:val="20"/>
              </w:rPr>
              <w:t>Consideraciones generales</w:t>
            </w:r>
            <w:r w:rsidR="00890F4F" w:rsidRPr="0036143B">
              <w:rPr>
                <w:rFonts w:ascii="Cambria" w:hAnsi="Cambria"/>
                <w:noProof/>
                <w:webHidden/>
                <w:sz w:val="20"/>
                <w:szCs w:val="20"/>
              </w:rPr>
              <w:tab/>
            </w:r>
            <w:r w:rsidR="00890F4F" w:rsidRPr="0036143B">
              <w:rPr>
                <w:rFonts w:ascii="Cambria" w:hAnsi="Cambria"/>
                <w:noProof/>
                <w:webHidden/>
                <w:sz w:val="20"/>
                <w:szCs w:val="20"/>
              </w:rPr>
              <w:fldChar w:fldCharType="begin"/>
            </w:r>
            <w:r w:rsidR="00890F4F" w:rsidRPr="0036143B">
              <w:rPr>
                <w:rFonts w:ascii="Cambria" w:hAnsi="Cambria"/>
                <w:noProof/>
                <w:webHidden/>
                <w:sz w:val="20"/>
                <w:szCs w:val="20"/>
              </w:rPr>
              <w:instrText xml:space="preserve"> PAGEREF _Toc54369884 \h </w:instrText>
            </w:r>
            <w:r w:rsidR="00890F4F" w:rsidRPr="0036143B">
              <w:rPr>
                <w:rFonts w:ascii="Cambria" w:hAnsi="Cambria"/>
                <w:noProof/>
                <w:webHidden/>
                <w:sz w:val="20"/>
                <w:szCs w:val="20"/>
              </w:rPr>
            </w:r>
            <w:r w:rsidR="00890F4F" w:rsidRPr="0036143B">
              <w:rPr>
                <w:rFonts w:ascii="Cambria" w:hAnsi="Cambria"/>
                <w:noProof/>
                <w:webHidden/>
                <w:sz w:val="20"/>
                <w:szCs w:val="20"/>
              </w:rPr>
              <w:fldChar w:fldCharType="separate"/>
            </w:r>
            <w:r>
              <w:rPr>
                <w:rFonts w:ascii="Cambria" w:hAnsi="Cambria"/>
                <w:noProof/>
                <w:webHidden/>
                <w:sz w:val="20"/>
                <w:szCs w:val="20"/>
              </w:rPr>
              <w:t>24</w:t>
            </w:r>
            <w:r w:rsidR="00890F4F" w:rsidRPr="0036143B">
              <w:rPr>
                <w:rFonts w:ascii="Cambria" w:hAnsi="Cambria"/>
                <w:noProof/>
                <w:webHidden/>
                <w:sz w:val="20"/>
                <w:szCs w:val="20"/>
              </w:rPr>
              <w:fldChar w:fldCharType="end"/>
            </w:r>
          </w:hyperlink>
        </w:p>
        <w:p w14:paraId="394520E4" w14:textId="590B2DD8" w:rsidR="00890F4F" w:rsidRPr="0036143B" w:rsidRDefault="00F4327D" w:rsidP="00890F4F">
          <w:pPr>
            <w:pStyle w:val="TOC3"/>
            <w:tabs>
              <w:tab w:val="left" w:pos="2160"/>
            </w:tabs>
            <w:jc w:val="both"/>
            <w:rPr>
              <w:rFonts w:ascii="Cambria" w:eastAsiaTheme="minorEastAsia" w:hAnsi="Cambria" w:cstheme="minorBidi"/>
              <w:noProof/>
              <w:sz w:val="20"/>
              <w:szCs w:val="20"/>
              <w:lang w:val="es-AR" w:eastAsia="es-AR"/>
            </w:rPr>
          </w:pPr>
          <w:hyperlink w:anchor="_Toc54369885" w:history="1">
            <w:r w:rsidR="00890F4F" w:rsidRPr="0036143B">
              <w:rPr>
                <w:rStyle w:val="Hyperlink"/>
                <w:rFonts w:ascii="Cambria" w:hAnsi="Cambria"/>
                <w:noProof/>
                <w:sz w:val="20"/>
                <w:szCs w:val="20"/>
              </w:rPr>
              <w:t>2.</w:t>
            </w:r>
            <w:r w:rsidR="00890F4F" w:rsidRPr="0036143B">
              <w:rPr>
                <w:rFonts w:ascii="Cambria" w:eastAsiaTheme="minorEastAsia" w:hAnsi="Cambria" w:cstheme="minorBidi"/>
                <w:noProof/>
                <w:sz w:val="20"/>
                <w:szCs w:val="20"/>
                <w:lang w:val="es-AR" w:eastAsia="es-AR"/>
              </w:rPr>
              <w:tab/>
            </w:r>
            <w:r w:rsidR="00890F4F" w:rsidRPr="0036143B">
              <w:rPr>
                <w:rStyle w:val="Hyperlink"/>
                <w:rFonts w:ascii="Cambria" w:hAnsi="Cambria"/>
                <w:noProof/>
                <w:sz w:val="20"/>
                <w:szCs w:val="20"/>
              </w:rPr>
              <w:t>Análisis del régimen recursivo penal costarricense aplicable al caso a la luz de los estándares fijados por los órganos del Sistema Interamericano de Derechos Humanos</w:t>
            </w:r>
            <w:r w:rsidR="00890F4F" w:rsidRPr="0036143B">
              <w:rPr>
                <w:rFonts w:ascii="Cambria" w:hAnsi="Cambria"/>
                <w:noProof/>
                <w:webHidden/>
                <w:sz w:val="20"/>
                <w:szCs w:val="20"/>
              </w:rPr>
              <w:tab/>
            </w:r>
            <w:r w:rsidR="00890F4F" w:rsidRPr="0036143B">
              <w:rPr>
                <w:rFonts w:ascii="Cambria" w:hAnsi="Cambria"/>
                <w:noProof/>
                <w:webHidden/>
                <w:sz w:val="20"/>
                <w:szCs w:val="20"/>
              </w:rPr>
              <w:fldChar w:fldCharType="begin"/>
            </w:r>
            <w:r w:rsidR="00890F4F" w:rsidRPr="0036143B">
              <w:rPr>
                <w:rFonts w:ascii="Cambria" w:hAnsi="Cambria"/>
                <w:noProof/>
                <w:webHidden/>
                <w:sz w:val="20"/>
                <w:szCs w:val="20"/>
              </w:rPr>
              <w:instrText xml:space="preserve"> PAGEREF _Toc54369885 \h </w:instrText>
            </w:r>
            <w:r w:rsidR="00890F4F" w:rsidRPr="0036143B">
              <w:rPr>
                <w:rFonts w:ascii="Cambria" w:hAnsi="Cambria"/>
                <w:noProof/>
                <w:webHidden/>
                <w:sz w:val="20"/>
                <w:szCs w:val="20"/>
              </w:rPr>
            </w:r>
            <w:r w:rsidR="00890F4F" w:rsidRPr="0036143B">
              <w:rPr>
                <w:rFonts w:ascii="Cambria" w:hAnsi="Cambria"/>
                <w:noProof/>
                <w:webHidden/>
                <w:sz w:val="20"/>
                <w:szCs w:val="20"/>
              </w:rPr>
              <w:fldChar w:fldCharType="separate"/>
            </w:r>
            <w:r>
              <w:rPr>
                <w:rFonts w:ascii="Cambria" w:hAnsi="Cambria"/>
                <w:noProof/>
                <w:webHidden/>
                <w:sz w:val="20"/>
                <w:szCs w:val="20"/>
              </w:rPr>
              <w:t>27</w:t>
            </w:r>
            <w:r w:rsidR="00890F4F" w:rsidRPr="0036143B">
              <w:rPr>
                <w:rFonts w:ascii="Cambria" w:hAnsi="Cambria"/>
                <w:noProof/>
                <w:webHidden/>
                <w:sz w:val="20"/>
                <w:szCs w:val="20"/>
              </w:rPr>
              <w:fldChar w:fldCharType="end"/>
            </w:r>
          </w:hyperlink>
        </w:p>
        <w:p w14:paraId="2C0BA844" w14:textId="71F725C7" w:rsidR="00890F4F" w:rsidRPr="0036143B" w:rsidRDefault="00F4327D" w:rsidP="00890F4F">
          <w:pPr>
            <w:pStyle w:val="TOC3"/>
            <w:tabs>
              <w:tab w:val="left" w:pos="2160"/>
            </w:tabs>
            <w:jc w:val="both"/>
            <w:rPr>
              <w:rFonts w:ascii="Cambria" w:eastAsiaTheme="minorEastAsia" w:hAnsi="Cambria" w:cstheme="minorBidi"/>
              <w:noProof/>
              <w:sz w:val="20"/>
              <w:szCs w:val="20"/>
              <w:lang w:val="es-AR" w:eastAsia="es-AR"/>
            </w:rPr>
          </w:pPr>
          <w:hyperlink w:anchor="_Toc54369886" w:history="1">
            <w:r w:rsidR="00890F4F" w:rsidRPr="0036143B">
              <w:rPr>
                <w:rStyle w:val="Hyperlink"/>
                <w:rFonts w:ascii="Cambria" w:hAnsi="Cambria"/>
                <w:noProof/>
                <w:sz w:val="20"/>
                <w:szCs w:val="20"/>
              </w:rPr>
              <w:t>3.</w:t>
            </w:r>
            <w:r w:rsidR="00890F4F" w:rsidRPr="0036143B">
              <w:rPr>
                <w:rFonts w:ascii="Cambria" w:eastAsiaTheme="minorEastAsia" w:hAnsi="Cambria" w:cstheme="minorBidi"/>
                <w:noProof/>
                <w:sz w:val="20"/>
                <w:szCs w:val="20"/>
                <w:lang w:val="es-AR" w:eastAsia="es-AR"/>
              </w:rPr>
              <w:tab/>
            </w:r>
            <w:r w:rsidR="00890F4F" w:rsidRPr="0036143B">
              <w:rPr>
                <w:rStyle w:val="Hyperlink"/>
                <w:rFonts w:ascii="Cambria" w:hAnsi="Cambria"/>
                <w:noProof/>
                <w:sz w:val="20"/>
                <w:szCs w:val="20"/>
              </w:rPr>
              <w:t>Análisis del caso</w:t>
            </w:r>
            <w:r w:rsidR="00890F4F" w:rsidRPr="0036143B">
              <w:rPr>
                <w:rFonts w:ascii="Cambria" w:hAnsi="Cambria"/>
                <w:noProof/>
                <w:webHidden/>
                <w:sz w:val="20"/>
                <w:szCs w:val="20"/>
              </w:rPr>
              <w:tab/>
            </w:r>
            <w:r w:rsidR="00890F4F" w:rsidRPr="0036143B">
              <w:rPr>
                <w:rFonts w:ascii="Cambria" w:hAnsi="Cambria"/>
                <w:noProof/>
                <w:webHidden/>
                <w:sz w:val="20"/>
                <w:szCs w:val="20"/>
              </w:rPr>
              <w:fldChar w:fldCharType="begin"/>
            </w:r>
            <w:r w:rsidR="00890F4F" w:rsidRPr="0036143B">
              <w:rPr>
                <w:rFonts w:ascii="Cambria" w:hAnsi="Cambria"/>
                <w:noProof/>
                <w:webHidden/>
                <w:sz w:val="20"/>
                <w:szCs w:val="20"/>
              </w:rPr>
              <w:instrText xml:space="preserve"> PAGEREF _Toc54369886 \h </w:instrText>
            </w:r>
            <w:r w:rsidR="00890F4F" w:rsidRPr="0036143B">
              <w:rPr>
                <w:rFonts w:ascii="Cambria" w:hAnsi="Cambria"/>
                <w:noProof/>
                <w:webHidden/>
                <w:sz w:val="20"/>
                <w:szCs w:val="20"/>
              </w:rPr>
            </w:r>
            <w:r w:rsidR="00890F4F" w:rsidRPr="0036143B">
              <w:rPr>
                <w:rFonts w:ascii="Cambria" w:hAnsi="Cambria"/>
                <w:noProof/>
                <w:webHidden/>
                <w:sz w:val="20"/>
                <w:szCs w:val="20"/>
              </w:rPr>
              <w:fldChar w:fldCharType="separate"/>
            </w:r>
            <w:r>
              <w:rPr>
                <w:rFonts w:ascii="Cambria" w:hAnsi="Cambria"/>
                <w:noProof/>
                <w:webHidden/>
                <w:sz w:val="20"/>
                <w:szCs w:val="20"/>
              </w:rPr>
              <w:t>28</w:t>
            </w:r>
            <w:r w:rsidR="00890F4F" w:rsidRPr="0036143B">
              <w:rPr>
                <w:rFonts w:ascii="Cambria" w:hAnsi="Cambria"/>
                <w:noProof/>
                <w:webHidden/>
                <w:sz w:val="20"/>
                <w:szCs w:val="20"/>
              </w:rPr>
              <w:fldChar w:fldCharType="end"/>
            </w:r>
          </w:hyperlink>
        </w:p>
        <w:p w14:paraId="5642FF96" w14:textId="5E1814D6" w:rsidR="00890F4F" w:rsidRPr="0036143B" w:rsidRDefault="00F4327D" w:rsidP="00890F4F">
          <w:pPr>
            <w:pStyle w:val="TOC1"/>
            <w:rPr>
              <w:rFonts w:eastAsiaTheme="minorEastAsia" w:cstheme="minorBidi"/>
              <w:lang w:val="es-AR" w:eastAsia="es-AR"/>
            </w:rPr>
          </w:pPr>
          <w:hyperlink w:anchor="_Toc54369887" w:history="1">
            <w:r w:rsidR="00890F4F" w:rsidRPr="0036143B">
              <w:rPr>
                <w:rStyle w:val="Hyperlink"/>
                <w:b/>
              </w:rPr>
              <w:t>VI.</w:t>
            </w:r>
            <w:r w:rsidR="00890F4F" w:rsidRPr="0036143B">
              <w:rPr>
                <w:rFonts w:eastAsiaTheme="minorEastAsia" w:cstheme="minorBidi"/>
                <w:lang w:val="es-AR" w:eastAsia="es-AR"/>
              </w:rPr>
              <w:tab/>
            </w:r>
            <w:r w:rsidR="00890F4F" w:rsidRPr="0036143B">
              <w:rPr>
                <w:rStyle w:val="Hyperlink"/>
                <w:b/>
              </w:rPr>
              <w:t>CONCLUSIONES Y RECOMENDACIONES</w:t>
            </w:r>
            <w:r w:rsidR="00890F4F" w:rsidRPr="0036143B">
              <w:rPr>
                <w:webHidden/>
              </w:rPr>
              <w:tab/>
            </w:r>
            <w:r w:rsidR="00890F4F" w:rsidRPr="0036143B">
              <w:rPr>
                <w:webHidden/>
              </w:rPr>
              <w:fldChar w:fldCharType="begin"/>
            </w:r>
            <w:r w:rsidR="00890F4F" w:rsidRPr="0036143B">
              <w:rPr>
                <w:webHidden/>
              </w:rPr>
              <w:instrText xml:space="preserve"> PAGEREF _Toc54369887 \h </w:instrText>
            </w:r>
            <w:r w:rsidR="00890F4F" w:rsidRPr="0036143B">
              <w:rPr>
                <w:webHidden/>
              </w:rPr>
            </w:r>
            <w:r w:rsidR="00890F4F" w:rsidRPr="0036143B">
              <w:rPr>
                <w:webHidden/>
              </w:rPr>
              <w:fldChar w:fldCharType="separate"/>
            </w:r>
            <w:r>
              <w:rPr>
                <w:webHidden/>
              </w:rPr>
              <w:t>30</w:t>
            </w:r>
            <w:r w:rsidR="00890F4F" w:rsidRPr="0036143B">
              <w:rPr>
                <w:webHidden/>
              </w:rPr>
              <w:fldChar w:fldCharType="end"/>
            </w:r>
          </w:hyperlink>
        </w:p>
        <w:p w14:paraId="6353F0E3" w14:textId="77777777" w:rsidR="00BD5D18" w:rsidRDefault="00BD5D18" w:rsidP="00890F4F">
          <w:pPr>
            <w:jc w:val="both"/>
          </w:pPr>
          <w:r w:rsidRPr="0036143B">
            <w:rPr>
              <w:rFonts w:ascii="Cambria" w:hAnsi="Cambria"/>
              <w:b/>
              <w:bCs/>
              <w:noProof/>
              <w:sz w:val="20"/>
              <w:szCs w:val="20"/>
            </w:rPr>
            <w:fldChar w:fldCharType="end"/>
          </w:r>
        </w:p>
      </w:sdtContent>
    </w:sdt>
    <w:p w14:paraId="264D14AD" w14:textId="77777777" w:rsidR="0070697F" w:rsidRPr="00407A7B" w:rsidRDefault="0070697F" w:rsidP="001D65EF">
      <w:pPr>
        <w:tabs>
          <w:tab w:val="center" w:pos="5400"/>
        </w:tabs>
        <w:suppressAutoHyphens/>
        <w:spacing w:line="276" w:lineRule="auto"/>
        <w:rPr>
          <w:rFonts w:asciiTheme="majorHAnsi" w:hAnsiTheme="majorHAnsi"/>
          <w:sz w:val="20"/>
          <w:szCs w:val="20"/>
          <w:lang w:val="es-ES_tradnl"/>
        </w:rPr>
      </w:pPr>
    </w:p>
    <w:p w14:paraId="761EED03" w14:textId="77777777" w:rsidR="008D768D" w:rsidRPr="00407A7B" w:rsidRDefault="008D768D" w:rsidP="001D65EF">
      <w:pPr>
        <w:tabs>
          <w:tab w:val="center" w:pos="5400"/>
        </w:tabs>
        <w:suppressAutoHyphens/>
        <w:spacing w:line="276" w:lineRule="auto"/>
        <w:rPr>
          <w:rFonts w:asciiTheme="majorHAnsi" w:hAnsiTheme="majorHAnsi"/>
          <w:sz w:val="20"/>
          <w:szCs w:val="20"/>
          <w:lang w:val="es-ES_tradnl"/>
        </w:rPr>
      </w:pPr>
    </w:p>
    <w:p w14:paraId="1B7786D3" w14:textId="77777777" w:rsidR="008D768D" w:rsidRPr="00407A7B" w:rsidRDefault="008D768D" w:rsidP="001D65EF">
      <w:pPr>
        <w:tabs>
          <w:tab w:val="center" w:pos="5400"/>
        </w:tabs>
        <w:suppressAutoHyphens/>
        <w:spacing w:line="276" w:lineRule="auto"/>
        <w:rPr>
          <w:rFonts w:asciiTheme="majorHAnsi" w:hAnsiTheme="majorHAnsi"/>
          <w:sz w:val="20"/>
          <w:szCs w:val="20"/>
          <w:lang w:val="es-ES_tradnl"/>
        </w:rPr>
      </w:pPr>
    </w:p>
    <w:p w14:paraId="537C1482" w14:textId="77777777" w:rsidR="008D768D" w:rsidRPr="00407A7B" w:rsidRDefault="008D768D" w:rsidP="001D65EF">
      <w:pPr>
        <w:tabs>
          <w:tab w:val="center" w:pos="5400"/>
        </w:tabs>
        <w:suppressAutoHyphens/>
        <w:spacing w:line="276" w:lineRule="auto"/>
        <w:rPr>
          <w:rFonts w:asciiTheme="majorHAnsi" w:hAnsiTheme="majorHAnsi"/>
          <w:sz w:val="20"/>
          <w:szCs w:val="20"/>
          <w:lang w:val="es-ES_tradnl"/>
        </w:rPr>
      </w:pPr>
    </w:p>
    <w:p w14:paraId="5A2BA07B" w14:textId="77777777" w:rsidR="00722C9F" w:rsidRPr="00407A7B" w:rsidRDefault="00722C9F">
      <w:pPr>
        <w:rPr>
          <w:rFonts w:ascii="Cambria" w:hAnsi="Cambria" w:cs="Calibri"/>
          <w:sz w:val="20"/>
          <w:szCs w:val="20"/>
          <w:lang w:val="es-ES"/>
        </w:rPr>
      </w:pPr>
      <w:r w:rsidRPr="00407A7B">
        <w:rPr>
          <w:rFonts w:ascii="Cambria" w:hAnsi="Cambria" w:cs="Calibri"/>
          <w:sz w:val="20"/>
          <w:szCs w:val="20"/>
          <w:lang w:val="es-ES"/>
        </w:rPr>
        <w:br w:type="page"/>
      </w:r>
    </w:p>
    <w:p w14:paraId="56B8860B" w14:textId="77777777" w:rsidR="0078416C" w:rsidRPr="00407A7B" w:rsidRDefault="0078416C" w:rsidP="0020307F">
      <w:pPr>
        <w:pStyle w:val="Heading1"/>
        <w:tabs>
          <w:tab w:val="left" w:pos="567"/>
        </w:tabs>
      </w:pPr>
      <w:bookmarkStart w:id="2" w:name="_Toc54369860"/>
      <w:r w:rsidRPr="00407A7B">
        <w:lastRenderedPageBreak/>
        <w:t>INTRODUCCIÓN</w:t>
      </w:r>
      <w:bookmarkEnd w:id="2"/>
    </w:p>
    <w:p w14:paraId="7FFB3B65" w14:textId="77777777" w:rsidR="0078416C" w:rsidRPr="00407A7B" w:rsidRDefault="0078416C" w:rsidP="0078416C">
      <w:pPr>
        <w:suppressAutoHyphens/>
        <w:rPr>
          <w:rFonts w:asciiTheme="majorHAnsi" w:hAnsiTheme="majorHAnsi"/>
          <w:b/>
          <w:sz w:val="20"/>
          <w:szCs w:val="20"/>
          <w:lang w:val="es-ES_tradnl"/>
        </w:rPr>
      </w:pPr>
    </w:p>
    <w:p w14:paraId="64228501" w14:textId="77777777" w:rsidR="00187396" w:rsidRPr="00407A7B" w:rsidRDefault="00187396" w:rsidP="00A41F08">
      <w:pPr>
        <w:pStyle w:val="ListParagraph"/>
        <w:numPr>
          <w:ilvl w:val="0"/>
          <w:numId w:val="55"/>
        </w:numPr>
        <w:tabs>
          <w:tab w:val="left" w:pos="567"/>
        </w:tabs>
        <w:suppressAutoHyphens/>
        <w:ind w:left="0" w:firstLine="0"/>
        <w:jc w:val="both"/>
        <w:rPr>
          <w:rFonts w:asciiTheme="majorHAnsi" w:hAnsiTheme="majorHAnsi"/>
          <w:sz w:val="20"/>
          <w:szCs w:val="20"/>
          <w:lang w:val="es-ES_tradnl"/>
        </w:rPr>
      </w:pPr>
      <w:r w:rsidRPr="00407A7B">
        <w:rPr>
          <w:rFonts w:asciiTheme="majorHAnsi" w:hAnsiTheme="majorHAnsi"/>
          <w:sz w:val="20"/>
          <w:szCs w:val="20"/>
          <w:lang w:val="es-ES_tradnl"/>
        </w:rPr>
        <w:t>El 6 de diciembre de 2005</w:t>
      </w:r>
      <w:r w:rsidR="0078416C" w:rsidRPr="00407A7B">
        <w:rPr>
          <w:rFonts w:asciiTheme="majorHAnsi" w:hAnsiTheme="majorHAnsi"/>
          <w:sz w:val="20"/>
          <w:szCs w:val="20"/>
          <w:lang w:val="es-ES_tradnl"/>
        </w:rPr>
        <w:t xml:space="preserve"> </w:t>
      </w:r>
      <w:r w:rsidRPr="00407A7B">
        <w:rPr>
          <w:sz w:val="20"/>
          <w:szCs w:val="20"/>
          <w:lang w:val="es-ES"/>
        </w:rPr>
        <w:t>la Comisión Interamericana de Derechos Humanos (en adelante “la Comisión Interamericana”, “la Comisión” o “la CIDH”) recibió una petición presentada por el señor Thomas Scot Cochran (en adelante “la parte peticionaria”) en la cual se alegó la responsabilidad internacional de la República de Costa Rica (en adelante “el Estado costarricense”, “el Estado” o “Costa Rica”) por la violación de su</w:t>
      </w:r>
      <w:r w:rsidR="00C97493" w:rsidRPr="00407A7B">
        <w:rPr>
          <w:sz w:val="20"/>
          <w:szCs w:val="20"/>
          <w:lang w:val="es-ES"/>
        </w:rPr>
        <w:t>s</w:t>
      </w:r>
      <w:r w:rsidRPr="00407A7B">
        <w:rPr>
          <w:sz w:val="20"/>
          <w:szCs w:val="20"/>
          <w:lang w:val="es-ES"/>
        </w:rPr>
        <w:t xml:space="preserve"> derecho</w:t>
      </w:r>
      <w:r w:rsidR="00C97493" w:rsidRPr="00407A7B">
        <w:rPr>
          <w:sz w:val="20"/>
          <w:szCs w:val="20"/>
          <w:lang w:val="es-ES"/>
        </w:rPr>
        <w:t>s</w:t>
      </w:r>
      <w:r w:rsidRPr="00407A7B">
        <w:rPr>
          <w:sz w:val="20"/>
          <w:szCs w:val="20"/>
          <w:lang w:val="es-ES"/>
        </w:rPr>
        <w:t xml:space="preserve"> </w:t>
      </w:r>
      <w:r w:rsidR="00C97493" w:rsidRPr="00407A7B">
        <w:rPr>
          <w:sz w:val="20"/>
          <w:szCs w:val="20"/>
          <w:lang w:val="es-ES"/>
        </w:rPr>
        <w:t>a las garantías judiciales</w:t>
      </w:r>
      <w:r w:rsidRPr="00407A7B">
        <w:rPr>
          <w:sz w:val="20"/>
          <w:szCs w:val="20"/>
          <w:lang w:val="es-ES"/>
        </w:rPr>
        <w:t>, a la libertad personal, a la inviolabilidad del domicilio y a recurrir el fallo condenatorio dictado en su contra ante un juez o tribunal superior, consagrad</w:t>
      </w:r>
      <w:r w:rsidR="00A62BE3" w:rsidRPr="00407A7B">
        <w:rPr>
          <w:sz w:val="20"/>
          <w:szCs w:val="20"/>
          <w:lang w:val="es-ES"/>
        </w:rPr>
        <w:t>os en los artículos 8.2, 7.3, 11</w:t>
      </w:r>
      <w:r w:rsidRPr="00407A7B">
        <w:rPr>
          <w:sz w:val="20"/>
          <w:szCs w:val="20"/>
          <w:lang w:val="es-ES"/>
        </w:rPr>
        <w:t xml:space="preserve"> y 8.2.h de la Convención Americana sobre Derechos Humanos. </w:t>
      </w:r>
    </w:p>
    <w:p w14:paraId="1B55662F" w14:textId="77777777" w:rsidR="00187396" w:rsidRPr="00407A7B" w:rsidRDefault="00187396" w:rsidP="00686A63">
      <w:pPr>
        <w:pStyle w:val="ListParagraph"/>
        <w:tabs>
          <w:tab w:val="left" w:pos="567"/>
        </w:tabs>
        <w:suppressAutoHyphens/>
        <w:ind w:left="0"/>
        <w:jc w:val="both"/>
        <w:rPr>
          <w:rFonts w:asciiTheme="majorHAnsi" w:hAnsiTheme="majorHAnsi"/>
          <w:sz w:val="20"/>
          <w:szCs w:val="20"/>
          <w:lang w:val="es-ES_tradnl"/>
        </w:rPr>
      </w:pPr>
    </w:p>
    <w:p w14:paraId="363DE55A" w14:textId="77777777" w:rsidR="00187396" w:rsidRPr="00407A7B" w:rsidRDefault="00187396" w:rsidP="00A41F08">
      <w:pPr>
        <w:pStyle w:val="ListParagraph"/>
        <w:numPr>
          <w:ilvl w:val="0"/>
          <w:numId w:val="55"/>
        </w:numPr>
        <w:tabs>
          <w:tab w:val="left" w:pos="567"/>
        </w:tabs>
        <w:suppressAutoHyphens/>
        <w:ind w:left="0" w:firstLine="0"/>
        <w:jc w:val="both"/>
        <w:rPr>
          <w:rFonts w:asciiTheme="majorHAnsi" w:hAnsiTheme="majorHAnsi"/>
          <w:sz w:val="20"/>
          <w:szCs w:val="20"/>
          <w:lang w:val="es-ES_tradnl"/>
        </w:rPr>
      </w:pPr>
      <w:r w:rsidRPr="00407A7B">
        <w:rPr>
          <w:rFonts w:asciiTheme="majorHAnsi" w:hAnsiTheme="majorHAnsi"/>
          <w:sz w:val="20"/>
          <w:szCs w:val="20"/>
          <w:lang w:val="es-ES_tradnl"/>
        </w:rPr>
        <w:t xml:space="preserve">El 8 de febrero de 2018 la </w:t>
      </w:r>
      <w:r w:rsidR="0020307F" w:rsidRPr="00407A7B">
        <w:rPr>
          <w:rFonts w:asciiTheme="majorHAnsi" w:hAnsiTheme="majorHAnsi"/>
          <w:sz w:val="20"/>
          <w:szCs w:val="20"/>
          <w:lang w:val="es-ES_tradnl"/>
        </w:rPr>
        <w:t xml:space="preserve">Comisión </w:t>
      </w:r>
      <w:r w:rsidRPr="00407A7B">
        <w:rPr>
          <w:sz w:val="20"/>
          <w:szCs w:val="20"/>
          <w:lang w:val="es-ES"/>
        </w:rPr>
        <w:t>notificó a las partes la aplicación del artículo 36.3 de su Reglamento por encontrarse la petición comprendida dentro de los criterios establecidos en su Resolución 1/16 y se colocó a disposición del peticionario y del Estado en el caso de que las partes dese</w:t>
      </w:r>
      <w:r w:rsidR="00C33647" w:rsidRPr="00407A7B">
        <w:rPr>
          <w:sz w:val="20"/>
          <w:szCs w:val="20"/>
          <w:lang w:val="es-ES"/>
        </w:rPr>
        <w:t>aren</w:t>
      </w:r>
      <w:r w:rsidRPr="00407A7B">
        <w:rPr>
          <w:sz w:val="20"/>
          <w:szCs w:val="20"/>
          <w:lang w:val="es-ES"/>
        </w:rPr>
        <w:t xml:space="preserve"> iniciar un procedimiento de solución amistosa. Las partes contaron con los plazos reglamentarios para presentar sus observaciones adicionales sobre el fondo. Toda la información recibida fue debidamente trasladada entre las partes. </w:t>
      </w:r>
    </w:p>
    <w:p w14:paraId="7F948416" w14:textId="77777777" w:rsidR="00187396" w:rsidRPr="00407A7B" w:rsidRDefault="00187396" w:rsidP="0020307F">
      <w:pPr>
        <w:pStyle w:val="ListParagraph"/>
        <w:jc w:val="both"/>
        <w:rPr>
          <w:sz w:val="20"/>
          <w:szCs w:val="20"/>
          <w:lang w:val="es-ES"/>
        </w:rPr>
      </w:pPr>
    </w:p>
    <w:p w14:paraId="7F9C2A63" w14:textId="77777777" w:rsidR="00187396" w:rsidRPr="00407A7B" w:rsidRDefault="00187396" w:rsidP="0020307F">
      <w:pPr>
        <w:pStyle w:val="Heading1"/>
        <w:tabs>
          <w:tab w:val="left" w:pos="567"/>
        </w:tabs>
        <w:jc w:val="both"/>
      </w:pPr>
      <w:bookmarkStart w:id="3" w:name="_Toc41054004"/>
      <w:bookmarkStart w:id="4" w:name="_Toc42675167"/>
      <w:bookmarkStart w:id="5" w:name="_Toc42675187"/>
      <w:bookmarkStart w:id="6" w:name="_Toc54369861"/>
      <w:r w:rsidRPr="00407A7B">
        <w:t>ALEGATOS DE LAS PARTES</w:t>
      </w:r>
      <w:bookmarkEnd w:id="3"/>
      <w:bookmarkEnd w:id="4"/>
      <w:bookmarkEnd w:id="5"/>
      <w:bookmarkEnd w:id="6"/>
    </w:p>
    <w:p w14:paraId="25131579" w14:textId="77777777" w:rsidR="00187396" w:rsidRPr="00407A7B" w:rsidRDefault="00187396" w:rsidP="00187396">
      <w:pPr>
        <w:rPr>
          <w:sz w:val="20"/>
          <w:szCs w:val="20"/>
          <w:lang w:val="es-ES"/>
        </w:rPr>
      </w:pPr>
    </w:p>
    <w:p w14:paraId="682B8005" w14:textId="77777777" w:rsidR="00187396" w:rsidRPr="00407A7B" w:rsidRDefault="0020307F" w:rsidP="00A41F08">
      <w:pPr>
        <w:pStyle w:val="ListParagraph"/>
        <w:numPr>
          <w:ilvl w:val="0"/>
          <w:numId w:val="56"/>
        </w:numPr>
        <w:tabs>
          <w:tab w:val="left" w:pos="567"/>
        </w:tabs>
        <w:suppressAutoHyphens/>
        <w:ind w:left="0" w:firstLine="0"/>
        <w:jc w:val="both"/>
        <w:rPr>
          <w:rFonts w:asciiTheme="majorHAnsi" w:hAnsiTheme="majorHAnsi"/>
          <w:b/>
          <w:sz w:val="20"/>
          <w:szCs w:val="20"/>
          <w:lang w:val="es-ES_tradnl"/>
        </w:rPr>
      </w:pPr>
      <w:r w:rsidRPr="00407A7B">
        <w:rPr>
          <w:rFonts w:asciiTheme="majorHAnsi" w:hAnsiTheme="majorHAnsi"/>
          <w:b/>
          <w:sz w:val="20"/>
          <w:szCs w:val="20"/>
          <w:lang w:val="es-ES_tradnl"/>
        </w:rPr>
        <w:t xml:space="preserve">La Parte Peticionaria </w:t>
      </w:r>
    </w:p>
    <w:p w14:paraId="67DB4171" w14:textId="77777777" w:rsidR="0020307F" w:rsidRPr="00407A7B" w:rsidRDefault="0020307F" w:rsidP="0020307F">
      <w:pPr>
        <w:tabs>
          <w:tab w:val="left" w:pos="567"/>
        </w:tabs>
        <w:suppressAutoHyphens/>
        <w:jc w:val="both"/>
        <w:rPr>
          <w:rFonts w:asciiTheme="majorHAnsi" w:hAnsiTheme="majorHAnsi"/>
          <w:b/>
          <w:sz w:val="20"/>
          <w:szCs w:val="20"/>
          <w:lang w:val="es-ES_tradnl"/>
        </w:rPr>
      </w:pPr>
    </w:p>
    <w:p w14:paraId="616A6F08" w14:textId="77777777" w:rsidR="0020307F" w:rsidRPr="00407A7B" w:rsidRDefault="00C165C0" w:rsidP="000779C4">
      <w:pPr>
        <w:pStyle w:val="ListParagraph"/>
        <w:numPr>
          <w:ilvl w:val="0"/>
          <w:numId w:val="55"/>
        </w:numPr>
        <w:tabs>
          <w:tab w:val="left" w:pos="567"/>
        </w:tabs>
        <w:suppressAutoHyphens/>
        <w:ind w:left="0" w:firstLine="0"/>
        <w:jc w:val="both"/>
        <w:rPr>
          <w:rFonts w:asciiTheme="majorHAnsi" w:hAnsiTheme="majorHAnsi"/>
          <w:sz w:val="20"/>
          <w:szCs w:val="20"/>
          <w:lang w:val="es-ES_tradnl"/>
        </w:rPr>
      </w:pPr>
      <w:r w:rsidRPr="00407A7B">
        <w:rPr>
          <w:rFonts w:asciiTheme="majorHAnsi" w:hAnsiTheme="majorHAnsi"/>
          <w:sz w:val="20"/>
          <w:szCs w:val="20"/>
          <w:lang w:val="es-ES_tradnl"/>
        </w:rPr>
        <w:t>El</w:t>
      </w:r>
      <w:r w:rsidR="0020307F" w:rsidRPr="00407A7B">
        <w:rPr>
          <w:rFonts w:asciiTheme="majorHAnsi" w:hAnsiTheme="majorHAnsi"/>
          <w:sz w:val="20"/>
          <w:szCs w:val="20"/>
          <w:lang w:val="es-ES_tradnl"/>
        </w:rPr>
        <w:t xml:space="preserve"> peticionario </w:t>
      </w:r>
      <w:r w:rsidR="00E92BEB" w:rsidRPr="00407A7B">
        <w:rPr>
          <w:rFonts w:asciiTheme="majorHAnsi" w:hAnsiTheme="majorHAnsi"/>
          <w:sz w:val="20"/>
          <w:szCs w:val="20"/>
          <w:lang w:val="es-ES_tradnl"/>
        </w:rPr>
        <w:t>afirm</w:t>
      </w:r>
      <w:r w:rsidR="00D80892" w:rsidRPr="00407A7B">
        <w:rPr>
          <w:rFonts w:asciiTheme="majorHAnsi" w:hAnsiTheme="majorHAnsi"/>
          <w:sz w:val="20"/>
          <w:szCs w:val="20"/>
          <w:lang w:val="es-ES_tradnl"/>
        </w:rPr>
        <w:t>ó</w:t>
      </w:r>
      <w:r w:rsidR="00E92BEB" w:rsidRPr="00407A7B">
        <w:rPr>
          <w:rFonts w:asciiTheme="majorHAnsi" w:hAnsiTheme="majorHAnsi"/>
          <w:sz w:val="20"/>
          <w:szCs w:val="20"/>
          <w:lang w:val="es-ES_tradnl"/>
        </w:rPr>
        <w:t xml:space="preserve"> que resulta</w:t>
      </w:r>
      <w:r w:rsidRPr="00407A7B">
        <w:rPr>
          <w:rFonts w:asciiTheme="majorHAnsi" w:hAnsiTheme="majorHAnsi"/>
          <w:sz w:val="20"/>
          <w:szCs w:val="20"/>
          <w:lang w:val="es-ES_tradnl"/>
        </w:rPr>
        <w:t xml:space="preserve"> ser</w:t>
      </w:r>
      <w:r w:rsidR="00E92BEB" w:rsidRPr="00407A7B">
        <w:rPr>
          <w:rFonts w:asciiTheme="majorHAnsi" w:hAnsiTheme="majorHAnsi"/>
          <w:sz w:val="20"/>
          <w:szCs w:val="20"/>
          <w:lang w:val="es-ES_tradnl"/>
        </w:rPr>
        <w:t xml:space="preserve"> </w:t>
      </w:r>
      <w:r w:rsidR="00A9284B" w:rsidRPr="00407A7B">
        <w:rPr>
          <w:rFonts w:asciiTheme="majorHAnsi" w:hAnsiTheme="majorHAnsi"/>
          <w:sz w:val="20"/>
          <w:szCs w:val="20"/>
          <w:lang w:val="es-ES_tradnl"/>
        </w:rPr>
        <w:t>víctima</w:t>
      </w:r>
      <w:r w:rsidR="00E92BEB" w:rsidRPr="00407A7B">
        <w:rPr>
          <w:rFonts w:asciiTheme="majorHAnsi" w:hAnsiTheme="majorHAnsi"/>
          <w:sz w:val="20"/>
          <w:szCs w:val="20"/>
          <w:lang w:val="es-ES_tradnl"/>
        </w:rPr>
        <w:t xml:space="preserve"> de una injusta e ilegal privación de la libertad como consecuencia de la realización de un proceso judicial anormal y celebrado en violación de los derechos reconocidos por la Convención Americana.</w:t>
      </w:r>
      <w:r w:rsidRPr="00407A7B">
        <w:rPr>
          <w:rFonts w:asciiTheme="majorHAnsi" w:hAnsiTheme="majorHAnsi"/>
          <w:sz w:val="20"/>
          <w:szCs w:val="20"/>
          <w:lang w:val="es-ES_tradnl"/>
        </w:rPr>
        <w:t xml:space="preserve"> En primer </w:t>
      </w:r>
      <w:r w:rsidR="00A9284B" w:rsidRPr="00407A7B">
        <w:rPr>
          <w:rFonts w:asciiTheme="majorHAnsi" w:hAnsiTheme="majorHAnsi"/>
          <w:sz w:val="20"/>
          <w:szCs w:val="20"/>
          <w:lang w:val="es-ES_tradnl"/>
        </w:rPr>
        <w:t>término</w:t>
      </w:r>
      <w:r w:rsidRPr="00407A7B">
        <w:rPr>
          <w:rFonts w:asciiTheme="majorHAnsi" w:hAnsiTheme="majorHAnsi"/>
          <w:sz w:val="20"/>
          <w:szCs w:val="20"/>
          <w:lang w:val="es-ES_tradnl"/>
        </w:rPr>
        <w:t>, el Sr. Cochran consignó que fue arrestado el 19 de enero de 2003 en el interior de su domicilio por efectivos de la Policía Judi</w:t>
      </w:r>
      <w:r w:rsidR="00487664">
        <w:rPr>
          <w:rFonts w:asciiTheme="majorHAnsi" w:hAnsiTheme="majorHAnsi"/>
          <w:sz w:val="20"/>
          <w:szCs w:val="20"/>
          <w:lang w:val="es-ES_tradnl"/>
        </w:rPr>
        <w:t>cial, miembros del Ministerio Pú</w:t>
      </w:r>
      <w:r w:rsidRPr="00407A7B">
        <w:rPr>
          <w:rFonts w:asciiTheme="majorHAnsi" w:hAnsiTheme="majorHAnsi"/>
          <w:sz w:val="20"/>
          <w:szCs w:val="20"/>
          <w:lang w:val="es-ES_tradnl"/>
        </w:rPr>
        <w:t xml:space="preserve">blico y un juez, quienes tenían una orden de cateo emitida para otro día y hora. </w:t>
      </w:r>
    </w:p>
    <w:p w14:paraId="4B325DB9" w14:textId="77777777" w:rsidR="00C165C0" w:rsidRPr="00407A7B" w:rsidRDefault="00C165C0" w:rsidP="000779C4">
      <w:pPr>
        <w:pStyle w:val="ListParagraph"/>
        <w:tabs>
          <w:tab w:val="left" w:pos="567"/>
        </w:tabs>
        <w:suppressAutoHyphens/>
        <w:ind w:left="0"/>
        <w:jc w:val="both"/>
        <w:rPr>
          <w:rFonts w:asciiTheme="majorHAnsi" w:hAnsiTheme="majorHAnsi"/>
          <w:sz w:val="20"/>
          <w:szCs w:val="20"/>
          <w:lang w:val="es-ES_tradnl"/>
        </w:rPr>
      </w:pPr>
    </w:p>
    <w:p w14:paraId="6642578C" w14:textId="77777777" w:rsidR="00C165C0" w:rsidRPr="00407A7B" w:rsidRDefault="00D80892" w:rsidP="000779C4">
      <w:pPr>
        <w:pStyle w:val="ListParagraph"/>
        <w:numPr>
          <w:ilvl w:val="0"/>
          <w:numId w:val="55"/>
        </w:numPr>
        <w:tabs>
          <w:tab w:val="left" w:pos="567"/>
        </w:tabs>
        <w:suppressAutoHyphens/>
        <w:ind w:left="0" w:firstLine="0"/>
        <w:jc w:val="both"/>
        <w:rPr>
          <w:rFonts w:asciiTheme="majorHAnsi" w:hAnsiTheme="majorHAnsi"/>
          <w:sz w:val="20"/>
          <w:szCs w:val="20"/>
          <w:lang w:val="es-ES_tradnl"/>
        </w:rPr>
      </w:pPr>
      <w:r w:rsidRPr="00407A7B">
        <w:rPr>
          <w:rFonts w:asciiTheme="majorHAnsi" w:hAnsiTheme="majorHAnsi"/>
          <w:sz w:val="20"/>
          <w:szCs w:val="20"/>
          <w:lang w:val="es-ES_tradnl"/>
        </w:rPr>
        <w:t xml:space="preserve">Por otro lado, el Sr. Cochran aseguró que contrató un defensor penalista privado, el cual, luego de abonarle cuantiosos honorarios, abandonó su defensa. El peticionario sostuvo también que, en virtud de su condición de portador del virus del VIH, </w:t>
      </w:r>
      <w:r w:rsidR="00B46D71" w:rsidRPr="00407A7B">
        <w:rPr>
          <w:rFonts w:asciiTheme="majorHAnsi" w:hAnsiTheme="majorHAnsi"/>
          <w:sz w:val="20"/>
          <w:szCs w:val="20"/>
          <w:lang w:val="es-ES_tradnl"/>
        </w:rPr>
        <w:t xml:space="preserve">la </w:t>
      </w:r>
      <w:r w:rsidRPr="00407A7B">
        <w:rPr>
          <w:rFonts w:asciiTheme="majorHAnsi" w:hAnsiTheme="majorHAnsi"/>
          <w:sz w:val="20"/>
          <w:szCs w:val="20"/>
          <w:lang w:val="es-ES_tradnl"/>
        </w:rPr>
        <w:t xml:space="preserve">medida de prisión preventiva que se le impuso resultó contraria al </w:t>
      </w:r>
      <w:r w:rsidR="00A9284B" w:rsidRPr="00407A7B">
        <w:rPr>
          <w:rFonts w:asciiTheme="majorHAnsi" w:hAnsiTheme="majorHAnsi"/>
          <w:sz w:val="20"/>
          <w:szCs w:val="20"/>
          <w:lang w:val="es-ES_tradnl"/>
        </w:rPr>
        <w:t>artículo</w:t>
      </w:r>
      <w:r w:rsidRPr="00407A7B">
        <w:rPr>
          <w:rFonts w:asciiTheme="majorHAnsi" w:hAnsiTheme="majorHAnsi"/>
          <w:sz w:val="20"/>
          <w:szCs w:val="20"/>
          <w:lang w:val="es-ES_tradnl"/>
        </w:rPr>
        <w:t xml:space="preserve"> 260 del </w:t>
      </w:r>
      <w:r w:rsidR="00B46D71" w:rsidRPr="00407A7B">
        <w:rPr>
          <w:rFonts w:asciiTheme="majorHAnsi" w:hAnsiTheme="majorHAnsi"/>
          <w:sz w:val="20"/>
          <w:szCs w:val="20"/>
          <w:lang w:val="es-ES_tradnl"/>
        </w:rPr>
        <w:t>Código</w:t>
      </w:r>
      <w:r w:rsidRPr="00407A7B">
        <w:rPr>
          <w:rFonts w:asciiTheme="majorHAnsi" w:hAnsiTheme="majorHAnsi"/>
          <w:sz w:val="20"/>
          <w:szCs w:val="20"/>
          <w:lang w:val="es-ES_tradnl"/>
        </w:rPr>
        <w:t xml:space="preserve"> Procesal Penal, el cual impide que dicha medida sea aplicada a personas afectadas por una enfermedad grave y terminal. </w:t>
      </w:r>
    </w:p>
    <w:p w14:paraId="1A2591CB" w14:textId="77777777" w:rsidR="00D80892" w:rsidRPr="00407A7B" w:rsidRDefault="00D80892" w:rsidP="000779C4">
      <w:pPr>
        <w:pStyle w:val="ListParagraph"/>
        <w:tabs>
          <w:tab w:val="left" w:pos="567"/>
        </w:tabs>
        <w:ind w:left="0"/>
        <w:rPr>
          <w:rFonts w:asciiTheme="majorHAnsi" w:hAnsiTheme="majorHAnsi"/>
          <w:sz w:val="20"/>
          <w:szCs w:val="20"/>
          <w:lang w:val="es-ES_tradnl"/>
        </w:rPr>
      </w:pPr>
    </w:p>
    <w:p w14:paraId="2E56DCDB" w14:textId="77777777" w:rsidR="00D80892" w:rsidRPr="00407A7B" w:rsidRDefault="00D80892" w:rsidP="000779C4">
      <w:pPr>
        <w:pStyle w:val="ListParagraph"/>
        <w:numPr>
          <w:ilvl w:val="0"/>
          <w:numId w:val="55"/>
        </w:numPr>
        <w:tabs>
          <w:tab w:val="left" w:pos="567"/>
        </w:tabs>
        <w:suppressAutoHyphens/>
        <w:ind w:left="0" w:firstLine="0"/>
        <w:jc w:val="both"/>
        <w:rPr>
          <w:rFonts w:asciiTheme="majorHAnsi" w:hAnsiTheme="majorHAnsi"/>
          <w:sz w:val="20"/>
          <w:szCs w:val="20"/>
          <w:lang w:val="es-ES_tradnl"/>
        </w:rPr>
      </w:pPr>
      <w:r w:rsidRPr="00407A7B">
        <w:rPr>
          <w:rFonts w:asciiTheme="majorHAnsi" w:hAnsiTheme="majorHAnsi"/>
          <w:sz w:val="20"/>
          <w:szCs w:val="20"/>
          <w:lang w:val="es-ES_tradnl"/>
        </w:rPr>
        <w:t xml:space="preserve">El peticionario </w:t>
      </w:r>
      <w:r w:rsidR="00B46D71" w:rsidRPr="00407A7B">
        <w:rPr>
          <w:rFonts w:asciiTheme="majorHAnsi" w:hAnsiTheme="majorHAnsi"/>
          <w:sz w:val="20"/>
          <w:szCs w:val="20"/>
          <w:lang w:val="es-ES_tradnl"/>
        </w:rPr>
        <w:t xml:space="preserve">también afirmó que otro </w:t>
      </w:r>
      <w:r w:rsidR="000135E8" w:rsidRPr="00407A7B">
        <w:rPr>
          <w:rFonts w:asciiTheme="majorHAnsi" w:hAnsiTheme="majorHAnsi"/>
          <w:sz w:val="20"/>
          <w:szCs w:val="20"/>
          <w:lang w:val="es-ES_tradnl"/>
        </w:rPr>
        <w:t xml:space="preserve">abogado </w:t>
      </w:r>
      <w:r w:rsidR="00B46D71" w:rsidRPr="00407A7B">
        <w:rPr>
          <w:rFonts w:asciiTheme="majorHAnsi" w:hAnsiTheme="majorHAnsi"/>
          <w:sz w:val="20"/>
          <w:szCs w:val="20"/>
          <w:lang w:val="es-ES_tradnl"/>
        </w:rPr>
        <w:t xml:space="preserve">defensor renunció a su defensa a tres días del inicio del juicio oral. Como consecuencia de ello, informó, el Tribunal de Juicio suspendió el debate por 76 días, excediendo el plazo dispuesto en el </w:t>
      </w:r>
      <w:r w:rsidR="00A9284B" w:rsidRPr="00407A7B">
        <w:rPr>
          <w:rFonts w:asciiTheme="majorHAnsi" w:hAnsiTheme="majorHAnsi"/>
          <w:sz w:val="20"/>
          <w:szCs w:val="20"/>
          <w:lang w:val="es-ES_tradnl"/>
        </w:rPr>
        <w:t>artículo</w:t>
      </w:r>
      <w:r w:rsidR="00B46D71" w:rsidRPr="00407A7B">
        <w:rPr>
          <w:rFonts w:asciiTheme="majorHAnsi" w:hAnsiTheme="majorHAnsi"/>
          <w:sz w:val="20"/>
          <w:szCs w:val="20"/>
          <w:lang w:val="es-ES_tradnl"/>
        </w:rPr>
        <w:t xml:space="preserve"> 336 del Código Procesal Penal costarricense. </w:t>
      </w:r>
      <w:r w:rsidR="00D855A5" w:rsidRPr="00407A7B">
        <w:rPr>
          <w:rFonts w:asciiTheme="majorHAnsi" w:hAnsiTheme="majorHAnsi"/>
          <w:sz w:val="20"/>
          <w:szCs w:val="20"/>
          <w:lang w:val="es-ES_tradnl"/>
        </w:rPr>
        <w:t>Asimismo</w:t>
      </w:r>
      <w:r w:rsidR="00B46D71" w:rsidRPr="00407A7B">
        <w:rPr>
          <w:rFonts w:asciiTheme="majorHAnsi" w:hAnsiTheme="majorHAnsi"/>
          <w:sz w:val="20"/>
          <w:szCs w:val="20"/>
          <w:lang w:val="es-ES_tradnl"/>
        </w:rPr>
        <w:t xml:space="preserve">, el Sr. Cochran sostuvo que no le fueron notificadas las sucesivas </w:t>
      </w:r>
      <w:r w:rsidR="00A9284B" w:rsidRPr="00407A7B">
        <w:rPr>
          <w:rFonts w:asciiTheme="majorHAnsi" w:hAnsiTheme="majorHAnsi"/>
          <w:sz w:val="20"/>
          <w:szCs w:val="20"/>
          <w:lang w:val="es-ES_tradnl"/>
        </w:rPr>
        <w:t>prórrogas</w:t>
      </w:r>
      <w:r w:rsidR="00B46D71" w:rsidRPr="00407A7B">
        <w:rPr>
          <w:rFonts w:asciiTheme="majorHAnsi" w:hAnsiTheme="majorHAnsi"/>
          <w:sz w:val="20"/>
          <w:szCs w:val="20"/>
          <w:lang w:val="es-ES_tradnl"/>
        </w:rPr>
        <w:t xml:space="preserve"> a la detención </w:t>
      </w:r>
      <w:r w:rsidR="00D855A5" w:rsidRPr="00407A7B">
        <w:rPr>
          <w:rFonts w:asciiTheme="majorHAnsi" w:hAnsiTheme="majorHAnsi"/>
          <w:sz w:val="20"/>
          <w:szCs w:val="20"/>
          <w:lang w:val="es-ES_tradnl"/>
        </w:rPr>
        <w:t>preventiva</w:t>
      </w:r>
      <w:r w:rsidR="00B46D71" w:rsidRPr="00407A7B">
        <w:rPr>
          <w:rFonts w:asciiTheme="majorHAnsi" w:hAnsiTheme="majorHAnsi"/>
          <w:sz w:val="20"/>
          <w:szCs w:val="20"/>
          <w:lang w:val="es-ES_tradnl"/>
        </w:rPr>
        <w:t xml:space="preserve"> dispuestas por el Tribunal de Juicio y que el abogado defensor que designó solo estuvo presente en una sola audiencia de las tres semanas que insumió el debate oral. Dichas circunstancias, concluyó el peticionario, constituyen una violación de su derecho de defensa en juicio</w:t>
      </w:r>
      <w:r w:rsidR="00D855A5" w:rsidRPr="00407A7B">
        <w:rPr>
          <w:rFonts w:asciiTheme="majorHAnsi" w:hAnsiTheme="majorHAnsi"/>
          <w:sz w:val="20"/>
          <w:szCs w:val="20"/>
          <w:lang w:val="es-ES_tradnl"/>
        </w:rPr>
        <w:t xml:space="preserve"> y al debido proceso. </w:t>
      </w:r>
      <w:r w:rsidR="00B46D71" w:rsidRPr="00407A7B">
        <w:rPr>
          <w:rFonts w:asciiTheme="majorHAnsi" w:hAnsiTheme="majorHAnsi"/>
          <w:sz w:val="20"/>
          <w:szCs w:val="20"/>
          <w:lang w:val="es-ES_tradnl"/>
        </w:rPr>
        <w:t xml:space="preserve"> </w:t>
      </w:r>
    </w:p>
    <w:p w14:paraId="55639BAB" w14:textId="77777777" w:rsidR="00D855A5" w:rsidRPr="00407A7B" w:rsidRDefault="00D855A5" w:rsidP="000779C4">
      <w:pPr>
        <w:pStyle w:val="ListParagraph"/>
        <w:tabs>
          <w:tab w:val="left" w:pos="567"/>
        </w:tabs>
        <w:ind w:left="0"/>
        <w:rPr>
          <w:rFonts w:asciiTheme="majorHAnsi" w:hAnsiTheme="majorHAnsi"/>
          <w:sz w:val="20"/>
          <w:szCs w:val="20"/>
          <w:lang w:val="es-ES_tradnl"/>
        </w:rPr>
      </w:pPr>
    </w:p>
    <w:p w14:paraId="6957CE5A" w14:textId="77777777" w:rsidR="00D855A5" w:rsidRPr="00407A7B" w:rsidRDefault="003072ED" w:rsidP="000779C4">
      <w:pPr>
        <w:pStyle w:val="ListParagraph"/>
        <w:numPr>
          <w:ilvl w:val="0"/>
          <w:numId w:val="55"/>
        </w:numPr>
        <w:tabs>
          <w:tab w:val="left" w:pos="567"/>
        </w:tabs>
        <w:suppressAutoHyphens/>
        <w:ind w:left="0" w:firstLine="0"/>
        <w:jc w:val="both"/>
        <w:rPr>
          <w:rFonts w:asciiTheme="majorHAnsi" w:hAnsiTheme="majorHAnsi"/>
          <w:sz w:val="20"/>
          <w:szCs w:val="20"/>
          <w:lang w:val="es-ES_tradnl"/>
        </w:rPr>
      </w:pPr>
      <w:r w:rsidRPr="00407A7B">
        <w:rPr>
          <w:rFonts w:asciiTheme="majorHAnsi" w:hAnsiTheme="majorHAnsi"/>
          <w:sz w:val="20"/>
          <w:szCs w:val="20"/>
          <w:lang w:val="es-ES_tradnl"/>
        </w:rPr>
        <w:t>Por último</w:t>
      </w:r>
      <w:r w:rsidR="00D855A5" w:rsidRPr="00407A7B">
        <w:rPr>
          <w:rFonts w:asciiTheme="majorHAnsi" w:hAnsiTheme="majorHAnsi"/>
          <w:sz w:val="20"/>
          <w:szCs w:val="20"/>
          <w:lang w:val="es-ES_tradnl"/>
        </w:rPr>
        <w:t xml:space="preserve">, el peticionario denunció que los recursos de casación interpuestos por sus defensores ante las instancias superiores fueron denegados por lo que considero es una inhabilidad de los tribunales de alzada de poder considerar la existencia de nueva evidencia. </w:t>
      </w:r>
    </w:p>
    <w:p w14:paraId="68944DBA" w14:textId="77777777" w:rsidR="00D855A5" w:rsidRPr="00407A7B" w:rsidRDefault="00D855A5" w:rsidP="000779C4">
      <w:pPr>
        <w:pStyle w:val="ListParagraph"/>
        <w:tabs>
          <w:tab w:val="left" w:pos="567"/>
        </w:tabs>
        <w:ind w:left="0"/>
        <w:rPr>
          <w:rFonts w:asciiTheme="majorHAnsi" w:hAnsiTheme="majorHAnsi"/>
          <w:sz w:val="20"/>
          <w:szCs w:val="20"/>
          <w:lang w:val="es-ES_tradnl"/>
        </w:rPr>
      </w:pPr>
    </w:p>
    <w:p w14:paraId="1C76BC27" w14:textId="77777777" w:rsidR="00D855A5" w:rsidRPr="00407A7B" w:rsidRDefault="00D855A5" w:rsidP="000779C4">
      <w:pPr>
        <w:pStyle w:val="ListParagraph"/>
        <w:numPr>
          <w:ilvl w:val="0"/>
          <w:numId w:val="55"/>
        </w:numPr>
        <w:tabs>
          <w:tab w:val="left" w:pos="567"/>
        </w:tabs>
        <w:suppressAutoHyphens/>
        <w:ind w:left="0" w:firstLine="0"/>
        <w:jc w:val="both"/>
        <w:rPr>
          <w:rFonts w:asciiTheme="majorHAnsi" w:hAnsiTheme="majorHAnsi"/>
          <w:sz w:val="20"/>
          <w:szCs w:val="20"/>
          <w:lang w:val="es-ES_tradnl"/>
        </w:rPr>
      </w:pPr>
      <w:r w:rsidRPr="00407A7B">
        <w:rPr>
          <w:rFonts w:asciiTheme="majorHAnsi" w:hAnsiTheme="majorHAnsi"/>
          <w:sz w:val="20"/>
          <w:szCs w:val="20"/>
          <w:lang w:val="es-ES_tradnl"/>
        </w:rPr>
        <w:t xml:space="preserve">En comunicaciones posteriores el Sr. Cochran amplió los fundamentos de su petición. En primer lugar, señaló que </w:t>
      </w:r>
      <w:r w:rsidR="00443A6B" w:rsidRPr="00407A7B">
        <w:rPr>
          <w:rFonts w:asciiTheme="majorHAnsi" w:hAnsiTheme="majorHAnsi"/>
          <w:sz w:val="20"/>
          <w:szCs w:val="20"/>
          <w:lang w:val="es-ES_tradnl"/>
        </w:rPr>
        <w:t xml:space="preserve">las autoridades judiciales costarricenses que instruyeron el proceso judicial en su contra omitieron informarle de su derecho de contar con la asistencia consular que los </w:t>
      </w:r>
      <w:r w:rsidR="00A9284B" w:rsidRPr="00407A7B">
        <w:rPr>
          <w:rFonts w:asciiTheme="majorHAnsi" w:hAnsiTheme="majorHAnsi"/>
          <w:sz w:val="20"/>
          <w:szCs w:val="20"/>
          <w:lang w:val="es-ES_tradnl"/>
        </w:rPr>
        <w:t>artículos</w:t>
      </w:r>
      <w:r w:rsidR="00443A6B" w:rsidRPr="00407A7B">
        <w:rPr>
          <w:rFonts w:asciiTheme="majorHAnsi" w:hAnsiTheme="majorHAnsi"/>
          <w:sz w:val="20"/>
          <w:szCs w:val="20"/>
          <w:lang w:val="es-ES_tradnl"/>
        </w:rPr>
        <w:t xml:space="preserve"> 5 y 36 de la </w:t>
      </w:r>
      <w:r w:rsidR="0029568F" w:rsidRPr="00407A7B">
        <w:rPr>
          <w:rFonts w:asciiTheme="majorHAnsi" w:hAnsiTheme="majorHAnsi"/>
          <w:sz w:val="20"/>
          <w:szCs w:val="20"/>
          <w:lang w:val="es-ES_tradnl"/>
        </w:rPr>
        <w:t>Convención</w:t>
      </w:r>
      <w:r w:rsidR="00443A6B" w:rsidRPr="00407A7B">
        <w:rPr>
          <w:rFonts w:asciiTheme="majorHAnsi" w:hAnsiTheme="majorHAnsi"/>
          <w:sz w:val="20"/>
          <w:szCs w:val="20"/>
          <w:lang w:val="es-ES_tradnl"/>
        </w:rPr>
        <w:t xml:space="preserve"> de Viena sobre Relaciones Consulares reconoce a aquell</w:t>
      </w:r>
      <w:r w:rsidR="0029568F" w:rsidRPr="00407A7B">
        <w:rPr>
          <w:rFonts w:asciiTheme="majorHAnsi" w:hAnsiTheme="majorHAnsi"/>
          <w:sz w:val="20"/>
          <w:szCs w:val="20"/>
          <w:lang w:val="es-ES_tradnl"/>
        </w:rPr>
        <w:t xml:space="preserve">as personas implicadas como acusadas </w:t>
      </w:r>
      <w:r w:rsidR="00A9284B" w:rsidRPr="00407A7B">
        <w:rPr>
          <w:rFonts w:asciiTheme="majorHAnsi" w:hAnsiTheme="majorHAnsi"/>
          <w:sz w:val="20"/>
          <w:szCs w:val="20"/>
          <w:lang w:val="es-ES_tradnl"/>
        </w:rPr>
        <w:t>en un proceso</w:t>
      </w:r>
      <w:r w:rsidR="00443A6B" w:rsidRPr="00407A7B">
        <w:rPr>
          <w:rFonts w:asciiTheme="majorHAnsi" w:hAnsiTheme="majorHAnsi"/>
          <w:sz w:val="20"/>
          <w:szCs w:val="20"/>
          <w:lang w:val="es-ES_tradnl"/>
        </w:rPr>
        <w:t xml:space="preserve"> penal </w:t>
      </w:r>
      <w:r w:rsidR="0029568F" w:rsidRPr="00407A7B">
        <w:rPr>
          <w:rFonts w:asciiTheme="majorHAnsi" w:hAnsiTheme="majorHAnsi"/>
          <w:sz w:val="20"/>
          <w:szCs w:val="20"/>
          <w:lang w:val="es-ES_tradnl"/>
        </w:rPr>
        <w:t>celebrado en el</w:t>
      </w:r>
      <w:r w:rsidR="00443A6B" w:rsidRPr="00407A7B">
        <w:rPr>
          <w:rFonts w:asciiTheme="majorHAnsi" w:hAnsiTheme="majorHAnsi"/>
          <w:sz w:val="20"/>
          <w:szCs w:val="20"/>
          <w:lang w:val="es-ES_tradnl"/>
        </w:rPr>
        <w:t xml:space="preserve"> territorio de un</w:t>
      </w:r>
      <w:r w:rsidR="0029568F" w:rsidRPr="00407A7B">
        <w:rPr>
          <w:rFonts w:asciiTheme="majorHAnsi" w:hAnsiTheme="majorHAnsi"/>
          <w:sz w:val="20"/>
          <w:szCs w:val="20"/>
          <w:lang w:val="es-ES_tradnl"/>
        </w:rPr>
        <w:t xml:space="preserve"> estado del que no son nacionales. El peticionario valoró que esta omisión fue ideada por el propósito de impedirle desarrollar una defensa eficaz ante las acusaciones formuladas en su contra. </w:t>
      </w:r>
    </w:p>
    <w:p w14:paraId="121CE702" w14:textId="77777777" w:rsidR="0029568F" w:rsidRPr="00407A7B" w:rsidRDefault="0029568F" w:rsidP="000779C4">
      <w:pPr>
        <w:pStyle w:val="ListParagraph"/>
        <w:tabs>
          <w:tab w:val="left" w:pos="567"/>
        </w:tabs>
        <w:ind w:left="0"/>
        <w:rPr>
          <w:rFonts w:asciiTheme="majorHAnsi" w:hAnsiTheme="majorHAnsi"/>
          <w:sz w:val="20"/>
          <w:szCs w:val="20"/>
          <w:lang w:val="es-ES_tradnl"/>
        </w:rPr>
      </w:pPr>
    </w:p>
    <w:p w14:paraId="79D6EC19" w14:textId="77777777" w:rsidR="0029568F" w:rsidRPr="00407A7B" w:rsidRDefault="00BD21AD" w:rsidP="000779C4">
      <w:pPr>
        <w:pStyle w:val="ListParagraph"/>
        <w:numPr>
          <w:ilvl w:val="0"/>
          <w:numId w:val="55"/>
        </w:numPr>
        <w:tabs>
          <w:tab w:val="left" w:pos="567"/>
        </w:tabs>
        <w:suppressAutoHyphens/>
        <w:ind w:left="0" w:firstLine="0"/>
        <w:jc w:val="both"/>
        <w:rPr>
          <w:rFonts w:asciiTheme="majorHAnsi" w:hAnsiTheme="majorHAnsi"/>
          <w:sz w:val="20"/>
          <w:szCs w:val="20"/>
          <w:lang w:val="es-ES_tradnl"/>
        </w:rPr>
      </w:pPr>
      <w:r w:rsidRPr="00407A7B">
        <w:rPr>
          <w:rFonts w:asciiTheme="majorHAnsi" w:hAnsiTheme="majorHAnsi"/>
          <w:sz w:val="20"/>
          <w:szCs w:val="20"/>
          <w:lang w:val="es-ES_tradnl"/>
        </w:rPr>
        <w:t xml:space="preserve">Por otra parte, el Sr. Cochran señaló que el Tribunal Penal de Juicio que lo sentenció a pena de prisión en agosto de 2004 estaba integrado por un magistrado que </w:t>
      </w:r>
      <w:r w:rsidR="00A9284B" w:rsidRPr="00407A7B">
        <w:rPr>
          <w:rFonts w:asciiTheme="majorHAnsi" w:hAnsiTheme="majorHAnsi"/>
          <w:sz w:val="20"/>
          <w:szCs w:val="20"/>
          <w:lang w:val="es-ES_tradnl"/>
        </w:rPr>
        <w:t>tenía</w:t>
      </w:r>
      <w:r w:rsidRPr="00407A7B">
        <w:rPr>
          <w:rFonts w:asciiTheme="majorHAnsi" w:hAnsiTheme="majorHAnsi"/>
          <w:sz w:val="20"/>
          <w:szCs w:val="20"/>
          <w:lang w:val="es-ES_tradnl"/>
        </w:rPr>
        <w:t xml:space="preserve"> su imparcialidad comprometida, ya que </w:t>
      </w:r>
      <w:r w:rsidRPr="00407A7B">
        <w:rPr>
          <w:rFonts w:asciiTheme="majorHAnsi" w:hAnsiTheme="majorHAnsi"/>
          <w:sz w:val="20"/>
          <w:szCs w:val="20"/>
          <w:lang w:val="es-ES_tradnl"/>
        </w:rPr>
        <w:lastRenderedPageBreak/>
        <w:t xml:space="preserve">anteriormente a su participación en el proceso oral, dicho magistrado había </w:t>
      </w:r>
      <w:r w:rsidR="003072ED" w:rsidRPr="00407A7B">
        <w:rPr>
          <w:rFonts w:asciiTheme="majorHAnsi" w:hAnsiTheme="majorHAnsi"/>
          <w:sz w:val="20"/>
          <w:szCs w:val="20"/>
          <w:lang w:val="es-ES_tradnl"/>
        </w:rPr>
        <w:t xml:space="preserve">dictado una resolución de fecha 11 de agosto de 2003 por medio de la cual se confirmó la prisión preventiva impuesta al peticionario. </w:t>
      </w:r>
    </w:p>
    <w:p w14:paraId="452C7A03" w14:textId="77777777" w:rsidR="003072ED" w:rsidRPr="00407A7B" w:rsidRDefault="003072ED" w:rsidP="000779C4">
      <w:pPr>
        <w:pStyle w:val="ListParagraph"/>
        <w:tabs>
          <w:tab w:val="left" w:pos="567"/>
        </w:tabs>
        <w:rPr>
          <w:rFonts w:asciiTheme="majorHAnsi" w:hAnsiTheme="majorHAnsi"/>
          <w:sz w:val="20"/>
          <w:szCs w:val="20"/>
          <w:lang w:val="es-ES_tradnl"/>
        </w:rPr>
      </w:pPr>
    </w:p>
    <w:p w14:paraId="5651938A" w14:textId="77777777" w:rsidR="003072ED" w:rsidRPr="00407A7B" w:rsidRDefault="003072ED" w:rsidP="000779C4">
      <w:pPr>
        <w:pStyle w:val="ListParagraph"/>
        <w:numPr>
          <w:ilvl w:val="0"/>
          <w:numId w:val="55"/>
        </w:numPr>
        <w:tabs>
          <w:tab w:val="left" w:pos="567"/>
        </w:tabs>
        <w:suppressAutoHyphens/>
        <w:ind w:left="0" w:firstLine="0"/>
        <w:jc w:val="both"/>
        <w:rPr>
          <w:rFonts w:asciiTheme="majorHAnsi" w:hAnsiTheme="majorHAnsi"/>
          <w:sz w:val="20"/>
          <w:szCs w:val="20"/>
          <w:lang w:val="es-ES_tradnl"/>
        </w:rPr>
      </w:pPr>
      <w:r w:rsidRPr="00407A7B">
        <w:rPr>
          <w:rFonts w:asciiTheme="majorHAnsi" w:hAnsiTheme="majorHAnsi"/>
          <w:sz w:val="20"/>
          <w:szCs w:val="20"/>
          <w:lang w:val="es-ES_tradnl"/>
        </w:rPr>
        <w:t xml:space="preserve">Finalmente, el peticionario manifestó que, a pesar de haber interpuesto numerosos procedimientos de revisión, los tribunales superiores no garantizaron su derecho a la revisión integral de la sentencia condenatoria. El Sr. Cochran afirmo en este sentido que, a pesar de que se produjeron diversas reformas al régimen recursivo costarricense, dichas modificaciones normativas no aseguraron la posibilidad de las personas cuyas sentencias ya están confirmadas de recurrir eventuales violaciones al debido proceso u omisiones de la defensa técnica. </w:t>
      </w:r>
    </w:p>
    <w:p w14:paraId="1295F5CB" w14:textId="77777777" w:rsidR="003072ED" w:rsidRPr="00407A7B" w:rsidRDefault="003072ED" w:rsidP="000779C4">
      <w:pPr>
        <w:pStyle w:val="ListParagraph"/>
        <w:tabs>
          <w:tab w:val="left" w:pos="567"/>
        </w:tabs>
        <w:rPr>
          <w:rFonts w:asciiTheme="majorHAnsi" w:hAnsiTheme="majorHAnsi"/>
          <w:sz w:val="20"/>
          <w:szCs w:val="20"/>
          <w:lang w:val="es-ES_tradnl"/>
        </w:rPr>
      </w:pPr>
    </w:p>
    <w:p w14:paraId="1E032C5D" w14:textId="77777777" w:rsidR="003072ED" w:rsidRPr="00407A7B" w:rsidRDefault="003072ED" w:rsidP="000779C4">
      <w:pPr>
        <w:pStyle w:val="ListParagraph"/>
        <w:numPr>
          <w:ilvl w:val="0"/>
          <w:numId w:val="55"/>
        </w:numPr>
        <w:tabs>
          <w:tab w:val="left" w:pos="567"/>
        </w:tabs>
        <w:suppressAutoHyphens/>
        <w:ind w:left="0" w:firstLine="0"/>
        <w:jc w:val="both"/>
        <w:rPr>
          <w:rFonts w:asciiTheme="majorHAnsi" w:hAnsiTheme="majorHAnsi"/>
          <w:sz w:val="20"/>
          <w:szCs w:val="20"/>
          <w:lang w:val="es-ES_tradnl"/>
        </w:rPr>
      </w:pPr>
      <w:r w:rsidRPr="00407A7B">
        <w:rPr>
          <w:rFonts w:asciiTheme="majorHAnsi" w:hAnsiTheme="majorHAnsi"/>
          <w:sz w:val="20"/>
          <w:szCs w:val="20"/>
          <w:lang w:val="es-ES_tradnl"/>
        </w:rPr>
        <w:t>El 8 de febrero de 2018 la Comisión comunicó a las partes su decisión de acumular el análisis de admisibilidad con el del fondo de la petición y solicitó al peticionario que remita su documento de observaciones adicionales sobre el fondo. El Sr. Cochran hizo llegar a la Comisión dicho documento el día 19 de julio de 2018. En esta presentación, el peticionario</w:t>
      </w:r>
      <w:r w:rsidR="00860FD3" w:rsidRPr="00407A7B">
        <w:rPr>
          <w:rFonts w:asciiTheme="majorHAnsi" w:hAnsiTheme="majorHAnsi"/>
          <w:sz w:val="20"/>
          <w:szCs w:val="20"/>
          <w:lang w:val="es-ES_tradnl"/>
        </w:rPr>
        <w:t xml:space="preserve"> </w:t>
      </w:r>
      <w:r w:rsidRPr="00407A7B">
        <w:rPr>
          <w:rFonts w:asciiTheme="majorHAnsi" w:hAnsiTheme="majorHAnsi"/>
          <w:sz w:val="20"/>
          <w:szCs w:val="20"/>
          <w:lang w:val="es-ES_tradnl"/>
        </w:rPr>
        <w:t xml:space="preserve">reafirmó las alegaciones efectuadas a lo largo del trámite de su petición y expresó su voluntad de ingresar en un procedimiento de solución amistosa. </w:t>
      </w:r>
    </w:p>
    <w:p w14:paraId="7AC9A76D" w14:textId="77777777" w:rsidR="003072ED" w:rsidRPr="00407A7B" w:rsidRDefault="003072ED" w:rsidP="000779C4">
      <w:pPr>
        <w:pStyle w:val="ListParagraph"/>
        <w:tabs>
          <w:tab w:val="left" w:pos="567"/>
        </w:tabs>
        <w:rPr>
          <w:rFonts w:asciiTheme="majorHAnsi" w:hAnsiTheme="majorHAnsi"/>
          <w:sz w:val="20"/>
          <w:szCs w:val="20"/>
          <w:lang w:val="es-ES_tradnl"/>
        </w:rPr>
      </w:pPr>
    </w:p>
    <w:p w14:paraId="2528F0EB" w14:textId="77777777" w:rsidR="003072ED" w:rsidRPr="00407A7B" w:rsidRDefault="003072ED" w:rsidP="000779C4">
      <w:pPr>
        <w:pStyle w:val="ListParagraph"/>
        <w:numPr>
          <w:ilvl w:val="0"/>
          <w:numId w:val="55"/>
        </w:numPr>
        <w:tabs>
          <w:tab w:val="left" w:pos="567"/>
        </w:tabs>
        <w:suppressAutoHyphens/>
        <w:ind w:left="0" w:firstLine="0"/>
        <w:jc w:val="both"/>
        <w:rPr>
          <w:rFonts w:asciiTheme="majorHAnsi" w:hAnsiTheme="majorHAnsi"/>
          <w:sz w:val="20"/>
          <w:szCs w:val="20"/>
          <w:lang w:val="es-ES_tradnl"/>
        </w:rPr>
      </w:pPr>
      <w:r w:rsidRPr="00407A7B">
        <w:rPr>
          <w:rFonts w:asciiTheme="majorHAnsi" w:hAnsiTheme="majorHAnsi"/>
          <w:sz w:val="20"/>
          <w:szCs w:val="20"/>
          <w:lang w:val="es-ES_tradnl"/>
        </w:rPr>
        <w:t>Por todo lo expuesto, la Parte Peticionaria</w:t>
      </w:r>
      <w:r w:rsidR="00C97493" w:rsidRPr="00407A7B">
        <w:rPr>
          <w:rFonts w:asciiTheme="majorHAnsi" w:hAnsiTheme="majorHAnsi"/>
          <w:sz w:val="20"/>
          <w:szCs w:val="20"/>
          <w:lang w:val="es-ES_tradnl"/>
        </w:rPr>
        <w:t xml:space="preserve"> denuncia que el Estado de Costa Rica es responsable por la violación de sus derechos a las garantías judiciales,</w:t>
      </w:r>
      <w:r w:rsidR="00C97493" w:rsidRPr="00407A7B">
        <w:rPr>
          <w:sz w:val="20"/>
          <w:szCs w:val="20"/>
          <w:lang w:val="es-ES"/>
        </w:rPr>
        <w:t xml:space="preserve"> a la libertad personal, a la inviolabilidad del domicilio y a recurrir el fallo condenatorio dictado en su contra ante un juez o tribunal superior, consagrados en los artículos 8.</w:t>
      </w:r>
      <w:r w:rsidR="00153218" w:rsidRPr="00407A7B">
        <w:rPr>
          <w:sz w:val="20"/>
          <w:szCs w:val="20"/>
          <w:lang w:val="es-ES"/>
        </w:rPr>
        <w:t>1</w:t>
      </w:r>
      <w:r w:rsidR="00C97493" w:rsidRPr="00407A7B">
        <w:rPr>
          <w:sz w:val="20"/>
          <w:szCs w:val="20"/>
          <w:lang w:val="es-ES"/>
        </w:rPr>
        <w:t>, 7.3, 1</w:t>
      </w:r>
      <w:r w:rsidR="00655D24">
        <w:rPr>
          <w:sz w:val="20"/>
          <w:szCs w:val="20"/>
          <w:lang w:val="es-ES"/>
        </w:rPr>
        <w:t>1</w:t>
      </w:r>
      <w:r w:rsidR="00C97493" w:rsidRPr="00407A7B">
        <w:rPr>
          <w:sz w:val="20"/>
          <w:szCs w:val="20"/>
          <w:lang w:val="es-ES"/>
        </w:rPr>
        <w:t xml:space="preserve"> y 8.2.h de la Convención Americana sobre Derechos Humanos</w:t>
      </w:r>
      <w:r w:rsidR="00C97493" w:rsidRPr="00407A7B">
        <w:rPr>
          <w:rFonts w:asciiTheme="majorHAnsi" w:hAnsiTheme="majorHAnsi"/>
          <w:sz w:val="20"/>
          <w:szCs w:val="20"/>
          <w:lang w:val="es-ES_tradnl"/>
        </w:rPr>
        <w:t xml:space="preserve">. </w:t>
      </w:r>
    </w:p>
    <w:p w14:paraId="2EAF25A3" w14:textId="77777777" w:rsidR="00C97493" w:rsidRPr="00407A7B" w:rsidRDefault="00C97493" w:rsidP="00C97493">
      <w:pPr>
        <w:pStyle w:val="ListParagraph"/>
        <w:rPr>
          <w:rFonts w:asciiTheme="majorHAnsi" w:hAnsiTheme="majorHAnsi"/>
          <w:sz w:val="20"/>
          <w:szCs w:val="20"/>
          <w:lang w:val="es-ES_tradnl"/>
        </w:rPr>
      </w:pPr>
    </w:p>
    <w:p w14:paraId="1043B5E2" w14:textId="77777777" w:rsidR="00C97493" w:rsidRPr="00407A7B" w:rsidRDefault="00C97493" w:rsidP="00A41F08">
      <w:pPr>
        <w:pStyle w:val="ListParagraph"/>
        <w:numPr>
          <w:ilvl w:val="0"/>
          <w:numId w:val="56"/>
        </w:numPr>
        <w:tabs>
          <w:tab w:val="left" w:pos="567"/>
        </w:tabs>
        <w:suppressAutoHyphens/>
        <w:ind w:left="0" w:firstLine="0"/>
        <w:jc w:val="both"/>
        <w:rPr>
          <w:rFonts w:asciiTheme="majorHAnsi" w:hAnsiTheme="majorHAnsi"/>
          <w:b/>
          <w:sz w:val="20"/>
          <w:szCs w:val="20"/>
          <w:lang w:val="es-ES_tradnl"/>
        </w:rPr>
      </w:pPr>
      <w:r w:rsidRPr="00407A7B">
        <w:rPr>
          <w:rFonts w:asciiTheme="majorHAnsi" w:hAnsiTheme="majorHAnsi"/>
          <w:b/>
          <w:sz w:val="20"/>
          <w:szCs w:val="20"/>
          <w:lang w:val="es-ES_tradnl"/>
        </w:rPr>
        <w:t xml:space="preserve">El Estado de Costa Rica </w:t>
      </w:r>
    </w:p>
    <w:p w14:paraId="10A56683" w14:textId="77777777" w:rsidR="00716029" w:rsidRPr="00407A7B" w:rsidRDefault="00716029" w:rsidP="00716029">
      <w:pPr>
        <w:tabs>
          <w:tab w:val="left" w:pos="567"/>
        </w:tabs>
        <w:suppressAutoHyphens/>
        <w:jc w:val="both"/>
        <w:rPr>
          <w:rFonts w:asciiTheme="majorHAnsi" w:hAnsiTheme="majorHAnsi"/>
          <w:b/>
          <w:sz w:val="20"/>
          <w:szCs w:val="20"/>
          <w:lang w:val="es-ES_tradnl"/>
        </w:rPr>
      </w:pPr>
    </w:p>
    <w:p w14:paraId="345A670A" w14:textId="77777777" w:rsidR="00064A83" w:rsidRPr="00407A7B" w:rsidRDefault="00716029" w:rsidP="000779C4">
      <w:pPr>
        <w:pStyle w:val="ListParagraph"/>
        <w:numPr>
          <w:ilvl w:val="0"/>
          <w:numId w:val="55"/>
        </w:numPr>
        <w:tabs>
          <w:tab w:val="left" w:pos="0"/>
          <w:tab w:val="left" w:pos="567"/>
        </w:tabs>
        <w:suppressAutoHyphens/>
        <w:ind w:left="0" w:firstLine="0"/>
        <w:jc w:val="both"/>
        <w:rPr>
          <w:rFonts w:asciiTheme="majorHAnsi" w:hAnsiTheme="majorHAnsi"/>
          <w:sz w:val="20"/>
          <w:szCs w:val="20"/>
          <w:lang w:val="es-ES_tradnl"/>
        </w:rPr>
      </w:pPr>
      <w:r w:rsidRPr="00407A7B">
        <w:rPr>
          <w:rFonts w:asciiTheme="majorHAnsi" w:hAnsiTheme="majorHAnsi"/>
          <w:sz w:val="20"/>
          <w:szCs w:val="20"/>
          <w:lang w:val="es-ES_tradnl"/>
        </w:rPr>
        <w:t>La Comisión comunic</w:t>
      </w:r>
      <w:r w:rsidR="00531E85" w:rsidRPr="00407A7B">
        <w:rPr>
          <w:rFonts w:asciiTheme="majorHAnsi" w:hAnsiTheme="majorHAnsi"/>
          <w:sz w:val="20"/>
          <w:szCs w:val="20"/>
          <w:lang w:val="es-ES_tradnl"/>
        </w:rPr>
        <w:t>ó</w:t>
      </w:r>
      <w:r w:rsidRPr="00407A7B">
        <w:rPr>
          <w:rFonts w:asciiTheme="majorHAnsi" w:hAnsiTheme="majorHAnsi"/>
          <w:sz w:val="20"/>
          <w:szCs w:val="20"/>
          <w:lang w:val="es-ES_tradnl"/>
        </w:rPr>
        <w:t xml:space="preserve"> al Estado de Costa Rica su decisión de abrir a </w:t>
      </w:r>
      <w:r w:rsidR="00A9284B" w:rsidRPr="00407A7B">
        <w:rPr>
          <w:rFonts w:asciiTheme="majorHAnsi" w:hAnsiTheme="majorHAnsi"/>
          <w:sz w:val="20"/>
          <w:szCs w:val="20"/>
          <w:lang w:val="es-ES_tradnl"/>
        </w:rPr>
        <w:t>trámite</w:t>
      </w:r>
      <w:r w:rsidRPr="00407A7B">
        <w:rPr>
          <w:rFonts w:asciiTheme="majorHAnsi" w:hAnsiTheme="majorHAnsi"/>
          <w:sz w:val="20"/>
          <w:szCs w:val="20"/>
          <w:lang w:val="es-ES_tradnl"/>
        </w:rPr>
        <w:t xml:space="preserve"> la petición suscripta por el Sr. Cochran </w:t>
      </w:r>
      <w:r w:rsidR="00A9284B" w:rsidRPr="00407A7B">
        <w:rPr>
          <w:rFonts w:asciiTheme="majorHAnsi" w:hAnsiTheme="majorHAnsi"/>
          <w:sz w:val="20"/>
          <w:szCs w:val="20"/>
          <w:lang w:val="es-ES_tradnl"/>
        </w:rPr>
        <w:t>el 28</w:t>
      </w:r>
      <w:r w:rsidR="00272114" w:rsidRPr="00407A7B">
        <w:rPr>
          <w:rFonts w:asciiTheme="majorHAnsi" w:hAnsiTheme="majorHAnsi"/>
          <w:sz w:val="20"/>
          <w:szCs w:val="20"/>
          <w:lang w:val="es-ES_tradnl"/>
        </w:rPr>
        <w:t xml:space="preserve"> de diciembre de 2011</w:t>
      </w:r>
      <w:r w:rsidR="00426AAC" w:rsidRPr="00407A7B">
        <w:rPr>
          <w:rFonts w:asciiTheme="majorHAnsi" w:hAnsiTheme="majorHAnsi"/>
          <w:sz w:val="20"/>
          <w:szCs w:val="20"/>
          <w:lang w:val="es-ES_tradnl"/>
        </w:rPr>
        <w:t xml:space="preserve">. El 2 de mayo de 2012 el Estado de Costa Rica remitió su primera comunicación. En dicha presentación, el Estado </w:t>
      </w:r>
      <w:r w:rsidR="00064A83" w:rsidRPr="00407A7B">
        <w:rPr>
          <w:rFonts w:asciiTheme="majorHAnsi" w:hAnsiTheme="majorHAnsi"/>
          <w:sz w:val="20"/>
          <w:szCs w:val="20"/>
          <w:lang w:val="es-ES_tradnl"/>
        </w:rPr>
        <w:t xml:space="preserve">comenzó por compartir diversa información respecto del proceso penal seguido contra el peticionario y, en particular, de la manera en que la Sala Tercera de la Corte Suprema de Justicia respondió a diversas cuestiones planteadas por el Sr. Cochran tanto en su recurso de casación como en las sucesivas presentaciones ante la CIDH. </w:t>
      </w:r>
    </w:p>
    <w:p w14:paraId="0B2FADFF" w14:textId="77777777" w:rsidR="00064A83" w:rsidRPr="00407A7B" w:rsidRDefault="00064A83" w:rsidP="000779C4">
      <w:pPr>
        <w:pStyle w:val="ListParagraph"/>
        <w:tabs>
          <w:tab w:val="left" w:pos="0"/>
          <w:tab w:val="left" w:pos="567"/>
        </w:tabs>
        <w:suppressAutoHyphens/>
        <w:ind w:left="0"/>
        <w:jc w:val="both"/>
        <w:rPr>
          <w:rFonts w:asciiTheme="majorHAnsi" w:hAnsiTheme="majorHAnsi"/>
          <w:sz w:val="20"/>
          <w:szCs w:val="20"/>
          <w:lang w:val="es-ES_tradnl"/>
        </w:rPr>
      </w:pPr>
    </w:p>
    <w:p w14:paraId="3F32CE6D" w14:textId="77777777" w:rsidR="00716029" w:rsidRPr="00407A7B" w:rsidRDefault="00064A83" w:rsidP="000779C4">
      <w:pPr>
        <w:pStyle w:val="ListParagraph"/>
        <w:numPr>
          <w:ilvl w:val="0"/>
          <w:numId w:val="55"/>
        </w:numPr>
        <w:tabs>
          <w:tab w:val="left" w:pos="0"/>
          <w:tab w:val="left" w:pos="567"/>
        </w:tabs>
        <w:suppressAutoHyphens/>
        <w:ind w:left="0" w:firstLine="0"/>
        <w:jc w:val="both"/>
        <w:rPr>
          <w:rFonts w:asciiTheme="majorHAnsi" w:hAnsiTheme="majorHAnsi"/>
          <w:sz w:val="20"/>
          <w:szCs w:val="20"/>
          <w:lang w:val="es-ES_tradnl"/>
        </w:rPr>
      </w:pPr>
      <w:r w:rsidRPr="00407A7B">
        <w:rPr>
          <w:rFonts w:asciiTheme="majorHAnsi" w:hAnsiTheme="majorHAnsi"/>
          <w:sz w:val="20"/>
          <w:szCs w:val="20"/>
          <w:lang w:val="es-ES_tradnl"/>
        </w:rPr>
        <w:t xml:space="preserve">Con respecto a la alegada violación del derecho a recurrir la sentencia condenatoria, el Estado sostuvo que la decisión de la Corte IDH en el caso Herrera Ulloa no significa que todos los casos anteriormente resueltos por la casación costarricense fueran automáticamente nulos y que en el caso del Sr. Cochran no se aprecia que el tribunal de alzada haya actuado con rigor formalista ni que se haya negado el acceso a reclamos sobre la determinación de los hechos o la valoración de la prueba. </w:t>
      </w:r>
    </w:p>
    <w:p w14:paraId="1B260DAE" w14:textId="77777777" w:rsidR="00064A83" w:rsidRPr="00407A7B" w:rsidRDefault="00064A83" w:rsidP="000779C4">
      <w:pPr>
        <w:pStyle w:val="ListParagraph"/>
        <w:tabs>
          <w:tab w:val="left" w:pos="567"/>
        </w:tabs>
        <w:rPr>
          <w:rFonts w:asciiTheme="majorHAnsi" w:hAnsiTheme="majorHAnsi"/>
          <w:sz w:val="20"/>
          <w:szCs w:val="20"/>
          <w:lang w:val="es-ES_tradnl"/>
        </w:rPr>
      </w:pPr>
    </w:p>
    <w:p w14:paraId="1DE79D23" w14:textId="77777777" w:rsidR="007541E7" w:rsidRPr="00407A7B" w:rsidRDefault="00064A83" w:rsidP="000779C4">
      <w:pPr>
        <w:pStyle w:val="ListParagraph"/>
        <w:numPr>
          <w:ilvl w:val="0"/>
          <w:numId w:val="55"/>
        </w:numPr>
        <w:tabs>
          <w:tab w:val="left" w:pos="0"/>
          <w:tab w:val="left" w:pos="567"/>
        </w:tabs>
        <w:suppressAutoHyphens/>
        <w:ind w:left="0" w:firstLine="0"/>
        <w:jc w:val="both"/>
        <w:rPr>
          <w:rFonts w:asciiTheme="majorHAnsi" w:hAnsiTheme="majorHAnsi"/>
          <w:sz w:val="20"/>
          <w:szCs w:val="20"/>
          <w:lang w:val="es-ES_tradnl"/>
        </w:rPr>
      </w:pPr>
      <w:r w:rsidRPr="00407A7B">
        <w:rPr>
          <w:rFonts w:asciiTheme="majorHAnsi" w:hAnsiTheme="majorHAnsi"/>
          <w:sz w:val="20"/>
          <w:szCs w:val="20"/>
          <w:lang w:val="es-ES_tradnl"/>
        </w:rPr>
        <w:t xml:space="preserve">En torno a la cuestión de la </w:t>
      </w:r>
      <w:r w:rsidR="007541E7" w:rsidRPr="00407A7B">
        <w:rPr>
          <w:rFonts w:asciiTheme="majorHAnsi" w:hAnsiTheme="majorHAnsi"/>
          <w:sz w:val="20"/>
          <w:szCs w:val="20"/>
          <w:lang w:val="es-ES_tradnl"/>
        </w:rPr>
        <w:t xml:space="preserve">alegada afectación a la garantía de la inviolabilidad del domicilio del Sr Cochran, el Estado aseguró, con cita de la sentencia de la Sala Tercera de la Corte Suprema, que la autorización para ingresar al inmueble fue tramitada de manera verbal, ya que el peticionario fue visto ingresando poco tiempo antes a su domicilio en compañía de un menor de edad. En consecuencia, el Estado sostuvo que esa circunstancia determinó que fuera necesario realizar el allanamiento en horas de la noche y mediante el mencionado trámite. </w:t>
      </w:r>
    </w:p>
    <w:p w14:paraId="598401C8" w14:textId="77777777" w:rsidR="007541E7" w:rsidRPr="00407A7B" w:rsidRDefault="007541E7" w:rsidP="000779C4">
      <w:pPr>
        <w:pStyle w:val="ListParagraph"/>
        <w:tabs>
          <w:tab w:val="left" w:pos="567"/>
        </w:tabs>
        <w:rPr>
          <w:rFonts w:asciiTheme="majorHAnsi" w:hAnsiTheme="majorHAnsi"/>
          <w:sz w:val="20"/>
          <w:szCs w:val="20"/>
          <w:lang w:val="es-ES_tradnl"/>
        </w:rPr>
      </w:pPr>
    </w:p>
    <w:p w14:paraId="38454D18" w14:textId="77777777" w:rsidR="00064A83" w:rsidRPr="00407A7B" w:rsidRDefault="007541E7" w:rsidP="000779C4">
      <w:pPr>
        <w:pStyle w:val="ListParagraph"/>
        <w:numPr>
          <w:ilvl w:val="0"/>
          <w:numId w:val="55"/>
        </w:numPr>
        <w:tabs>
          <w:tab w:val="left" w:pos="0"/>
          <w:tab w:val="left" w:pos="567"/>
        </w:tabs>
        <w:suppressAutoHyphens/>
        <w:ind w:left="0" w:firstLine="0"/>
        <w:jc w:val="both"/>
        <w:rPr>
          <w:rFonts w:asciiTheme="majorHAnsi" w:hAnsiTheme="majorHAnsi"/>
          <w:sz w:val="20"/>
          <w:szCs w:val="20"/>
          <w:lang w:val="es-ES_tradnl"/>
        </w:rPr>
      </w:pPr>
      <w:r w:rsidRPr="00407A7B">
        <w:rPr>
          <w:rFonts w:asciiTheme="majorHAnsi" w:hAnsiTheme="majorHAnsi"/>
          <w:sz w:val="20"/>
          <w:szCs w:val="20"/>
          <w:lang w:val="es-ES_tradnl"/>
        </w:rPr>
        <w:t xml:space="preserve">  En lo que tiene que ver con el derecho a la defensa en juicio, el Estado sostuvo que de las actas de audiencias del juicio oral no revelan una manifiesta negligencia por parte de los abogados que ejercieron la defensa del Sr. Cochran y citó diversos ejemplos en ese sentido. </w:t>
      </w:r>
    </w:p>
    <w:p w14:paraId="55AB59B9" w14:textId="77777777" w:rsidR="007541E7" w:rsidRPr="00407A7B" w:rsidRDefault="007541E7" w:rsidP="000779C4">
      <w:pPr>
        <w:pStyle w:val="ListParagraph"/>
        <w:tabs>
          <w:tab w:val="left" w:pos="567"/>
        </w:tabs>
        <w:rPr>
          <w:rFonts w:asciiTheme="majorHAnsi" w:hAnsiTheme="majorHAnsi"/>
          <w:sz w:val="20"/>
          <w:szCs w:val="20"/>
          <w:lang w:val="es-ES_tradnl"/>
        </w:rPr>
      </w:pPr>
    </w:p>
    <w:p w14:paraId="299DFD67" w14:textId="77777777" w:rsidR="002567A0" w:rsidRPr="00407A7B" w:rsidRDefault="007541E7" w:rsidP="000779C4">
      <w:pPr>
        <w:pStyle w:val="ListParagraph"/>
        <w:numPr>
          <w:ilvl w:val="0"/>
          <w:numId w:val="55"/>
        </w:numPr>
        <w:tabs>
          <w:tab w:val="left" w:pos="0"/>
          <w:tab w:val="left" w:pos="567"/>
        </w:tabs>
        <w:suppressAutoHyphens/>
        <w:ind w:left="0" w:firstLine="0"/>
        <w:jc w:val="both"/>
        <w:rPr>
          <w:rFonts w:asciiTheme="majorHAnsi" w:hAnsiTheme="majorHAnsi"/>
          <w:sz w:val="20"/>
          <w:szCs w:val="20"/>
          <w:lang w:val="es-ES_tradnl"/>
        </w:rPr>
      </w:pPr>
      <w:r w:rsidRPr="00407A7B">
        <w:rPr>
          <w:rFonts w:asciiTheme="majorHAnsi" w:hAnsiTheme="majorHAnsi"/>
          <w:sz w:val="20"/>
          <w:szCs w:val="20"/>
          <w:lang w:val="es-ES_tradnl"/>
        </w:rPr>
        <w:t xml:space="preserve">Por </w:t>
      </w:r>
      <w:r w:rsidR="00A9284B" w:rsidRPr="00407A7B">
        <w:rPr>
          <w:rFonts w:asciiTheme="majorHAnsi" w:hAnsiTheme="majorHAnsi"/>
          <w:sz w:val="20"/>
          <w:szCs w:val="20"/>
          <w:lang w:val="es-ES_tradnl"/>
        </w:rPr>
        <w:t>último</w:t>
      </w:r>
      <w:r w:rsidRPr="00407A7B">
        <w:rPr>
          <w:rFonts w:asciiTheme="majorHAnsi" w:hAnsiTheme="majorHAnsi"/>
          <w:sz w:val="20"/>
          <w:szCs w:val="20"/>
          <w:lang w:val="es-ES_tradnl"/>
        </w:rPr>
        <w:t xml:space="preserve">, </w:t>
      </w:r>
      <w:r w:rsidR="00D77203" w:rsidRPr="00407A7B">
        <w:rPr>
          <w:rFonts w:asciiTheme="majorHAnsi" w:hAnsiTheme="majorHAnsi"/>
          <w:sz w:val="20"/>
          <w:szCs w:val="20"/>
          <w:lang w:val="es-ES_tradnl"/>
        </w:rPr>
        <w:t xml:space="preserve">y en relación con la alegada omisión de las autoridades de la notificación al Sr. Cochran de su derecho de contar con asistencia consular, el Estado señaló - con cita de la sentencia de la Sala Tercera de fecha 30 de noviembre de 2010 que declaró sin lugar un procedimiento de revisión interpuesto por el peticionario - que el peticionario no solicitó a las oficinas estatales correspondientes que comuniquen su situación personal al consulado de su país. En este sentido, el Estado afirmó que la ausencia de intervención de las autoridades consulares de los Estados Unidos de América se debió exclusivamente a la falta de gestión realizada por el Sr. Cochran y sus abogados defensores. </w:t>
      </w:r>
    </w:p>
    <w:p w14:paraId="2D0F212D" w14:textId="77777777" w:rsidR="00531E85" w:rsidRPr="00407A7B" w:rsidRDefault="00531E85" w:rsidP="000779C4">
      <w:pPr>
        <w:pStyle w:val="ListParagraph"/>
        <w:tabs>
          <w:tab w:val="left" w:pos="567"/>
        </w:tabs>
        <w:rPr>
          <w:rFonts w:asciiTheme="majorHAnsi" w:hAnsiTheme="majorHAnsi"/>
          <w:sz w:val="20"/>
          <w:szCs w:val="20"/>
          <w:lang w:val="es-ES_tradnl"/>
        </w:rPr>
      </w:pPr>
    </w:p>
    <w:p w14:paraId="38787D23" w14:textId="77777777" w:rsidR="00531E85" w:rsidRPr="00407A7B" w:rsidRDefault="00531E85" w:rsidP="000779C4">
      <w:pPr>
        <w:pStyle w:val="ListParagraph"/>
        <w:numPr>
          <w:ilvl w:val="0"/>
          <w:numId w:val="55"/>
        </w:numPr>
        <w:tabs>
          <w:tab w:val="left" w:pos="0"/>
          <w:tab w:val="left" w:pos="567"/>
        </w:tabs>
        <w:suppressAutoHyphens/>
        <w:ind w:left="0" w:firstLine="0"/>
        <w:jc w:val="both"/>
        <w:rPr>
          <w:rFonts w:asciiTheme="majorHAnsi" w:hAnsiTheme="majorHAnsi"/>
          <w:sz w:val="20"/>
          <w:szCs w:val="20"/>
          <w:lang w:val="es-ES_tradnl"/>
        </w:rPr>
      </w:pPr>
      <w:r w:rsidRPr="00407A7B">
        <w:rPr>
          <w:rFonts w:asciiTheme="majorHAnsi" w:hAnsiTheme="majorHAnsi"/>
          <w:sz w:val="20"/>
          <w:szCs w:val="20"/>
          <w:lang w:val="es-ES_tradnl"/>
        </w:rPr>
        <w:lastRenderedPageBreak/>
        <w:t xml:space="preserve">El 5 de noviembre de 2018 el Estado remitió su documento de observaciones adicionales sobre el fondo. En primer </w:t>
      </w:r>
      <w:r w:rsidR="00A9284B" w:rsidRPr="00407A7B">
        <w:rPr>
          <w:rFonts w:asciiTheme="majorHAnsi" w:hAnsiTheme="majorHAnsi"/>
          <w:sz w:val="20"/>
          <w:szCs w:val="20"/>
          <w:lang w:val="es-ES_tradnl"/>
        </w:rPr>
        <w:t>término</w:t>
      </w:r>
      <w:r w:rsidRPr="00407A7B">
        <w:rPr>
          <w:rFonts w:asciiTheme="majorHAnsi" w:hAnsiTheme="majorHAnsi"/>
          <w:sz w:val="20"/>
          <w:szCs w:val="20"/>
          <w:lang w:val="es-ES_tradnl"/>
        </w:rPr>
        <w:t xml:space="preserve">, el Estado comunicó su decisión de no </w:t>
      </w:r>
      <w:r w:rsidR="00416B1D" w:rsidRPr="00407A7B">
        <w:rPr>
          <w:rFonts w:asciiTheme="majorHAnsi" w:hAnsiTheme="majorHAnsi"/>
          <w:sz w:val="20"/>
          <w:szCs w:val="20"/>
          <w:lang w:val="es-ES_tradnl"/>
        </w:rPr>
        <w:t>participar en</w:t>
      </w:r>
      <w:r w:rsidRPr="00407A7B">
        <w:rPr>
          <w:rFonts w:asciiTheme="majorHAnsi" w:hAnsiTheme="majorHAnsi"/>
          <w:sz w:val="20"/>
          <w:szCs w:val="20"/>
          <w:lang w:val="es-ES_tradnl"/>
        </w:rPr>
        <w:t xml:space="preserve"> un procedimiento de solución amistosa </w:t>
      </w:r>
      <w:r w:rsidR="00416B1D" w:rsidRPr="00407A7B">
        <w:rPr>
          <w:rFonts w:asciiTheme="majorHAnsi" w:hAnsiTheme="majorHAnsi"/>
          <w:sz w:val="20"/>
          <w:szCs w:val="20"/>
          <w:lang w:val="es-ES_tradnl"/>
        </w:rPr>
        <w:t xml:space="preserve">toda vez que, a su juicio, no se hallan presentes los requisitos básicos de admisibilidad de la petición y, en segundo </w:t>
      </w:r>
      <w:r w:rsidR="00A9284B" w:rsidRPr="00407A7B">
        <w:rPr>
          <w:rFonts w:asciiTheme="majorHAnsi" w:hAnsiTheme="majorHAnsi"/>
          <w:sz w:val="20"/>
          <w:szCs w:val="20"/>
          <w:lang w:val="es-ES_tradnl"/>
        </w:rPr>
        <w:t>término</w:t>
      </w:r>
      <w:r w:rsidR="00416B1D" w:rsidRPr="00407A7B">
        <w:rPr>
          <w:rFonts w:asciiTheme="majorHAnsi" w:hAnsiTheme="majorHAnsi"/>
          <w:sz w:val="20"/>
          <w:szCs w:val="20"/>
          <w:lang w:val="es-ES_tradnl"/>
        </w:rPr>
        <w:t xml:space="preserve">, por no existir violación alguna de los derechos del Sr. Cochran. </w:t>
      </w:r>
    </w:p>
    <w:p w14:paraId="01656DA1" w14:textId="77777777" w:rsidR="00173A03" w:rsidRPr="00407A7B" w:rsidRDefault="00173A03" w:rsidP="000779C4">
      <w:pPr>
        <w:pStyle w:val="ListParagraph"/>
        <w:tabs>
          <w:tab w:val="left" w:pos="567"/>
        </w:tabs>
        <w:rPr>
          <w:rFonts w:asciiTheme="majorHAnsi" w:hAnsiTheme="majorHAnsi"/>
          <w:sz w:val="20"/>
          <w:szCs w:val="20"/>
          <w:lang w:val="es-ES_tradnl"/>
        </w:rPr>
      </w:pPr>
    </w:p>
    <w:p w14:paraId="2B2B58A9" w14:textId="77777777" w:rsidR="00173A03" w:rsidRPr="00407A7B" w:rsidRDefault="00173A03" w:rsidP="000779C4">
      <w:pPr>
        <w:pStyle w:val="ListParagraph"/>
        <w:numPr>
          <w:ilvl w:val="0"/>
          <w:numId w:val="55"/>
        </w:numPr>
        <w:tabs>
          <w:tab w:val="left" w:pos="0"/>
          <w:tab w:val="left" w:pos="567"/>
        </w:tabs>
        <w:suppressAutoHyphens/>
        <w:ind w:left="0" w:firstLine="0"/>
        <w:jc w:val="both"/>
        <w:rPr>
          <w:rFonts w:asciiTheme="majorHAnsi" w:hAnsiTheme="majorHAnsi"/>
          <w:sz w:val="20"/>
          <w:szCs w:val="20"/>
          <w:lang w:val="es-ES_tradnl"/>
        </w:rPr>
      </w:pPr>
      <w:r w:rsidRPr="00407A7B">
        <w:rPr>
          <w:rFonts w:asciiTheme="majorHAnsi" w:hAnsiTheme="majorHAnsi"/>
          <w:sz w:val="20"/>
          <w:szCs w:val="20"/>
          <w:lang w:val="es-ES_tradnl"/>
        </w:rPr>
        <w:t xml:space="preserve">Con respecto a la admisibilidad de la petición, el Estado </w:t>
      </w:r>
      <w:r w:rsidR="001C7E79" w:rsidRPr="00407A7B">
        <w:rPr>
          <w:rFonts w:asciiTheme="majorHAnsi" w:hAnsiTheme="majorHAnsi"/>
          <w:sz w:val="20"/>
          <w:szCs w:val="20"/>
          <w:lang w:val="es-ES_tradnl"/>
        </w:rPr>
        <w:t>aseguró que el procedimiento de revisión contemplado en la legislación procesal costarricense garantiz</w:t>
      </w:r>
      <w:r w:rsidR="002C6542" w:rsidRPr="00407A7B">
        <w:rPr>
          <w:rFonts w:asciiTheme="majorHAnsi" w:hAnsiTheme="majorHAnsi"/>
          <w:sz w:val="20"/>
          <w:szCs w:val="20"/>
          <w:lang w:val="es-ES_tradnl"/>
        </w:rPr>
        <w:t>ó</w:t>
      </w:r>
      <w:r w:rsidR="001C7E79" w:rsidRPr="00407A7B">
        <w:rPr>
          <w:rFonts w:asciiTheme="majorHAnsi" w:hAnsiTheme="majorHAnsi"/>
          <w:sz w:val="20"/>
          <w:szCs w:val="20"/>
          <w:lang w:val="es-ES_tradnl"/>
        </w:rPr>
        <w:t xml:space="preserve"> al peticionario un recurso accesible, adecuado y efectivo. En este sentido, el Estado asegur</w:t>
      </w:r>
      <w:r w:rsidR="002C6542" w:rsidRPr="00407A7B">
        <w:rPr>
          <w:rFonts w:asciiTheme="majorHAnsi" w:hAnsiTheme="majorHAnsi"/>
          <w:sz w:val="20"/>
          <w:szCs w:val="20"/>
          <w:lang w:val="es-ES_tradnl"/>
        </w:rPr>
        <w:t>ó</w:t>
      </w:r>
      <w:r w:rsidR="001C7E79" w:rsidRPr="00407A7B">
        <w:rPr>
          <w:rFonts w:asciiTheme="majorHAnsi" w:hAnsiTheme="majorHAnsi"/>
          <w:sz w:val="20"/>
          <w:szCs w:val="20"/>
          <w:lang w:val="es-ES_tradnl"/>
        </w:rPr>
        <w:t xml:space="preserve"> que el Sr. Cochran no utilizó los mecanismos especiales de revisión creados </w:t>
      </w:r>
      <w:r w:rsidR="002C6542" w:rsidRPr="00407A7B">
        <w:rPr>
          <w:rFonts w:asciiTheme="majorHAnsi" w:hAnsiTheme="majorHAnsi"/>
          <w:sz w:val="20"/>
          <w:szCs w:val="20"/>
          <w:lang w:val="es-ES_tradnl"/>
        </w:rPr>
        <w:t xml:space="preserve">para atender la situación de aquellos cuyas condenas fueron confirmadas con anterioridad </w:t>
      </w:r>
      <w:r w:rsidR="001C7E79" w:rsidRPr="00407A7B">
        <w:rPr>
          <w:rFonts w:asciiTheme="majorHAnsi" w:hAnsiTheme="majorHAnsi"/>
          <w:sz w:val="20"/>
          <w:szCs w:val="20"/>
          <w:lang w:val="es-ES_tradnl"/>
        </w:rPr>
        <w:t xml:space="preserve">a la </w:t>
      </w:r>
      <w:r w:rsidR="002C6542" w:rsidRPr="00407A7B">
        <w:rPr>
          <w:rFonts w:asciiTheme="majorHAnsi" w:hAnsiTheme="majorHAnsi"/>
          <w:sz w:val="20"/>
          <w:szCs w:val="20"/>
          <w:lang w:val="es-ES_tradnl"/>
        </w:rPr>
        <w:t xml:space="preserve">sentencia de la Corte IDH en el caso Herrera Ulloa y a la reforma del régimen recursivo costarricense efectuado por las leyes 8503 y 8837. En consecuencia, el Estado concluyó que el Sr. Cochran no agotó la vía interna ante las instancias judiciales nacionales.  </w:t>
      </w:r>
    </w:p>
    <w:p w14:paraId="38F51474" w14:textId="77777777" w:rsidR="00D55F9E" w:rsidRPr="00407A7B" w:rsidRDefault="00D55F9E" w:rsidP="000779C4">
      <w:pPr>
        <w:pStyle w:val="ListParagraph"/>
        <w:tabs>
          <w:tab w:val="left" w:pos="567"/>
        </w:tabs>
        <w:rPr>
          <w:rFonts w:asciiTheme="majorHAnsi" w:hAnsiTheme="majorHAnsi"/>
          <w:sz w:val="20"/>
          <w:szCs w:val="20"/>
          <w:lang w:val="es-ES_tradnl"/>
        </w:rPr>
      </w:pPr>
    </w:p>
    <w:p w14:paraId="2D1E68F1" w14:textId="77777777" w:rsidR="00D55F9E" w:rsidRPr="00407A7B" w:rsidRDefault="00D55F9E" w:rsidP="000779C4">
      <w:pPr>
        <w:pStyle w:val="ListParagraph"/>
        <w:numPr>
          <w:ilvl w:val="0"/>
          <w:numId w:val="55"/>
        </w:numPr>
        <w:tabs>
          <w:tab w:val="left" w:pos="0"/>
          <w:tab w:val="left" w:pos="567"/>
        </w:tabs>
        <w:suppressAutoHyphens/>
        <w:ind w:left="0" w:firstLine="0"/>
        <w:jc w:val="both"/>
        <w:rPr>
          <w:rFonts w:asciiTheme="majorHAnsi" w:hAnsiTheme="majorHAnsi"/>
          <w:sz w:val="20"/>
          <w:szCs w:val="20"/>
          <w:lang w:val="es-ES_tradnl"/>
        </w:rPr>
      </w:pPr>
      <w:r w:rsidRPr="00407A7B">
        <w:rPr>
          <w:rFonts w:asciiTheme="majorHAnsi" w:hAnsiTheme="majorHAnsi"/>
          <w:sz w:val="20"/>
          <w:szCs w:val="20"/>
          <w:lang w:val="es-ES_tradnl"/>
        </w:rPr>
        <w:t xml:space="preserve">Adicionalmente, el Estado aseguró que, considerando la fecha de resolución del recurso de </w:t>
      </w:r>
      <w:r w:rsidR="00A9284B" w:rsidRPr="00407A7B">
        <w:rPr>
          <w:rFonts w:asciiTheme="majorHAnsi" w:hAnsiTheme="majorHAnsi"/>
          <w:sz w:val="20"/>
          <w:szCs w:val="20"/>
          <w:lang w:val="es-ES_tradnl"/>
        </w:rPr>
        <w:t>casación, la</w:t>
      </w:r>
      <w:r w:rsidRPr="00407A7B">
        <w:rPr>
          <w:rFonts w:asciiTheme="majorHAnsi" w:hAnsiTheme="majorHAnsi"/>
          <w:sz w:val="20"/>
          <w:szCs w:val="20"/>
          <w:lang w:val="es-ES_tradnl"/>
        </w:rPr>
        <w:t xml:space="preserve"> petición debe ser declarada inadmisible ya que fue interpuesta por fuera del plazo de seis meses exigido por el </w:t>
      </w:r>
      <w:r w:rsidR="00A9284B" w:rsidRPr="00407A7B">
        <w:rPr>
          <w:rFonts w:asciiTheme="majorHAnsi" w:hAnsiTheme="majorHAnsi"/>
          <w:sz w:val="20"/>
          <w:szCs w:val="20"/>
          <w:lang w:val="es-ES_tradnl"/>
        </w:rPr>
        <w:t>artículo</w:t>
      </w:r>
      <w:r w:rsidRPr="00407A7B">
        <w:rPr>
          <w:rFonts w:asciiTheme="majorHAnsi" w:hAnsiTheme="majorHAnsi"/>
          <w:sz w:val="20"/>
          <w:szCs w:val="20"/>
          <w:lang w:val="es-ES_tradnl"/>
        </w:rPr>
        <w:t xml:space="preserve"> 46.1.b de la Convención Americana sobre Derechos Humanos. </w:t>
      </w:r>
    </w:p>
    <w:p w14:paraId="02ACA997" w14:textId="77777777" w:rsidR="00D55F9E" w:rsidRPr="00407A7B" w:rsidRDefault="00D55F9E" w:rsidP="000779C4">
      <w:pPr>
        <w:pStyle w:val="ListParagraph"/>
        <w:tabs>
          <w:tab w:val="left" w:pos="567"/>
        </w:tabs>
        <w:rPr>
          <w:rFonts w:asciiTheme="majorHAnsi" w:hAnsiTheme="majorHAnsi"/>
          <w:sz w:val="20"/>
          <w:szCs w:val="20"/>
          <w:lang w:val="es-ES_tradnl"/>
        </w:rPr>
      </w:pPr>
    </w:p>
    <w:p w14:paraId="34F2B6A3" w14:textId="77777777" w:rsidR="00D55F9E" w:rsidRPr="00407A7B" w:rsidRDefault="00D55F9E" w:rsidP="000779C4">
      <w:pPr>
        <w:pStyle w:val="ListParagraph"/>
        <w:numPr>
          <w:ilvl w:val="0"/>
          <w:numId w:val="55"/>
        </w:numPr>
        <w:tabs>
          <w:tab w:val="left" w:pos="0"/>
          <w:tab w:val="left" w:pos="567"/>
        </w:tabs>
        <w:suppressAutoHyphens/>
        <w:ind w:left="0" w:firstLine="0"/>
        <w:jc w:val="both"/>
        <w:rPr>
          <w:rFonts w:asciiTheme="majorHAnsi" w:hAnsiTheme="majorHAnsi"/>
          <w:sz w:val="20"/>
          <w:szCs w:val="20"/>
          <w:lang w:val="es-ES_tradnl"/>
        </w:rPr>
      </w:pPr>
      <w:r w:rsidRPr="00407A7B">
        <w:rPr>
          <w:rFonts w:asciiTheme="majorHAnsi" w:hAnsiTheme="majorHAnsi"/>
          <w:sz w:val="20"/>
          <w:szCs w:val="20"/>
          <w:lang w:val="es-ES_tradnl"/>
        </w:rPr>
        <w:t xml:space="preserve">En lo que tiene que ver con el fondo de la petición, el Estado reafirmó, en primer </w:t>
      </w:r>
      <w:r w:rsidR="00A9284B" w:rsidRPr="00407A7B">
        <w:rPr>
          <w:rFonts w:asciiTheme="majorHAnsi" w:hAnsiTheme="majorHAnsi"/>
          <w:sz w:val="20"/>
          <w:szCs w:val="20"/>
          <w:lang w:val="es-ES_tradnl"/>
        </w:rPr>
        <w:t>término</w:t>
      </w:r>
      <w:r w:rsidRPr="00407A7B">
        <w:rPr>
          <w:rFonts w:asciiTheme="majorHAnsi" w:hAnsiTheme="majorHAnsi"/>
          <w:sz w:val="20"/>
          <w:szCs w:val="20"/>
          <w:lang w:val="es-ES_tradnl"/>
        </w:rPr>
        <w:t xml:space="preserve">, que ni el peticionario ni sus abogados solicitaron asistencia consular, por lo que no puede afirmarse que le fue negada esa posibilidad. Asimismo, el Estado añadió, esa omisión del peticionario no afectó su derecho de defensa, el cual fue ejercido sin restricción alguna. </w:t>
      </w:r>
    </w:p>
    <w:p w14:paraId="5E554835" w14:textId="77777777" w:rsidR="00D55F9E" w:rsidRPr="00407A7B" w:rsidRDefault="00D55F9E" w:rsidP="000779C4">
      <w:pPr>
        <w:pStyle w:val="ListParagraph"/>
        <w:tabs>
          <w:tab w:val="left" w:pos="567"/>
        </w:tabs>
        <w:rPr>
          <w:rFonts w:asciiTheme="majorHAnsi" w:hAnsiTheme="majorHAnsi"/>
          <w:sz w:val="20"/>
          <w:szCs w:val="20"/>
          <w:lang w:val="es-ES_tradnl"/>
        </w:rPr>
      </w:pPr>
    </w:p>
    <w:p w14:paraId="08C0048E" w14:textId="77777777" w:rsidR="00D55F9E" w:rsidRPr="00407A7B" w:rsidRDefault="00D55F9E" w:rsidP="000779C4">
      <w:pPr>
        <w:pStyle w:val="ListParagraph"/>
        <w:numPr>
          <w:ilvl w:val="0"/>
          <w:numId w:val="55"/>
        </w:numPr>
        <w:tabs>
          <w:tab w:val="left" w:pos="0"/>
          <w:tab w:val="left" w:pos="567"/>
        </w:tabs>
        <w:suppressAutoHyphens/>
        <w:ind w:left="0" w:firstLine="0"/>
        <w:jc w:val="both"/>
        <w:rPr>
          <w:rFonts w:asciiTheme="majorHAnsi" w:hAnsiTheme="majorHAnsi"/>
          <w:sz w:val="20"/>
          <w:szCs w:val="20"/>
          <w:lang w:val="es-ES_tradnl"/>
        </w:rPr>
      </w:pPr>
      <w:r w:rsidRPr="00407A7B">
        <w:rPr>
          <w:rFonts w:asciiTheme="majorHAnsi" w:hAnsiTheme="majorHAnsi"/>
          <w:sz w:val="20"/>
          <w:szCs w:val="20"/>
          <w:lang w:val="es-ES_tradnl"/>
        </w:rPr>
        <w:t>Por otro lado, el Estado reiteró que la sentencia dictada contra el Sr. Cochran cumple con todos los requerimientos legales previstos</w:t>
      </w:r>
      <w:r w:rsidR="000779C4" w:rsidRPr="00407A7B">
        <w:rPr>
          <w:rFonts w:asciiTheme="majorHAnsi" w:hAnsiTheme="majorHAnsi"/>
          <w:sz w:val="20"/>
          <w:szCs w:val="20"/>
          <w:lang w:val="es-ES_tradnl"/>
        </w:rPr>
        <w:t xml:space="preserve"> </w:t>
      </w:r>
      <w:r w:rsidRPr="00407A7B">
        <w:rPr>
          <w:rFonts w:asciiTheme="majorHAnsi" w:hAnsiTheme="majorHAnsi"/>
          <w:sz w:val="20"/>
          <w:szCs w:val="20"/>
          <w:lang w:val="es-ES_tradnl"/>
        </w:rPr>
        <w:t>por la normativa interna y los tratados internacionales de derechos humanos</w:t>
      </w:r>
      <w:r w:rsidR="003825E2" w:rsidRPr="00407A7B">
        <w:rPr>
          <w:rFonts w:asciiTheme="majorHAnsi" w:hAnsiTheme="majorHAnsi"/>
          <w:sz w:val="20"/>
          <w:szCs w:val="20"/>
          <w:lang w:val="es-ES_tradnl"/>
        </w:rPr>
        <w:t xml:space="preserve">. Finalmente, el Estado reafirmó su posición respecto de la ausencia de una violación del derecho a recurrir la sentencia condenatoria. En este sentido, el Estado concluyó, la petición debe ser rechazada ya que el Sr. Cochran pretende que los órganos del sistema interamericano de derechos humanos actúen como cuarta instancia revisora de lo decidido por los tribunales internos. </w:t>
      </w:r>
    </w:p>
    <w:p w14:paraId="497B7342" w14:textId="77777777" w:rsidR="00426AAC" w:rsidRPr="00407A7B" w:rsidRDefault="00426AAC" w:rsidP="00426AAC">
      <w:pPr>
        <w:tabs>
          <w:tab w:val="left" w:pos="0"/>
        </w:tabs>
        <w:suppressAutoHyphens/>
        <w:jc w:val="both"/>
        <w:rPr>
          <w:rFonts w:asciiTheme="majorHAnsi" w:hAnsiTheme="majorHAnsi"/>
          <w:sz w:val="20"/>
          <w:szCs w:val="20"/>
          <w:lang w:val="es-ES_tradnl"/>
        </w:rPr>
      </w:pPr>
    </w:p>
    <w:p w14:paraId="2001833F" w14:textId="77777777" w:rsidR="00426AAC" w:rsidRPr="00D42427" w:rsidRDefault="00426AAC" w:rsidP="00D42427">
      <w:pPr>
        <w:pStyle w:val="Heading1"/>
        <w:tabs>
          <w:tab w:val="left" w:pos="567"/>
        </w:tabs>
        <w:jc w:val="both"/>
      </w:pPr>
      <w:bookmarkStart w:id="7" w:name="_Toc41054007"/>
      <w:bookmarkStart w:id="8" w:name="_Toc54369862"/>
      <w:r w:rsidRPr="00D42427">
        <w:t>ANÁLISIS DE ADMISIBILIDAD</w:t>
      </w:r>
      <w:bookmarkEnd w:id="7"/>
      <w:bookmarkEnd w:id="8"/>
      <w:r w:rsidRPr="00D42427">
        <w:t xml:space="preserve"> </w:t>
      </w:r>
    </w:p>
    <w:p w14:paraId="7514BA50" w14:textId="77777777" w:rsidR="00426AAC" w:rsidRPr="00407A7B" w:rsidRDefault="00426AAC" w:rsidP="00426AAC">
      <w:pPr>
        <w:rPr>
          <w:sz w:val="20"/>
          <w:szCs w:val="20"/>
          <w:lang w:val="es-ES"/>
        </w:rPr>
      </w:pPr>
    </w:p>
    <w:p w14:paraId="373C7245" w14:textId="77777777" w:rsidR="00426AAC" w:rsidRPr="00407A7B" w:rsidRDefault="00426AAC" w:rsidP="00B00AA7">
      <w:pPr>
        <w:pStyle w:val="Heading2"/>
        <w:numPr>
          <w:ilvl w:val="0"/>
          <w:numId w:val="57"/>
        </w:numPr>
      </w:pPr>
      <w:bookmarkStart w:id="9" w:name="_Toc26215773"/>
      <w:bookmarkStart w:id="10" w:name="_Toc41054008"/>
      <w:bookmarkStart w:id="11" w:name="_Toc54369863"/>
      <w:r w:rsidRPr="00407A7B">
        <w:t>Competencia, duplicidad de procedimiento y cosa juzgada internacional.</w:t>
      </w:r>
      <w:bookmarkEnd w:id="9"/>
      <w:bookmarkEnd w:id="10"/>
      <w:bookmarkEnd w:id="11"/>
      <w:r w:rsidRPr="00407A7B">
        <w:t xml:space="preserve"> </w:t>
      </w:r>
    </w:p>
    <w:p w14:paraId="24F8876D" w14:textId="77777777" w:rsidR="00426AAC" w:rsidRPr="00407A7B" w:rsidRDefault="00426AAC" w:rsidP="00426AAC">
      <w:pPr>
        <w:rPr>
          <w:sz w:val="20"/>
          <w:szCs w:val="20"/>
          <w:lang w:val="es-ES"/>
        </w:rPr>
      </w:pPr>
    </w:p>
    <w:tbl>
      <w:tblPr>
        <w:tblW w:w="9446" w:type="dxa"/>
        <w:tblInd w:w="108" w:type="dxa"/>
        <w:tblLayout w:type="fixed"/>
        <w:tblLook w:val="0400" w:firstRow="0" w:lastRow="0" w:firstColumn="0" w:lastColumn="0" w:noHBand="0" w:noVBand="1"/>
      </w:tblPr>
      <w:tblGrid>
        <w:gridCol w:w="4723"/>
        <w:gridCol w:w="4723"/>
      </w:tblGrid>
      <w:tr w:rsidR="00426AAC" w:rsidRPr="00407A7B" w14:paraId="7BC40D7C" w14:textId="77777777" w:rsidTr="003A6852">
        <w:trPr>
          <w:trHeight w:val="280"/>
        </w:trPr>
        <w:tc>
          <w:tcPr>
            <w:tcW w:w="4723" w:type="dxa"/>
            <w:tcBorders>
              <w:top w:val="single" w:sz="8" w:space="0" w:color="000000"/>
              <w:left w:val="single" w:sz="8" w:space="0" w:color="000000"/>
              <w:bottom w:val="single" w:sz="8" w:space="0" w:color="000000"/>
              <w:right w:val="single" w:sz="8" w:space="0" w:color="000000"/>
            </w:tcBorders>
            <w:shd w:val="clear" w:color="auto" w:fill="386294"/>
            <w:tcMar>
              <w:top w:w="0" w:type="dxa"/>
              <w:left w:w="108" w:type="dxa"/>
              <w:bottom w:w="0" w:type="dxa"/>
              <w:right w:w="108" w:type="dxa"/>
            </w:tcMar>
            <w:vAlign w:val="center"/>
          </w:tcPr>
          <w:p w14:paraId="6D702993" w14:textId="77777777" w:rsidR="00426AAC" w:rsidRPr="00407A7B" w:rsidRDefault="00426AAC" w:rsidP="003A6852">
            <w:pPr>
              <w:jc w:val="center"/>
              <w:rPr>
                <w:rFonts w:ascii="Cambria" w:eastAsia="Cambria" w:hAnsi="Cambria" w:cs="Cambria"/>
                <w:i/>
                <w:color w:val="FFFFFF"/>
                <w:sz w:val="20"/>
                <w:szCs w:val="20"/>
                <w:lang w:val="es-ES"/>
              </w:rPr>
            </w:pPr>
            <w:r w:rsidRPr="00407A7B">
              <w:rPr>
                <w:rFonts w:ascii="Cambria" w:eastAsia="Cambria" w:hAnsi="Cambria" w:cs="Cambria"/>
                <w:color w:val="FFFFFF"/>
                <w:sz w:val="20"/>
                <w:szCs w:val="20"/>
                <w:lang w:val="es-ES"/>
              </w:rPr>
              <w:t>Competencia</w:t>
            </w:r>
            <w:r w:rsidRPr="00407A7B">
              <w:rPr>
                <w:rFonts w:ascii="Cambria" w:eastAsia="Cambria" w:hAnsi="Cambria" w:cs="Cambria"/>
                <w:i/>
                <w:color w:val="FFFFFF"/>
                <w:sz w:val="20"/>
                <w:szCs w:val="20"/>
                <w:lang w:val="es-ES"/>
              </w:rPr>
              <w:t xml:space="preserve"> Ratione personae:</w:t>
            </w:r>
          </w:p>
        </w:tc>
        <w:tc>
          <w:tcPr>
            <w:tcW w:w="472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2F7E976" w14:textId="77777777" w:rsidR="00426AAC" w:rsidRPr="00407A7B" w:rsidRDefault="00426AAC" w:rsidP="003A6852">
            <w:pPr>
              <w:rPr>
                <w:rFonts w:ascii="Cambria" w:eastAsia="Cambria" w:hAnsi="Cambria" w:cs="Cambria"/>
                <w:sz w:val="20"/>
                <w:szCs w:val="20"/>
                <w:lang w:val="es-ES"/>
              </w:rPr>
            </w:pPr>
            <w:r w:rsidRPr="00407A7B">
              <w:rPr>
                <w:rFonts w:ascii="Cambria" w:eastAsia="Cambria" w:hAnsi="Cambria" w:cs="Cambria"/>
                <w:sz w:val="20"/>
                <w:szCs w:val="20"/>
                <w:lang w:val="es-ES"/>
              </w:rPr>
              <w:t>Sí.</w:t>
            </w:r>
          </w:p>
        </w:tc>
      </w:tr>
      <w:tr w:rsidR="00426AAC" w:rsidRPr="00407A7B" w14:paraId="262D291E" w14:textId="77777777" w:rsidTr="003A6852">
        <w:trPr>
          <w:trHeight w:val="280"/>
        </w:trPr>
        <w:tc>
          <w:tcPr>
            <w:tcW w:w="4723" w:type="dxa"/>
            <w:tcBorders>
              <w:top w:val="nil"/>
              <w:left w:val="single" w:sz="8" w:space="0" w:color="000000"/>
              <w:bottom w:val="single" w:sz="8" w:space="0" w:color="000000"/>
              <w:right w:val="single" w:sz="8" w:space="0" w:color="000000"/>
            </w:tcBorders>
            <w:shd w:val="clear" w:color="auto" w:fill="386294"/>
            <w:tcMar>
              <w:top w:w="0" w:type="dxa"/>
              <w:left w:w="108" w:type="dxa"/>
              <w:bottom w:w="0" w:type="dxa"/>
              <w:right w:w="108" w:type="dxa"/>
            </w:tcMar>
            <w:vAlign w:val="center"/>
          </w:tcPr>
          <w:p w14:paraId="2B46420A" w14:textId="77777777" w:rsidR="00426AAC" w:rsidRPr="00407A7B" w:rsidRDefault="00426AAC" w:rsidP="003A6852">
            <w:pPr>
              <w:jc w:val="center"/>
              <w:rPr>
                <w:rFonts w:ascii="Cambria" w:eastAsia="Cambria" w:hAnsi="Cambria" w:cs="Cambria"/>
                <w:color w:val="FFFFFF"/>
                <w:sz w:val="20"/>
                <w:szCs w:val="20"/>
                <w:lang w:val="es-ES"/>
              </w:rPr>
            </w:pPr>
            <w:r w:rsidRPr="00407A7B">
              <w:rPr>
                <w:rFonts w:ascii="Cambria" w:eastAsia="Cambria" w:hAnsi="Cambria" w:cs="Cambria"/>
                <w:color w:val="FFFFFF"/>
                <w:sz w:val="20"/>
                <w:szCs w:val="20"/>
                <w:lang w:val="es-ES"/>
              </w:rPr>
              <w:t>Competencia</w:t>
            </w:r>
            <w:r w:rsidRPr="00407A7B">
              <w:rPr>
                <w:rFonts w:ascii="Cambria" w:eastAsia="Cambria" w:hAnsi="Cambria" w:cs="Cambria"/>
                <w:i/>
                <w:color w:val="FFFFFF"/>
                <w:sz w:val="20"/>
                <w:szCs w:val="20"/>
                <w:lang w:val="es-ES"/>
              </w:rPr>
              <w:t xml:space="preserve"> Ratione loci</w:t>
            </w:r>
            <w:r w:rsidRPr="00407A7B">
              <w:rPr>
                <w:rFonts w:ascii="Cambria" w:eastAsia="Cambria" w:hAnsi="Cambria" w:cs="Cambria"/>
                <w:color w:val="FFFFFF"/>
                <w:sz w:val="20"/>
                <w:szCs w:val="20"/>
                <w:lang w:val="es-ES"/>
              </w:rPr>
              <w:t>:</w:t>
            </w:r>
          </w:p>
        </w:tc>
        <w:tc>
          <w:tcPr>
            <w:tcW w:w="472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1604B15" w14:textId="77777777" w:rsidR="00426AAC" w:rsidRPr="00407A7B" w:rsidRDefault="00426AAC" w:rsidP="003A6852">
            <w:pPr>
              <w:rPr>
                <w:rFonts w:ascii="Cambria" w:eastAsia="Cambria" w:hAnsi="Cambria" w:cs="Cambria"/>
                <w:sz w:val="20"/>
                <w:szCs w:val="20"/>
                <w:lang w:val="es-ES"/>
              </w:rPr>
            </w:pPr>
            <w:r w:rsidRPr="00407A7B">
              <w:rPr>
                <w:rFonts w:ascii="Cambria" w:eastAsia="Cambria" w:hAnsi="Cambria" w:cs="Cambria"/>
                <w:sz w:val="20"/>
                <w:szCs w:val="20"/>
                <w:lang w:val="es-ES"/>
              </w:rPr>
              <w:t>Sí.</w:t>
            </w:r>
          </w:p>
        </w:tc>
      </w:tr>
      <w:tr w:rsidR="00426AAC" w:rsidRPr="00407A7B" w14:paraId="5ECFEA27" w14:textId="77777777" w:rsidTr="003A6852">
        <w:trPr>
          <w:trHeight w:val="280"/>
        </w:trPr>
        <w:tc>
          <w:tcPr>
            <w:tcW w:w="4723" w:type="dxa"/>
            <w:tcBorders>
              <w:top w:val="nil"/>
              <w:left w:val="single" w:sz="8" w:space="0" w:color="000000"/>
              <w:bottom w:val="single" w:sz="8" w:space="0" w:color="000000"/>
              <w:right w:val="single" w:sz="8" w:space="0" w:color="000000"/>
            </w:tcBorders>
            <w:shd w:val="clear" w:color="auto" w:fill="386294"/>
            <w:tcMar>
              <w:top w:w="0" w:type="dxa"/>
              <w:left w:w="108" w:type="dxa"/>
              <w:bottom w:w="0" w:type="dxa"/>
              <w:right w:w="108" w:type="dxa"/>
            </w:tcMar>
            <w:vAlign w:val="center"/>
          </w:tcPr>
          <w:p w14:paraId="2D8F1820" w14:textId="77777777" w:rsidR="00426AAC" w:rsidRPr="00407A7B" w:rsidRDefault="00426AAC" w:rsidP="003A6852">
            <w:pPr>
              <w:jc w:val="center"/>
              <w:rPr>
                <w:rFonts w:ascii="Cambria" w:eastAsia="Cambria" w:hAnsi="Cambria" w:cs="Cambria"/>
                <w:color w:val="FFFFFF"/>
                <w:sz w:val="20"/>
                <w:szCs w:val="20"/>
                <w:lang w:val="es-ES"/>
              </w:rPr>
            </w:pPr>
            <w:r w:rsidRPr="00407A7B">
              <w:rPr>
                <w:rFonts w:ascii="Cambria" w:eastAsia="Cambria" w:hAnsi="Cambria" w:cs="Cambria"/>
                <w:color w:val="FFFFFF"/>
                <w:sz w:val="20"/>
                <w:szCs w:val="20"/>
                <w:lang w:val="es-ES"/>
              </w:rPr>
              <w:t>Competencia</w:t>
            </w:r>
            <w:r w:rsidRPr="00407A7B">
              <w:rPr>
                <w:rFonts w:ascii="Cambria" w:eastAsia="Cambria" w:hAnsi="Cambria" w:cs="Cambria"/>
                <w:i/>
                <w:color w:val="FFFFFF"/>
                <w:sz w:val="20"/>
                <w:szCs w:val="20"/>
                <w:lang w:val="es-ES"/>
              </w:rPr>
              <w:t xml:space="preserve"> Ratione temporis</w:t>
            </w:r>
            <w:r w:rsidRPr="00407A7B">
              <w:rPr>
                <w:rFonts w:ascii="Cambria" w:eastAsia="Cambria" w:hAnsi="Cambria" w:cs="Cambria"/>
                <w:color w:val="FFFFFF"/>
                <w:sz w:val="20"/>
                <w:szCs w:val="20"/>
                <w:lang w:val="es-ES"/>
              </w:rPr>
              <w:t>:</w:t>
            </w:r>
          </w:p>
        </w:tc>
        <w:tc>
          <w:tcPr>
            <w:tcW w:w="472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59D4E40" w14:textId="77777777" w:rsidR="00426AAC" w:rsidRPr="00407A7B" w:rsidRDefault="00426AAC" w:rsidP="003A6852">
            <w:pPr>
              <w:rPr>
                <w:rFonts w:ascii="Cambria" w:eastAsia="Cambria" w:hAnsi="Cambria" w:cs="Cambria"/>
                <w:sz w:val="20"/>
                <w:szCs w:val="20"/>
                <w:lang w:val="es-ES"/>
              </w:rPr>
            </w:pPr>
            <w:r w:rsidRPr="00407A7B">
              <w:rPr>
                <w:rFonts w:ascii="Cambria" w:eastAsia="Cambria" w:hAnsi="Cambria" w:cs="Cambria"/>
                <w:sz w:val="20"/>
                <w:szCs w:val="20"/>
                <w:lang w:val="es-ES"/>
              </w:rPr>
              <w:t>Sí.</w:t>
            </w:r>
          </w:p>
        </w:tc>
      </w:tr>
      <w:tr w:rsidR="00426AAC" w:rsidRPr="00D42427" w14:paraId="373DB5F2" w14:textId="77777777" w:rsidTr="003A6852">
        <w:trPr>
          <w:trHeight w:val="280"/>
        </w:trPr>
        <w:tc>
          <w:tcPr>
            <w:tcW w:w="4723" w:type="dxa"/>
            <w:tcBorders>
              <w:top w:val="nil"/>
              <w:left w:val="single" w:sz="8" w:space="0" w:color="000000"/>
              <w:bottom w:val="single" w:sz="8" w:space="0" w:color="000000"/>
              <w:right w:val="single" w:sz="8" w:space="0" w:color="000000"/>
            </w:tcBorders>
            <w:shd w:val="clear" w:color="auto" w:fill="386294"/>
            <w:tcMar>
              <w:top w:w="0" w:type="dxa"/>
              <w:left w:w="108" w:type="dxa"/>
              <w:bottom w:w="0" w:type="dxa"/>
              <w:right w:w="108" w:type="dxa"/>
            </w:tcMar>
            <w:vAlign w:val="center"/>
          </w:tcPr>
          <w:p w14:paraId="6956D280" w14:textId="77777777" w:rsidR="00426AAC" w:rsidRPr="00407A7B" w:rsidRDefault="00426AAC" w:rsidP="003A6852">
            <w:pPr>
              <w:jc w:val="center"/>
              <w:rPr>
                <w:rFonts w:ascii="Cambria" w:eastAsia="Cambria" w:hAnsi="Cambria" w:cs="Cambria"/>
                <w:color w:val="FFFFFF"/>
                <w:sz w:val="20"/>
                <w:szCs w:val="20"/>
                <w:lang w:val="es-ES"/>
              </w:rPr>
            </w:pPr>
            <w:r w:rsidRPr="00407A7B">
              <w:rPr>
                <w:rFonts w:ascii="Cambria" w:eastAsia="Cambria" w:hAnsi="Cambria" w:cs="Cambria"/>
                <w:color w:val="FFFFFF"/>
                <w:sz w:val="20"/>
                <w:szCs w:val="20"/>
                <w:lang w:val="es-ES"/>
              </w:rPr>
              <w:t>Competencia</w:t>
            </w:r>
            <w:r w:rsidRPr="00407A7B">
              <w:rPr>
                <w:rFonts w:ascii="Cambria" w:eastAsia="Cambria" w:hAnsi="Cambria" w:cs="Cambria"/>
                <w:i/>
                <w:color w:val="FFFFFF"/>
                <w:sz w:val="20"/>
                <w:szCs w:val="20"/>
                <w:lang w:val="es-ES"/>
              </w:rPr>
              <w:t xml:space="preserve"> Ratione materiae</w:t>
            </w:r>
            <w:r w:rsidRPr="00407A7B">
              <w:rPr>
                <w:rFonts w:ascii="Cambria" w:eastAsia="Cambria" w:hAnsi="Cambria" w:cs="Cambria"/>
                <w:color w:val="FFFFFF"/>
                <w:sz w:val="20"/>
                <w:szCs w:val="20"/>
                <w:lang w:val="es-ES"/>
              </w:rPr>
              <w:t>:</w:t>
            </w:r>
          </w:p>
        </w:tc>
        <w:tc>
          <w:tcPr>
            <w:tcW w:w="472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2D66DC3" w14:textId="77777777" w:rsidR="00426AAC" w:rsidRPr="00407A7B" w:rsidRDefault="00426AAC" w:rsidP="003A6852">
            <w:pPr>
              <w:rPr>
                <w:rFonts w:ascii="Cambria" w:hAnsi="Cambria"/>
                <w:sz w:val="20"/>
                <w:szCs w:val="20"/>
                <w:lang w:val="es-ES"/>
              </w:rPr>
            </w:pPr>
            <w:r w:rsidRPr="00407A7B">
              <w:rPr>
                <w:rFonts w:ascii="Cambria" w:eastAsia="Cambria" w:hAnsi="Cambria" w:cs="Cambria"/>
                <w:sz w:val="20"/>
                <w:szCs w:val="20"/>
                <w:lang w:val="es-ES"/>
              </w:rPr>
              <w:t>Sí. (</w:t>
            </w:r>
            <w:r w:rsidRPr="00407A7B">
              <w:rPr>
                <w:rFonts w:ascii="Cambria" w:hAnsi="Cambria"/>
                <w:sz w:val="20"/>
                <w:szCs w:val="20"/>
                <w:lang w:val="es-ES"/>
              </w:rPr>
              <w:t>Convención Americana (depósito de instrumento de ratificación, 8 de abril de 1970)</w:t>
            </w:r>
          </w:p>
        </w:tc>
      </w:tr>
      <w:tr w:rsidR="00426AAC" w:rsidRPr="00407A7B" w14:paraId="04C271C8" w14:textId="77777777" w:rsidTr="003A6852">
        <w:trPr>
          <w:trHeight w:val="580"/>
        </w:trPr>
        <w:tc>
          <w:tcPr>
            <w:tcW w:w="4723" w:type="dxa"/>
            <w:tcBorders>
              <w:top w:val="nil"/>
              <w:left w:val="single" w:sz="8" w:space="0" w:color="000000"/>
              <w:bottom w:val="single" w:sz="8" w:space="0" w:color="000000"/>
              <w:right w:val="single" w:sz="8" w:space="0" w:color="000000"/>
            </w:tcBorders>
            <w:shd w:val="clear" w:color="auto" w:fill="386294"/>
            <w:tcMar>
              <w:top w:w="0" w:type="dxa"/>
              <w:left w:w="108" w:type="dxa"/>
              <w:bottom w:w="0" w:type="dxa"/>
              <w:right w:w="108" w:type="dxa"/>
            </w:tcMar>
            <w:vAlign w:val="center"/>
          </w:tcPr>
          <w:p w14:paraId="5579D22A" w14:textId="77777777" w:rsidR="00426AAC" w:rsidRPr="00407A7B" w:rsidRDefault="00426AAC" w:rsidP="003A6852">
            <w:pPr>
              <w:jc w:val="center"/>
              <w:rPr>
                <w:rFonts w:ascii="Cambria" w:eastAsia="Cambria" w:hAnsi="Cambria" w:cs="Cambria"/>
                <w:color w:val="FFFFFF"/>
                <w:sz w:val="20"/>
                <w:szCs w:val="20"/>
                <w:lang w:val="es-ES"/>
              </w:rPr>
            </w:pPr>
            <w:r w:rsidRPr="00407A7B">
              <w:rPr>
                <w:rFonts w:ascii="Cambria" w:eastAsia="Cambria" w:hAnsi="Cambria" w:cs="Cambria"/>
                <w:color w:val="FFFFFF"/>
                <w:sz w:val="20"/>
                <w:szCs w:val="20"/>
                <w:lang w:val="es-ES"/>
              </w:rPr>
              <w:t>Duplicación de procedimientos y cosa juzgada internacional:</w:t>
            </w:r>
          </w:p>
        </w:tc>
        <w:tc>
          <w:tcPr>
            <w:tcW w:w="472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D807983" w14:textId="77777777" w:rsidR="00426AAC" w:rsidRPr="00407A7B" w:rsidRDefault="00426AAC" w:rsidP="003A6852">
            <w:pPr>
              <w:jc w:val="both"/>
              <w:rPr>
                <w:rFonts w:ascii="Cambria" w:eastAsia="Cambria" w:hAnsi="Cambria" w:cs="Cambria"/>
                <w:sz w:val="20"/>
                <w:szCs w:val="20"/>
                <w:lang w:val="es-ES"/>
              </w:rPr>
            </w:pPr>
            <w:r w:rsidRPr="00407A7B">
              <w:rPr>
                <w:rFonts w:ascii="Cambria" w:eastAsia="Cambria" w:hAnsi="Cambria" w:cs="Cambria"/>
                <w:sz w:val="20"/>
                <w:szCs w:val="20"/>
                <w:lang w:val="es-ES"/>
              </w:rPr>
              <w:t>No</w:t>
            </w:r>
          </w:p>
        </w:tc>
      </w:tr>
    </w:tbl>
    <w:p w14:paraId="3293BB4E" w14:textId="77777777" w:rsidR="00426AAC" w:rsidRPr="00407A7B" w:rsidRDefault="00426AAC" w:rsidP="00426AAC">
      <w:pPr>
        <w:spacing w:after="160" w:line="259" w:lineRule="auto"/>
        <w:jc w:val="both"/>
        <w:rPr>
          <w:rFonts w:ascii="Cambria" w:eastAsia="Calibri" w:hAnsi="Cambria"/>
          <w:sz w:val="20"/>
          <w:szCs w:val="20"/>
          <w:lang w:val="es-ES"/>
        </w:rPr>
      </w:pPr>
    </w:p>
    <w:p w14:paraId="68857B45" w14:textId="77777777" w:rsidR="00426AAC" w:rsidRPr="00407A7B" w:rsidRDefault="00426AAC" w:rsidP="00B00AA7">
      <w:pPr>
        <w:pStyle w:val="Heading2"/>
        <w:numPr>
          <w:ilvl w:val="0"/>
          <w:numId w:val="57"/>
        </w:numPr>
        <w:rPr>
          <w:lang w:val="es-AR"/>
        </w:rPr>
      </w:pPr>
      <w:bookmarkStart w:id="12" w:name="_Toc26215774"/>
      <w:bookmarkStart w:id="13" w:name="_Toc41054009"/>
      <w:bookmarkStart w:id="14" w:name="_Toc54369864"/>
      <w:r w:rsidRPr="00407A7B">
        <w:t>Agotamiento de los recursos internos y plazo de presentación</w:t>
      </w:r>
      <w:r w:rsidRPr="00407A7B">
        <w:rPr>
          <w:lang w:val="es-AR"/>
        </w:rPr>
        <w:t>.</w:t>
      </w:r>
      <w:bookmarkEnd w:id="12"/>
      <w:bookmarkEnd w:id="13"/>
      <w:bookmarkEnd w:id="14"/>
    </w:p>
    <w:p w14:paraId="63D70166" w14:textId="77777777" w:rsidR="00426AAC" w:rsidRPr="00407A7B" w:rsidRDefault="00426AAC" w:rsidP="00426AAC">
      <w:pPr>
        <w:rPr>
          <w:lang w:val="es-ES"/>
        </w:rPr>
      </w:pPr>
    </w:p>
    <w:p w14:paraId="4A5D7F25" w14:textId="77777777" w:rsidR="00426AAC" w:rsidRPr="00407A7B" w:rsidRDefault="00426AAC" w:rsidP="000779C4">
      <w:pPr>
        <w:pStyle w:val="ListParagraph"/>
        <w:numPr>
          <w:ilvl w:val="0"/>
          <w:numId w:val="55"/>
        </w:numPr>
        <w:tabs>
          <w:tab w:val="left" w:pos="567"/>
        </w:tabs>
        <w:suppressAutoHyphens/>
        <w:ind w:left="0" w:firstLine="0"/>
        <w:jc w:val="both"/>
        <w:rPr>
          <w:sz w:val="20"/>
          <w:szCs w:val="20"/>
          <w:lang w:val="es-ES"/>
        </w:rPr>
      </w:pPr>
      <w:r w:rsidRPr="00407A7B">
        <w:rPr>
          <w:sz w:val="20"/>
          <w:szCs w:val="20"/>
          <w:lang w:val="es-ES"/>
        </w:rPr>
        <w:t>La Comisión recuerda, en primer término que, según su criterio constante, “(…) el análisis sobre los requisitos previstos en los artículos 46 y 47 de la Convención debe hacerse a la luz de la situación vigente al momento en que se pronuncia sobre la admisibilidad o inadmisibilidad del reclamo”</w:t>
      </w:r>
      <w:r w:rsidRPr="00407A7B">
        <w:rPr>
          <w:sz w:val="20"/>
          <w:szCs w:val="20"/>
          <w:vertAlign w:val="superscript"/>
          <w:lang w:val="es-ES"/>
        </w:rPr>
        <w:footnoteReference w:id="2"/>
      </w:r>
      <w:r w:rsidRPr="00407A7B">
        <w:rPr>
          <w:sz w:val="20"/>
          <w:szCs w:val="20"/>
          <w:lang w:val="es-ES"/>
        </w:rPr>
        <w:t>.</w:t>
      </w:r>
    </w:p>
    <w:p w14:paraId="7FE38727" w14:textId="77777777" w:rsidR="00426AAC" w:rsidRPr="00407A7B" w:rsidRDefault="00426AAC" w:rsidP="000779C4">
      <w:pPr>
        <w:pStyle w:val="ListParagraph"/>
        <w:tabs>
          <w:tab w:val="left" w:pos="567"/>
        </w:tabs>
        <w:suppressAutoHyphens/>
        <w:ind w:left="0"/>
        <w:jc w:val="both"/>
        <w:rPr>
          <w:sz w:val="20"/>
          <w:szCs w:val="20"/>
          <w:lang w:val="es-ES"/>
        </w:rPr>
      </w:pPr>
    </w:p>
    <w:p w14:paraId="56C4E5C4" w14:textId="77777777" w:rsidR="00426AAC" w:rsidRPr="00407A7B" w:rsidRDefault="00426AAC" w:rsidP="000779C4">
      <w:pPr>
        <w:pStyle w:val="ListParagraph"/>
        <w:numPr>
          <w:ilvl w:val="0"/>
          <w:numId w:val="55"/>
        </w:numPr>
        <w:tabs>
          <w:tab w:val="left" w:pos="0"/>
          <w:tab w:val="left" w:pos="567"/>
        </w:tabs>
        <w:suppressAutoHyphens/>
        <w:ind w:left="0" w:firstLine="0"/>
        <w:jc w:val="both"/>
        <w:rPr>
          <w:rFonts w:asciiTheme="majorHAnsi" w:hAnsiTheme="majorHAnsi"/>
          <w:sz w:val="20"/>
          <w:szCs w:val="20"/>
          <w:lang w:val="es-ES_tradnl"/>
        </w:rPr>
      </w:pPr>
      <w:r w:rsidRPr="00407A7B">
        <w:rPr>
          <w:sz w:val="20"/>
          <w:szCs w:val="20"/>
          <w:lang w:val="es-ES"/>
        </w:rPr>
        <w:t xml:space="preserve">En lo que respecta a la exigencia del agotamiento de los recursos internos consagrada en el </w:t>
      </w:r>
      <w:r w:rsidR="00A9284B" w:rsidRPr="00407A7B">
        <w:rPr>
          <w:sz w:val="20"/>
          <w:szCs w:val="20"/>
          <w:lang w:val="es-ES"/>
        </w:rPr>
        <w:t>artículo</w:t>
      </w:r>
      <w:r w:rsidRPr="00407A7B">
        <w:rPr>
          <w:sz w:val="20"/>
          <w:szCs w:val="20"/>
          <w:lang w:val="es-ES"/>
        </w:rPr>
        <w:t xml:space="preserve"> 46.1.b de la Convención</w:t>
      </w:r>
      <w:r w:rsidR="00E544DB" w:rsidRPr="00407A7B">
        <w:rPr>
          <w:sz w:val="20"/>
          <w:szCs w:val="20"/>
          <w:lang w:val="es-ES"/>
        </w:rPr>
        <w:t xml:space="preserve">, la </w:t>
      </w:r>
      <w:r w:rsidR="003929BE" w:rsidRPr="00407A7B">
        <w:rPr>
          <w:sz w:val="20"/>
          <w:szCs w:val="20"/>
          <w:lang w:val="es-ES"/>
        </w:rPr>
        <w:t>Comisión</w:t>
      </w:r>
      <w:r w:rsidR="00E544DB" w:rsidRPr="00407A7B">
        <w:rPr>
          <w:sz w:val="20"/>
          <w:szCs w:val="20"/>
          <w:lang w:val="es-ES"/>
        </w:rPr>
        <w:t xml:space="preserve"> ha verificado que </w:t>
      </w:r>
      <w:r w:rsidR="00776B35" w:rsidRPr="00407A7B">
        <w:rPr>
          <w:sz w:val="20"/>
          <w:szCs w:val="20"/>
          <w:lang w:val="es-ES"/>
        </w:rPr>
        <w:t xml:space="preserve">el 6 de septiembre de 2004 </w:t>
      </w:r>
      <w:r w:rsidR="00E544DB" w:rsidRPr="00407A7B">
        <w:rPr>
          <w:sz w:val="20"/>
          <w:szCs w:val="20"/>
          <w:lang w:val="es-ES"/>
        </w:rPr>
        <w:t xml:space="preserve">los abogados defensores del </w:t>
      </w:r>
      <w:r w:rsidR="00E544DB" w:rsidRPr="00407A7B">
        <w:rPr>
          <w:sz w:val="20"/>
          <w:szCs w:val="20"/>
          <w:lang w:val="es-ES"/>
        </w:rPr>
        <w:lastRenderedPageBreak/>
        <w:t xml:space="preserve">Sr. Cochran interpusieron un recurso de casación contra la </w:t>
      </w:r>
      <w:r w:rsidR="00776B35" w:rsidRPr="00407A7B">
        <w:rPr>
          <w:sz w:val="20"/>
          <w:szCs w:val="20"/>
          <w:lang w:val="es-ES"/>
        </w:rPr>
        <w:t xml:space="preserve">sentencia del Tribunal de Juicio del Primer Circuito Judicial de San </w:t>
      </w:r>
      <w:r w:rsidR="003929BE" w:rsidRPr="00407A7B">
        <w:rPr>
          <w:sz w:val="20"/>
          <w:szCs w:val="20"/>
          <w:lang w:val="es-ES"/>
        </w:rPr>
        <w:t>José</w:t>
      </w:r>
      <w:r w:rsidR="00776B35" w:rsidRPr="00407A7B">
        <w:rPr>
          <w:sz w:val="20"/>
          <w:szCs w:val="20"/>
          <w:lang w:val="es-ES"/>
        </w:rPr>
        <w:t xml:space="preserve"> </w:t>
      </w:r>
      <w:r w:rsidR="003929BE" w:rsidRPr="00407A7B">
        <w:rPr>
          <w:sz w:val="20"/>
          <w:szCs w:val="20"/>
          <w:lang w:val="es-ES"/>
        </w:rPr>
        <w:t>de fecha 17 de agosto de 2004 que condenó al peticionario a la pena de 45 años de prisión por los delitos de suministro de estupefacientes a menores de edad, fabricación o producción de pornografía, difusión de pornografía y relaciones sexuales remuneradas con menores de edad</w:t>
      </w:r>
      <w:r w:rsidR="003929BE" w:rsidRPr="00407A7B">
        <w:rPr>
          <w:rStyle w:val="FootnoteReference"/>
          <w:sz w:val="20"/>
          <w:szCs w:val="20"/>
          <w:lang w:val="es-ES"/>
        </w:rPr>
        <w:footnoteReference w:id="3"/>
      </w:r>
      <w:r w:rsidR="003929BE" w:rsidRPr="00407A7B">
        <w:rPr>
          <w:sz w:val="20"/>
          <w:szCs w:val="20"/>
          <w:lang w:val="es-ES"/>
        </w:rPr>
        <w:t xml:space="preserve">. Este recurso fue declarado </w:t>
      </w:r>
      <w:r w:rsidR="00503948" w:rsidRPr="00407A7B">
        <w:rPr>
          <w:sz w:val="20"/>
          <w:szCs w:val="20"/>
          <w:lang w:val="es-ES"/>
        </w:rPr>
        <w:t>“</w:t>
      </w:r>
      <w:r w:rsidR="003929BE" w:rsidRPr="00407A7B">
        <w:rPr>
          <w:sz w:val="20"/>
          <w:szCs w:val="20"/>
          <w:lang w:val="es-ES"/>
        </w:rPr>
        <w:t>sin lugar</w:t>
      </w:r>
      <w:r w:rsidR="00503948" w:rsidRPr="00407A7B">
        <w:rPr>
          <w:sz w:val="20"/>
          <w:szCs w:val="20"/>
          <w:lang w:val="es-ES"/>
        </w:rPr>
        <w:t>”</w:t>
      </w:r>
      <w:r w:rsidR="003929BE" w:rsidRPr="00407A7B">
        <w:rPr>
          <w:sz w:val="20"/>
          <w:szCs w:val="20"/>
          <w:lang w:val="es-ES"/>
        </w:rPr>
        <w:t xml:space="preserve"> por medio de una sentencia </w:t>
      </w:r>
      <w:r w:rsidR="00503948" w:rsidRPr="00407A7B">
        <w:rPr>
          <w:sz w:val="20"/>
          <w:szCs w:val="20"/>
          <w:lang w:val="es-ES"/>
        </w:rPr>
        <w:t>dictada por la Sala Tercera de la Corte Suprema de Justicia de fecha 28 de febrero de 2005</w:t>
      </w:r>
      <w:r w:rsidR="00503948" w:rsidRPr="00407A7B">
        <w:rPr>
          <w:rStyle w:val="FootnoteReference"/>
          <w:sz w:val="20"/>
          <w:szCs w:val="20"/>
          <w:lang w:val="es-ES"/>
        </w:rPr>
        <w:footnoteReference w:id="4"/>
      </w:r>
      <w:r w:rsidR="00503948" w:rsidRPr="00407A7B">
        <w:rPr>
          <w:sz w:val="20"/>
          <w:szCs w:val="20"/>
          <w:lang w:val="es-ES"/>
        </w:rPr>
        <w:t xml:space="preserve">. </w:t>
      </w:r>
    </w:p>
    <w:p w14:paraId="5AAF811E" w14:textId="77777777" w:rsidR="00503948" w:rsidRPr="00407A7B" w:rsidRDefault="00503948" w:rsidP="000779C4">
      <w:pPr>
        <w:pStyle w:val="ListParagraph"/>
        <w:tabs>
          <w:tab w:val="left" w:pos="567"/>
        </w:tabs>
        <w:rPr>
          <w:rFonts w:asciiTheme="majorHAnsi" w:hAnsiTheme="majorHAnsi"/>
          <w:sz w:val="20"/>
          <w:szCs w:val="20"/>
          <w:lang w:val="es-ES_tradnl"/>
        </w:rPr>
      </w:pPr>
    </w:p>
    <w:p w14:paraId="19F951D7" w14:textId="77777777" w:rsidR="00503948" w:rsidRPr="00407A7B" w:rsidRDefault="00503948" w:rsidP="000779C4">
      <w:pPr>
        <w:pStyle w:val="ListParagraph"/>
        <w:numPr>
          <w:ilvl w:val="0"/>
          <w:numId w:val="55"/>
        </w:numPr>
        <w:tabs>
          <w:tab w:val="left" w:pos="567"/>
        </w:tabs>
        <w:suppressAutoHyphens/>
        <w:ind w:left="0" w:firstLine="0"/>
        <w:jc w:val="both"/>
        <w:rPr>
          <w:sz w:val="20"/>
          <w:szCs w:val="20"/>
          <w:lang w:val="es-ES"/>
        </w:rPr>
      </w:pPr>
      <w:r w:rsidRPr="00407A7B">
        <w:rPr>
          <w:sz w:val="20"/>
          <w:szCs w:val="20"/>
          <w:lang w:val="es-ES"/>
        </w:rPr>
        <w:t xml:space="preserve">La Comisión entiende que, conforme la legislación procesal penal costarricense vigente a la fecha, esta última decisión agotó los recursos internos ordinarios que se encontraban a disposición del peticionario. En consecuencia, se encuentra cumplido el requisito exigido por el </w:t>
      </w:r>
      <w:r w:rsidR="00A9284B" w:rsidRPr="00407A7B">
        <w:rPr>
          <w:sz w:val="20"/>
          <w:szCs w:val="20"/>
          <w:lang w:val="es-ES"/>
        </w:rPr>
        <w:t>artículo</w:t>
      </w:r>
      <w:r w:rsidRPr="00407A7B">
        <w:rPr>
          <w:sz w:val="20"/>
          <w:szCs w:val="20"/>
          <w:lang w:val="es-ES"/>
        </w:rPr>
        <w:t xml:space="preserve"> 46.1.a. de la Convención Americana. </w:t>
      </w:r>
    </w:p>
    <w:p w14:paraId="0CC554D7" w14:textId="77777777" w:rsidR="00503948" w:rsidRPr="00407A7B" w:rsidRDefault="00503948" w:rsidP="000779C4">
      <w:pPr>
        <w:pStyle w:val="ListParagraph"/>
        <w:tabs>
          <w:tab w:val="left" w:pos="567"/>
        </w:tabs>
        <w:suppressAutoHyphens/>
        <w:ind w:left="0"/>
        <w:jc w:val="both"/>
        <w:rPr>
          <w:sz w:val="20"/>
          <w:szCs w:val="20"/>
          <w:lang w:val="es-ES"/>
        </w:rPr>
      </w:pPr>
    </w:p>
    <w:p w14:paraId="09546445" w14:textId="77777777" w:rsidR="008657E1" w:rsidRPr="00407A7B" w:rsidRDefault="00503948" w:rsidP="000779C4">
      <w:pPr>
        <w:pStyle w:val="ListParagraph"/>
        <w:numPr>
          <w:ilvl w:val="0"/>
          <w:numId w:val="55"/>
        </w:numPr>
        <w:tabs>
          <w:tab w:val="left" w:pos="0"/>
          <w:tab w:val="left" w:pos="567"/>
        </w:tabs>
        <w:suppressAutoHyphens/>
        <w:ind w:left="0" w:firstLine="0"/>
        <w:jc w:val="both"/>
        <w:rPr>
          <w:rFonts w:asciiTheme="majorHAnsi" w:hAnsiTheme="majorHAnsi"/>
          <w:sz w:val="20"/>
          <w:szCs w:val="20"/>
          <w:lang w:val="es-ES_tradnl"/>
        </w:rPr>
      </w:pPr>
      <w:r w:rsidRPr="00407A7B">
        <w:rPr>
          <w:sz w:val="20"/>
          <w:szCs w:val="20"/>
          <w:lang w:val="es-ES"/>
        </w:rPr>
        <w:t xml:space="preserve">En lo que tiene que ver con el plazo de presentación de la petición contenido en el </w:t>
      </w:r>
      <w:r w:rsidR="00A9284B" w:rsidRPr="00407A7B">
        <w:rPr>
          <w:sz w:val="20"/>
          <w:szCs w:val="20"/>
          <w:lang w:val="es-ES"/>
        </w:rPr>
        <w:t>artículo</w:t>
      </w:r>
      <w:r w:rsidRPr="00407A7B">
        <w:rPr>
          <w:sz w:val="20"/>
          <w:szCs w:val="20"/>
          <w:lang w:val="es-ES"/>
        </w:rPr>
        <w:t xml:space="preserve"> 46.1.b de la Convención Americana, la Comisión toma nota, en primer lugar, que la denuncia inicial suscripta por el Sr. Cochran fue presentada ante la Comisión el 6 de diciembre de 2005. </w:t>
      </w:r>
    </w:p>
    <w:p w14:paraId="05976C55" w14:textId="77777777" w:rsidR="008657E1" w:rsidRPr="00407A7B" w:rsidRDefault="008657E1" w:rsidP="000779C4">
      <w:pPr>
        <w:pStyle w:val="ListParagraph"/>
        <w:tabs>
          <w:tab w:val="left" w:pos="567"/>
        </w:tabs>
        <w:rPr>
          <w:sz w:val="20"/>
          <w:szCs w:val="20"/>
          <w:lang w:val="es-ES"/>
        </w:rPr>
      </w:pPr>
    </w:p>
    <w:p w14:paraId="1D23B460" w14:textId="77777777" w:rsidR="00503948" w:rsidRPr="00407A7B" w:rsidRDefault="00503948" w:rsidP="000779C4">
      <w:pPr>
        <w:pStyle w:val="ListParagraph"/>
        <w:numPr>
          <w:ilvl w:val="0"/>
          <w:numId w:val="55"/>
        </w:numPr>
        <w:tabs>
          <w:tab w:val="left" w:pos="0"/>
          <w:tab w:val="left" w:pos="567"/>
        </w:tabs>
        <w:suppressAutoHyphens/>
        <w:ind w:left="0" w:firstLine="0"/>
        <w:jc w:val="both"/>
        <w:rPr>
          <w:rFonts w:asciiTheme="majorHAnsi" w:hAnsiTheme="majorHAnsi"/>
          <w:sz w:val="20"/>
          <w:szCs w:val="20"/>
          <w:lang w:val="es-ES_tradnl"/>
        </w:rPr>
      </w:pPr>
      <w:r w:rsidRPr="00407A7B">
        <w:rPr>
          <w:sz w:val="20"/>
          <w:szCs w:val="20"/>
          <w:lang w:val="es-ES"/>
        </w:rPr>
        <w:t xml:space="preserve">Asimismo, la Comisión advierte que el peticionario interpuso </w:t>
      </w:r>
      <w:r w:rsidR="008657E1" w:rsidRPr="00407A7B">
        <w:rPr>
          <w:sz w:val="20"/>
          <w:szCs w:val="20"/>
          <w:lang w:val="es-ES"/>
        </w:rPr>
        <w:t xml:space="preserve">tres </w:t>
      </w:r>
      <w:r w:rsidRPr="00407A7B">
        <w:rPr>
          <w:sz w:val="20"/>
          <w:szCs w:val="20"/>
          <w:lang w:val="es-ES"/>
        </w:rPr>
        <w:t>procedimientos de revisión, los cuales fueron declarados inadmisibles por la Sala Tercera de la Corte Suprema por medio de</w:t>
      </w:r>
      <w:r w:rsidR="0059063D" w:rsidRPr="00407A7B">
        <w:rPr>
          <w:sz w:val="20"/>
          <w:szCs w:val="20"/>
          <w:lang w:val="es-ES"/>
        </w:rPr>
        <w:t xml:space="preserve"> sendas</w:t>
      </w:r>
      <w:r w:rsidRPr="00407A7B">
        <w:rPr>
          <w:sz w:val="20"/>
          <w:szCs w:val="20"/>
          <w:lang w:val="es-ES"/>
        </w:rPr>
        <w:t xml:space="preserve"> resoluciones de fecha 12 de octubre de 2007</w:t>
      </w:r>
      <w:r w:rsidR="0059063D" w:rsidRPr="00407A7B">
        <w:rPr>
          <w:rStyle w:val="FootnoteReference"/>
          <w:sz w:val="20"/>
          <w:szCs w:val="20"/>
          <w:lang w:val="es-ES"/>
        </w:rPr>
        <w:footnoteReference w:id="5"/>
      </w:r>
      <w:r w:rsidRPr="00407A7B">
        <w:rPr>
          <w:sz w:val="20"/>
          <w:szCs w:val="20"/>
          <w:lang w:val="es-ES"/>
        </w:rPr>
        <w:t xml:space="preserve"> y 15 de febrero de 2013</w:t>
      </w:r>
      <w:r w:rsidR="00FF5DC2" w:rsidRPr="00407A7B">
        <w:rPr>
          <w:rStyle w:val="FootnoteReference"/>
          <w:sz w:val="20"/>
          <w:szCs w:val="20"/>
          <w:lang w:val="es-ES"/>
        </w:rPr>
        <w:footnoteReference w:id="6"/>
      </w:r>
      <w:r w:rsidRPr="00407A7B">
        <w:rPr>
          <w:sz w:val="20"/>
          <w:szCs w:val="20"/>
          <w:lang w:val="es-ES"/>
        </w:rPr>
        <w:t xml:space="preserve">. </w:t>
      </w:r>
    </w:p>
    <w:p w14:paraId="7DCB82E4" w14:textId="77777777" w:rsidR="00503948" w:rsidRPr="00407A7B" w:rsidRDefault="00503948" w:rsidP="000779C4">
      <w:pPr>
        <w:pStyle w:val="ListParagraph"/>
        <w:tabs>
          <w:tab w:val="left" w:pos="567"/>
        </w:tabs>
        <w:rPr>
          <w:rFonts w:asciiTheme="majorHAnsi" w:hAnsiTheme="majorHAnsi"/>
          <w:sz w:val="20"/>
          <w:szCs w:val="20"/>
          <w:lang w:val="es-ES_tradnl"/>
        </w:rPr>
      </w:pPr>
    </w:p>
    <w:p w14:paraId="036951A1" w14:textId="77777777" w:rsidR="00503948" w:rsidRPr="00407A7B" w:rsidRDefault="00503948" w:rsidP="000779C4">
      <w:pPr>
        <w:pStyle w:val="ListParagraph"/>
        <w:numPr>
          <w:ilvl w:val="0"/>
          <w:numId w:val="55"/>
        </w:numPr>
        <w:tabs>
          <w:tab w:val="left" w:pos="567"/>
        </w:tabs>
        <w:suppressAutoHyphens/>
        <w:ind w:left="0" w:firstLine="0"/>
        <w:jc w:val="both"/>
        <w:rPr>
          <w:sz w:val="20"/>
          <w:szCs w:val="20"/>
          <w:lang w:val="es-ES"/>
        </w:rPr>
      </w:pPr>
      <w:r w:rsidRPr="00407A7B">
        <w:rPr>
          <w:sz w:val="20"/>
          <w:szCs w:val="20"/>
          <w:lang w:val="es-ES"/>
        </w:rPr>
        <w:t>La Comisión entiende que, por la forma en que se encuentra regulado y por su posición dentro del procedimiento penal costarricense, dicho recurso de revisión es extraordinario y, por ende, su agotamiento no resultaba obligatorio para el peticionario. Sin embargo, la Comisión ha considerado en numerosas oportunidades que si el peticionario interpuso un recurso extraordinario con la expectativa razonable de obtener un resultado favorable a sus derechos, entonces el mismo puede tomarse en cuenta a la hora de evaluar del cumplimiento de los requisitos de admisibilidad de la petición</w:t>
      </w:r>
      <w:r w:rsidRPr="00407A7B">
        <w:rPr>
          <w:rStyle w:val="FootnoteReference"/>
          <w:sz w:val="20"/>
          <w:szCs w:val="20"/>
          <w:lang w:val="es-ES"/>
        </w:rPr>
        <w:footnoteReference w:id="7"/>
      </w:r>
      <w:r w:rsidRPr="00407A7B">
        <w:rPr>
          <w:sz w:val="20"/>
          <w:szCs w:val="20"/>
          <w:lang w:val="es-ES"/>
        </w:rPr>
        <w:t>.</w:t>
      </w:r>
    </w:p>
    <w:p w14:paraId="7A6D3712" w14:textId="77777777" w:rsidR="00503948" w:rsidRPr="00407A7B" w:rsidRDefault="00503948" w:rsidP="000779C4">
      <w:pPr>
        <w:pStyle w:val="ListParagraph"/>
        <w:tabs>
          <w:tab w:val="left" w:pos="567"/>
        </w:tabs>
        <w:jc w:val="both"/>
        <w:rPr>
          <w:sz w:val="20"/>
          <w:szCs w:val="20"/>
          <w:lang w:val="es-ES"/>
        </w:rPr>
      </w:pPr>
    </w:p>
    <w:p w14:paraId="4AE6A679" w14:textId="77777777" w:rsidR="00503948" w:rsidRPr="00407A7B" w:rsidRDefault="00503948" w:rsidP="000779C4">
      <w:pPr>
        <w:pStyle w:val="ListParagraph"/>
        <w:numPr>
          <w:ilvl w:val="0"/>
          <w:numId w:val="55"/>
        </w:numPr>
        <w:tabs>
          <w:tab w:val="left" w:pos="567"/>
        </w:tabs>
        <w:suppressAutoHyphens/>
        <w:ind w:left="0" w:firstLine="0"/>
        <w:jc w:val="both"/>
        <w:rPr>
          <w:sz w:val="20"/>
          <w:szCs w:val="20"/>
          <w:lang w:val="es-ES"/>
        </w:rPr>
      </w:pPr>
      <w:r w:rsidRPr="00407A7B">
        <w:rPr>
          <w:sz w:val="20"/>
          <w:szCs w:val="20"/>
          <w:lang w:val="es-ES"/>
        </w:rPr>
        <w:t xml:space="preserve">En las circunstancias de la presente petición, la Comisión considera que la interposición de los mencionados recursos de revisión no fue irrazonable toda vez que ellos podrían resultar una manera de garantizar el derecho a la revisión integral de la sentencia condenatoria de primera instancia reclamado por el peticionario. En consecuencia, la CIDH lo tomará en cuenta a efectos de analizar la petición. </w:t>
      </w:r>
    </w:p>
    <w:p w14:paraId="0D8D5065" w14:textId="77777777" w:rsidR="00503948" w:rsidRPr="00407A7B" w:rsidRDefault="00503948" w:rsidP="000779C4">
      <w:pPr>
        <w:pStyle w:val="ListParagraph"/>
        <w:tabs>
          <w:tab w:val="left" w:pos="567"/>
        </w:tabs>
        <w:jc w:val="both"/>
        <w:rPr>
          <w:sz w:val="20"/>
          <w:szCs w:val="20"/>
          <w:lang w:val="es-ES"/>
        </w:rPr>
      </w:pPr>
    </w:p>
    <w:p w14:paraId="0151DD68" w14:textId="77777777" w:rsidR="00503948" w:rsidRPr="00407A7B" w:rsidRDefault="00503948" w:rsidP="000779C4">
      <w:pPr>
        <w:pStyle w:val="ListParagraph"/>
        <w:numPr>
          <w:ilvl w:val="0"/>
          <w:numId w:val="55"/>
        </w:numPr>
        <w:tabs>
          <w:tab w:val="left" w:pos="567"/>
        </w:tabs>
        <w:suppressAutoHyphens/>
        <w:ind w:left="0" w:firstLine="0"/>
        <w:jc w:val="both"/>
        <w:rPr>
          <w:sz w:val="20"/>
          <w:szCs w:val="20"/>
          <w:lang w:val="es-ES"/>
        </w:rPr>
      </w:pPr>
      <w:r w:rsidRPr="00407A7B">
        <w:rPr>
          <w:sz w:val="20"/>
          <w:szCs w:val="20"/>
          <w:lang w:val="es-ES"/>
        </w:rPr>
        <w:t xml:space="preserve">Según consta en el expediente, el peticionario fue notificado de la decisión de la Sala III de la Corte Suprema de Justicia de declarar sin lugar el </w:t>
      </w:r>
      <w:r w:rsidR="00A9284B" w:rsidRPr="00407A7B">
        <w:rPr>
          <w:sz w:val="20"/>
          <w:szCs w:val="20"/>
          <w:lang w:val="es-ES"/>
        </w:rPr>
        <w:t>último</w:t>
      </w:r>
      <w:r w:rsidRPr="00407A7B">
        <w:rPr>
          <w:sz w:val="20"/>
          <w:szCs w:val="20"/>
          <w:lang w:val="es-ES"/>
        </w:rPr>
        <w:t xml:space="preserve"> de los procedimientos de revisión el </w:t>
      </w:r>
      <w:r w:rsidR="00FF5DC2" w:rsidRPr="00407A7B">
        <w:rPr>
          <w:sz w:val="20"/>
          <w:szCs w:val="20"/>
          <w:lang w:val="es-ES"/>
        </w:rPr>
        <w:t>día</w:t>
      </w:r>
      <w:r w:rsidRPr="00407A7B">
        <w:rPr>
          <w:sz w:val="20"/>
          <w:szCs w:val="20"/>
          <w:lang w:val="es-ES"/>
        </w:rPr>
        <w:t xml:space="preserve"> </w:t>
      </w:r>
      <w:r w:rsidR="00FF5DC2" w:rsidRPr="00407A7B">
        <w:rPr>
          <w:sz w:val="20"/>
          <w:szCs w:val="20"/>
          <w:lang w:val="es-ES"/>
        </w:rPr>
        <w:t>6 de junio de 2013</w:t>
      </w:r>
      <w:r w:rsidR="00FF5DC2" w:rsidRPr="00407A7B">
        <w:rPr>
          <w:rStyle w:val="FootnoteReference"/>
          <w:sz w:val="20"/>
          <w:szCs w:val="20"/>
          <w:lang w:val="es-ES"/>
        </w:rPr>
        <w:footnoteReference w:id="8"/>
      </w:r>
      <w:r w:rsidR="00FF5DC2" w:rsidRPr="00407A7B">
        <w:rPr>
          <w:sz w:val="20"/>
          <w:szCs w:val="20"/>
          <w:lang w:val="es-ES"/>
        </w:rPr>
        <w:t xml:space="preserve">. </w:t>
      </w:r>
      <w:r w:rsidRPr="00407A7B">
        <w:rPr>
          <w:sz w:val="20"/>
          <w:szCs w:val="20"/>
          <w:lang w:val="es-ES"/>
        </w:rPr>
        <w:t>En consecuencia, y teniendo en cuenta que el momento procesal oportuno para el análisis de los requisitos de admisibilidad es al momento en que la Comisión se pronuncia sobre la misma, se concluye que la presunta víctima cumplió con el requisito impuesto en el artículo 46.1.b de la Convención.</w:t>
      </w:r>
    </w:p>
    <w:p w14:paraId="3CA7806D" w14:textId="77777777" w:rsidR="00503948" w:rsidRPr="00407A7B" w:rsidRDefault="00503948" w:rsidP="00153218">
      <w:pPr>
        <w:pStyle w:val="ListParagraph"/>
        <w:tabs>
          <w:tab w:val="left" w:pos="0"/>
          <w:tab w:val="left" w:pos="567"/>
        </w:tabs>
        <w:suppressAutoHyphens/>
        <w:ind w:left="0"/>
        <w:jc w:val="both"/>
        <w:rPr>
          <w:sz w:val="20"/>
          <w:szCs w:val="20"/>
          <w:lang w:val="es-ES"/>
        </w:rPr>
      </w:pPr>
    </w:p>
    <w:p w14:paraId="00F69E6F" w14:textId="77777777" w:rsidR="002567A0" w:rsidRPr="00407A7B" w:rsidRDefault="00503948" w:rsidP="00B00AA7">
      <w:pPr>
        <w:pStyle w:val="Heading2"/>
        <w:numPr>
          <w:ilvl w:val="0"/>
          <w:numId w:val="57"/>
        </w:numPr>
      </w:pPr>
      <w:bookmarkStart w:id="15" w:name="_Toc54369865"/>
      <w:r w:rsidRPr="00407A7B">
        <w:t>Caracterización de los hechos alegados</w:t>
      </w:r>
      <w:bookmarkEnd w:id="15"/>
      <w:r w:rsidRPr="00407A7B">
        <w:t xml:space="preserve"> </w:t>
      </w:r>
    </w:p>
    <w:p w14:paraId="1028B62F" w14:textId="77777777" w:rsidR="002567A0" w:rsidRPr="00407A7B" w:rsidRDefault="002567A0" w:rsidP="00153218">
      <w:pPr>
        <w:jc w:val="both"/>
        <w:rPr>
          <w:lang w:val="es-ES_tradnl" w:eastAsia="es-ES"/>
        </w:rPr>
      </w:pPr>
    </w:p>
    <w:p w14:paraId="04E1E2D9" w14:textId="77777777" w:rsidR="00153218" w:rsidRPr="00407A7B" w:rsidRDefault="00153218" w:rsidP="00A41F08">
      <w:pPr>
        <w:pStyle w:val="ListParagraph"/>
        <w:numPr>
          <w:ilvl w:val="0"/>
          <w:numId w:val="55"/>
        </w:numPr>
        <w:tabs>
          <w:tab w:val="left" w:pos="567"/>
        </w:tabs>
        <w:ind w:left="0" w:firstLine="0"/>
        <w:jc w:val="both"/>
        <w:rPr>
          <w:lang w:val="es-ES_tradnl"/>
        </w:rPr>
      </w:pPr>
      <w:r w:rsidRPr="00407A7B">
        <w:rPr>
          <w:rFonts w:eastAsia="Calibri"/>
          <w:sz w:val="20"/>
          <w:szCs w:val="20"/>
          <w:lang w:val="es-ES"/>
        </w:rPr>
        <w:t xml:space="preserve">La Comisión considera que, de resultar probados, </w:t>
      </w:r>
      <w:r w:rsidR="00A9284B" w:rsidRPr="00407A7B">
        <w:rPr>
          <w:rFonts w:eastAsia="Calibri"/>
          <w:sz w:val="20"/>
          <w:szCs w:val="20"/>
          <w:lang w:val="es-ES"/>
        </w:rPr>
        <w:t>los hechos expuestos por la parte peticionaria podrían</w:t>
      </w:r>
      <w:r w:rsidRPr="00407A7B">
        <w:rPr>
          <w:rFonts w:eastAsia="Calibri"/>
          <w:sz w:val="20"/>
          <w:szCs w:val="20"/>
          <w:lang w:val="es-ES"/>
        </w:rPr>
        <w:t xml:space="preserve"> representar una violación a los derechos consagrados en los artículos </w:t>
      </w:r>
      <w:r w:rsidR="006843AA">
        <w:rPr>
          <w:rFonts w:eastAsia="Calibri"/>
          <w:sz w:val="20"/>
          <w:szCs w:val="20"/>
          <w:lang w:val="es-ES"/>
        </w:rPr>
        <w:t xml:space="preserve">5, </w:t>
      </w:r>
      <w:r w:rsidR="00A62BE3" w:rsidRPr="00407A7B">
        <w:rPr>
          <w:rFonts w:eastAsia="Calibri"/>
          <w:sz w:val="20"/>
          <w:szCs w:val="20"/>
          <w:lang w:val="es-ES"/>
        </w:rPr>
        <w:t xml:space="preserve">7, </w:t>
      </w:r>
      <w:r w:rsidRPr="00407A7B">
        <w:rPr>
          <w:rFonts w:eastAsia="Calibri"/>
          <w:sz w:val="20"/>
          <w:szCs w:val="20"/>
          <w:lang w:val="es-ES"/>
        </w:rPr>
        <w:t>8.1, 8.2.h, 7.4</w:t>
      </w:r>
      <w:r w:rsidR="00531240" w:rsidRPr="00407A7B">
        <w:rPr>
          <w:rFonts w:eastAsia="Calibri"/>
          <w:sz w:val="20"/>
          <w:szCs w:val="20"/>
          <w:lang w:val="es-ES"/>
        </w:rPr>
        <w:t>, 11</w:t>
      </w:r>
      <w:r w:rsidR="00B01835" w:rsidRPr="00407A7B">
        <w:rPr>
          <w:rFonts w:eastAsia="Calibri"/>
          <w:sz w:val="20"/>
          <w:szCs w:val="20"/>
          <w:lang w:val="es-ES"/>
        </w:rPr>
        <w:t xml:space="preserve"> y 26</w:t>
      </w:r>
      <w:r w:rsidRPr="00407A7B">
        <w:rPr>
          <w:rFonts w:eastAsia="Calibri"/>
          <w:sz w:val="20"/>
          <w:szCs w:val="20"/>
          <w:lang w:val="es-ES"/>
        </w:rPr>
        <w:t xml:space="preserve"> de la Convención Americana sobre Derechos Humanos. </w:t>
      </w:r>
    </w:p>
    <w:p w14:paraId="68C85F88" w14:textId="77777777" w:rsidR="00153218" w:rsidRPr="00407A7B" w:rsidRDefault="00153218" w:rsidP="00153218">
      <w:pPr>
        <w:tabs>
          <w:tab w:val="left" w:pos="567"/>
        </w:tabs>
        <w:rPr>
          <w:lang w:val="es-ES_tradnl"/>
        </w:rPr>
      </w:pPr>
    </w:p>
    <w:p w14:paraId="6A05CB8B" w14:textId="77777777" w:rsidR="00153218" w:rsidRPr="00407A7B" w:rsidRDefault="00153218" w:rsidP="00153218">
      <w:pPr>
        <w:pStyle w:val="Heading1"/>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60" w:hanging="360"/>
        <w:contextualSpacing/>
      </w:pPr>
      <w:bookmarkStart w:id="16" w:name="_Toc41054011"/>
      <w:bookmarkStart w:id="17" w:name="_Toc42675175"/>
      <w:bookmarkStart w:id="18" w:name="_Toc42675197"/>
      <w:bookmarkStart w:id="19" w:name="_Toc54369866"/>
      <w:r w:rsidRPr="00407A7B">
        <w:t>DETERMINACIONES DE HECHO</w:t>
      </w:r>
      <w:bookmarkEnd w:id="16"/>
      <w:bookmarkEnd w:id="17"/>
      <w:bookmarkEnd w:id="18"/>
      <w:bookmarkEnd w:id="19"/>
      <w:r w:rsidRPr="00407A7B">
        <w:t xml:space="preserve"> </w:t>
      </w:r>
    </w:p>
    <w:p w14:paraId="7B5E81A3" w14:textId="77777777" w:rsidR="00153218" w:rsidRPr="00407A7B" w:rsidRDefault="00153218" w:rsidP="00153218">
      <w:pPr>
        <w:rPr>
          <w:sz w:val="20"/>
          <w:szCs w:val="20"/>
        </w:rPr>
      </w:pPr>
    </w:p>
    <w:p w14:paraId="73A04ADD" w14:textId="77777777" w:rsidR="00153218" w:rsidRPr="00407A7B" w:rsidRDefault="00153218" w:rsidP="00B00AA7">
      <w:pPr>
        <w:pStyle w:val="Heading2"/>
        <w:numPr>
          <w:ilvl w:val="0"/>
          <w:numId w:val="60"/>
        </w:numPr>
      </w:pPr>
      <w:bookmarkStart w:id="20" w:name="_Toc41054012"/>
      <w:bookmarkStart w:id="21" w:name="_Toc42675176"/>
      <w:bookmarkStart w:id="22" w:name="_Toc42675198"/>
      <w:bookmarkStart w:id="23" w:name="_Toc54369867"/>
      <w:r w:rsidRPr="00407A7B">
        <w:t>Marco Normativo Relevante</w:t>
      </w:r>
      <w:bookmarkEnd w:id="20"/>
      <w:bookmarkEnd w:id="21"/>
      <w:bookmarkEnd w:id="22"/>
      <w:bookmarkEnd w:id="23"/>
    </w:p>
    <w:p w14:paraId="6764FBD7" w14:textId="77777777" w:rsidR="00102255" w:rsidRPr="00407A7B" w:rsidRDefault="00102255" w:rsidP="0010225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0"/>
        <w:contextualSpacing/>
        <w:jc w:val="both"/>
        <w:rPr>
          <w:sz w:val="20"/>
          <w:szCs w:val="20"/>
          <w:lang w:val="es-ES"/>
        </w:rPr>
      </w:pPr>
    </w:p>
    <w:p w14:paraId="281E552D" w14:textId="77777777" w:rsidR="0061466B" w:rsidRPr="00407A7B" w:rsidRDefault="00102255" w:rsidP="0061466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0" w:firstLine="0"/>
        <w:contextualSpacing/>
        <w:jc w:val="both"/>
        <w:rPr>
          <w:sz w:val="20"/>
          <w:szCs w:val="20"/>
          <w:lang w:val="es-ES"/>
        </w:rPr>
      </w:pPr>
      <w:r w:rsidRPr="00407A7B">
        <w:rPr>
          <w:sz w:val="20"/>
          <w:szCs w:val="20"/>
          <w:lang w:val="es-ES"/>
        </w:rPr>
        <w:t>En lo</w:t>
      </w:r>
      <w:r w:rsidR="00153218" w:rsidRPr="00407A7B">
        <w:rPr>
          <w:sz w:val="20"/>
          <w:szCs w:val="20"/>
          <w:lang w:val="es-ES"/>
        </w:rPr>
        <w:t xml:space="preserve"> que respecta a la legislación </w:t>
      </w:r>
      <w:r w:rsidRPr="00407A7B">
        <w:rPr>
          <w:sz w:val="20"/>
          <w:szCs w:val="20"/>
          <w:lang w:val="es-ES"/>
        </w:rPr>
        <w:t>nacional relevante para el estudio de la petición del Sr. Cochran</w:t>
      </w:r>
      <w:r w:rsidR="00153218" w:rsidRPr="00407A7B">
        <w:rPr>
          <w:sz w:val="20"/>
          <w:szCs w:val="20"/>
          <w:lang w:val="es-ES"/>
        </w:rPr>
        <w:t>,</w:t>
      </w:r>
      <w:r w:rsidRPr="00407A7B">
        <w:rPr>
          <w:sz w:val="20"/>
          <w:szCs w:val="20"/>
          <w:lang w:val="es-ES"/>
        </w:rPr>
        <w:t xml:space="preserve"> la Comisión destaca, en primer lugar, que</w:t>
      </w:r>
      <w:r w:rsidR="00153218" w:rsidRPr="00407A7B">
        <w:rPr>
          <w:sz w:val="20"/>
          <w:szCs w:val="20"/>
          <w:lang w:val="es-ES"/>
        </w:rPr>
        <w:t xml:space="preserve"> el 10 de diciembre de 1996 la Asamblea Legislativa de la República de Costa Rica sancionó la ley 7594 por medio de la cual se aprobó el texto del Código Procesal Penal. Conforme lo dispuesto en su artículo 472, el mencionado Código entró en vigencia el 1 de enero de 1998. </w:t>
      </w:r>
    </w:p>
    <w:p w14:paraId="2EB672AB" w14:textId="77777777" w:rsidR="0061466B" w:rsidRPr="00407A7B" w:rsidRDefault="0061466B" w:rsidP="0061466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0"/>
        <w:contextualSpacing/>
        <w:jc w:val="both"/>
        <w:rPr>
          <w:sz w:val="20"/>
          <w:szCs w:val="20"/>
          <w:lang w:val="es-ES"/>
        </w:rPr>
      </w:pPr>
    </w:p>
    <w:p w14:paraId="2859E35D" w14:textId="77777777" w:rsidR="0061466B" w:rsidRPr="00407A7B" w:rsidRDefault="00102255" w:rsidP="0061466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0" w:firstLine="0"/>
        <w:contextualSpacing/>
        <w:jc w:val="both"/>
        <w:rPr>
          <w:sz w:val="20"/>
          <w:szCs w:val="20"/>
          <w:lang w:val="es-ES"/>
        </w:rPr>
      </w:pPr>
      <w:r w:rsidRPr="00407A7B">
        <w:rPr>
          <w:sz w:val="20"/>
          <w:szCs w:val="20"/>
          <w:lang w:val="es-ES"/>
        </w:rPr>
        <w:t xml:space="preserve">Los requisitos y forma en que deben llevarse a cabo los allanamientos domiciliarios </w:t>
      </w:r>
      <w:r w:rsidR="00A9284B" w:rsidRPr="00407A7B">
        <w:rPr>
          <w:sz w:val="20"/>
          <w:szCs w:val="20"/>
          <w:lang w:val="es-ES"/>
        </w:rPr>
        <w:t>está</w:t>
      </w:r>
      <w:r w:rsidRPr="00407A7B">
        <w:rPr>
          <w:sz w:val="20"/>
          <w:szCs w:val="20"/>
          <w:lang w:val="es-ES"/>
        </w:rPr>
        <w:t xml:space="preserve"> regulado en los artículos 193 a 197</w:t>
      </w:r>
      <w:r w:rsidR="00531240" w:rsidRPr="00407A7B">
        <w:rPr>
          <w:sz w:val="20"/>
          <w:szCs w:val="20"/>
          <w:lang w:val="es-ES"/>
        </w:rPr>
        <w:t xml:space="preserve"> del </w:t>
      </w:r>
      <w:r w:rsidR="00365414" w:rsidRPr="00407A7B">
        <w:rPr>
          <w:sz w:val="20"/>
          <w:szCs w:val="20"/>
          <w:lang w:val="es-ES"/>
        </w:rPr>
        <w:t>Código</w:t>
      </w:r>
      <w:r w:rsidR="00531240" w:rsidRPr="00407A7B">
        <w:rPr>
          <w:sz w:val="20"/>
          <w:szCs w:val="20"/>
          <w:lang w:val="es-ES"/>
        </w:rPr>
        <w:t xml:space="preserve"> Procesal Penal</w:t>
      </w:r>
      <w:r w:rsidRPr="00407A7B">
        <w:rPr>
          <w:sz w:val="20"/>
          <w:szCs w:val="20"/>
          <w:lang w:val="es-ES"/>
        </w:rPr>
        <w:t xml:space="preserve">. </w:t>
      </w:r>
      <w:r w:rsidR="00531240" w:rsidRPr="00407A7B">
        <w:rPr>
          <w:sz w:val="20"/>
          <w:szCs w:val="20"/>
          <w:lang w:val="es-ES"/>
        </w:rPr>
        <w:t>En lo que interesa a este caso, e</w:t>
      </w:r>
      <w:r w:rsidR="0061466B" w:rsidRPr="00407A7B">
        <w:rPr>
          <w:sz w:val="20"/>
          <w:szCs w:val="20"/>
          <w:lang w:val="es-ES"/>
        </w:rPr>
        <w:t xml:space="preserve">l </w:t>
      </w:r>
      <w:r w:rsidR="00A9284B" w:rsidRPr="00407A7B">
        <w:rPr>
          <w:sz w:val="20"/>
          <w:szCs w:val="20"/>
          <w:lang w:val="es-ES"/>
        </w:rPr>
        <w:t>artículo</w:t>
      </w:r>
      <w:r w:rsidR="0061466B" w:rsidRPr="00407A7B">
        <w:rPr>
          <w:sz w:val="20"/>
          <w:szCs w:val="20"/>
          <w:lang w:val="es-ES"/>
        </w:rPr>
        <w:t xml:space="preserve"> 193 dispone: </w:t>
      </w:r>
    </w:p>
    <w:p w14:paraId="1B742714" w14:textId="77777777" w:rsidR="0061466B" w:rsidRPr="00407A7B" w:rsidRDefault="0061466B" w:rsidP="0061466B">
      <w:pPr>
        <w:pStyle w:val="ListParagraph"/>
        <w:jc w:val="both"/>
        <w:rPr>
          <w:sz w:val="20"/>
          <w:szCs w:val="20"/>
          <w:lang w:val="es-ES"/>
        </w:rPr>
      </w:pPr>
    </w:p>
    <w:p w14:paraId="520BD7E5" w14:textId="77777777" w:rsidR="0061466B" w:rsidRPr="00407A7B" w:rsidRDefault="0061466B" w:rsidP="00FB176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851" w:right="856"/>
        <w:contextualSpacing/>
        <w:jc w:val="both"/>
        <w:rPr>
          <w:sz w:val="20"/>
          <w:szCs w:val="20"/>
          <w:lang w:val="es-ES"/>
        </w:rPr>
      </w:pPr>
      <w:r w:rsidRPr="00407A7B">
        <w:rPr>
          <w:sz w:val="20"/>
          <w:szCs w:val="20"/>
          <w:lang w:val="es-ES"/>
        </w:rPr>
        <w:t xml:space="preserve">Cuando el registro deba efectuarse en un lugar habitado, en sus dependencias, casa de negocio u oficina, el allanamiento y registro será́ realizado personalmente por el juez y deberá́ iniciarlo entre las seis y las dieciocho horas. </w:t>
      </w:r>
    </w:p>
    <w:p w14:paraId="2B665DC9" w14:textId="77777777" w:rsidR="00102255" w:rsidRPr="00407A7B" w:rsidRDefault="0061466B" w:rsidP="00FB1760">
      <w:pPr>
        <w:pStyle w:val="NormalWeb"/>
        <w:spacing w:before="0" w:beforeAutospacing="0" w:after="0" w:afterAutospacing="0"/>
        <w:ind w:left="851" w:right="856"/>
        <w:jc w:val="both"/>
        <w:rPr>
          <w:rFonts w:ascii="Cambria" w:hAnsi="Cambria"/>
          <w:sz w:val="20"/>
          <w:szCs w:val="20"/>
          <w:lang w:val="es-ES"/>
        </w:rPr>
      </w:pPr>
      <w:r w:rsidRPr="00407A7B">
        <w:rPr>
          <w:rFonts w:ascii="Cambria" w:hAnsi="Cambria"/>
          <w:sz w:val="20"/>
          <w:szCs w:val="20"/>
          <w:lang w:val="es-ES"/>
        </w:rPr>
        <w:t xml:space="preserve">Podrá́ procederse a cualquier hora cuando el morador o su representante consienta o en los casos sumamente graves y urgentes. Deberá́ dejarse constancia de la situación de urgencia en la resolución que acuerda el allanamiento. </w:t>
      </w:r>
    </w:p>
    <w:p w14:paraId="1128A996" w14:textId="77777777" w:rsidR="0061466B" w:rsidRPr="00407A7B" w:rsidRDefault="0061466B" w:rsidP="0061466B">
      <w:pPr>
        <w:pStyle w:val="NormalWeb"/>
        <w:spacing w:before="0" w:beforeAutospacing="0" w:after="0" w:afterAutospacing="0"/>
        <w:ind w:left="567" w:right="856"/>
        <w:jc w:val="both"/>
        <w:rPr>
          <w:rFonts w:ascii="Cambria" w:hAnsi="Cambria"/>
          <w:sz w:val="20"/>
          <w:szCs w:val="20"/>
          <w:lang w:val="es-ES"/>
        </w:rPr>
      </w:pPr>
    </w:p>
    <w:p w14:paraId="5FFE907E" w14:textId="77777777" w:rsidR="0061466B" w:rsidRPr="00407A7B" w:rsidRDefault="0061466B" w:rsidP="00964D5E">
      <w:pPr>
        <w:pStyle w:val="NormalWeb"/>
        <w:numPr>
          <w:ilvl w:val="0"/>
          <w:numId w:val="55"/>
        </w:numPr>
        <w:tabs>
          <w:tab w:val="left" w:pos="567"/>
        </w:tabs>
        <w:spacing w:before="0" w:beforeAutospacing="0" w:after="0" w:afterAutospacing="0"/>
        <w:ind w:left="0" w:right="4" w:firstLine="0"/>
        <w:jc w:val="both"/>
        <w:rPr>
          <w:rFonts w:ascii="Cambria" w:hAnsi="Cambria"/>
          <w:sz w:val="20"/>
          <w:szCs w:val="20"/>
          <w:lang w:val="es-ES"/>
        </w:rPr>
      </w:pPr>
      <w:r w:rsidRPr="00407A7B">
        <w:rPr>
          <w:rFonts w:ascii="Cambria" w:hAnsi="Cambria"/>
          <w:sz w:val="20"/>
          <w:szCs w:val="20"/>
          <w:lang w:val="es-ES"/>
        </w:rPr>
        <w:t xml:space="preserve">En tanto que el texto del </w:t>
      </w:r>
      <w:r w:rsidR="00A9284B" w:rsidRPr="00407A7B">
        <w:rPr>
          <w:rFonts w:ascii="Cambria" w:hAnsi="Cambria"/>
          <w:sz w:val="20"/>
          <w:szCs w:val="20"/>
          <w:lang w:val="es-ES"/>
        </w:rPr>
        <w:t>artículo</w:t>
      </w:r>
      <w:r w:rsidRPr="00407A7B">
        <w:rPr>
          <w:rFonts w:ascii="Cambria" w:hAnsi="Cambria"/>
          <w:sz w:val="20"/>
          <w:szCs w:val="20"/>
          <w:lang w:val="es-ES"/>
        </w:rPr>
        <w:t xml:space="preserve"> 195</w:t>
      </w:r>
      <w:r w:rsidR="00C33647" w:rsidRPr="00407A7B">
        <w:rPr>
          <w:rFonts w:ascii="Cambria" w:hAnsi="Cambria"/>
          <w:sz w:val="20"/>
          <w:szCs w:val="20"/>
          <w:lang w:val="es-ES"/>
        </w:rPr>
        <w:t xml:space="preserve"> es el siguiente</w:t>
      </w:r>
      <w:r w:rsidRPr="00407A7B">
        <w:rPr>
          <w:rFonts w:ascii="Cambria" w:hAnsi="Cambria"/>
          <w:sz w:val="20"/>
          <w:szCs w:val="20"/>
          <w:lang w:val="es-ES"/>
        </w:rPr>
        <w:t>:</w:t>
      </w:r>
    </w:p>
    <w:p w14:paraId="43FA2A09" w14:textId="77777777" w:rsidR="0061466B" w:rsidRPr="00407A7B" w:rsidRDefault="0061466B" w:rsidP="0061466B">
      <w:pPr>
        <w:pStyle w:val="NormalWeb"/>
        <w:tabs>
          <w:tab w:val="left" w:pos="567"/>
        </w:tabs>
        <w:spacing w:before="0" w:beforeAutospacing="0" w:after="0" w:afterAutospacing="0"/>
        <w:ind w:right="856"/>
        <w:jc w:val="both"/>
        <w:rPr>
          <w:rFonts w:ascii="Cambria" w:hAnsi="Cambria"/>
          <w:sz w:val="20"/>
          <w:szCs w:val="20"/>
          <w:lang w:val="es-ES"/>
        </w:rPr>
      </w:pPr>
      <w:r w:rsidRPr="00407A7B">
        <w:rPr>
          <w:rFonts w:ascii="Cambria" w:hAnsi="Cambria"/>
          <w:sz w:val="20"/>
          <w:szCs w:val="20"/>
          <w:lang w:val="es-ES"/>
        </w:rPr>
        <w:t xml:space="preserve"> </w:t>
      </w:r>
    </w:p>
    <w:p w14:paraId="6F2B6333" w14:textId="77777777" w:rsidR="0061466B" w:rsidRPr="00407A7B" w:rsidRDefault="0061466B" w:rsidP="0061466B">
      <w:pPr>
        <w:pStyle w:val="NormalWeb"/>
        <w:spacing w:before="0" w:beforeAutospacing="0" w:after="0" w:afterAutospacing="0"/>
        <w:ind w:left="567" w:right="855"/>
        <w:jc w:val="both"/>
        <w:rPr>
          <w:rFonts w:ascii="Cambria" w:hAnsi="Cambria"/>
          <w:sz w:val="20"/>
          <w:szCs w:val="20"/>
          <w:lang w:val="es-ES"/>
        </w:rPr>
      </w:pPr>
      <w:r w:rsidRPr="00407A7B">
        <w:rPr>
          <w:rFonts w:ascii="Cambria" w:hAnsi="Cambria"/>
          <w:sz w:val="20"/>
          <w:szCs w:val="20"/>
          <w:lang w:val="es-ES"/>
        </w:rPr>
        <w:t xml:space="preserve">La resolución que ordena el allanamiento deberá́ contener: </w:t>
      </w:r>
    </w:p>
    <w:p w14:paraId="6E8983C0" w14:textId="77777777" w:rsidR="0061466B" w:rsidRPr="00407A7B" w:rsidRDefault="0061466B" w:rsidP="0061466B">
      <w:pPr>
        <w:pStyle w:val="NormalWeb"/>
        <w:spacing w:before="0" w:beforeAutospacing="0" w:after="0" w:afterAutospacing="0"/>
        <w:ind w:left="567" w:right="855"/>
        <w:jc w:val="both"/>
        <w:rPr>
          <w:rFonts w:ascii="Cambria" w:hAnsi="Cambria"/>
          <w:sz w:val="20"/>
          <w:szCs w:val="20"/>
          <w:lang w:val="es-ES"/>
        </w:rPr>
      </w:pPr>
    </w:p>
    <w:p w14:paraId="2C905011" w14:textId="77777777" w:rsidR="0061466B" w:rsidRPr="00407A7B" w:rsidRDefault="0061466B" w:rsidP="00E24760">
      <w:pPr>
        <w:pStyle w:val="NormalWeb"/>
        <w:numPr>
          <w:ilvl w:val="0"/>
          <w:numId w:val="61"/>
        </w:numPr>
        <w:spacing w:before="0" w:beforeAutospacing="0" w:after="0" w:afterAutospacing="0"/>
        <w:ind w:left="1134" w:right="855" w:hanging="283"/>
        <w:jc w:val="both"/>
        <w:rPr>
          <w:rFonts w:ascii="Cambria" w:hAnsi="Cambria"/>
          <w:sz w:val="20"/>
          <w:szCs w:val="20"/>
          <w:lang w:val="es-ES"/>
        </w:rPr>
      </w:pPr>
      <w:r w:rsidRPr="00407A7B">
        <w:rPr>
          <w:rFonts w:ascii="Cambria" w:hAnsi="Cambria"/>
          <w:sz w:val="20"/>
          <w:szCs w:val="20"/>
          <w:lang w:val="es-ES"/>
        </w:rPr>
        <w:t>El nombre y cargo del funcionario que autoriza el allanamiento y la identificación del procedimiento en el cual se ordena.</w:t>
      </w:r>
    </w:p>
    <w:p w14:paraId="375C64A2" w14:textId="77777777" w:rsidR="0061466B" w:rsidRPr="00407A7B" w:rsidRDefault="0061466B" w:rsidP="00E24760">
      <w:pPr>
        <w:pStyle w:val="NormalWeb"/>
        <w:numPr>
          <w:ilvl w:val="0"/>
          <w:numId w:val="61"/>
        </w:numPr>
        <w:spacing w:before="0" w:beforeAutospacing="0" w:after="0" w:afterAutospacing="0"/>
        <w:ind w:left="1134" w:right="855" w:hanging="283"/>
        <w:jc w:val="both"/>
        <w:rPr>
          <w:rFonts w:ascii="Cambria" w:hAnsi="Cambria"/>
          <w:sz w:val="20"/>
          <w:szCs w:val="20"/>
          <w:lang w:val="es-ES"/>
        </w:rPr>
      </w:pPr>
      <w:r w:rsidRPr="00407A7B">
        <w:rPr>
          <w:rFonts w:ascii="Cambria" w:hAnsi="Cambria"/>
          <w:sz w:val="20"/>
          <w:szCs w:val="20"/>
          <w:lang w:val="es-ES"/>
        </w:rPr>
        <w:t>La determinación concreta del lugar o los lugares que habrán de ser registrados.</w:t>
      </w:r>
    </w:p>
    <w:p w14:paraId="6E8D6720" w14:textId="77777777" w:rsidR="0061466B" w:rsidRPr="00407A7B" w:rsidRDefault="0061466B" w:rsidP="00E24760">
      <w:pPr>
        <w:pStyle w:val="NormalWeb"/>
        <w:numPr>
          <w:ilvl w:val="0"/>
          <w:numId w:val="61"/>
        </w:numPr>
        <w:spacing w:before="0" w:beforeAutospacing="0" w:after="0" w:afterAutospacing="0"/>
        <w:ind w:left="1134" w:right="855" w:hanging="283"/>
        <w:jc w:val="both"/>
        <w:rPr>
          <w:rFonts w:ascii="Cambria" w:hAnsi="Cambria"/>
          <w:sz w:val="20"/>
          <w:szCs w:val="20"/>
          <w:lang w:val="es-ES"/>
        </w:rPr>
      </w:pPr>
      <w:r w:rsidRPr="00407A7B">
        <w:rPr>
          <w:rFonts w:ascii="Cambria" w:hAnsi="Cambria"/>
          <w:sz w:val="20"/>
          <w:szCs w:val="20"/>
          <w:lang w:val="es-ES"/>
        </w:rPr>
        <w:t>El nombre de la autoridad que habrá́ de practicar el registro, en el caso de que la diligencia se delegue en el Ministerio P</w:t>
      </w:r>
      <w:r w:rsidR="00531240" w:rsidRPr="00407A7B">
        <w:rPr>
          <w:rFonts w:ascii="Cambria" w:hAnsi="Cambria"/>
          <w:sz w:val="20"/>
          <w:szCs w:val="20"/>
          <w:lang w:val="es-ES"/>
        </w:rPr>
        <w:t>ú</w:t>
      </w:r>
      <w:r w:rsidRPr="00407A7B">
        <w:rPr>
          <w:rFonts w:ascii="Cambria" w:hAnsi="Cambria"/>
          <w:sz w:val="20"/>
          <w:szCs w:val="20"/>
          <w:lang w:val="es-ES"/>
        </w:rPr>
        <w:t xml:space="preserve">blico o en la policía, por proceder así́ conforme lo dispuesto en este </w:t>
      </w:r>
      <w:r w:rsidR="00A9284B" w:rsidRPr="00407A7B">
        <w:rPr>
          <w:rFonts w:ascii="Cambria" w:hAnsi="Cambria"/>
          <w:sz w:val="20"/>
          <w:szCs w:val="20"/>
          <w:lang w:val="es-ES"/>
        </w:rPr>
        <w:t>Título</w:t>
      </w:r>
      <w:r w:rsidRPr="00407A7B">
        <w:rPr>
          <w:rFonts w:ascii="Cambria" w:hAnsi="Cambria"/>
          <w:sz w:val="20"/>
          <w:szCs w:val="20"/>
          <w:lang w:val="es-ES"/>
        </w:rPr>
        <w:t>.</w:t>
      </w:r>
    </w:p>
    <w:p w14:paraId="41BA3361" w14:textId="77777777" w:rsidR="0061466B" w:rsidRPr="00407A7B" w:rsidRDefault="0061466B" w:rsidP="00E24760">
      <w:pPr>
        <w:pStyle w:val="NormalWeb"/>
        <w:numPr>
          <w:ilvl w:val="0"/>
          <w:numId w:val="61"/>
        </w:numPr>
        <w:spacing w:before="0" w:beforeAutospacing="0" w:after="0" w:afterAutospacing="0"/>
        <w:ind w:left="1134" w:right="855" w:hanging="283"/>
        <w:jc w:val="both"/>
        <w:rPr>
          <w:rFonts w:ascii="Cambria" w:hAnsi="Cambria"/>
          <w:sz w:val="20"/>
          <w:szCs w:val="20"/>
          <w:lang w:val="es-ES"/>
        </w:rPr>
      </w:pPr>
      <w:r w:rsidRPr="00407A7B">
        <w:rPr>
          <w:rFonts w:ascii="Cambria" w:hAnsi="Cambria"/>
          <w:sz w:val="20"/>
          <w:szCs w:val="20"/>
          <w:lang w:val="es-ES"/>
        </w:rPr>
        <w:t>El motivo del allanamiento.</w:t>
      </w:r>
    </w:p>
    <w:p w14:paraId="1F51FAB7" w14:textId="77777777" w:rsidR="0061466B" w:rsidRPr="00407A7B" w:rsidRDefault="0061466B" w:rsidP="00E24760">
      <w:pPr>
        <w:pStyle w:val="NormalWeb"/>
        <w:numPr>
          <w:ilvl w:val="0"/>
          <w:numId w:val="61"/>
        </w:numPr>
        <w:spacing w:before="0" w:beforeAutospacing="0" w:after="0" w:afterAutospacing="0"/>
        <w:ind w:left="1134" w:right="855" w:hanging="283"/>
        <w:jc w:val="both"/>
        <w:rPr>
          <w:rFonts w:ascii="Cambria" w:hAnsi="Cambria"/>
          <w:sz w:val="20"/>
          <w:szCs w:val="20"/>
          <w:lang w:val="es-ES"/>
        </w:rPr>
      </w:pPr>
      <w:r w:rsidRPr="00407A7B">
        <w:rPr>
          <w:rFonts w:ascii="Cambria" w:hAnsi="Cambria"/>
          <w:sz w:val="20"/>
          <w:szCs w:val="20"/>
          <w:lang w:val="es-ES"/>
        </w:rPr>
        <w:t xml:space="preserve">La hora y la fecha en que deba practicarse la diligencia. </w:t>
      </w:r>
    </w:p>
    <w:p w14:paraId="270BF63B" w14:textId="77777777" w:rsidR="0061466B" w:rsidRPr="00407A7B" w:rsidRDefault="0061466B" w:rsidP="0061466B">
      <w:pPr>
        <w:pStyle w:val="NormalWeb"/>
        <w:spacing w:before="0" w:beforeAutospacing="0" w:after="0" w:afterAutospacing="0"/>
        <w:ind w:right="855"/>
        <w:jc w:val="both"/>
        <w:rPr>
          <w:rFonts w:ascii="Cambria" w:hAnsi="Cambria"/>
          <w:sz w:val="20"/>
          <w:szCs w:val="20"/>
          <w:lang w:val="es-ES"/>
        </w:rPr>
      </w:pPr>
    </w:p>
    <w:p w14:paraId="10F1EE4F" w14:textId="77777777" w:rsidR="0061466B" w:rsidRPr="00407A7B" w:rsidRDefault="0021152A" w:rsidP="00531240">
      <w:pPr>
        <w:pStyle w:val="NormalWeb"/>
        <w:numPr>
          <w:ilvl w:val="0"/>
          <w:numId w:val="55"/>
        </w:numPr>
        <w:tabs>
          <w:tab w:val="left" w:pos="567"/>
        </w:tabs>
        <w:spacing w:before="0" w:beforeAutospacing="0" w:after="0" w:afterAutospacing="0"/>
        <w:ind w:left="0" w:right="4" w:firstLine="0"/>
        <w:jc w:val="both"/>
        <w:rPr>
          <w:rFonts w:ascii="Cambria" w:hAnsi="Cambria"/>
          <w:sz w:val="20"/>
          <w:szCs w:val="20"/>
          <w:lang w:val="es-ES"/>
        </w:rPr>
      </w:pPr>
      <w:r w:rsidRPr="00407A7B">
        <w:rPr>
          <w:rFonts w:ascii="Cambria" w:hAnsi="Cambria"/>
          <w:sz w:val="20"/>
          <w:szCs w:val="20"/>
          <w:lang w:val="es-ES"/>
        </w:rPr>
        <w:t xml:space="preserve">En lo que respecta a la cuestión de las vías procesales para impugnar la decisión de dictar la prisión preventiva, el </w:t>
      </w:r>
      <w:r w:rsidR="00A9284B" w:rsidRPr="00407A7B">
        <w:rPr>
          <w:rFonts w:ascii="Cambria" w:hAnsi="Cambria"/>
          <w:sz w:val="20"/>
          <w:szCs w:val="20"/>
          <w:lang w:val="es-ES"/>
        </w:rPr>
        <w:t>artículo</w:t>
      </w:r>
      <w:r w:rsidRPr="00407A7B">
        <w:rPr>
          <w:rFonts w:ascii="Cambria" w:hAnsi="Cambria"/>
          <w:sz w:val="20"/>
          <w:szCs w:val="20"/>
          <w:lang w:val="es-ES"/>
        </w:rPr>
        <w:t xml:space="preserve"> 256 dispone: </w:t>
      </w:r>
    </w:p>
    <w:p w14:paraId="2C4FFB02" w14:textId="77777777" w:rsidR="0021152A" w:rsidRPr="00407A7B" w:rsidRDefault="0021152A" w:rsidP="00531240">
      <w:pPr>
        <w:pStyle w:val="NormalWeb"/>
        <w:tabs>
          <w:tab w:val="left" w:pos="567"/>
        </w:tabs>
        <w:spacing w:before="0" w:beforeAutospacing="0" w:after="0" w:afterAutospacing="0"/>
        <w:ind w:right="855"/>
        <w:jc w:val="both"/>
        <w:rPr>
          <w:rFonts w:ascii="Cambria" w:hAnsi="Cambria"/>
          <w:sz w:val="20"/>
          <w:szCs w:val="20"/>
          <w:lang w:val="es-ES"/>
        </w:rPr>
      </w:pPr>
    </w:p>
    <w:p w14:paraId="135D38F2" w14:textId="77777777" w:rsidR="0021152A" w:rsidRPr="00407A7B" w:rsidRDefault="0021152A" w:rsidP="00531240">
      <w:pPr>
        <w:pStyle w:val="NormalWeb"/>
        <w:spacing w:before="0" w:beforeAutospacing="0" w:after="0" w:afterAutospacing="0"/>
        <w:ind w:left="851" w:right="856"/>
        <w:jc w:val="both"/>
        <w:rPr>
          <w:rFonts w:ascii="Cambria" w:hAnsi="Cambria"/>
          <w:sz w:val="20"/>
          <w:szCs w:val="20"/>
          <w:lang w:val="es-ES"/>
        </w:rPr>
      </w:pPr>
      <w:r w:rsidRPr="00407A7B">
        <w:rPr>
          <w:rFonts w:ascii="Cambria" w:hAnsi="Cambria"/>
          <w:sz w:val="20"/>
          <w:szCs w:val="20"/>
          <w:lang w:val="es-ES"/>
        </w:rPr>
        <w:t xml:space="preserve">Durante el procedimiento preparatorio e intermedio, la resolución que decrete por primera vez la prisión preventiva o, transcurridos los primeros tres meses, rechace una medida sustitutiva, será́ apelable sin efecto suspensivo. </w:t>
      </w:r>
    </w:p>
    <w:p w14:paraId="7A5E5EBF" w14:textId="77777777" w:rsidR="0021152A" w:rsidRPr="00407A7B" w:rsidRDefault="0021152A" w:rsidP="00531240">
      <w:pPr>
        <w:pStyle w:val="NormalWeb"/>
        <w:spacing w:before="0" w:beforeAutospacing="0" w:after="0" w:afterAutospacing="0"/>
        <w:ind w:left="851" w:right="856"/>
        <w:jc w:val="both"/>
        <w:rPr>
          <w:rFonts w:ascii="Cambria" w:hAnsi="Cambria"/>
          <w:sz w:val="20"/>
          <w:szCs w:val="20"/>
          <w:lang w:val="es-ES"/>
        </w:rPr>
      </w:pPr>
      <w:r w:rsidRPr="00407A7B">
        <w:rPr>
          <w:rFonts w:ascii="Cambria" w:hAnsi="Cambria"/>
          <w:sz w:val="20"/>
          <w:szCs w:val="20"/>
          <w:lang w:val="es-ES"/>
        </w:rPr>
        <w:t>También serán apelables, sin efecto suspensivo, las resoluciones que impongan cualquier otra medida cautelar o rechacen una medida sustitutiva cuando se dicten durante el procedimiento preparatorio e int</w:t>
      </w:r>
      <w:r w:rsidR="00A9284B" w:rsidRPr="00407A7B">
        <w:rPr>
          <w:rFonts w:ascii="Cambria" w:hAnsi="Cambria"/>
          <w:sz w:val="20"/>
          <w:szCs w:val="20"/>
          <w:lang w:val="es-ES"/>
        </w:rPr>
        <w:t>ermedio, siempre que no se esté</w:t>
      </w:r>
      <w:r w:rsidRPr="00407A7B">
        <w:rPr>
          <w:rFonts w:ascii="Cambria" w:hAnsi="Cambria"/>
          <w:sz w:val="20"/>
          <w:szCs w:val="20"/>
          <w:lang w:val="es-ES"/>
        </w:rPr>
        <w:t xml:space="preserve"> en los casos del párrafo primero. </w:t>
      </w:r>
    </w:p>
    <w:p w14:paraId="1165C67E" w14:textId="77777777" w:rsidR="0021152A" w:rsidRPr="00407A7B" w:rsidRDefault="0021152A" w:rsidP="00FB1760">
      <w:pPr>
        <w:pStyle w:val="NormalWeb"/>
        <w:spacing w:before="0" w:beforeAutospacing="0" w:after="0" w:afterAutospacing="0"/>
        <w:ind w:left="851" w:right="856"/>
        <w:jc w:val="both"/>
        <w:rPr>
          <w:rFonts w:ascii="Cambria" w:hAnsi="Cambria"/>
          <w:sz w:val="20"/>
          <w:szCs w:val="20"/>
          <w:lang w:val="es-ES"/>
        </w:rPr>
      </w:pPr>
      <w:r w:rsidRPr="00407A7B">
        <w:rPr>
          <w:rFonts w:ascii="Cambria" w:hAnsi="Cambria"/>
          <w:sz w:val="20"/>
          <w:szCs w:val="20"/>
          <w:lang w:val="es-ES"/>
        </w:rPr>
        <w:t xml:space="preserve">En estos casos, se emplazará a las partes por el término de veinticuatro horas y a su vencimiento el tribunal de alzada se pronunciará, sin ningún trámite. Para estos efectos, solo se enviarán al tribunal las piezas indispensables para resolver y no regirá́ el procedimiento establecido para tramitar el recurso de apelación. </w:t>
      </w:r>
    </w:p>
    <w:p w14:paraId="087C820E" w14:textId="77777777" w:rsidR="00531240" w:rsidRPr="00407A7B" w:rsidRDefault="00531240" w:rsidP="00531240">
      <w:pPr>
        <w:pStyle w:val="NormalWeb"/>
        <w:spacing w:before="0" w:beforeAutospacing="0" w:after="0" w:afterAutospacing="0"/>
        <w:ind w:right="856"/>
        <w:jc w:val="both"/>
        <w:rPr>
          <w:rFonts w:ascii="Cambria" w:hAnsi="Cambria"/>
          <w:sz w:val="20"/>
          <w:szCs w:val="20"/>
          <w:lang w:val="es-ES"/>
        </w:rPr>
      </w:pPr>
    </w:p>
    <w:p w14:paraId="2B9601FE" w14:textId="77777777" w:rsidR="00153218" w:rsidRPr="00407A7B" w:rsidRDefault="00531240" w:rsidP="00531240">
      <w:pPr>
        <w:pStyle w:val="ListParagraph"/>
        <w:numPr>
          <w:ilvl w:val="0"/>
          <w:numId w:val="55"/>
        </w:numPr>
        <w:tabs>
          <w:tab w:val="left" w:pos="0"/>
          <w:tab w:val="left" w:pos="567"/>
        </w:tabs>
        <w:ind w:left="0" w:firstLine="0"/>
        <w:jc w:val="both"/>
        <w:rPr>
          <w:sz w:val="20"/>
          <w:szCs w:val="20"/>
          <w:lang w:val="es-ES"/>
        </w:rPr>
      </w:pPr>
      <w:r w:rsidRPr="00407A7B">
        <w:rPr>
          <w:sz w:val="20"/>
          <w:szCs w:val="20"/>
          <w:lang w:val="es-ES"/>
        </w:rPr>
        <w:t xml:space="preserve">Por otra parte, las limitaciones al dictado de la prisión preventiva por cuestiones de salud están reguladas en el </w:t>
      </w:r>
      <w:r w:rsidR="00506895" w:rsidRPr="00407A7B">
        <w:rPr>
          <w:sz w:val="20"/>
          <w:szCs w:val="20"/>
          <w:lang w:val="es-ES"/>
        </w:rPr>
        <w:t>artículo</w:t>
      </w:r>
      <w:r w:rsidRPr="00407A7B">
        <w:rPr>
          <w:sz w:val="20"/>
          <w:szCs w:val="20"/>
          <w:lang w:val="es-ES"/>
        </w:rPr>
        <w:t xml:space="preserve"> 260: </w:t>
      </w:r>
    </w:p>
    <w:p w14:paraId="34D73BE0" w14:textId="77777777" w:rsidR="00531240" w:rsidRPr="00407A7B" w:rsidRDefault="00531240" w:rsidP="00531240">
      <w:pPr>
        <w:pStyle w:val="ListParagraph"/>
        <w:tabs>
          <w:tab w:val="left" w:pos="0"/>
          <w:tab w:val="left" w:pos="567"/>
        </w:tabs>
        <w:ind w:left="0"/>
        <w:jc w:val="both"/>
        <w:rPr>
          <w:sz w:val="20"/>
          <w:szCs w:val="20"/>
          <w:lang w:val="es-ES"/>
        </w:rPr>
      </w:pPr>
    </w:p>
    <w:p w14:paraId="4020C89B" w14:textId="77777777" w:rsidR="00531240" w:rsidRPr="00407A7B" w:rsidRDefault="00531240" w:rsidP="00531240">
      <w:pPr>
        <w:pStyle w:val="ListParagraph"/>
        <w:ind w:right="855"/>
        <w:jc w:val="both"/>
        <w:rPr>
          <w:lang w:val="es-AR"/>
        </w:rPr>
      </w:pPr>
      <w:r w:rsidRPr="00407A7B">
        <w:rPr>
          <w:sz w:val="20"/>
          <w:szCs w:val="20"/>
          <w:lang w:val="es-AR"/>
        </w:rPr>
        <w:t xml:space="preserve">“No se </w:t>
      </w:r>
      <w:r w:rsidRPr="00407A7B">
        <w:rPr>
          <w:sz w:val="20"/>
          <w:szCs w:val="20"/>
          <w:lang w:val="es-ES"/>
        </w:rPr>
        <w:t>decretará la prisión preventiva de las personas mayores de setenta años o valetudinarias, si el tribunal estima que, en caso de condena, no se les impondrá pena mayor a cinco años de prisión. Tampoco se decretará en relación con personas afectadas por una enfermedad grave y terminal. En estos casos, si es imprescindible la restricción de la libertad, se deberá decretar el arresto domiciliario o la ubicación en un centro médico o geriátrico</w:t>
      </w:r>
      <w:r w:rsidRPr="00407A7B">
        <w:rPr>
          <w:sz w:val="20"/>
          <w:szCs w:val="20"/>
          <w:lang w:val="es-AR"/>
        </w:rPr>
        <w:t>…”</w:t>
      </w:r>
    </w:p>
    <w:p w14:paraId="44BCC00B" w14:textId="77777777" w:rsidR="00531240" w:rsidRPr="00407A7B" w:rsidRDefault="00531240" w:rsidP="00531240">
      <w:pPr>
        <w:pStyle w:val="ListParagraph"/>
        <w:tabs>
          <w:tab w:val="left" w:pos="0"/>
          <w:tab w:val="left" w:pos="567"/>
        </w:tabs>
        <w:jc w:val="both"/>
        <w:rPr>
          <w:sz w:val="20"/>
          <w:szCs w:val="20"/>
          <w:lang w:val="es-ES"/>
        </w:rPr>
      </w:pPr>
    </w:p>
    <w:p w14:paraId="182048C1" w14:textId="77777777" w:rsidR="00153218" w:rsidRPr="009A10DE" w:rsidRDefault="0061466B" w:rsidP="00A41F0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0" w:firstLine="0"/>
        <w:contextualSpacing/>
        <w:jc w:val="both"/>
        <w:rPr>
          <w:sz w:val="20"/>
          <w:szCs w:val="20"/>
          <w:lang w:val="es-ES"/>
        </w:rPr>
      </w:pPr>
      <w:r w:rsidRPr="009A10DE">
        <w:rPr>
          <w:sz w:val="20"/>
          <w:szCs w:val="20"/>
          <w:lang w:val="es-ES"/>
        </w:rPr>
        <w:lastRenderedPageBreak/>
        <w:t>Finalmente, y e</w:t>
      </w:r>
      <w:r w:rsidR="00153218" w:rsidRPr="009A10DE">
        <w:rPr>
          <w:sz w:val="20"/>
          <w:szCs w:val="20"/>
          <w:lang w:val="es-ES"/>
        </w:rPr>
        <w:t>n torno a</w:t>
      </w:r>
      <w:r w:rsidR="002965D3" w:rsidRPr="009A10DE">
        <w:rPr>
          <w:sz w:val="20"/>
          <w:szCs w:val="20"/>
          <w:lang w:val="es-ES"/>
        </w:rPr>
        <w:t xml:space="preserve"> las normas relevantes en materia del derecho a la revisión de la sentencia condenatoria, cabe destacar, en primer lugar, que e</w:t>
      </w:r>
      <w:r w:rsidR="00153218" w:rsidRPr="009A10DE">
        <w:rPr>
          <w:sz w:val="20"/>
          <w:szCs w:val="20"/>
          <w:lang w:val="es-ES"/>
        </w:rPr>
        <w:t>l artículo 443 del Código Procesal Penal establecía que “el recurso de casación procederá cuando la resolución inobservó o aplicó erróneamente un precepto legal. C</w:t>
      </w:r>
      <w:r w:rsidR="00153218" w:rsidRPr="009A10DE">
        <w:rPr>
          <w:rFonts w:cs="Calibri"/>
          <w:sz w:val="20"/>
          <w:szCs w:val="20"/>
          <w:lang w:val="es-ES"/>
        </w:rPr>
        <w:t>uando el precepto legal que se invoque como inobservado o erróneamente aplicado constituya un defecto del procedimiento, el recurso sólo será́ admisible</w:t>
      </w:r>
      <w:r w:rsidR="00DF0F65" w:rsidRPr="009A10DE">
        <w:rPr>
          <w:rFonts w:cs="Calibri"/>
          <w:sz w:val="20"/>
          <w:szCs w:val="20"/>
          <w:lang w:val="es-ES"/>
        </w:rPr>
        <w:t xml:space="preserve"> </w:t>
      </w:r>
      <w:r w:rsidR="00153218" w:rsidRPr="009A10DE">
        <w:rPr>
          <w:rFonts w:cs="Calibri"/>
          <w:sz w:val="20"/>
          <w:szCs w:val="20"/>
          <w:lang w:val="es-ES"/>
        </w:rPr>
        <w:t xml:space="preserve">si el interesado ha reclamado oportunamente su saneamiento o ha hecho protesta de recurrir en casación, salvo en los casos de defectos absolutos y los producidos después de clausurado el debate”. </w:t>
      </w:r>
    </w:p>
    <w:p w14:paraId="2993D707" w14:textId="77777777" w:rsidR="00153218" w:rsidRPr="00407A7B" w:rsidRDefault="00153218" w:rsidP="00153218">
      <w:pPr>
        <w:pStyle w:val="ListParagraph"/>
        <w:tabs>
          <w:tab w:val="left" w:pos="0"/>
          <w:tab w:val="left" w:pos="360"/>
          <w:tab w:val="left" w:pos="567"/>
        </w:tabs>
        <w:ind w:left="0"/>
        <w:jc w:val="both"/>
        <w:rPr>
          <w:sz w:val="20"/>
          <w:szCs w:val="20"/>
          <w:lang w:val="es-ES"/>
        </w:rPr>
      </w:pPr>
    </w:p>
    <w:p w14:paraId="27ACE2E3" w14:textId="77777777" w:rsidR="00153218" w:rsidRPr="00655D24" w:rsidRDefault="00153218" w:rsidP="00A41F0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0" w:firstLine="0"/>
        <w:contextualSpacing/>
        <w:jc w:val="both"/>
        <w:rPr>
          <w:sz w:val="20"/>
          <w:szCs w:val="20"/>
          <w:lang w:val="es-ES"/>
        </w:rPr>
      </w:pPr>
      <w:r w:rsidRPr="00655D24">
        <w:rPr>
          <w:sz w:val="20"/>
          <w:szCs w:val="20"/>
          <w:lang w:val="es-ES"/>
        </w:rPr>
        <w:t xml:space="preserve">En este sentido, el artículo 369 enumeró una serie de “defectos de la sentencia que justifican la casación”; a saber: </w:t>
      </w:r>
    </w:p>
    <w:p w14:paraId="2E88F2E9" w14:textId="77777777" w:rsidR="00153218" w:rsidRPr="00655D24" w:rsidRDefault="00153218" w:rsidP="00153218">
      <w:pPr>
        <w:pStyle w:val="ListParagraph"/>
        <w:jc w:val="both"/>
        <w:rPr>
          <w:sz w:val="20"/>
          <w:szCs w:val="20"/>
          <w:lang w:val="es-ES"/>
        </w:rPr>
      </w:pPr>
    </w:p>
    <w:p w14:paraId="56DBA351" w14:textId="77777777" w:rsidR="00153218" w:rsidRPr="00655D24" w:rsidRDefault="00153218" w:rsidP="00FB176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134" w:right="855" w:hanging="283"/>
        <w:jc w:val="both"/>
        <w:rPr>
          <w:sz w:val="20"/>
          <w:szCs w:val="20"/>
          <w:lang w:val="es-ES"/>
        </w:rPr>
      </w:pPr>
      <w:r w:rsidRPr="00655D24">
        <w:rPr>
          <w:sz w:val="20"/>
          <w:szCs w:val="20"/>
          <w:lang w:val="es-ES"/>
        </w:rPr>
        <w:t>Que el imputado no esté suficientemente individualizado;</w:t>
      </w:r>
    </w:p>
    <w:p w14:paraId="43154FFD" w14:textId="77777777" w:rsidR="00153218" w:rsidRPr="00655D24" w:rsidRDefault="00153218" w:rsidP="00FB176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134" w:right="855" w:hanging="283"/>
        <w:jc w:val="both"/>
        <w:rPr>
          <w:sz w:val="20"/>
          <w:szCs w:val="20"/>
          <w:lang w:val="es-ES"/>
        </w:rPr>
      </w:pPr>
      <w:r w:rsidRPr="00655D24">
        <w:rPr>
          <w:sz w:val="20"/>
          <w:szCs w:val="20"/>
          <w:lang w:val="es-ES"/>
        </w:rPr>
        <w:t xml:space="preserve">Que </w:t>
      </w:r>
      <w:r w:rsidRPr="00655D24">
        <w:rPr>
          <w:rFonts w:cs="Calibri"/>
          <w:sz w:val="20"/>
          <w:szCs w:val="20"/>
          <w:lang w:val="es-ES"/>
        </w:rPr>
        <w:t>falte la determinación circunstanciada del hecho que el tribunal estimó acreditado;</w:t>
      </w:r>
    </w:p>
    <w:p w14:paraId="23AA7687" w14:textId="77777777" w:rsidR="00153218" w:rsidRPr="00655D24" w:rsidRDefault="00153218" w:rsidP="00FB176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134" w:right="855" w:hanging="283"/>
        <w:jc w:val="both"/>
        <w:rPr>
          <w:sz w:val="20"/>
          <w:szCs w:val="20"/>
          <w:lang w:val="es-ES"/>
        </w:rPr>
      </w:pPr>
      <w:r w:rsidRPr="00655D24">
        <w:rPr>
          <w:rFonts w:cs="Calibri"/>
          <w:sz w:val="20"/>
          <w:szCs w:val="20"/>
          <w:lang w:val="es-ES"/>
        </w:rPr>
        <w:t>Que se base en medios o elementos probatorios no incorporados legalmente al juicio o incorporados por lectura con violación de las normas establecidas en el Código;</w:t>
      </w:r>
    </w:p>
    <w:p w14:paraId="5D91D5CF" w14:textId="77777777" w:rsidR="00153218" w:rsidRPr="00655D24" w:rsidRDefault="00153218" w:rsidP="00FB176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134" w:right="855" w:hanging="283"/>
        <w:jc w:val="both"/>
        <w:rPr>
          <w:sz w:val="20"/>
          <w:szCs w:val="20"/>
          <w:lang w:val="es-ES"/>
        </w:rPr>
      </w:pPr>
      <w:r w:rsidRPr="00655D24">
        <w:rPr>
          <w:rFonts w:cs="Calibri"/>
          <w:sz w:val="20"/>
          <w:szCs w:val="20"/>
          <w:lang w:val="es-ES"/>
        </w:rPr>
        <w:t>Que falte, sea insuficiente o contradictoria la fundamentación de la mayoría del tribunal, o no se hubieran observado en ella las reglas de la sana critica, con respecto a medios o elementos probatorios de valor decisivo;</w:t>
      </w:r>
    </w:p>
    <w:p w14:paraId="3EC44BF4" w14:textId="77777777" w:rsidR="00153218" w:rsidRPr="00655D24" w:rsidRDefault="00153218" w:rsidP="00FB176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134" w:right="855" w:hanging="283"/>
        <w:jc w:val="both"/>
        <w:rPr>
          <w:sz w:val="20"/>
          <w:szCs w:val="20"/>
          <w:lang w:val="es-ES"/>
        </w:rPr>
      </w:pPr>
      <w:r w:rsidRPr="00655D24">
        <w:rPr>
          <w:sz w:val="20"/>
          <w:szCs w:val="20"/>
          <w:lang w:val="es-ES"/>
        </w:rPr>
        <w:t>Que falte en sus elementos esenciales la parte dispositiva;</w:t>
      </w:r>
    </w:p>
    <w:p w14:paraId="0BA29CBF" w14:textId="77777777" w:rsidR="00153218" w:rsidRPr="00655D24" w:rsidRDefault="00153218" w:rsidP="00FB176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134" w:right="855" w:hanging="283"/>
        <w:jc w:val="both"/>
        <w:rPr>
          <w:sz w:val="20"/>
          <w:szCs w:val="20"/>
          <w:lang w:val="es-ES"/>
        </w:rPr>
      </w:pPr>
      <w:r w:rsidRPr="00655D24">
        <w:rPr>
          <w:sz w:val="20"/>
          <w:szCs w:val="20"/>
          <w:lang w:val="es-ES"/>
        </w:rPr>
        <w:t xml:space="preserve">Que falte la fecha del acto y no sea posible fijarla o falte la firma de alguno de los jueces y no se </w:t>
      </w:r>
      <w:r w:rsidRPr="00655D24">
        <w:rPr>
          <w:rFonts w:cs="Calibri"/>
          <w:sz w:val="20"/>
          <w:szCs w:val="20"/>
          <w:lang w:val="es-ES"/>
        </w:rPr>
        <w:t>pueda determinar si ha participado en la deliberación, salvo los casos de excepción previstos legalmente;</w:t>
      </w:r>
    </w:p>
    <w:p w14:paraId="7863FB56" w14:textId="77777777" w:rsidR="00153218" w:rsidRPr="00655D24" w:rsidRDefault="00FB1760" w:rsidP="00FB176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134" w:right="855" w:hanging="283"/>
        <w:jc w:val="both"/>
        <w:rPr>
          <w:sz w:val="20"/>
          <w:szCs w:val="20"/>
          <w:lang w:val="es-ES"/>
        </w:rPr>
      </w:pPr>
      <w:r w:rsidRPr="00655D24">
        <w:rPr>
          <w:rFonts w:cs="Calibri"/>
          <w:sz w:val="20"/>
          <w:szCs w:val="20"/>
          <w:lang w:val="es-ES"/>
        </w:rPr>
        <w:t>L</w:t>
      </w:r>
      <w:r w:rsidR="00153218" w:rsidRPr="00655D24">
        <w:rPr>
          <w:rFonts w:cs="Calibri"/>
          <w:sz w:val="20"/>
          <w:szCs w:val="20"/>
          <w:lang w:val="es-ES"/>
        </w:rPr>
        <w:t>a inobservancia de las reglas previstas para la deliberación y redacción de la sentencia;</w:t>
      </w:r>
    </w:p>
    <w:p w14:paraId="2EAE1C09" w14:textId="77777777" w:rsidR="00153218" w:rsidRPr="00655D24" w:rsidRDefault="00FB1760" w:rsidP="00FB176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134" w:right="855" w:hanging="283"/>
        <w:jc w:val="both"/>
        <w:rPr>
          <w:sz w:val="20"/>
          <w:szCs w:val="20"/>
          <w:lang w:val="es-ES"/>
        </w:rPr>
      </w:pPr>
      <w:r w:rsidRPr="00655D24">
        <w:rPr>
          <w:rFonts w:cs="Calibri"/>
          <w:sz w:val="20"/>
          <w:szCs w:val="20"/>
          <w:lang w:val="es-ES"/>
        </w:rPr>
        <w:t>L</w:t>
      </w:r>
      <w:r w:rsidR="00153218" w:rsidRPr="00655D24">
        <w:rPr>
          <w:rFonts w:cs="Calibri"/>
          <w:sz w:val="20"/>
          <w:szCs w:val="20"/>
          <w:lang w:val="es-ES"/>
        </w:rPr>
        <w:t>a inobservancia de las reglas relativas a la correlación entre la sentencia y la acusación;</w:t>
      </w:r>
    </w:p>
    <w:p w14:paraId="6876609B" w14:textId="77777777" w:rsidR="00153218" w:rsidRPr="00655D24" w:rsidRDefault="00FB1760" w:rsidP="00FB176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134" w:right="855" w:hanging="283"/>
        <w:jc w:val="both"/>
        <w:rPr>
          <w:sz w:val="20"/>
          <w:szCs w:val="20"/>
          <w:lang w:val="es-ES"/>
        </w:rPr>
      </w:pPr>
      <w:r w:rsidRPr="00655D24">
        <w:rPr>
          <w:rFonts w:cs="Calibri"/>
          <w:sz w:val="20"/>
          <w:szCs w:val="20"/>
          <w:lang w:val="es-ES"/>
        </w:rPr>
        <w:t>L</w:t>
      </w:r>
      <w:r w:rsidR="00153218" w:rsidRPr="00655D24">
        <w:rPr>
          <w:rFonts w:cs="Calibri"/>
          <w:sz w:val="20"/>
          <w:szCs w:val="20"/>
          <w:lang w:val="es-ES"/>
        </w:rPr>
        <w:t>a inobservancia o errónea aplicación de la ley sustantiva.</w:t>
      </w:r>
      <w:r w:rsidR="00153218" w:rsidRPr="00655D24">
        <w:rPr>
          <w:rFonts w:cs="Calibri"/>
          <w:sz w:val="20"/>
          <w:szCs w:val="20"/>
          <w:lang w:val="es-US"/>
        </w:rPr>
        <w:t xml:space="preserve"> </w:t>
      </w:r>
    </w:p>
    <w:p w14:paraId="20650442" w14:textId="77777777" w:rsidR="00153218" w:rsidRPr="00655D24" w:rsidRDefault="00153218" w:rsidP="00153218">
      <w:pPr>
        <w:pStyle w:val="ListParagraph"/>
        <w:tabs>
          <w:tab w:val="left" w:pos="0"/>
        </w:tabs>
        <w:jc w:val="both"/>
        <w:rPr>
          <w:sz w:val="20"/>
          <w:szCs w:val="20"/>
          <w:lang w:val="es-ES"/>
        </w:rPr>
      </w:pPr>
    </w:p>
    <w:p w14:paraId="5E612BAC" w14:textId="77777777" w:rsidR="00153218" w:rsidRPr="00655D24" w:rsidRDefault="00153218" w:rsidP="00F000DB">
      <w:pPr>
        <w:pStyle w:val="NormalWeb"/>
        <w:numPr>
          <w:ilvl w:val="0"/>
          <w:numId w:val="55"/>
        </w:numPr>
        <w:tabs>
          <w:tab w:val="left" w:pos="567"/>
        </w:tabs>
        <w:spacing w:before="0" w:beforeAutospacing="0" w:after="0" w:afterAutospacing="0"/>
        <w:ind w:left="0" w:firstLine="0"/>
        <w:jc w:val="both"/>
        <w:rPr>
          <w:rFonts w:ascii="Cambria" w:hAnsi="Cambria"/>
          <w:sz w:val="20"/>
          <w:szCs w:val="20"/>
          <w:lang w:val="es-ES"/>
        </w:rPr>
      </w:pPr>
      <w:r w:rsidRPr="00655D24">
        <w:rPr>
          <w:rFonts w:ascii="Cambria" w:hAnsi="Cambria"/>
          <w:sz w:val="20"/>
          <w:szCs w:val="20"/>
          <w:lang w:val="es-ES"/>
        </w:rPr>
        <w:t>En lo que tiene que ver con las reglas formales para la concesión del recurso de casación, el artículo 445 del Código Procesal Penal estableció que dicho recurso debía presentarse ante el mismo tribunal que dictó la resolución que se pretende cuestionar “mediante escrito fundado, en el que se citarán, c</w:t>
      </w:r>
      <w:r w:rsidRPr="00655D24">
        <w:rPr>
          <w:rFonts w:ascii="Cambria" w:hAnsi="Cambria" w:cs="Calibri"/>
          <w:sz w:val="20"/>
          <w:szCs w:val="20"/>
          <w:lang w:val="es-ES"/>
        </w:rPr>
        <w:t xml:space="preserve">on claridad, las disposiciones legales que se consideren inobservadas o erróneamente aplicadas y se expresará cuál es la pretensión”, así́ como también “[d]eberá indicarse, por separado cada motivo con sus fundamentos” puesto que “fuera de esta oportunidad no podrá́ aducirse otro motivo”. Posteriormente, conforme a los artículos 446 y 447, el expediente debía ser remitido al tribunal de casación competente, el cual estaba a cargo de determinar la admisibilidad de la solicitud y la necesidad de convocar a una audiencia. </w:t>
      </w:r>
    </w:p>
    <w:p w14:paraId="50D53B34" w14:textId="77777777" w:rsidR="00153218" w:rsidRPr="00655D24" w:rsidRDefault="00153218" w:rsidP="00F000DB">
      <w:pPr>
        <w:pStyle w:val="NormalWeb"/>
        <w:tabs>
          <w:tab w:val="left" w:pos="567"/>
        </w:tabs>
        <w:spacing w:before="0" w:beforeAutospacing="0" w:after="0" w:afterAutospacing="0"/>
        <w:jc w:val="both"/>
        <w:rPr>
          <w:rFonts w:ascii="Cambria" w:hAnsi="Cambria"/>
          <w:sz w:val="20"/>
          <w:szCs w:val="20"/>
          <w:lang w:val="es-ES"/>
        </w:rPr>
      </w:pPr>
    </w:p>
    <w:p w14:paraId="1F4D0BF0" w14:textId="77777777" w:rsidR="00153218" w:rsidRPr="00655D24" w:rsidRDefault="00153218" w:rsidP="00F000DB">
      <w:pPr>
        <w:pStyle w:val="NormalWeb"/>
        <w:numPr>
          <w:ilvl w:val="0"/>
          <w:numId w:val="55"/>
        </w:numPr>
        <w:tabs>
          <w:tab w:val="left" w:pos="567"/>
        </w:tabs>
        <w:spacing w:before="0" w:beforeAutospacing="0" w:after="0" w:afterAutospacing="0"/>
        <w:ind w:left="0" w:firstLine="0"/>
        <w:jc w:val="both"/>
        <w:rPr>
          <w:rFonts w:ascii="Cambria" w:hAnsi="Cambria"/>
          <w:sz w:val="20"/>
          <w:szCs w:val="20"/>
          <w:lang w:val="es-ES"/>
        </w:rPr>
      </w:pPr>
      <w:r w:rsidRPr="00655D24">
        <w:rPr>
          <w:rFonts w:ascii="Cambria" w:hAnsi="Cambria"/>
          <w:sz w:val="20"/>
          <w:szCs w:val="20"/>
          <w:lang w:val="es-ES"/>
        </w:rPr>
        <w:t xml:space="preserve">Con respecto a la cuestión de la posibilidad del recurrente de presentar nuevos elementos probatorios, el artículo 447 habilitó al tribunal de casación en el momento </w:t>
      </w:r>
      <w:r w:rsidR="00A9284B" w:rsidRPr="00655D24">
        <w:rPr>
          <w:rFonts w:ascii="Cambria" w:hAnsi="Cambria"/>
          <w:sz w:val="20"/>
          <w:szCs w:val="20"/>
          <w:lang w:val="es-ES"/>
        </w:rPr>
        <w:t>de decidir</w:t>
      </w:r>
      <w:r w:rsidRPr="00655D24">
        <w:rPr>
          <w:rFonts w:ascii="Cambria" w:hAnsi="Cambria"/>
          <w:sz w:val="20"/>
          <w:szCs w:val="20"/>
          <w:lang w:val="es-ES"/>
        </w:rPr>
        <w:t xml:space="preserve"> sobre la admisibilidad del recurso a ejercer la potestad de no ordenar la recepción de nuevas pruebas. Asimismo, conforme al artículo 449, se estableció que “la prueba podrá́ ofrecerse cuando el recurso se fundamente en un defecto de procedimiento y se discuta la forma en que fue llevado a cabo un acto, en contraposición a lo señalado en las actuaciones, en el acta o registros del debate, o en la sentencia”. </w:t>
      </w:r>
    </w:p>
    <w:p w14:paraId="69CFCC0E" w14:textId="77777777" w:rsidR="00153218" w:rsidRPr="00655D24" w:rsidRDefault="00153218" w:rsidP="00F000DB">
      <w:pPr>
        <w:pStyle w:val="ListParagraph"/>
        <w:tabs>
          <w:tab w:val="left" w:pos="567"/>
        </w:tabs>
        <w:rPr>
          <w:sz w:val="20"/>
          <w:szCs w:val="20"/>
          <w:lang w:val="es-ES"/>
        </w:rPr>
      </w:pPr>
    </w:p>
    <w:p w14:paraId="63D41511" w14:textId="77777777" w:rsidR="00153218" w:rsidRPr="00655D24" w:rsidRDefault="00153218" w:rsidP="00F000DB">
      <w:pPr>
        <w:pStyle w:val="NormalWeb"/>
        <w:numPr>
          <w:ilvl w:val="0"/>
          <w:numId w:val="55"/>
        </w:numPr>
        <w:tabs>
          <w:tab w:val="left" w:pos="567"/>
        </w:tabs>
        <w:spacing w:before="0" w:beforeAutospacing="0" w:after="0" w:afterAutospacing="0"/>
        <w:ind w:left="0" w:firstLine="0"/>
        <w:jc w:val="both"/>
        <w:rPr>
          <w:rFonts w:ascii="Cambria" w:hAnsi="Cambria"/>
          <w:sz w:val="20"/>
          <w:szCs w:val="20"/>
          <w:lang w:val="es-ES"/>
        </w:rPr>
      </w:pPr>
      <w:r w:rsidRPr="00655D24">
        <w:rPr>
          <w:rFonts w:ascii="Cambria" w:hAnsi="Cambria"/>
          <w:sz w:val="20"/>
          <w:szCs w:val="20"/>
          <w:lang w:val="es-ES"/>
        </w:rPr>
        <w:t xml:space="preserve">En cuanto al procedimiento de revisión de las sentencias en firme, el artículo 408 del Código Procesal Penal estableció que ellos resultaban procedentes en los siguientes supuestos: </w:t>
      </w:r>
    </w:p>
    <w:p w14:paraId="5A39212A" w14:textId="77777777" w:rsidR="00153218" w:rsidRPr="00655D24" w:rsidRDefault="00153218" w:rsidP="00153218">
      <w:pPr>
        <w:pStyle w:val="NormalWeb"/>
        <w:spacing w:before="0" w:beforeAutospacing="0" w:after="0" w:afterAutospacing="0"/>
        <w:jc w:val="both"/>
        <w:rPr>
          <w:rFonts w:ascii="Cambria" w:hAnsi="Cambria"/>
          <w:sz w:val="20"/>
          <w:szCs w:val="20"/>
          <w:lang w:val="es-ES"/>
        </w:rPr>
      </w:pPr>
    </w:p>
    <w:p w14:paraId="5CBA28FD" w14:textId="77777777" w:rsidR="00153218" w:rsidRPr="00655D24" w:rsidRDefault="00153218" w:rsidP="00FB1760">
      <w:pPr>
        <w:pStyle w:val="NormalWeb"/>
        <w:numPr>
          <w:ilvl w:val="0"/>
          <w:numId w:val="59"/>
        </w:numPr>
        <w:spacing w:before="0" w:beforeAutospacing="0" w:after="0" w:afterAutospacing="0"/>
        <w:ind w:left="1134" w:right="855" w:hanging="283"/>
        <w:jc w:val="both"/>
        <w:rPr>
          <w:rFonts w:ascii="Cambria" w:hAnsi="Cambria" w:cs="Calibri"/>
          <w:sz w:val="20"/>
          <w:szCs w:val="20"/>
          <w:lang w:val="es-ES"/>
        </w:rPr>
      </w:pPr>
      <w:r w:rsidRPr="00655D24">
        <w:rPr>
          <w:rFonts w:ascii="Cambria" w:hAnsi="Cambria" w:cs="Calibri"/>
          <w:sz w:val="20"/>
          <w:szCs w:val="20"/>
          <w:lang w:val="es-ES"/>
        </w:rPr>
        <w:t>Cuando los hechos tenidos como fundamento de la condena resulten inconciliables con los establecidos por otra sentencia penal firme.</w:t>
      </w:r>
    </w:p>
    <w:p w14:paraId="6CC35EDA" w14:textId="77777777" w:rsidR="00153218" w:rsidRPr="00655D24" w:rsidRDefault="00153218" w:rsidP="00FB1760">
      <w:pPr>
        <w:pStyle w:val="NormalWeb"/>
        <w:numPr>
          <w:ilvl w:val="0"/>
          <w:numId w:val="59"/>
        </w:numPr>
        <w:spacing w:before="0" w:beforeAutospacing="0" w:after="0" w:afterAutospacing="0"/>
        <w:ind w:left="1134" w:right="855" w:hanging="283"/>
        <w:jc w:val="both"/>
        <w:rPr>
          <w:rFonts w:ascii="Cambria" w:hAnsi="Cambria"/>
          <w:lang w:val="es-ES"/>
        </w:rPr>
      </w:pPr>
      <w:r w:rsidRPr="00655D24">
        <w:rPr>
          <w:rFonts w:ascii="Cambria" w:hAnsi="Cambria" w:cs="Calibri"/>
          <w:sz w:val="20"/>
          <w:szCs w:val="20"/>
          <w:lang w:val="es-ES"/>
        </w:rPr>
        <w:t>Cuando la sentencia se haya fundado en prueba falsa</w:t>
      </w:r>
    </w:p>
    <w:p w14:paraId="1E1AD572" w14:textId="77777777" w:rsidR="00153218" w:rsidRPr="00655D24" w:rsidRDefault="00153218" w:rsidP="00FB1760">
      <w:pPr>
        <w:pStyle w:val="NormalWeb"/>
        <w:numPr>
          <w:ilvl w:val="0"/>
          <w:numId w:val="59"/>
        </w:numPr>
        <w:spacing w:before="0" w:beforeAutospacing="0" w:after="0" w:afterAutospacing="0"/>
        <w:ind w:left="1134" w:right="855" w:hanging="283"/>
        <w:jc w:val="both"/>
        <w:rPr>
          <w:rFonts w:ascii="Cambria" w:hAnsi="Cambria"/>
          <w:lang w:val="es-ES"/>
        </w:rPr>
      </w:pPr>
      <w:r w:rsidRPr="00655D24">
        <w:rPr>
          <w:rFonts w:ascii="Cambria" w:hAnsi="Cambria" w:cs="Calibri"/>
          <w:sz w:val="20"/>
          <w:szCs w:val="20"/>
          <w:lang w:val="es-ES"/>
        </w:rPr>
        <w:t xml:space="preserve">Si la sentencia condenatoria ha sido pronunciada a consecuencia de prevaricato, cohecho, violencia o cualquier otro delito o maquinación fraudulenta, cuya existencia se hubiera declarado en fallo posterior firme salvo que se trate de alguno de los casos previstos en el inciso siguiente. </w:t>
      </w:r>
    </w:p>
    <w:p w14:paraId="067B40D2" w14:textId="77777777" w:rsidR="00153218" w:rsidRPr="00655D24" w:rsidRDefault="00153218" w:rsidP="00FB1760">
      <w:pPr>
        <w:pStyle w:val="NormalWeb"/>
        <w:numPr>
          <w:ilvl w:val="0"/>
          <w:numId w:val="59"/>
        </w:numPr>
        <w:spacing w:before="0" w:beforeAutospacing="0" w:after="0" w:afterAutospacing="0"/>
        <w:ind w:left="1134" w:right="855" w:hanging="283"/>
        <w:jc w:val="both"/>
        <w:rPr>
          <w:rFonts w:ascii="Cambria" w:hAnsi="Cambria"/>
          <w:lang w:val="es-ES"/>
        </w:rPr>
      </w:pPr>
      <w:r w:rsidRPr="00655D24">
        <w:rPr>
          <w:rFonts w:ascii="Cambria" w:hAnsi="Cambria" w:cs="Calibri"/>
          <w:sz w:val="20"/>
          <w:szCs w:val="20"/>
          <w:lang w:val="es-ES"/>
        </w:rPr>
        <w:t>Cuando se demuestre que la sentencia es ilegítima como consecuencia directa de una grave infracción a sus deberes cometida por un juez, aunque sea imposible proceder por una circunstancia sobreviniente.</w:t>
      </w:r>
    </w:p>
    <w:p w14:paraId="417279ED" w14:textId="77777777" w:rsidR="00153218" w:rsidRPr="00655D24" w:rsidRDefault="00153218" w:rsidP="00FB1760">
      <w:pPr>
        <w:pStyle w:val="NormalWeb"/>
        <w:numPr>
          <w:ilvl w:val="0"/>
          <w:numId w:val="59"/>
        </w:numPr>
        <w:spacing w:before="0" w:beforeAutospacing="0" w:after="0" w:afterAutospacing="0"/>
        <w:ind w:left="1134" w:right="855" w:hanging="283"/>
        <w:jc w:val="both"/>
        <w:rPr>
          <w:rFonts w:ascii="Cambria" w:hAnsi="Cambria"/>
          <w:lang w:val="es-ES"/>
        </w:rPr>
      </w:pPr>
      <w:r w:rsidRPr="00655D24">
        <w:rPr>
          <w:rFonts w:ascii="Cambria" w:hAnsi="Cambria" w:cs="Calibri"/>
          <w:sz w:val="20"/>
          <w:szCs w:val="20"/>
          <w:lang w:val="es-ES"/>
        </w:rPr>
        <w:lastRenderedPageBreak/>
        <w:t xml:space="preserve">Cuando después de la condena sobrevengan o se descubran nuevos hechos o nuevos elementos de prueba que solos o unidos a los ya examinados en el proceso, evidencien que el hecho no existió́, que el condenado no lo cometió́ o que el hecho cometido encuadra en una norma más favorable. </w:t>
      </w:r>
    </w:p>
    <w:p w14:paraId="5FBC576E" w14:textId="77777777" w:rsidR="00153218" w:rsidRPr="00655D24" w:rsidRDefault="00153218" w:rsidP="00FB1760">
      <w:pPr>
        <w:pStyle w:val="NormalWeb"/>
        <w:numPr>
          <w:ilvl w:val="0"/>
          <w:numId w:val="59"/>
        </w:numPr>
        <w:spacing w:before="0" w:beforeAutospacing="0" w:after="0" w:afterAutospacing="0"/>
        <w:ind w:left="1134" w:right="855" w:hanging="283"/>
        <w:jc w:val="both"/>
        <w:rPr>
          <w:rFonts w:ascii="Cambria" w:hAnsi="Cambria"/>
          <w:lang w:val="es-ES"/>
        </w:rPr>
      </w:pPr>
      <w:r w:rsidRPr="00655D24">
        <w:rPr>
          <w:rFonts w:ascii="Cambria" w:hAnsi="Cambria" w:cs="Calibri"/>
          <w:sz w:val="20"/>
          <w:szCs w:val="20"/>
          <w:lang w:val="es-ES"/>
        </w:rPr>
        <w:t>Cuando una ley posterior declare que no es punible el hecho que antes se consideraba como tal o cuando la ley que sirvió́ de base a la condenatoria haya sido declarada inconstitucional.</w:t>
      </w:r>
    </w:p>
    <w:p w14:paraId="57730B19" w14:textId="77777777" w:rsidR="00153218" w:rsidRPr="00655D24" w:rsidRDefault="00153218" w:rsidP="00FB1760">
      <w:pPr>
        <w:pStyle w:val="NormalWeb"/>
        <w:numPr>
          <w:ilvl w:val="0"/>
          <w:numId w:val="59"/>
        </w:numPr>
        <w:spacing w:before="0" w:beforeAutospacing="0" w:after="0" w:afterAutospacing="0"/>
        <w:ind w:left="1134" w:right="855" w:hanging="283"/>
        <w:jc w:val="both"/>
        <w:rPr>
          <w:rFonts w:ascii="Cambria" w:hAnsi="Cambria"/>
          <w:lang w:val="es-ES"/>
        </w:rPr>
      </w:pPr>
      <w:r w:rsidRPr="00655D24">
        <w:rPr>
          <w:rFonts w:ascii="Cambria" w:hAnsi="Cambria" w:cs="Calibri"/>
          <w:sz w:val="20"/>
          <w:szCs w:val="20"/>
          <w:lang w:val="es-ES"/>
        </w:rPr>
        <w:t xml:space="preserve">Cuando la sentencia no ha sido dictada mediante el debido proceso u oportunidad de defensa. </w:t>
      </w:r>
    </w:p>
    <w:p w14:paraId="737DACC0" w14:textId="77777777" w:rsidR="00153218" w:rsidRPr="00655D24" w:rsidRDefault="00153218" w:rsidP="002F3149">
      <w:pPr>
        <w:pStyle w:val="NormalWeb"/>
        <w:spacing w:before="0" w:beforeAutospacing="0" w:after="0" w:afterAutospacing="0"/>
        <w:ind w:right="360"/>
        <w:jc w:val="both"/>
        <w:rPr>
          <w:rFonts w:ascii="Cambria" w:hAnsi="Cambria"/>
          <w:sz w:val="20"/>
          <w:szCs w:val="20"/>
          <w:lang w:val="es-ES"/>
        </w:rPr>
      </w:pPr>
    </w:p>
    <w:p w14:paraId="37592674" w14:textId="77777777" w:rsidR="00153218" w:rsidRPr="00655D24" w:rsidRDefault="00A9284B" w:rsidP="002F314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0" w:firstLine="0"/>
        <w:contextualSpacing/>
        <w:jc w:val="both"/>
        <w:rPr>
          <w:sz w:val="20"/>
          <w:szCs w:val="20"/>
          <w:lang w:val="es-ES"/>
        </w:rPr>
      </w:pPr>
      <w:r w:rsidRPr="00655D24">
        <w:rPr>
          <w:sz w:val="20"/>
          <w:szCs w:val="20"/>
          <w:lang w:val="es-ES"/>
        </w:rPr>
        <w:t>Asimismo,</w:t>
      </w:r>
      <w:r w:rsidR="00153218" w:rsidRPr="00655D24">
        <w:rPr>
          <w:sz w:val="20"/>
          <w:szCs w:val="20"/>
          <w:lang w:val="es-ES"/>
        </w:rPr>
        <w:t xml:space="preserve"> cabe destacar que, conforme los artículos 410 y 411 del Código Procesal Penal, la solicitud de revisión debía ser interpuesta por escrito ante el tribunal de casación competente. En esta instancia procesal no resulta posible que el recurrente plantee “asuntos que ya fueron discutidos y resueltos en casación, salvo que se fundamenten en nuevas razones o nuevos elementos de prueba”. </w:t>
      </w:r>
    </w:p>
    <w:p w14:paraId="72250EC6" w14:textId="77777777" w:rsidR="00153218" w:rsidRPr="00655D24" w:rsidRDefault="00153218" w:rsidP="002F3149">
      <w:pPr>
        <w:pStyle w:val="ListParagraph"/>
        <w:tabs>
          <w:tab w:val="left" w:pos="0"/>
          <w:tab w:val="left" w:pos="567"/>
        </w:tabs>
        <w:ind w:left="0"/>
        <w:jc w:val="both"/>
        <w:rPr>
          <w:sz w:val="20"/>
          <w:szCs w:val="20"/>
          <w:lang w:val="es-ES"/>
        </w:rPr>
      </w:pPr>
    </w:p>
    <w:p w14:paraId="12B4AB95" w14:textId="77777777" w:rsidR="00153218" w:rsidRPr="00655D24" w:rsidRDefault="00153218" w:rsidP="002F314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0" w:firstLine="0"/>
        <w:contextualSpacing/>
        <w:jc w:val="both"/>
        <w:rPr>
          <w:sz w:val="20"/>
          <w:szCs w:val="20"/>
          <w:lang w:val="es-ES"/>
        </w:rPr>
      </w:pPr>
      <w:r w:rsidRPr="00655D24">
        <w:rPr>
          <w:sz w:val="20"/>
          <w:szCs w:val="20"/>
          <w:lang w:val="es-ES"/>
        </w:rPr>
        <w:t xml:space="preserve">Por otra parte, el 28 de abril de 2006 se sancionó la ley 8503 de Apertura de la Casación Penal, mediante la cual se realizaron diversas modificaciones al régimen legal del recurso de casación contenido en el Código Procesal Penal. En primer término, se adicionó a la nómina de vicios de la sentencia que justifican la casación del art. 396 una nueva causal consistente en que “la sentencia no haya sido dictada mediante el debido proceso o con oportunidad de defensa”. </w:t>
      </w:r>
    </w:p>
    <w:p w14:paraId="38272B1A" w14:textId="77777777" w:rsidR="00153218" w:rsidRPr="00655D24" w:rsidRDefault="00153218" w:rsidP="002F3149">
      <w:pPr>
        <w:pStyle w:val="ListParagraph"/>
        <w:tabs>
          <w:tab w:val="left" w:pos="567"/>
        </w:tabs>
        <w:jc w:val="both"/>
        <w:rPr>
          <w:sz w:val="20"/>
          <w:szCs w:val="20"/>
          <w:lang w:val="es-ES"/>
        </w:rPr>
      </w:pPr>
    </w:p>
    <w:p w14:paraId="51AD5238" w14:textId="77777777" w:rsidR="00153218" w:rsidRPr="00655D24" w:rsidRDefault="00153218" w:rsidP="002F314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0" w:firstLine="0"/>
        <w:contextualSpacing/>
        <w:jc w:val="both"/>
        <w:rPr>
          <w:sz w:val="20"/>
          <w:szCs w:val="20"/>
          <w:lang w:val="es-ES"/>
        </w:rPr>
      </w:pPr>
      <w:r w:rsidRPr="00655D24">
        <w:rPr>
          <w:sz w:val="20"/>
          <w:szCs w:val="20"/>
          <w:lang w:val="es-ES"/>
        </w:rPr>
        <w:t xml:space="preserve">En segundo lugar, y con respecto a la amplitud del examen del tribunal de casación, la ley 8503 incorporó el artículo 449 bis al Código Procesal Penal, el cual reza: </w:t>
      </w:r>
    </w:p>
    <w:p w14:paraId="01381D04" w14:textId="77777777" w:rsidR="00153218" w:rsidRPr="00655D24" w:rsidRDefault="00153218" w:rsidP="002F3149">
      <w:pPr>
        <w:pStyle w:val="ListParagraph"/>
        <w:jc w:val="both"/>
        <w:rPr>
          <w:sz w:val="20"/>
          <w:szCs w:val="20"/>
          <w:lang w:val="es-ES"/>
        </w:rPr>
      </w:pPr>
    </w:p>
    <w:p w14:paraId="60BDE0CB" w14:textId="77777777" w:rsidR="00153218" w:rsidRPr="00655D24" w:rsidRDefault="00153218" w:rsidP="00FB1760">
      <w:pPr>
        <w:pStyle w:val="NormalWeb"/>
        <w:spacing w:before="0" w:beforeAutospacing="0" w:after="0" w:afterAutospacing="0"/>
        <w:ind w:left="851" w:right="855"/>
        <w:jc w:val="both"/>
        <w:rPr>
          <w:rFonts w:ascii="Cambria" w:hAnsi="Cambria" w:cs="Calibri"/>
          <w:sz w:val="20"/>
          <w:szCs w:val="20"/>
          <w:lang w:val="es-ES"/>
        </w:rPr>
      </w:pPr>
      <w:r w:rsidRPr="00655D24">
        <w:rPr>
          <w:rFonts w:ascii="Cambria" w:hAnsi="Cambria" w:cs="Calibri"/>
          <w:sz w:val="20"/>
          <w:szCs w:val="20"/>
          <w:lang w:val="es-ES"/>
        </w:rPr>
        <w:t xml:space="preserve">El Tribunal de Casación apreciará la procedencia de los reclamos invocados en el recurso y sus fundamentos, examinando las actuaciones y los registros de la audiencia, de modo que pueda valorar la forma en que los jueces de juicio apreciaron la prueba y fundamentaron su decisión. De no tener registros suficientes para realizar esa apreciación, podrá́ reproducir en casación la prueba oral del juicio que, en su criterio, sea necesaria para examinar la procedencia del reclamo, y la valorará en relación con el resto de las actuaciones. </w:t>
      </w:r>
    </w:p>
    <w:p w14:paraId="6F65AA61" w14:textId="77777777" w:rsidR="00153218" w:rsidRPr="00655D24" w:rsidRDefault="00153218" w:rsidP="00FB1760">
      <w:pPr>
        <w:pStyle w:val="NormalWeb"/>
        <w:spacing w:before="0" w:beforeAutospacing="0" w:after="0" w:afterAutospacing="0"/>
        <w:ind w:left="851" w:right="855"/>
        <w:jc w:val="both"/>
        <w:rPr>
          <w:rFonts w:ascii="Cambria" w:hAnsi="Cambria" w:cs="Calibri"/>
          <w:sz w:val="20"/>
          <w:szCs w:val="20"/>
          <w:lang w:val="es-ES"/>
        </w:rPr>
      </w:pPr>
      <w:r w:rsidRPr="00655D24">
        <w:rPr>
          <w:rFonts w:ascii="Cambria" w:hAnsi="Cambria" w:cs="Calibri"/>
          <w:sz w:val="20"/>
          <w:szCs w:val="20"/>
          <w:lang w:val="es-ES"/>
        </w:rPr>
        <w:t>De igual manera, podrá́ valorar en forma directa la prueba que se haya introducido por escrito al juicio.”</w:t>
      </w:r>
    </w:p>
    <w:p w14:paraId="2A46405A" w14:textId="77777777" w:rsidR="00153218" w:rsidRPr="00655D24" w:rsidRDefault="00153218" w:rsidP="002F3149">
      <w:pPr>
        <w:pStyle w:val="NormalWeb"/>
        <w:spacing w:before="0" w:beforeAutospacing="0" w:after="0" w:afterAutospacing="0"/>
        <w:ind w:left="709"/>
        <w:jc w:val="both"/>
        <w:rPr>
          <w:rFonts w:ascii="Cambria" w:hAnsi="Cambria" w:cs="Calibri"/>
          <w:sz w:val="20"/>
          <w:szCs w:val="20"/>
          <w:lang w:val="es-ES"/>
        </w:rPr>
      </w:pPr>
      <w:r w:rsidRPr="00655D24">
        <w:rPr>
          <w:rFonts w:ascii="Cambria" w:hAnsi="Cambria" w:cs="Calibri"/>
          <w:sz w:val="20"/>
          <w:szCs w:val="20"/>
          <w:lang w:val="es-ES"/>
        </w:rPr>
        <w:t xml:space="preserve"> </w:t>
      </w:r>
    </w:p>
    <w:p w14:paraId="641F92F0" w14:textId="77777777" w:rsidR="00153218" w:rsidRPr="00655D24" w:rsidRDefault="00153218" w:rsidP="002F3149">
      <w:pPr>
        <w:pStyle w:val="NormalWeb"/>
        <w:numPr>
          <w:ilvl w:val="0"/>
          <w:numId w:val="55"/>
        </w:numPr>
        <w:tabs>
          <w:tab w:val="left" w:pos="567"/>
        </w:tabs>
        <w:spacing w:before="0" w:beforeAutospacing="0" w:after="0" w:afterAutospacing="0"/>
        <w:ind w:left="0" w:firstLine="0"/>
        <w:jc w:val="both"/>
        <w:rPr>
          <w:rFonts w:ascii="Cambria" w:hAnsi="Cambria"/>
          <w:sz w:val="20"/>
          <w:szCs w:val="20"/>
          <w:lang w:val="es-ES"/>
        </w:rPr>
      </w:pPr>
      <w:r w:rsidRPr="00655D24">
        <w:rPr>
          <w:rFonts w:ascii="Cambria" w:hAnsi="Cambria"/>
          <w:sz w:val="20"/>
          <w:szCs w:val="20"/>
          <w:lang w:val="es-ES"/>
        </w:rPr>
        <w:t>Por último, el Transitorio I de la ley 8503 habilitó a “</w:t>
      </w:r>
      <w:r w:rsidRPr="00655D24">
        <w:rPr>
          <w:rFonts w:ascii="Cambria" w:hAnsi="Cambria" w:cs="Calibri"/>
          <w:sz w:val="20"/>
          <w:szCs w:val="20"/>
          <w:lang w:val="es-ES"/>
        </w:rPr>
        <w:t xml:space="preserve">las personas condenadas por un hecho delictivo con fecha anterior a esta Ley, a quienes se les haya obstaculizado formular recurso de casación contra la sentencia, en razón de las reglas que regulaban su admisibilidad” la posibilidad de “plantear la revisión de la sentencia ante el tribunal competente, invocando, en cada caso, el agravio y los aspectos de hecho y de derecho que no fueron posibles de conocer en casación”. </w:t>
      </w:r>
    </w:p>
    <w:p w14:paraId="2A54DDA7" w14:textId="77777777" w:rsidR="00153218" w:rsidRPr="00655D24" w:rsidRDefault="00153218" w:rsidP="002F3149">
      <w:pPr>
        <w:pStyle w:val="NormalWeb"/>
        <w:tabs>
          <w:tab w:val="left" w:pos="360"/>
        </w:tabs>
        <w:spacing w:before="0" w:beforeAutospacing="0" w:after="0" w:afterAutospacing="0"/>
        <w:jc w:val="both"/>
        <w:rPr>
          <w:rFonts w:ascii="Cambria" w:hAnsi="Cambria"/>
          <w:sz w:val="20"/>
          <w:szCs w:val="20"/>
          <w:lang w:val="es-ES"/>
        </w:rPr>
      </w:pPr>
    </w:p>
    <w:p w14:paraId="14C808B1" w14:textId="77777777" w:rsidR="00153218" w:rsidRPr="00655D24" w:rsidRDefault="00153218" w:rsidP="002F3149">
      <w:pPr>
        <w:pStyle w:val="NormalWeb"/>
        <w:numPr>
          <w:ilvl w:val="0"/>
          <w:numId w:val="55"/>
        </w:numPr>
        <w:tabs>
          <w:tab w:val="left" w:pos="567"/>
        </w:tabs>
        <w:spacing w:before="0" w:beforeAutospacing="0" w:after="0" w:afterAutospacing="0"/>
        <w:ind w:left="0" w:firstLine="0"/>
        <w:jc w:val="both"/>
        <w:rPr>
          <w:rFonts w:ascii="Cambria" w:hAnsi="Cambria"/>
          <w:sz w:val="20"/>
          <w:szCs w:val="20"/>
          <w:lang w:val="es-ES"/>
        </w:rPr>
      </w:pPr>
      <w:r w:rsidRPr="00655D24">
        <w:rPr>
          <w:rFonts w:ascii="Cambria" w:hAnsi="Cambria"/>
          <w:sz w:val="20"/>
          <w:szCs w:val="20"/>
          <w:lang w:val="es-ES"/>
        </w:rPr>
        <w:t>Finalmente, e</w:t>
      </w:r>
      <w:r w:rsidRPr="00655D24">
        <w:rPr>
          <w:rFonts w:ascii="Cambria" w:hAnsi="Cambria" w:cs="Calibri"/>
          <w:sz w:val="20"/>
          <w:szCs w:val="20"/>
          <w:lang w:val="es-ES"/>
        </w:rPr>
        <w:t xml:space="preserve">l 9 de junio de 2010 se publicó́ la ley 8837 de creación del recurso de apelación de la sentencia, otras reformas al régimen de impugnación e implementación de nuevas reglas de oralidad en el proceso penal. Dicha </w:t>
      </w:r>
      <w:r w:rsidR="00A9284B" w:rsidRPr="00655D24">
        <w:rPr>
          <w:rFonts w:ascii="Cambria" w:hAnsi="Cambria" w:cs="Calibri"/>
          <w:sz w:val="20"/>
          <w:szCs w:val="20"/>
          <w:lang w:val="es-ES"/>
        </w:rPr>
        <w:t>norma -</w:t>
      </w:r>
      <w:r w:rsidRPr="00655D24">
        <w:rPr>
          <w:rFonts w:ascii="Cambria" w:hAnsi="Cambria" w:cs="Calibri"/>
          <w:sz w:val="20"/>
          <w:szCs w:val="20"/>
          <w:lang w:val="es-ES"/>
        </w:rPr>
        <w:t xml:space="preserve"> en vigencia desde el 9 de diciembre de 2011 - reguló la procedencia del recurso de apelación en estos términos: </w:t>
      </w:r>
    </w:p>
    <w:p w14:paraId="59022A8B" w14:textId="77777777" w:rsidR="00153218" w:rsidRPr="00655D24" w:rsidRDefault="00153218" w:rsidP="002F3149">
      <w:pPr>
        <w:pStyle w:val="NormalWeb"/>
        <w:tabs>
          <w:tab w:val="left" w:pos="567"/>
        </w:tabs>
        <w:spacing w:before="0" w:beforeAutospacing="0" w:after="0" w:afterAutospacing="0"/>
        <w:jc w:val="both"/>
        <w:rPr>
          <w:rFonts w:ascii="Cambria" w:hAnsi="Cambria"/>
          <w:sz w:val="20"/>
          <w:szCs w:val="20"/>
          <w:lang w:val="es-ES"/>
        </w:rPr>
      </w:pPr>
    </w:p>
    <w:p w14:paraId="4326F1D5" w14:textId="77777777" w:rsidR="00153218" w:rsidRPr="00655D24" w:rsidRDefault="00153218" w:rsidP="00FB1760">
      <w:pPr>
        <w:pStyle w:val="NormalWeb"/>
        <w:spacing w:before="0" w:beforeAutospacing="0" w:after="0" w:afterAutospacing="0"/>
        <w:ind w:left="851" w:right="855"/>
        <w:jc w:val="both"/>
        <w:rPr>
          <w:rFonts w:ascii="Cambria" w:hAnsi="Cambria" w:cs="Calibri"/>
          <w:sz w:val="20"/>
          <w:szCs w:val="20"/>
          <w:lang w:val="es-ES"/>
        </w:rPr>
      </w:pPr>
      <w:r w:rsidRPr="00655D24">
        <w:rPr>
          <w:rFonts w:ascii="Cambria" w:hAnsi="Cambria" w:cs="Calibri"/>
          <w:sz w:val="20"/>
          <w:szCs w:val="20"/>
          <w:lang w:val="es-ES"/>
        </w:rPr>
        <w:t xml:space="preserve">“El recurso de apelación de sentencia permitirá́ el examen integral del fallo, cuando la parte interesada alegue inconformidad con la determinación de los hechos, la incorporación y valoración de la prueba, la fundamentación jurídica o la fijación de la pena. El tribunal de alzada se pronunciará sobre los puntos que le sean expresamente cuestionados, pero declarará, aun de oficio, los defectos absolutos y quebrantos al debido proceso que encuentren en la sentencia”. </w:t>
      </w:r>
    </w:p>
    <w:p w14:paraId="48186254" w14:textId="77777777" w:rsidR="00153218" w:rsidRPr="00655D24" w:rsidRDefault="00153218" w:rsidP="002F3149">
      <w:pPr>
        <w:pStyle w:val="NormalWeb"/>
        <w:spacing w:before="0" w:beforeAutospacing="0" w:after="0" w:afterAutospacing="0"/>
        <w:ind w:left="720"/>
        <w:jc w:val="both"/>
        <w:rPr>
          <w:rFonts w:ascii="Cambria" w:hAnsi="Cambria" w:cs="Calibri"/>
          <w:i/>
          <w:sz w:val="20"/>
          <w:szCs w:val="20"/>
          <w:lang w:val="es-ES"/>
        </w:rPr>
      </w:pPr>
    </w:p>
    <w:p w14:paraId="6A810435" w14:textId="77777777" w:rsidR="00153218" w:rsidRPr="00655D24" w:rsidRDefault="00153218" w:rsidP="002F3149">
      <w:pPr>
        <w:pStyle w:val="NormalWeb"/>
        <w:numPr>
          <w:ilvl w:val="0"/>
          <w:numId w:val="55"/>
        </w:numPr>
        <w:tabs>
          <w:tab w:val="left" w:pos="567"/>
        </w:tabs>
        <w:spacing w:before="0" w:beforeAutospacing="0" w:after="0" w:afterAutospacing="0"/>
        <w:ind w:left="0" w:firstLine="0"/>
        <w:jc w:val="both"/>
        <w:rPr>
          <w:rFonts w:ascii="Cambria" w:hAnsi="Cambria" w:cs="Calibri"/>
          <w:sz w:val="20"/>
          <w:szCs w:val="20"/>
          <w:lang w:val="es-ES"/>
        </w:rPr>
      </w:pPr>
      <w:r w:rsidRPr="00655D24">
        <w:rPr>
          <w:rFonts w:ascii="Cambria" w:hAnsi="Cambria" w:cs="Calibri"/>
          <w:sz w:val="20"/>
          <w:szCs w:val="20"/>
          <w:lang w:val="es-ES"/>
        </w:rPr>
        <w:t xml:space="preserve">En lo que respecta a la situación de aquellas personas cuyas sentencias condenatorias ya habían adquirido carácter de cosa juzgada antes de su sanción, la ley 8837 en su Transitorio III dispuso: </w:t>
      </w:r>
    </w:p>
    <w:p w14:paraId="728B6155" w14:textId="77777777" w:rsidR="00153218" w:rsidRPr="00655D24" w:rsidRDefault="00153218" w:rsidP="002F3149">
      <w:pPr>
        <w:pStyle w:val="NormalWeb"/>
        <w:tabs>
          <w:tab w:val="left" w:pos="567"/>
        </w:tabs>
        <w:spacing w:before="0" w:beforeAutospacing="0" w:after="0" w:afterAutospacing="0"/>
        <w:jc w:val="both"/>
        <w:rPr>
          <w:rFonts w:ascii="Cambria" w:hAnsi="Cambria" w:cs="Calibri"/>
          <w:sz w:val="20"/>
          <w:szCs w:val="20"/>
          <w:lang w:val="es-ES"/>
        </w:rPr>
      </w:pPr>
    </w:p>
    <w:p w14:paraId="6821F249" w14:textId="77777777" w:rsidR="00153218" w:rsidRPr="00407A7B" w:rsidRDefault="00153218" w:rsidP="00FB1760">
      <w:pPr>
        <w:pStyle w:val="NormalWeb"/>
        <w:tabs>
          <w:tab w:val="left" w:pos="8505"/>
        </w:tabs>
        <w:spacing w:before="0" w:beforeAutospacing="0" w:after="0" w:afterAutospacing="0"/>
        <w:ind w:left="851" w:right="855"/>
        <w:jc w:val="both"/>
        <w:rPr>
          <w:rFonts w:ascii="Cambria" w:hAnsi="Cambria"/>
          <w:lang w:val="es-ES"/>
        </w:rPr>
      </w:pPr>
      <w:r w:rsidRPr="00655D24">
        <w:rPr>
          <w:rFonts w:ascii="Cambria" w:hAnsi="Cambria" w:cs="Calibri"/>
          <w:sz w:val="20"/>
          <w:szCs w:val="20"/>
          <w:lang w:val="es-ES"/>
        </w:rPr>
        <w:lastRenderedPageBreak/>
        <w:t>En todos los asuntos que tengan sentencia firme al momento de entrar en vigencia la presente Ley, y que se haya alegado con anterioridad la vulne</w:t>
      </w:r>
      <w:r w:rsidR="0054762E" w:rsidRPr="00655D24">
        <w:rPr>
          <w:rFonts w:ascii="Cambria" w:hAnsi="Cambria" w:cs="Calibri"/>
          <w:sz w:val="20"/>
          <w:szCs w:val="20"/>
          <w:lang w:val="es-ES"/>
        </w:rPr>
        <w:t xml:space="preserve">ración del artículo 8.2 h de la </w:t>
      </w:r>
      <w:r w:rsidRPr="00655D24">
        <w:rPr>
          <w:rFonts w:ascii="Cambria" w:hAnsi="Cambria" w:cs="Calibri"/>
          <w:sz w:val="20"/>
          <w:szCs w:val="20"/>
          <w:lang w:val="es-ES"/>
        </w:rPr>
        <w:t>Convención Americana de Derechos Humanos, el condenado tendrá́ derecho a interponer, por única vez, durante los primeros seis meses, procedimiento de revisión que se conocerá conforme a las competencias establecidas en esta Ley, por los antiguos Tribunales de Casación o la Sala Tercera Penal. En los asuntos que se encuentren pendientes de resolución y que se haya alegado con anterioridad la vulneración del artículo 8.2 h de la Convención Americana de Derechos Humanos, al recurrente se le brindará el término de dos meses para readecuar su recurso de casación a un recurso de apelación, el cual se presentará ante los antiguos Tribunales de Casación o la Sala Tercera, según corresponda, que remitirán el expediente ante los nuevos Tribunales de Apelación.</w:t>
      </w:r>
    </w:p>
    <w:p w14:paraId="7958D6D3" w14:textId="77777777" w:rsidR="00153218" w:rsidRPr="00407A7B" w:rsidRDefault="00153218" w:rsidP="002F3149">
      <w:pPr>
        <w:tabs>
          <w:tab w:val="left" w:pos="0"/>
          <w:tab w:val="left" w:pos="567"/>
        </w:tabs>
        <w:jc w:val="both"/>
        <w:rPr>
          <w:lang w:val="es-ES"/>
        </w:rPr>
      </w:pPr>
    </w:p>
    <w:p w14:paraId="6036439A" w14:textId="77777777" w:rsidR="00153218" w:rsidRPr="00407A7B" w:rsidRDefault="00153218" w:rsidP="00B00AA7">
      <w:pPr>
        <w:pStyle w:val="Heading2"/>
        <w:numPr>
          <w:ilvl w:val="0"/>
          <w:numId w:val="60"/>
        </w:numPr>
      </w:pPr>
      <w:bookmarkStart w:id="24" w:name="_Toc41054013"/>
      <w:bookmarkStart w:id="25" w:name="_Toc42675177"/>
      <w:bookmarkStart w:id="26" w:name="_Toc42675199"/>
      <w:bookmarkStart w:id="27" w:name="_Toc54369868"/>
      <w:r w:rsidRPr="00407A7B">
        <w:t>Sobre el proceso penal seguido al peticionario</w:t>
      </w:r>
      <w:bookmarkEnd w:id="24"/>
      <w:bookmarkEnd w:id="25"/>
      <w:bookmarkEnd w:id="26"/>
      <w:bookmarkEnd w:id="27"/>
    </w:p>
    <w:p w14:paraId="1CCC5AF7" w14:textId="77777777" w:rsidR="002965D3" w:rsidRPr="00407A7B" w:rsidRDefault="002965D3" w:rsidP="002F3149">
      <w:pPr>
        <w:jc w:val="both"/>
        <w:rPr>
          <w:rFonts w:ascii="Cambria" w:hAnsi="Cambria"/>
          <w:sz w:val="20"/>
          <w:szCs w:val="20"/>
          <w:lang w:val="es-ES"/>
        </w:rPr>
      </w:pPr>
    </w:p>
    <w:p w14:paraId="66CA7E69" w14:textId="77777777" w:rsidR="00F000DB" w:rsidRPr="00407A7B" w:rsidRDefault="00F000DB" w:rsidP="00964D5E">
      <w:pPr>
        <w:pStyle w:val="ListParagraph"/>
        <w:numPr>
          <w:ilvl w:val="0"/>
          <w:numId w:val="55"/>
        </w:numPr>
        <w:tabs>
          <w:tab w:val="left" w:pos="567"/>
        </w:tabs>
        <w:ind w:left="0" w:firstLine="0"/>
        <w:jc w:val="both"/>
        <w:rPr>
          <w:sz w:val="20"/>
          <w:szCs w:val="20"/>
          <w:lang w:val="es-ES"/>
        </w:rPr>
      </w:pPr>
      <w:r w:rsidRPr="00407A7B">
        <w:rPr>
          <w:sz w:val="20"/>
          <w:szCs w:val="20"/>
          <w:lang w:val="es-ES"/>
        </w:rPr>
        <w:t xml:space="preserve">De acuerdo con la información existente en el expediente, </w:t>
      </w:r>
      <w:r w:rsidR="00307F50" w:rsidRPr="00407A7B">
        <w:rPr>
          <w:sz w:val="20"/>
          <w:szCs w:val="20"/>
          <w:lang w:val="es-ES"/>
        </w:rPr>
        <w:t xml:space="preserve">el 20 de enero de 2003 </w:t>
      </w:r>
      <w:r w:rsidR="00D050FD" w:rsidRPr="00407A7B">
        <w:rPr>
          <w:sz w:val="20"/>
          <w:szCs w:val="20"/>
          <w:lang w:val="es-ES"/>
        </w:rPr>
        <w:t xml:space="preserve">el Sr. Cochran fue arrestado en su domicilio ubicado en Rohrmoser, San José. El mismo día, </w:t>
      </w:r>
      <w:r w:rsidR="00307F50" w:rsidRPr="00407A7B">
        <w:rPr>
          <w:sz w:val="20"/>
          <w:szCs w:val="20"/>
          <w:lang w:val="es-ES"/>
        </w:rPr>
        <w:t xml:space="preserve">el </w:t>
      </w:r>
      <w:r w:rsidR="00D050FD" w:rsidRPr="00407A7B">
        <w:rPr>
          <w:sz w:val="20"/>
          <w:szCs w:val="20"/>
          <w:lang w:val="es-ES"/>
        </w:rPr>
        <w:t>Juzgado Penal de Turno Extraordinario de San José, a requerimiento del Ministerio Publico, decretó la prisión preventiva del peticionario por el transcurso de seis meses bajo la acusación de ser penalmente responsable de los delitos de relaciones sexuales remuneradas con persona menor de edad y suministro de drogas</w:t>
      </w:r>
      <w:r w:rsidR="00D050FD" w:rsidRPr="00407A7B">
        <w:rPr>
          <w:rStyle w:val="FootnoteReference"/>
          <w:sz w:val="20"/>
          <w:szCs w:val="20"/>
          <w:lang w:val="es-ES"/>
        </w:rPr>
        <w:footnoteReference w:id="9"/>
      </w:r>
      <w:r w:rsidR="00D050FD" w:rsidRPr="00407A7B">
        <w:rPr>
          <w:sz w:val="20"/>
          <w:szCs w:val="20"/>
          <w:lang w:val="es-ES"/>
        </w:rPr>
        <w:t xml:space="preserve">. </w:t>
      </w:r>
    </w:p>
    <w:p w14:paraId="01606355" w14:textId="77777777" w:rsidR="00094C09" w:rsidRPr="00407A7B" w:rsidRDefault="00094C09" w:rsidP="00094C09">
      <w:pPr>
        <w:pStyle w:val="ListParagraph"/>
        <w:tabs>
          <w:tab w:val="left" w:pos="567"/>
        </w:tabs>
        <w:ind w:left="0"/>
        <w:jc w:val="both"/>
        <w:rPr>
          <w:sz w:val="20"/>
          <w:szCs w:val="20"/>
          <w:lang w:val="es-ES"/>
        </w:rPr>
      </w:pPr>
    </w:p>
    <w:p w14:paraId="69CF578B" w14:textId="77777777" w:rsidR="00094C09" w:rsidRPr="00407A7B" w:rsidRDefault="00094C09" w:rsidP="00964D5E">
      <w:pPr>
        <w:pStyle w:val="ListParagraph"/>
        <w:numPr>
          <w:ilvl w:val="0"/>
          <w:numId w:val="55"/>
        </w:numPr>
        <w:tabs>
          <w:tab w:val="left" w:pos="567"/>
        </w:tabs>
        <w:ind w:left="0" w:firstLine="0"/>
        <w:jc w:val="both"/>
        <w:rPr>
          <w:sz w:val="20"/>
          <w:szCs w:val="20"/>
          <w:lang w:val="es-ES"/>
        </w:rPr>
      </w:pPr>
      <w:r w:rsidRPr="00407A7B">
        <w:rPr>
          <w:sz w:val="20"/>
          <w:szCs w:val="20"/>
          <w:lang w:val="es-ES"/>
        </w:rPr>
        <w:t xml:space="preserve">Para decidir de este modo, el magistrado interviniente realizó en primer lugar un desarrollo general respecto de la aplicación excepcional de la prisión </w:t>
      </w:r>
      <w:r w:rsidR="002474BA" w:rsidRPr="00407A7B">
        <w:rPr>
          <w:sz w:val="20"/>
          <w:szCs w:val="20"/>
          <w:lang w:val="es-ES"/>
        </w:rPr>
        <w:t>preventiva</w:t>
      </w:r>
      <w:r w:rsidRPr="00407A7B">
        <w:rPr>
          <w:sz w:val="20"/>
          <w:szCs w:val="20"/>
          <w:lang w:val="es-ES"/>
        </w:rPr>
        <w:t xml:space="preserve"> a la luz de los principios de inocencia, legalidad y proporcionalidad. Acto seguido, aseguró que la finalidad de la prisión </w:t>
      </w:r>
      <w:r w:rsidR="002474BA" w:rsidRPr="00407A7B">
        <w:rPr>
          <w:sz w:val="20"/>
          <w:szCs w:val="20"/>
          <w:lang w:val="es-ES"/>
        </w:rPr>
        <w:t>preventiva</w:t>
      </w:r>
      <w:r w:rsidRPr="00407A7B">
        <w:rPr>
          <w:sz w:val="20"/>
          <w:szCs w:val="20"/>
          <w:lang w:val="es-ES"/>
        </w:rPr>
        <w:t xml:space="preserve"> es asegurar que el contradictorio pueda tener lugar </w:t>
      </w:r>
      <w:r w:rsidR="002474BA" w:rsidRPr="00407A7B">
        <w:rPr>
          <w:sz w:val="20"/>
          <w:szCs w:val="20"/>
          <w:lang w:val="es-ES"/>
        </w:rPr>
        <w:t xml:space="preserve">y que el éxito del mismo no será alterado por la destrucción o manipulación de los medios de prueba. Con respecto a los presupuestos materiales, el juez manifestó que “en autos se cuenta con elementos de juicio suficientes como para considerar que el imputado es, con el grado de probabilidad requerido, autor del hecho ilícito denunciado en su contra” y enumeró una serie de </w:t>
      </w:r>
      <w:r w:rsidR="008F6D50" w:rsidRPr="00407A7B">
        <w:rPr>
          <w:sz w:val="20"/>
          <w:szCs w:val="20"/>
          <w:lang w:val="es-ES"/>
        </w:rPr>
        <w:t>diligencias efectuadas por el Organismo de Investigación Judicial y declaraciones de testigos. Finalmente, el juez considero que el riesgo de fuga era “latente, al considerarse que el imputado es de nacionalidad extranjera y su familia se encuentra radicada en los Estados Unidos de Norteamérica, lo que aunado a sus ingresos mensuales (…) podría facilitar su salida del país”</w:t>
      </w:r>
      <w:r w:rsidR="008F6D50" w:rsidRPr="00407A7B">
        <w:rPr>
          <w:rStyle w:val="FootnoteReference"/>
          <w:sz w:val="20"/>
          <w:szCs w:val="20"/>
          <w:lang w:val="es-ES"/>
        </w:rPr>
        <w:footnoteReference w:id="10"/>
      </w:r>
      <w:r w:rsidR="008F6D50" w:rsidRPr="00407A7B">
        <w:rPr>
          <w:sz w:val="20"/>
          <w:szCs w:val="20"/>
          <w:lang w:val="es-ES"/>
        </w:rPr>
        <w:t xml:space="preserve">. </w:t>
      </w:r>
    </w:p>
    <w:p w14:paraId="525E5B05" w14:textId="77777777" w:rsidR="00D050FD" w:rsidRPr="00407A7B" w:rsidRDefault="00D050FD" w:rsidP="00964D5E">
      <w:pPr>
        <w:pStyle w:val="ListParagraph"/>
        <w:tabs>
          <w:tab w:val="left" w:pos="567"/>
        </w:tabs>
        <w:ind w:left="0"/>
        <w:jc w:val="both"/>
        <w:rPr>
          <w:sz w:val="20"/>
          <w:szCs w:val="20"/>
          <w:lang w:val="es-ES"/>
        </w:rPr>
      </w:pPr>
    </w:p>
    <w:p w14:paraId="08D6A6DC" w14:textId="77777777" w:rsidR="00C54285" w:rsidRPr="00407A7B" w:rsidRDefault="00094C09" w:rsidP="007F055F">
      <w:pPr>
        <w:pStyle w:val="ListParagraph"/>
        <w:numPr>
          <w:ilvl w:val="0"/>
          <w:numId w:val="55"/>
        </w:numPr>
        <w:tabs>
          <w:tab w:val="left" w:pos="567"/>
        </w:tabs>
        <w:ind w:left="0" w:firstLine="0"/>
        <w:jc w:val="both"/>
        <w:rPr>
          <w:sz w:val="20"/>
          <w:szCs w:val="20"/>
          <w:lang w:val="es-ES"/>
        </w:rPr>
      </w:pPr>
      <w:r w:rsidRPr="00407A7B">
        <w:rPr>
          <w:sz w:val="20"/>
          <w:szCs w:val="20"/>
          <w:lang w:val="es-ES"/>
        </w:rPr>
        <w:t>Posteriormente, e</w:t>
      </w:r>
      <w:r w:rsidR="006E742B" w:rsidRPr="00407A7B">
        <w:rPr>
          <w:sz w:val="20"/>
          <w:szCs w:val="20"/>
          <w:lang w:val="es-ES"/>
        </w:rPr>
        <w:t>l día 17 de julio de 2003 el Juzgado Penal de San José decidió prorrogar la prisión preventiva del Sr. Cochran por el plazo de tres meses</w:t>
      </w:r>
      <w:r w:rsidR="006E742B" w:rsidRPr="00407A7B">
        <w:rPr>
          <w:rStyle w:val="FootnoteReference"/>
          <w:sz w:val="20"/>
          <w:szCs w:val="20"/>
          <w:lang w:val="es-ES"/>
        </w:rPr>
        <w:footnoteReference w:id="11"/>
      </w:r>
      <w:r w:rsidR="006E742B" w:rsidRPr="00407A7B">
        <w:rPr>
          <w:sz w:val="20"/>
          <w:szCs w:val="20"/>
          <w:lang w:val="es-ES"/>
        </w:rPr>
        <w:t>. Esta decisión fue conformada mediante resolución de fecha 11 de agosto del mismo año dictada por el Tribunal Penal de Juicio del Primer Circuito Judicial de San José</w:t>
      </w:r>
      <w:r w:rsidR="006E742B" w:rsidRPr="00407A7B">
        <w:rPr>
          <w:rStyle w:val="FootnoteReference"/>
          <w:sz w:val="20"/>
          <w:szCs w:val="20"/>
          <w:lang w:val="es-ES"/>
        </w:rPr>
        <w:footnoteReference w:id="12"/>
      </w:r>
      <w:r w:rsidR="006E742B" w:rsidRPr="00407A7B">
        <w:rPr>
          <w:sz w:val="20"/>
          <w:szCs w:val="20"/>
          <w:lang w:val="es-ES"/>
        </w:rPr>
        <w:t xml:space="preserve">. </w:t>
      </w:r>
      <w:r w:rsidR="007F055F" w:rsidRPr="00407A7B">
        <w:rPr>
          <w:sz w:val="20"/>
          <w:szCs w:val="20"/>
          <w:lang w:val="es-ES"/>
        </w:rPr>
        <w:t xml:space="preserve"> </w:t>
      </w:r>
      <w:r w:rsidR="007F055F" w:rsidRPr="00407A7B">
        <w:rPr>
          <w:rStyle w:val="CommentReference"/>
          <w:rFonts w:eastAsia="Times New Roman" w:cs="Times New Roman"/>
          <w:color w:val="auto"/>
          <w:sz w:val="20"/>
          <w:szCs w:val="20"/>
          <w:bdr w:val="none" w:sz="0" w:space="0" w:color="auto"/>
          <w:lang w:val="es-AR" w:eastAsia="en-US"/>
        </w:rPr>
        <w:t>E</w:t>
      </w:r>
      <w:r w:rsidR="006E742B" w:rsidRPr="00407A7B">
        <w:rPr>
          <w:sz w:val="20"/>
          <w:szCs w:val="20"/>
          <w:lang w:val="es-ES"/>
        </w:rPr>
        <w:t>l 20 de octubre de 2003 el Juzgado Penal prorrog</w:t>
      </w:r>
      <w:r w:rsidR="006502F4" w:rsidRPr="00407A7B">
        <w:rPr>
          <w:sz w:val="20"/>
          <w:szCs w:val="20"/>
          <w:lang w:val="es-ES"/>
        </w:rPr>
        <w:t>ó</w:t>
      </w:r>
      <w:r w:rsidR="006E742B" w:rsidRPr="00407A7B">
        <w:rPr>
          <w:sz w:val="20"/>
          <w:szCs w:val="20"/>
          <w:lang w:val="es-ES"/>
        </w:rPr>
        <w:t xml:space="preserve"> la medida de prisión </w:t>
      </w:r>
      <w:r w:rsidR="006502F4" w:rsidRPr="00407A7B">
        <w:rPr>
          <w:sz w:val="20"/>
          <w:szCs w:val="20"/>
          <w:lang w:val="es-ES"/>
        </w:rPr>
        <w:t>preventiva</w:t>
      </w:r>
      <w:r w:rsidR="006E742B" w:rsidRPr="00407A7B">
        <w:rPr>
          <w:sz w:val="20"/>
          <w:szCs w:val="20"/>
          <w:lang w:val="es-ES"/>
        </w:rPr>
        <w:t xml:space="preserve"> por otros tres meses</w:t>
      </w:r>
      <w:r w:rsidR="0058027C" w:rsidRPr="00407A7B">
        <w:rPr>
          <w:rStyle w:val="FootnoteReference"/>
          <w:sz w:val="20"/>
          <w:szCs w:val="20"/>
          <w:lang w:val="es-ES"/>
        </w:rPr>
        <w:footnoteReference w:id="13"/>
      </w:r>
      <w:r w:rsidR="006502F4" w:rsidRPr="00407A7B">
        <w:rPr>
          <w:sz w:val="20"/>
          <w:szCs w:val="20"/>
          <w:lang w:val="es-ES"/>
        </w:rPr>
        <w:t xml:space="preserve">, decisión que fue confirmada por el Tribunal Penal de Juicio del Primer Circuito Judicial de San José por medio de </w:t>
      </w:r>
      <w:r w:rsidR="002F3149" w:rsidRPr="00407A7B">
        <w:rPr>
          <w:sz w:val="20"/>
          <w:szCs w:val="20"/>
          <w:lang w:val="es-ES"/>
        </w:rPr>
        <w:t xml:space="preserve">una </w:t>
      </w:r>
      <w:r w:rsidR="006502F4" w:rsidRPr="00407A7B">
        <w:rPr>
          <w:sz w:val="20"/>
          <w:szCs w:val="20"/>
          <w:lang w:val="es-ES"/>
        </w:rPr>
        <w:t xml:space="preserve">resolución </w:t>
      </w:r>
      <w:r w:rsidR="002F3149" w:rsidRPr="00407A7B">
        <w:rPr>
          <w:sz w:val="20"/>
          <w:szCs w:val="20"/>
          <w:lang w:val="es-ES"/>
        </w:rPr>
        <w:t>dictada el</w:t>
      </w:r>
      <w:r w:rsidR="006502F4" w:rsidRPr="00407A7B">
        <w:rPr>
          <w:sz w:val="20"/>
          <w:szCs w:val="20"/>
          <w:lang w:val="es-ES"/>
        </w:rPr>
        <w:t xml:space="preserve"> 14 de noviembre de 2003</w:t>
      </w:r>
      <w:r w:rsidR="0058027C" w:rsidRPr="00407A7B">
        <w:rPr>
          <w:rStyle w:val="FootnoteReference"/>
          <w:sz w:val="20"/>
          <w:szCs w:val="20"/>
          <w:lang w:val="es-ES"/>
        </w:rPr>
        <w:footnoteReference w:id="14"/>
      </w:r>
      <w:r w:rsidR="006502F4" w:rsidRPr="00407A7B">
        <w:rPr>
          <w:sz w:val="20"/>
          <w:szCs w:val="20"/>
          <w:lang w:val="es-ES"/>
        </w:rPr>
        <w:t xml:space="preserve">. </w:t>
      </w:r>
    </w:p>
    <w:p w14:paraId="2DCC09CF" w14:textId="77777777" w:rsidR="00C54285" w:rsidRPr="00407A7B" w:rsidRDefault="00C54285" w:rsidP="00C54285">
      <w:pPr>
        <w:pStyle w:val="ListParagraph"/>
        <w:rPr>
          <w:sz w:val="20"/>
          <w:szCs w:val="20"/>
          <w:lang w:val="es-ES"/>
        </w:rPr>
      </w:pPr>
    </w:p>
    <w:p w14:paraId="07A11368" w14:textId="77777777" w:rsidR="007F055F" w:rsidRPr="00407A7B" w:rsidRDefault="00C54285" w:rsidP="007F055F">
      <w:pPr>
        <w:pStyle w:val="ListParagraph"/>
        <w:numPr>
          <w:ilvl w:val="0"/>
          <w:numId w:val="55"/>
        </w:numPr>
        <w:tabs>
          <w:tab w:val="left" w:pos="567"/>
        </w:tabs>
        <w:ind w:left="0" w:firstLine="0"/>
        <w:jc w:val="both"/>
        <w:rPr>
          <w:sz w:val="20"/>
          <w:szCs w:val="20"/>
          <w:lang w:val="es-ES"/>
        </w:rPr>
      </w:pPr>
      <w:r w:rsidRPr="00407A7B">
        <w:rPr>
          <w:sz w:val="20"/>
          <w:szCs w:val="20"/>
          <w:lang w:val="es-ES"/>
        </w:rPr>
        <w:t xml:space="preserve">En esta </w:t>
      </w:r>
      <w:r w:rsidR="004D4B6B" w:rsidRPr="00407A7B">
        <w:rPr>
          <w:sz w:val="20"/>
          <w:szCs w:val="20"/>
          <w:lang w:val="es-ES"/>
        </w:rPr>
        <w:t>última</w:t>
      </w:r>
      <w:r w:rsidRPr="00407A7B">
        <w:rPr>
          <w:sz w:val="20"/>
          <w:szCs w:val="20"/>
          <w:lang w:val="es-ES"/>
        </w:rPr>
        <w:t xml:space="preserve"> resolución, y en respuesta a la solicitud de cese de prisión preventiva por aplicación del artículo 260 del Código Procesal efectuada por la defensa del Sr. Cochran, el tribunal verificó, a partir de los informes médicos en su </w:t>
      </w:r>
      <w:r w:rsidR="00C220E9" w:rsidRPr="00407A7B">
        <w:rPr>
          <w:sz w:val="20"/>
          <w:szCs w:val="20"/>
          <w:lang w:val="es-ES"/>
        </w:rPr>
        <w:t>poder, que</w:t>
      </w:r>
      <w:r w:rsidRPr="00407A7B">
        <w:rPr>
          <w:sz w:val="20"/>
          <w:szCs w:val="20"/>
          <w:lang w:val="es-ES"/>
        </w:rPr>
        <w:t xml:space="preserve"> el imputado presentaba como diagnostico ser HIV positivo. Asimismo, el tribunal añadió que dicha condición no constituye una enfermedad terminal. En consecuencia,  los jueces </w:t>
      </w:r>
      <w:r w:rsidRPr="00407A7B">
        <w:rPr>
          <w:sz w:val="20"/>
          <w:szCs w:val="20"/>
          <w:lang w:val="es-ES"/>
        </w:rPr>
        <w:lastRenderedPageBreak/>
        <w:t>concluyeron que “el imputado no se encuentra dentro de la hipótesis fáctica del numeral 260 en estudio, pues esta norma requiere, para excluir la prisión preventiva, el padecimiento de enfermedad ‘</w:t>
      </w:r>
      <w:r w:rsidRPr="00407A7B">
        <w:rPr>
          <w:i/>
          <w:sz w:val="20"/>
          <w:szCs w:val="20"/>
          <w:lang w:val="es-ES"/>
        </w:rPr>
        <w:t>grave y terminal’</w:t>
      </w:r>
      <w:r w:rsidRPr="00407A7B">
        <w:rPr>
          <w:sz w:val="20"/>
          <w:szCs w:val="20"/>
          <w:lang w:val="es-ES"/>
        </w:rPr>
        <w:t>”</w:t>
      </w:r>
      <w:r w:rsidRPr="00407A7B">
        <w:rPr>
          <w:rStyle w:val="FootnoteReference"/>
          <w:sz w:val="20"/>
          <w:szCs w:val="20"/>
          <w:lang w:val="es-ES"/>
        </w:rPr>
        <w:footnoteReference w:id="15"/>
      </w:r>
    </w:p>
    <w:p w14:paraId="49724204" w14:textId="77777777" w:rsidR="007F055F" w:rsidRPr="00407A7B" w:rsidRDefault="007F055F" w:rsidP="007F055F">
      <w:pPr>
        <w:pStyle w:val="ListParagraph"/>
        <w:tabs>
          <w:tab w:val="left" w:pos="567"/>
        </w:tabs>
        <w:ind w:left="0"/>
        <w:jc w:val="both"/>
        <w:rPr>
          <w:sz w:val="20"/>
          <w:szCs w:val="20"/>
          <w:lang w:val="es-ES"/>
        </w:rPr>
      </w:pPr>
    </w:p>
    <w:p w14:paraId="3F5B6700" w14:textId="77777777" w:rsidR="00D050FD" w:rsidRPr="00407A7B" w:rsidRDefault="006E67E2" w:rsidP="007F055F">
      <w:pPr>
        <w:pStyle w:val="ListParagraph"/>
        <w:numPr>
          <w:ilvl w:val="0"/>
          <w:numId w:val="55"/>
        </w:numPr>
        <w:tabs>
          <w:tab w:val="left" w:pos="567"/>
        </w:tabs>
        <w:ind w:left="0" w:firstLine="0"/>
        <w:jc w:val="both"/>
        <w:rPr>
          <w:sz w:val="20"/>
          <w:szCs w:val="20"/>
          <w:lang w:val="es-ES"/>
        </w:rPr>
      </w:pPr>
      <w:r w:rsidRPr="00407A7B">
        <w:rPr>
          <w:sz w:val="20"/>
          <w:szCs w:val="20"/>
          <w:lang w:val="es-ES"/>
        </w:rPr>
        <w:t>Una vez ingresado el caso en la etapa intermedia y durante la realización del juicio oral, la prisión preventiva dictada contra el peticionario fue nuevamente prorrogada por sendas resoluciones de fecha 19 de enero</w:t>
      </w:r>
      <w:r w:rsidR="001E674B" w:rsidRPr="00407A7B">
        <w:rPr>
          <w:rStyle w:val="FootnoteReference"/>
          <w:sz w:val="20"/>
          <w:szCs w:val="20"/>
          <w:lang w:val="es-ES"/>
        </w:rPr>
        <w:footnoteReference w:id="16"/>
      </w:r>
      <w:r w:rsidRPr="00407A7B">
        <w:rPr>
          <w:sz w:val="20"/>
          <w:szCs w:val="20"/>
          <w:lang w:val="es-ES"/>
        </w:rPr>
        <w:t xml:space="preserve"> y 30 de julio de 2004</w:t>
      </w:r>
      <w:r w:rsidR="001E674B" w:rsidRPr="00407A7B">
        <w:rPr>
          <w:rStyle w:val="FootnoteReference"/>
          <w:sz w:val="20"/>
          <w:szCs w:val="20"/>
          <w:lang w:val="es-ES"/>
        </w:rPr>
        <w:footnoteReference w:id="17"/>
      </w:r>
      <w:r w:rsidRPr="00407A7B">
        <w:rPr>
          <w:sz w:val="20"/>
          <w:szCs w:val="20"/>
          <w:lang w:val="es-ES"/>
        </w:rPr>
        <w:t xml:space="preserve"> </w:t>
      </w:r>
      <w:r w:rsidR="001E674B" w:rsidRPr="00407A7B">
        <w:rPr>
          <w:sz w:val="20"/>
          <w:szCs w:val="20"/>
          <w:lang w:val="es-ES"/>
        </w:rPr>
        <w:t xml:space="preserve">dictadas </w:t>
      </w:r>
      <w:r w:rsidRPr="00407A7B">
        <w:rPr>
          <w:sz w:val="20"/>
          <w:szCs w:val="20"/>
          <w:lang w:val="es-ES"/>
        </w:rPr>
        <w:t>por el Tribunal de Casación Penal del Segundo Circuito Judicial de San José.</w:t>
      </w:r>
    </w:p>
    <w:p w14:paraId="308B32C8" w14:textId="77777777" w:rsidR="006E67E2" w:rsidRPr="00407A7B" w:rsidRDefault="006E67E2" w:rsidP="00964D5E">
      <w:pPr>
        <w:pStyle w:val="ListParagraph"/>
        <w:tabs>
          <w:tab w:val="left" w:pos="567"/>
        </w:tabs>
        <w:ind w:left="0"/>
        <w:jc w:val="both"/>
        <w:rPr>
          <w:sz w:val="20"/>
          <w:szCs w:val="20"/>
          <w:lang w:val="es-ES"/>
        </w:rPr>
      </w:pPr>
    </w:p>
    <w:p w14:paraId="6727FCF1" w14:textId="77777777" w:rsidR="006E67E2" w:rsidRPr="00407A7B" w:rsidRDefault="006E67E2" w:rsidP="00964D5E">
      <w:pPr>
        <w:pStyle w:val="ListParagraph"/>
        <w:numPr>
          <w:ilvl w:val="0"/>
          <w:numId w:val="55"/>
        </w:numPr>
        <w:tabs>
          <w:tab w:val="left" w:pos="567"/>
        </w:tabs>
        <w:ind w:left="0" w:firstLine="0"/>
        <w:jc w:val="both"/>
        <w:rPr>
          <w:sz w:val="20"/>
          <w:szCs w:val="20"/>
          <w:lang w:val="es-ES"/>
        </w:rPr>
      </w:pPr>
      <w:r w:rsidRPr="00407A7B">
        <w:rPr>
          <w:sz w:val="20"/>
          <w:szCs w:val="20"/>
          <w:lang w:val="es-ES"/>
        </w:rPr>
        <w:t>Por otra parte, el 17 de agosto de 2004, el Tribunal Penal de Juicio del Primer Circuito Judicial de San José</w:t>
      </w:r>
      <w:r w:rsidR="00EE238D" w:rsidRPr="00407A7B">
        <w:rPr>
          <w:sz w:val="20"/>
          <w:szCs w:val="20"/>
          <w:lang w:val="es-ES"/>
        </w:rPr>
        <w:t xml:space="preserve"> declaró al Sr. Thomas Scot Cochran autor responsable de: un delito de infracción a la ley sobre estupefacientes en su modalidad de suministro a menores de edad; un delito de fabricación o producción de pornografía y un delito de difusión de pornografía, ambos cometidos en </w:t>
      </w:r>
      <w:r w:rsidR="0060278E" w:rsidRPr="00407A7B">
        <w:rPr>
          <w:sz w:val="20"/>
          <w:szCs w:val="20"/>
          <w:lang w:val="es-ES"/>
        </w:rPr>
        <w:t>perjuicio</w:t>
      </w:r>
      <w:r w:rsidR="00EE238D" w:rsidRPr="00407A7B">
        <w:rPr>
          <w:sz w:val="20"/>
          <w:szCs w:val="20"/>
          <w:lang w:val="es-ES"/>
        </w:rPr>
        <w:t xml:space="preserve"> de una serie de menores de edad; tres delitos de relaciones sexuales remuneradas con personas menores de edad y un delito de corrupción en perjuicio de seis menores de edad y un delito de relaciones sexuales remuneradas con personas menores de edad </w:t>
      </w:r>
      <w:r w:rsidR="001A6B88" w:rsidRPr="00407A7B">
        <w:rPr>
          <w:sz w:val="20"/>
          <w:szCs w:val="20"/>
          <w:lang w:val="es-ES"/>
        </w:rPr>
        <w:t xml:space="preserve">en perjuicio de dos personas, todos ellos cometidos en concurso material. En consecuencia, le impuso al acusado la pena de 154 años de prisión, la cual, conforme a las reglas del concurso material previstas en el </w:t>
      </w:r>
      <w:r w:rsidR="00A9284B" w:rsidRPr="00407A7B">
        <w:rPr>
          <w:sz w:val="20"/>
          <w:szCs w:val="20"/>
          <w:lang w:val="es-ES"/>
        </w:rPr>
        <w:t>artículo</w:t>
      </w:r>
      <w:r w:rsidR="001A6B88" w:rsidRPr="00407A7B">
        <w:rPr>
          <w:sz w:val="20"/>
          <w:szCs w:val="20"/>
          <w:lang w:val="es-ES"/>
        </w:rPr>
        <w:t xml:space="preserve"> 22 del Código Penal se adecu</w:t>
      </w:r>
      <w:r w:rsidR="00DD48FA" w:rsidRPr="00407A7B">
        <w:rPr>
          <w:sz w:val="20"/>
          <w:szCs w:val="20"/>
          <w:lang w:val="es-ES"/>
        </w:rPr>
        <w:t>ó a la pena de</w:t>
      </w:r>
      <w:r w:rsidR="001A6B88" w:rsidRPr="00407A7B">
        <w:rPr>
          <w:sz w:val="20"/>
          <w:szCs w:val="20"/>
          <w:lang w:val="es-ES"/>
        </w:rPr>
        <w:t xml:space="preserve"> 45 años de prisión</w:t>
      </w:r>
      <w:r w:rsidR="001A6B88" w:rsidRPr="00407A7B">
        <w:rPr>
          <w:rStyle w:val="FootnoteReference"/>
          <w:sz w:val="20"/>
          <w:szCs w:val="20"/>
          <w:lang w:val="es-ES"/>
        </w:rPr>
        <w:footnoteReference w:id="18"/>
      </w:r>
      <w:r w:rsidR="001A6B88" w:rsidRPr="00407A7B">
        <w:rPr>
          <w:sz w:val="20"/>
          <w:szCs w:val="20"/>
          <w:lang w:val="es-ES"/>
        </w:rPr>
        <w:t xml:space="preserve">. </w:t>
      </w:r>
    </w:p>
    <w:p w14:paraId="041FA509" w14:textId="77777777" w:rsidR="00F000DB" w:rsidRPr="00407A7B" w:rsidRDefault="00F000DB" w:rsidP="00F000DB">
      <w:pPr>
        <w:rPr>
          <w:lang w:val="es-ES"/>
        </w:rPr>
      </w:pPr>
    </w:p>
    <w:p w14:paraId="4D0B0AEF" w14:textId="77777777" w:rsidR="002A0FDD" w:rsidRPr="00407A7B" w:rsidRDefault="002965D3" w:rsidP="00B00AA7">
      <w:pPr>
        <w:pStyle w:val="Heading2"/>
        <w:numPr>
          <w:ilvl w:val="0"/>
          <w:numId w:val="60"/>
        </w:numPr>
      </w:pPr>
      <w:bookmarkStart w:id="28" w:name="_Toc54369869"/>
      <w:r w:rsidRPr="00407A7B">
        <w:t>Sobre los procedimientos de revisión de la sentencia condenatoria</w:t>
      </w:r>
      <w:bookmarkEnd w:id="28"/>
    </w:p>
    <w:p w14:paraId="3BAF434C" w14:textId="77777777" w:rsidR="002A0FDD" w:rsidRPr="00407A7B" w:rsidRDefault="002A0FDD" w:rsidP="002A0FDD">
      <w:pPr>
        <w:rPr>
          <w:rFonts w:ascii="Cambria" w:hAnsi="Cambria"/>
          <w:sz w:val="20"/>
          <w:szCs w:val="20"/>
          <w:lang w:val="es-ES"/>
        </w:rPr>
      </w:pPr>
    </w:p>
    <w:p w14:paraId="4DB59798" w14:textId="77777777" w:rsidR="002A0FDD" w:rsidRPr="00407A7B" w:rsidRDefault="002A0FDD" w:rsidP="00D66281">
      <w:pPr>
        <w:ind w:left="284"/>
        <w:rPr>
          <w:rFonts w:ascii="Cambria" w:hAnsi="Cambria"/>
          <w:b/>
          <w:sz w:val="20"/>
          <w:szCs w:val="20"/>
          <w:lang w:val="es-ES"/>
        </w:rPr>
      </w:pPr>
      <w:r w:rsidRPr="00407A7B">
        <w:rPr>
          <w:rFonts w:ascii="Cambria" w:hAnsi="Cambria"/>
          <w:b/>
          <w:sz w:val="20"/>
          <w:szCs w:val="20"/>
          <w:lang w:val="es-ES"/>
        </w:rPr>
        <w:t xml:space="preserve">Recurso de casación </w:t>
      </w:r>
    </w:p>
    <w:p w14:paraId="4A858C04" w14:textId="77777777" w:rsidR="004D6E6A" w:rsidRPr="00407A7B" w:rsidRDefault="004D6E6A" w:rsidP="00DF3574">
      <w:pPr>
        <w:jc w:val="both"/>
        <w:rPr>
          <w:rFonts w:ascii="Cambria" w:hAnsi="Cambria"/>
          <w:sz w:val="20"/>
          <w:szCs w:val="20"/>
          <w:lang w:val="es-ES"/>
        </w:rPr>
      </w:pPr>
    </w:p>
    <w:p w14:paraId="00596194" w14:textId="77777777" w:rsidR="004D6E6A" w:rsidRPr="00407A7B" w:rsidRDefault="009C2F93" w:rsidP="00C67CB1">
      <w:pPr>
        <w:pStyle w:val="ListParagraph"/>
        <w:numPr>
          <w:ilvl w:val="0"/>
          <w:numId w:val="55"/>
        </w:numPr>
        <w:tabs>
          <w:tab w:val="left" w:pos="567"/>
        </w:tabs>
        <w:ind w:left="0" w:firstLine="0"/>
        <w:jc w:val="both"/>
        <w:rPr>
          <w:sz w:val="20"/>
          <w:szCs w:val="20"/>
          <w:lang w:val="es-ES"/>
        </w:rPr>
      </w:pPr>
      <w:r w:rsidRPr="00407A7B">
        <w:rPr>
          <w:sz w:val="20"/>
          <w:szCs w:val="20"/>
          <w:lang w:val="es-ES"/>
        </w:rPr>
        <w:t xml:space="preserve">El </w:t>
      </w:r>
      <w:r w:rsidR="004B0707" w:rsidRPr="00407A7B">
        <w:rPr>
          <w:sz w:val="20"/>
          <w:szCs w:val="20"/>
          <w:lang w:val="es-ES"/>
        </w:rPr>
        <w:t xml:space="preserve">6 de septiembre de 2004 los abogados del </w:t>
      </w:r>
      <w:r w:rsidRPr="00407A7B">
        <w:rPr>
          <w:sz w:val="20"/>
          <w:szCs w:val="20"/>
          <w:lang w:val="es-ES"/>
        </w:rPr>
        <w:t>Sr. Cochran interpus</w:t>
      </w:r>
      <w:r w:rsidR="004B0707" w:rsidRPr="00407A7B">
        <w:rPr>
          <w:sz w:val="20"/>
          <w:szCs w:val="20"/>
          <w:lang w:val="es-ES"/>
        </w:rPr>
        <w:t>ieron</w:t>
      </w:r>
      <w:r w:rsidRPr="00407A7B">
        <w:rPr>
          <w:sz w:val="20"/>
          <w:szCs w:val="20"/>
          <w:lang w:val="es-ES"/>
        </w:rPr>
        <w:t xml:space="preserve"> </w:t>
      </w:r>
      <w:r w:rsidR="005B4C7F" w:rsidRPr="00407A7B">
        <w:rPr>
          <w:sz w:val="20"/>
          <w:szCs w:val="20"/>
          <w:lang w:val="es-ES"/>
        </w:rPr>
        <w:t xml:space="preserve">un </w:t>
      </w:r>
      <w:r w:rsidRPr="00407A7B">
        <w:rPr>
          <w:sz w:val="20"/>
          <w:szCs w:val="20"/>
          <w:lang w:val="es-ES"/>
        </w:rPr>
        <w:t xml:space="preserve">recurso de </w:t>
      </w:r>
      <w:r w:rsidR="004B0707" w:rsidRPr="00407A7B">
        <w:rPr>
          <w:sz w:val="20"/>
          <w:szCs w:val="20"/>
          <w:lang w:val="es-ES"/>
        </w:rPr>
        <w:t>casación</w:t>
      </w:r>
      <w:r w:rsidRPr="00407A7B">
        <w:rPr>
          <w:sz w:val="20"/>
          <w:szCs w:val="20"/>
          <w:lang w:val="es-ES"/>
        </w:rPr>
        <w:t xml:space="preserve"> contra la sentencia de fecha 17 de agosto de 2004 que condenó</w:t>
      </w:r>
      <w:r w:rsidR="005B4C7F" w:rsidRPr="00407A7B">
        <w:rPr>
          <w:sz w:val="20"/>
          <w:szCs w:val="20"/>
          <w:lang w:val="es-ES"/>
        </w:rPr>
        <w:t xml:space="preserve"> a su defendido</w:t>
      </w:r>
      <w:r w:rsidRPr="00407A7B">
        <w:rPr>
          <w:sz w:val="20"/>
          <w:szCs w:val="20"/>
          <w:lang w:val="es-ES"/>
        </w:rPr>
        <w:t xml:space="preserve"> a la pena de 45 años de prisión. </w:t>
      </w:r>
      <w:r w:rsidR="004B0707" w:rsidRPr="00407A7B">
        <w:rPr>
          <w:sz w:val="20"/>
          <w:szCs w:val="20"/>
          <w:lang w:val="es-ES"/>
        </w:rPr>
        <w:t xml:space="preserve">Posteriormente, con fecha 5 de octubre de 2004 el peticionario presentó un documento titulado “adhesión al recurso de casación” </w:t>
      </w:r>
      <w:r w:rsidR="005B4C7F" w:rsidRPr="00407A7B">
        <w:rPr>
          <w:sz w:val="20"/>
          <w:szCs w:val="20"/>
          <w:lang w:val="es-ES"/>
        </w:rPr>
        <w:t>oportunamente</w:t>
      </w:r>
      <w:r w:rsidR="004B0707" w:rsidRPr="00407A7B">
        <w:rPr>
          <w:sz w:val="20"/>
          <w:szCs w:val="20"/>
          <w:lang w:val="es-ES"/>
        </w:rPr>
        <w:t xml:space="preserve"> interpuesto por sus abogados. De la lectura de ambos documentos se desprende que </w:t>
      </w:r>
      <w:r w:rsidR="005B4C7F" w:rsidRPr="00407A7B">
        <w:rPr>
          <w:sz w:val="20"/>
          <w:szCs w:val="20"/>
          <w:lang w:val="es-ES"/>
        </w:rPr>
        <w:t>fueron alegadas cuestiones vinculadas</w:t>
      </w:r>
      <w:r w:rsidR="004B0707" w:rsidRPr="00407A7B">
        <w:rPr>
          <w:sz w:val="20"/>
          <w:szCs w:val="20"/>
          <w:lang w:val="es-ES"/>
        </w:rPr>
        <w:t xml:space="preserve"> tanto </w:t>
      </w:r>
      <w:r w:rsidR="005B4C7F" w:rsidRPr="00407A7B">
        <w:rPr>
          <w:sz w:val="20"/>
          <w:szCs w:val="20"/>
          <w:lang w:val="es-ES"/>
        </w:rPr>
        <w:t xml:space="preserve">con </w:t>
      </w:r>
      <w:r w:rsidR="004B0707" w:rsidRPr="00407A7B">
        <w:rPr>
          <w:sz w:val="20"/>
          <w:szCs w:val="20"/>
          <w:lang w:val="es-ES"/>
        </w:rPr>
        <w:t xml:space="preserve">la inobservancia o errónea aplicación de </w:t>
      </w:r>
      <w:r w:rsidR="005B4C7F" w:rsidRPr="00407A7B">
        <w:rPr>
          <w:sz w:val="20"/>
          <w:szCs w:val="20"/>
          <w:lang w:val="es-ES"/>
        </w:rPr>
        <w:t>reglas procesales y de valoración de la prueba</w:t>
      </w:r>
      <w:r w:rsidR="004B0707" w:rsidRPr="00407A7B">
        <w:rPr>
          <w:sz w:val="20"/>
          <w:szCs w:val="20"/>
          <w:lang w:val="es-ES"/>
        </w:rPr>
        <w:t xml:space="preserve"> como </w:t>
      </w:r>
      <w:r w:rsidR="005B4C7F" w:rsidRPr="00407A7B">
        <w:rPr>
          <w:sz w:val="20"/>
          <w:szCs w:val="20"/>
          <w:lang w:val="es-ES"/>
        </w:rPr>
        <w:t xml:space="preserve">también </w:t>
      </w:r>
      <w:r w:rsidR="004B0707" w:rsidRPr="00407A7B">
        <w:rPr>
          <w:sz w:val="20"/>
          <w:szCs w:val="20"/>
          <w:lang w:val="es-ES"/>
        </w:rPr>
        <w:t>de normas</w:t>
      </w:r>
      <w:r w:rsidR="005B4C7F" w:rsidRPr="00407A7B">
        <w:rPr>
          <w:sz w:val="20"/>
          <w:szCs w:val="20"/>
          <w:lang w:val="es-ES"/>
        </w:rPr>
        <w:t xml:space="preserve"> de carácter</w:t>
      </w:r>
      <w:r w:rsidR="004B0707" w:rsidRPr="00407A7B">
        <w:rPr>
          <w:sz w:val="20"/>
          <w:szCs w:val="20"/>
          <w:lang w:val="es-ES"/>
        </w:rPr>
        <w:t xml:space="preserve"> sustantivas. A modo </w:t>
      </w:r>
      <w:r w:rsidR="00DF3574" w:rsidRPr="00407A7B">
        <w:rPr>
          <w:sz w:val="20"/>
          <w:szCs w:val="20"/>
          <w:lang w:val="es-ES"/>
        </w:rPr>
        <w:t>de ejemplo</w:t>
      </w:r>
      <w:r w:rsidR="004B0707" w:rsidRPr="00407A7B">
        <w:rPr>
          <w:sz w:val="20"/>
          <w:szCs w:val="20"/>
          <w:lang w:val="es-ES"/>
        </w:rPr>
        <w:t>, los abogados plantearon una serie de agravios vinculados con una eventual errónea apreciación por parte del tribunal inferior de cierta prueba documental incorporada al expediente</w:t>
      </w:r>
      <w:r w:rsidR="00DF3574" w:rsidRPr="00407A7B">
        <w:rPr>
          <w:sz w:val="20"/>
          <w:szCs w:val="20"/>
          <w:lang w:val="es-ES"/>
        </w:rPr>
        <w:t>; con la falta de realización de algunos peritajes psicológicos y médicos sobre el cuerpo de las víctimas del caso y, finalmente, con la manera en que el tribunal de juicio aplicó al caso las reglas del concurso ideal y material</w:t>
      </w:r>
      <w:r w:rsidR="00DF3574" w:rsidRPr="00407A7B">
        <w:rPr>
          <w:rStyle w:val="FootnoteReference"/>
          <w:sz w:val="20"/>
          <w:szCs w:val="20"/>
          <w:lang w:val="es-ES"/>
        </w:rPr>
        <w:footnoteReference w:id="19"/>
      </w:r>
      <w:r w:rsidR="00DF3574" w:rsidRPr="00407A7B">
        <w:rPr>
          <w:sz w:val="20"/>
          <w:szCs w:val="20"/>
          <w:lang w:val="es-ES"/>
        </w:rPr>
        <w:t xml:space="preserve">.  </w:t>
      </w:r>
    </w:p>
    <w:p w14:paraId="0001225E" w14:textId="77777777" w:rsidR="00DF3574" w:rsidRPr="00407A7B" w:rsidRDefault="00DF3574" w:rsidP="00C67CB1">
      <w:pPr>
        <w:pStyle w:val="ListParagraph"/>
        <w:tabs>
          <w:tab w:val="left" w:pos="567"/>
        </w:tabs>
        <w:ind w:left="0"/>
        <w:jc w:val="both"/>
        <w:rPr>
          <w:sz w:val="20"/>
          <w:szCs w:val="20"/>
          <w:lang w:val="es-ES"/>
        </w:rPr>
      </w:pPr>
    </w:p>
    <w:p w14:paraId="46901B15" w14:textId="77777777" w:rsidR="00DF3574" w:rsidRPr="00407A7B" w:rsidRDefault="00DF3574" w:rsidP="00C67CB1">
      <w:pPr>
        <w:pStyle w:val="ListParagraph"/>
        <w:numPr>
          <w:ilvl w:val="0"/>
          <w:numId w:val="55"/>
        </w:numPr>
        <w:tabs>
          <w:tab w:val="left" w:pos="567"/>
        </w:tabs>
        <w:ind w:left="0" w:firstLine="0"/>
        <w:jc w:val="both"/>
        <w:rPr>
          <w:sz w:val="20"/>
          <w:szCs w:val="20"/>
          <w:lang w:val="es-ES"/>
        </w:rPr>
      </w:pPr>
      <w:r w:rsidRPr="00407A7B">
        <w:rPr>
          <w:sz w:val="20"/>
          <w:szCs w:val="20"/>
          <w:lang w:val="es-ES"/>
        </w:rPr>
        <w:t xml:space="preserve">Por medio de resolución 2005-00126 de fecha 28 de febrero de 2005 la Sala Tercera de la Corte Suprema de Justicia declaró sin lugar los recursos interpuestos. </w:t>
      </w:r>
      <w:r w:rsidR="00852590" w:rsidRPr="00407A7B">
        <w:rPr>
          <w:sz w:val="20"/>
          <w:szCs w:val="20"/>
          <w:lang w:val="es-ES"/>
        </w:rPr>
        <w:t xml:space="preserve">En primer </w:t>
      </w:r>
      <w:r w:rsidR="00A9284B" w:rsidRPr="00407A7B">
        <w:rPr>
          <w:sz w:val="20"/>
          <w:szCs w:val="20"/>
          <w:lang w:val="es-ES"/>
        </w:rPr>
        <w:t>lugar,</w:t>
      </w:r>
      <w:r w:rsidR="00852590" w:rsidRPr="00407A7B">
        <w:rPr>
          <w:sz w:val="20"/>
          <w:szCs w:val="20"/>
          <w:lang w:val="es-ES"/>
        </w:rPr>
        <w:t xml:space="preserve"> </w:t>
      </w:r>
      <w:r w:rsidRPr="00407A7B">
        <w:rPr>
          <w:sz w:val="20"/>
          <w:szCs w:val="20"/>
          <w:lang w:val="es-ES"/>
        </w:rPr>
        <w:t>el tribuna</w:t>
      </w:r>
      <w:r w:rsidR="00103A26" w:rsidRPr="00407A7B">
        <w:rPr>
          <w:sz w:val="20"/>
          <w:szCs w:val="20"/>
          <w:lang w:val="es-ES"/>
        </w:rPr>
        <w:t xml:space="preserve">l sostuvo que, </w:t>
      </w:r>
      <w:r w:rsidR="004D4B6B" w:rsidRPr="00407A7B">
        <w:rPr>
          <w:sz w:val="20"/>
          <w:szCs w:val="20"/>
          <w:lang w:val="es-ES"/>
        </w:rPr>
        <w:t>al</w:t>
      </w:r>
      <w:r w:rsidR="00103A26" w:rsidRPr="00407A7B">
        <w:rPr>
          <w:sz w:val="20"/>
          <w:szCs w:val="20"/>
          <w:lang w:val="es-ES"/>
        </w:rPr>
        <w:t xml:space="preserve"> contrario de lo alegado por la defensa, los hechos por los cuales el peticionario fue condenado ocurrieron a partir del año 1999 y hasta el 2003, lapso de tiempo en el que se comprobó que, para ese entonces, el Sr. Cochran ya </w:t>
      </w:r>
      <w:r w:rsidR="00852590" w:rsidRPr="00407A7B">
        <w:rPr>
          <w:sz w:val="20"/>
          <w:szCs w:val="20"/>
          <w:lang w:val="es-ES"/>
        </w:rPr>
        <w:t>residía</w:t>
      </w:r>
      <w:r w:rsidR="00103A26" w:rsidRPr="00407A7B">
        <w:rPr>
          <w:sz w:val="20"/>
          <w:szCs w:val="20"/>
          <w:lang w:val="es-ES"/>
        </w:rPr>
        <w:t xml:space="preserve"> en Costa Rica. Por otra parte, la Sala Tercera desestimó que el hecho de que no conste en la investigación el documento o la fecha de nacimiento de algunas de las </w:t>
      </w:r>
      <w:r w:rsidR="00852590" w:rsidRPr="00407A7B">
        <w:rPr>
          <w:sz w:val="20"/>
          <w:szCs w:val="20"/>
          <w:lang w:val="es-ES"/>
        </w:rPr>
        <w:t>víctimas</w:t>
      </w:r>
      <w:r w:rsidR="00103A26" w:rsidRPr="00407A7B">
        <w:rPr>
          <w:sz w:val="20"/>
          <w:szCs w:val="20"/>
          <w:lang w:val="es-ES"/>
        </w:rPr>
        <w:t xml:space="preserve"> pue</w:t>
      </w:r>
      <w:r w:rsidR="00C67CB1" w:rsidRPr="00407A7B">
        <w:rPr>
          <w:sz w:val="20"/>
          <w:szCs w:val="20"/>
          <w:lang w:val="es-ES"/>
        </w:rPr>
        <w:t xml:space="preserve"> </w:t>
      </w:r>
      <w:r w:rsidR="00103A26" w:rsidRPr="00407A7B">
        <w:rPr>
          <w:sz w:val="20"/>
          <w:szCs w:val="20"/>
          <w:lang w:val="es-ES"/>
        </w:rPr>
        <w:t xml:space="preserve">da ser un vicio invalidante de la sentencia, ya que, en virtud del principio de libertad probatoria, los magistrados pueden basar sus decisiones en cualquier prueba legalmente incorporada al expediente. </w:t>
      </w:r>
    </w:p>
    <w:p w14:paraId="216BDFEB" w14:textId="77777777" w:rsidR="00852590" w:rsidRPr="00407A7B" w:rsidRDefault="00852590" w:rsidP="00C67CB1">
      <w:pPr>
        <w:pStyle w:val="ListParagraph"/>
        <w:tabs>
          <w:tab w:val="left" w:pos="567"/>
        </w:tabs>
        <w:rPr>
          <w:sz w:val="20"/>
          <w:szCs w:val="20"/>
          <w:lang w:val="es-ES"/>
        </w:rPr>
      </w:pPr>
    </w:p>
    <w:p w14:paraId="4279EBE6" w14:textId="77777777" w:rsidR="00BA4C18" w:rsidRPr="00407A7B" w:rsidRDefault="004E7C30" w:rsidP="00C67CB1">
      <w:pPr>
        <w:pStyle w:val="ListParagraph"/>
        <w:numPr>
          <w:ilvl w:val="0"/>
          <w:numId w:val="55"/>
        </w:numPr>
        <w:tabs>
          <w:tab w:val="left" w:pos="567"/>
        </w:tabs>
        <w:ind w:left="0" w:firstLine="0"/>
        <w:jc w:val="both"/>
        <w:rPr>
          <w:sz w:val="20"/>
          <w:szCs w:val="20"/>
          <w:lang w:val="es-ES"/>
        </w:rPr>
      </w:pPr>
      <w:r w:rsidRPr="00407A7B">
        <w:rPr>
          <w:sz w:val="20"/>
          <w:szCs w:val="20"/>
          <w:lang w:val="es-ES"/>
        </w:rPr>
        <w:t>Acto seguido</w:t>
      </w:r>
      <w:r w:rsidR="00852590" w:rsidRPr="00407A7B">
        <w:rPr>
          <w:sz w:val="20"/>
          <w:szCs w:val="20"/>
          <w:lang w:val="es-ES"/>
        </w:rPr>
        <w:t xml:space="preserve">, y en respuesta a una serie de alegaciones efectuadas por la defensa que giran en torno a eventuales errores en la valoración de la prueba existente, la Sala Tercera remarcó que la decisión del tribunal </w:t>
      </w:r>
      <w:r w:rsidR="00852590" w:rsidRPr="00407A7B">
        <w:rPr>
          <w:i/>
          <w:sz w:val="20"/>
          <w:szCs w:val="20"/>
          <w:lang w:val="es-ES"/>
        </w:rPr>
        <w:lastRenderedPageBreak/>
        <w:t>a quo</w:t>
      </w:r>
      <w:r w:rsidR="00852590" w:rsidRPr="00407A7B">
        <w:rPr>
          <w:sz w:val="20"/>
          <w:szCs w:val="20"/>
          <w:lang w:val="es-ES"/>
        </w:rPr>
        <w:t xml:space="preserve"> no se basó exclusivamente en el testimonio de las </w:t>
      </w:r>
      <w:r w:rsidR="00A9284B" w:rsidRPr="00407A7B">
        <w:rPr>
          <w:sz w:val="20"/>
          <w:szCs w:val="20"/>
          <w:lang w:val="es-ES"/>
        </w:rPr>
        <w:t>víctimas</w:t>
      </w:r>
      <w:r w:rsidR="00852590" w:rsidRPr="00407A7B">
        <w:rPr>
          <w:sz w:val="20"/>
          <w:szCs w:val="20"/>
          <w:lang w:val="es-ES"/>
        </w:rPr>
        <w:t xml:space="preserve"> de los hechos, sino que también en </w:t>
      </w:r>
      <w:r w:rsidRPr="00407A7B">
        <w:rPr>
          <w:sz w:val="20"/>
          <w:szCs w:val="20"/>
          <w:lang w:val="es-ES"/>
        </w:rPr>
        <w:t>múltiples</w:t>
      </w:r>
      <w:r w:rsidR="00852590" w:rsidRPr="00407A7B">
        <w:rPr>
          <w:sz w:val="20"/>
          <w:szCs w:val="20"/>
          <w:lang w:val="es-ES"/>
        </w:rPr>
        <w:t xml:space="preserve"> probanzas tales como registros audiovisuales y fotográficos.</w:t>
      </w:r>
    </w:p>
    <w:p w14:paraId="5A5BB2DD" w14:textId="77777777" w:rsidR="00BA4C18" w:rsidRPr="00407A7B" w:rsidRDefault="00BA4C18" w:rsidP="00C67CB1">
      <w:pPr>
        <w:pStyle w:val="ListParagraph"/>
        <w:tabs>
          <w:tab w:val="left" w:pos="567"/>
        </w:tabs>
        <w:rPr>
          <w:sz w:val="20"/>
          <w:szCs w:val="20"/>
          <w:lang w:val="es-ES"/>
        </w:rPr>
      </w:pPr>
    </w:p>
    <w:p w14:paraId="0AE9C019" w14:textId="77777777" w:rsidR="00852590" w:rsidRPr="00407A7B" w:rsidRDefault="00852590" w:rsidP="00C67CB1">
      <w:pPr>
        <w:pStyle w:val="ListParagraph"/>
        <w:numPr>
          <w:ilvl w:val="0"/>
          <w:numId w:val="55"/>
        </w:numPr>
        <w:tabs>
          <w:tab w:val="left" w:pos="567"/>
        </w:tabs>
        <w:ind w:left="0" w:firstLine="0"/>
        <w:jc w:val="both"/>
        <w:rPr>
          <w:sz w:val="20"/>
          <w:szCs w:val="20"/>
          <w:lang w:val="es-ES"/>
        </w:rPr>
      </w:pPr>
      <w:r w:rsidRPr="00407A7B">
        <w:rPr>
          <w:sz w:val="20"/>
          <w:szCs w:val="20"/>
          <w:lang w:val="es-ES"/>
        </w:rPr>
        <w:t xml:space="preserve"> </w:t>
      </w:r>
      <w:r w:rsidR="004E7C30" w:rsidRPr="00407A7B">
        <w:rPr>
          <w:sz w:val="20"/>
          <w:szCs w:val="20"/>
          <w:lang w:val="es-ES"/>
        </w:rPr>
        <w:t xml:space="preserve">Por </w:t>
      </w:r>
      <w:r w:rsidR="00A9284B" w:rsidRPr="00407A7B">
        <w:rPr>
          <w:sz w:val="20"/>
          <w:szCs w:val="20"/>
          <w:lang w:val="es-ES"/>
        </w:rPr>
        <w:t>último</w:t>
      </w:r>
      <w:r w:rsidR="004E7C30" w:rsidRPr="00407A7B">
        <w:rPr>
          <w:sz w:val="20"/>
          <w:szCs w:val="20"/>
          <w:lang w:val="es-ES"/>
        </w:rPr>
        <w:t>,</w:t>
      </w:r>
      <w:r w:rsidR="005B4C7F" w:rsidRPr="00407A7B">
        <w:rPr>
          <w:sz w:val="20"/>
          <w:szCs w:val="20"/>
          <w:lang w:val="es-ES"/>
        </w:rPr>
        <w:t xml:space="preserve"> y con respecto a la cuestión de la aplicación de las reglas del concurso de delitos, la Sala Tercera afirmó que</w:t>
      </w:r>
      <w:r w:rsidR="00BA4C18" w:rsidRPr="00407A7B">
        <w:rPr>
          <w:sz w:val="20"/>
          <w:szCs w:val="20"/>
          <w:lang w:val="es-ES"/>
        </w:rPr>
        <w:t xml:space="preserve">, </w:t>
      </w:r>
      <w:r w:rsidR="005B4C7F" w:rsidRPr="00407A7B">
        <w:rPr>
          <w:sz w:val="20"/>
          <w:szCs w:val="20"/>
          <w:lang w:val="es-ES"/>
        </w:rPr>
        <w:t xml:space="preserve">aunque se hubiesen aplicado las reglas del concurso ideal respecto de los hechos </w:t>
      </w:r>
      <w:r w:rsidR="00BA4C18" w:rsidRPr="00407A7B">
        <w:rPr>
          <w:sz w:val="20"/>
          <w:szCs w:val="20"/>
          <w:lang w:val="es-ES"/>
        </w:rPr>
        <w:t>tipificados como relaciones sexuales remuneradas</w:t>
      </w:r>
      <w:r w:rsidR="005B4C7F" w:rsidRPr="00407A7B">
        <w:rPr>
          <w:sz w:val="20"/>
          <w:szCs w:val="20"/>
          <w:lang w:val="es-ES"/>
        </w:rPr>
        <w:t xml:space="preserve">, igualmente el monto de la pena impuesta habría quedado inalterado, ya que esos hechos también concurren materialmente con </w:t>
      </w:r>
      <w:r w:rsidR="00BA4C18" w:rsidRPr="00407A7B">
        <w:rPr>
          <w:sz w:val="20"/>
          <w:szCs w:val="20"/>
          <w:lang w:val="es-ES"/>
        </w:rPr>
        <w:t xml:space="preserve">otros delitos, entre ellos el de suministro de estupefacientes a menores de edad, cuya penalidad máxima es el que se utilizó para efectuar el computo en razón de ser la mayor de todos los delitos involucrados conforme lo previsto por el </w:t>
      </w:r>
      <w:r w:rsidR="00A9284B" w:rsidRPr="00407A7B">
        <w:rPr>
          <w:sz w:val="20"/>
          <w:szCs w:val="20"/>
          <w:lang w:val="es-ES"/>
        </w:rPr>
        <w:t>artículo</w:t>
      </w:r>
      <w:r w:rsidR="00BA4C18" w:rsidRPr="00407A7B">
        <w:rPr>
          <w:sz w:val="20"/>
          <w:szCs w:val="20"/>
          <w:lang w:val="es-ES"/>
        </w:rPr>
        <w:t xml:space="preserve"> 76 del Código Penal. </w:t>
      </w:r>
    </w:p>
    <w:p w14:paraId="447B4391" w14:textId="77777777" w:rsidR="002A0FDD" w:rsidRPr="00407A7B" w:rsidRDefault="002A0FDD" w:rsidP="002A0FDD">
      <w:pPr>
        <w:pStyle w:val="ListParagraph"/>
        <w:rPr>
          <w:sz w:val="20"/>
          <w:szCs w:val="20"/>
          <w:lang w:val="es-ES"/>
        </w:rPr>
      </w:pPr>
    </w:p>
    <w:p w14:paraId="47DBEC44" w14:textId="77777777" w:rsidR="002A0FDD" w:rsidRPr="00407A7B" w:rsidRDefault="002A0FDD" w:rsidP="00D66281">
      <w:pPr>
        <w:pStyle w:val="ListParagraph"/>
        <w:tabs>
          <w:tab w:val="left" w:pos="567"/>
        </w:tabs>
        <w:ind w:left="426"/>
        <w:jc w:val="both"/>
        <w:rPr>
          <w:b/>
          <w:sz w:val="20"/>
          <w:szCs w:val="20"/>
          <w:lang w:val="es-ES"/>
        </w:rPr>
      </w:pPr>
      <w:r w:rsidRPr="00407A7B">
        <w:rPr>
          <w:b/>
          <w:sz w:val="20"/>
          <w:szCs w:val="20"/>
          <w:lang w:val="es-ES"/>
        </w:rPr>
        <w:t xml:space="preserve">Primer procedimiento de revisión  </w:t>
      </w:r>
    </w:p>
    <w:p w14:paraId="5B03B755" w14:textId="77777777" w:rsidR="00BA4C18" w:rsidRPr="00407A7B" w:rsidRDefault="00BA4C18" w:rsidP="00C67CB1">
      <w:pPr>
        <w:pStyle w:val="ListParagraph"/>
        <w:tabs>
          <w:tab w:val="left" w:pos="567"/>
        </w:tabs>
        <w:rPr>
          <w:sz w:val="20"/>
          <w:szCs w:val="20"/>
          <w:lang w:val="es-ES"/>
        </w:rPr>
      </w:pPr>
    </w:p>
    <w:p w14:paraId="389D0E6C" w14:textId="77777777" w:rsidR="00BA4C18" w:rsidRPr="00407A7B" w:rsidRDefault="00BA4C18" w:rsidP="00C67CB1">
      <w:pPr>
        <w:pStyle w:val="ListParagraph"/>
        <w:numPr>
          <w:ilvl w:val="0"/>
          <w:numId w:val="55"/>
        </w:numPr>
        <w:tabs>
          <w:tab w:val="left" w:pos="567"/>
        </w:tabs>
        <w:ind w:left="0" w:firstLine="0"/>
        <w:jc w:val="both"/>
        <w:rPr>
          <w:sz w:val="20"/>
          <w:szCs w:val="20"/>
          <w:lang w:val="es-ES"/>
        </w:rPr>
      </w:pPr>
      <w:r w:rsidRPr="00407A7B">
        <w:rPr>
          <w:sz w:val="20"/>
          <w:szCs w:val="20"/>
          <w:lang w:val="es-ES"/>
        </w:rPr>
        <w:t xml:space="preserve">Posteriormente, con fecha 14 de junio de 2005 el abogado del Sr. Cochran </w:t>
      </w:r>
      <w:r w:rsidR="00C67CB1" w:rsidRPr="00407A7B">
        <w:rPr>
          <w:sz w:val="20"/>
          <w:szCs w:val="20"/>
          <w:lang w:val="es-ES"/>
        </w:rPr>
        <w:t>impulsó</w:t>
      </w:r>
      <w:r w:rsidRPr="00407A7B">
        <w:rPr>
          <w:sz w:val="20"/>
          <w:szCs w:val="20"/>
          <w:lang w:val="es-ES"/>
        </w:rPr>
        <w:t xml:space="preserve"> un procedimiento de </w:t>
      </w:r>
      <w:r w:rsidR="00C67CB1" w:rsidRPr="00407A7B">
        <w:rPr>
          <w:sz w:val="20"/>
          <w:szCs w:val="20"/>
          <w:lang w:val="es-ES"/>
        </w:rPr>
        <w:t>revisión ante la Sala Tercera de la Corte Suprema de Justicia. En dicho recurso, planteó, en primer término, la existencia de una violación al derecho de su defendido a la doble instancia. Asimismo, el recurrente señalo que los órganos estatales realizaron durante la investigación ciertos actos ilegales que afectaron la cadena de custodia del material probatorio empleado como prueba de cargo. Asimismo, el recurso también expuso la existencia de tres nuevas pruebas documentales que, a criterio de la defensa, invalidarían gran parte de la prueba testimonial. Finalmente, la presentación del abogado del peticionario afirma que existieron en el caso algunas violaciones al debido proceso ya que durante la instrucción y el debate oral el Sr. Cochran no habría contado con una defensa efectiva que dominara adecuadamente el caso</w:t>
      </w:r>
      <w:r w:rsidR="00C67CB1" w:rsidRPr="00407A7B">
        <w:rPr>
          <w:rStyle w:val="FootnoteReference"/>
          <w:sz w:val="20"/>
          <w:szCs w:val="20"/>
          <w:lang w:val="es-ES"/>
        </w:rPr>
        <w:footnoteReference w:id="20"/>
      </w:r>
      <w:r w:rsidR="00C67CB1" w:rsidRPr="00407A7B">
        <w:rPr>
          <w:sz w:val="20"/>
          <w:szCs w:val="20"/>
          <w:lang w:val="es-ES"/>
        </w:rPr>
        <w:t xml:space="preserve">.  </w:t>
      </w:r>
    </w:p>
    <w:p w14:paraId="7C3F1734" w14:textId="77777777" w:rsidR="00C67CB1" w:rsidRPr="00407A7B" w:rsidRDefault="00C67CB1" w:rsidP="00C67CB1">
      <w:pPr>
        <w:pStyle w:val="ListParagraph"/>
        <w:rPr>
          <w:sz w:val="20"/>
          <w:szCs w:val="20"/>
          <w:lang w:val="es-ES"/>
        </w:rPr>
      </w:pPr>
    </w:p>
    <w:p w14:paraId="1B6A1B28" w14:textId="77777777" w:rsidR="00C67CB1" w:rsidRPr="00407A7B" w:rsidRDefault="00C67CB1" w:rsidP="00CE073B">
      <w:pPr>
        <w:pStyle w:val="ListParagraph"/>
        <w:numPr>
          <w:ilvl w:val="0"/>
          <w:numId w:val="55"/>
        </w:numPr>
        <w:tabs>
          <w:tab w:val="left" w:pos="567"/>
        </w:tabs>
        <w:ind w:left="0" w:firstLine="0"/>
        <w:jc w:val="both"/>
        <w:rPr>
          <w:sz w:val="20"/>
          <w:szCs w:val="20"/>
          <w:lang w:val="es-ES"/>
        </w:rPr>
      </w:pPr>
      <w:r w:rsidRPr="00407A7B">
        <w:rPr>
          <w:sz w:val="20"/>
          <w:szCs w:val="20"/>
          <w:lang w:val="es-ES"/>
        </w:rPr>
        <w:t xml:space="preserve">Dicho procedimiento de revisión fue declarado sin lugar por medio de una sentencia dictada por la Sala Tercera el </w:t>
      </w:r>
      <w:r w:rsidR="002D36C1" w:rsidRPr="00407A7B">
        <w:rPr>
          <w:sz w:val="20"/>
          <w:szCs w:val="20"/>
          <w:lang w:val="es-ES"/>
        </w:rPr>
        <w:t>día</w:t>
      </w:r>
      <w:r w:rsidRPr="00407A7B">
        <w:rPr>
          <w:sz w:val="20"/>
          <w:szCs w:val="20"/>
          <w:lang w:val="es-ES"/>
        </w:rPr>
        <w:t xml:space="preserve"> 1</w:t>
      </w:r>
      <w:r w:rsidR="002D36C1" w:rsidRPr="00407A7B">
        <w:rPr>
          <w:sz w:val="20"/>
          <w:szCs w:val="20"/>
          <w:lang w:val="es-ES"/>
        </w:rPr>
        <w:t xml:space="preserve">2 de diciembre de 2007. Para decidir de ese modo el tribunal argumentó, en primer </w:t>
      </w:r>
      <w:r w:rsidR="00A9284B" w:rsidRPr="00407A7B">
        <w:rPr>
          <w:sz w:val="20"/>
          <w:szCs w:val="20"/>
          <w:lang w:val="es-ES"/>
        </w:rPr>
        <w:t>término</w:t>
      </w:r>
      <w:r w:rsidR="002D36C1" w:rsidRPr="00407A7B">
        <w:rPr>
          <w:sz w:val="20"/>
          <w:szCs w:val="20"/>
          <w:lang w:val="es-ES"/>
        </w:rPr>
        <w:t xml:space="preserve"> y con cita de la sentencia de la Corte IDH en el caso Herrera Ulloa, que no existían evidencias en la tramitación del caso contra el Sr. Cochran que conduzcan a afirmar que el recurso de casación haya sido resuelto con excesivo rigor formalista, que se hayan dejado alegaciones del recurrente sin resolver o que se hubiese denegado el acceso a la revisión sobre la determinación de los hechos o la manera en </w:t>
      </w:r>
      <w:r w:rsidR="00A9284B" w:rsidRPr="00407A7B">
        <w:rPr>
          <w:sz w:val="20"/>
          <w:szCs w:val="20"/>
          <w:lang w:val="es-ES"/>
        </w:rPr>
        <w:t>cómo</w:t>
      </w:r>
      <w:r w:rsidR="002D36C1" w:rsidRPr="00407A7B">
        <w:rPr>
          <w:sz w:val="20"/>
          <w:szCs w:val="20"/>
          <w:lang w:val="es-ES"/>
        </w:rPr>
        <w:t xml:space="preserve"> fue evaluada la prueba.  </w:t>
      </w:r>
    </w:p>
    <w:p w14:paraId="50A08B59" w14:textId="77777777" w:rsidR="002D36C1" w:rsidRPr="00407A7B" w:rsidRDefault="002D36C1" w:rsidP="002D36C1">
      <w:pPr>
        <w:pStyle w:val="ListParagraph"/>
        <w:rPr>
          <w:sz w:val="20"/>
          <w:szCs w:val="20"/>
          <w:lang w:val="es-ES"/>
        </w:rPr>
      </w:pPr>
    </w:p>
    <w:p w14:paraId="3A0EA98D" w14:textId="77777777" w:rsidR="002D36C1" w:rsidRPr="00407A7B" w:rsidRDefault="002D36C1" w:rsidP="00CE073B">
      <w:pPr>
        <w:pStyle w:val="ListParagraph"/>
        <w:numPr>
          <w:ilvl w:val="0"/>
          <w:numId w:val="55"/>
        </w:numPr>
        <w:tabs>
          <w:tab w:val="left" w:pos="567"/>
        </w:tabs>
        <w:ind w:left="0" w:firstLine="0"/>
        <w:jc w:val="both"/>
        <w:rPr>
          <w:sz w:val="20"/>
          <w:szCs w:val="20"/>
          <w:lang w:val="es-ES"/>
        </w:rPr>
      </w:pPr>
      <w:r w:rsidRPr="00407A7B">
        <w:rPr>
          <w:sz w:val="20"/>
          <w:szCs w:val="20"/>
          <w:lang w:val="es-ES"/>
        </w:rPr>
        <w:t xml:space="preserve">A continuación, la Sala Tercera descartó que el secuestro de documentación incriminante de la oficina del Sr. Cochran haya sido efectuado en violación de las garantías constitucionales ya que el paquete donde se hallaba </w:t>
      </w:r>
      <w:r w:rsidR="00077447" w:rsidRPr="00407A7B">
        <w:rPr>
          <w:sz w:val="20"/>
          <w:szCs w:val="20"/>
          <w:lang w:val="es-ES"/>
        </w:rPr>
        <w:t xml:space="preserve">esa documentación fue abierto en presencia del </w:t>
      </w:r>
      <w:r w:rsidR="00B84DA6" w:rsidRPr="00407A7B">
        <w:rPr>
          <w:sz w:val="20"/>
          <w:szCs w:val="20"/>
          <w:lang w:val="es-ES"/>
        </w:rPr>
        <w:t xml:space="preserve">Juez penal y de la fiscal del caso. Adicionalmente, el tribunal señaló que el allanamiento efectuado al domicilio del Sr. Cochran fue realizado en horas de la noche toda vez que resultaba probable que se estuviera cometiendo un delito en ese momento. Finalmente, la Sala Tercera afirmó que de los ejemplos provistos por el abogado recurrente no se desprendían que los anteriores abogados del Sr. Cochran hayan actuado con manifiesta negligencia o en contra de sus propios intereses y que los ejemplos de indefensión presentados no son </w:t>
      </w:r>
      <w:r w:rsidR="00A9284B" w:rsidRPr="00407A7B">
        <w:rPr>
          <w:sz w:val="20"/>
          <w:szCs w:val="20"/>
          <w:lang w:val="es-ES"/>
        </w:rPr>
        <w:t>más</w:t>
      </w:r>
      <w:r w:rsidR="00B84DA6" w:rsidRPr="00407A7B">
        <w:rPr>
          <w:sz w:val="20"/>
          <w:szCs w:val="20"/>
          <w:lang w:val="es-ES"/>
        </w:rPr>
        <w:t xml:space="preserve"> que una suma de inconformidades por el resultado condenatorio del proceso</w:t>
      </w:r>
      <w:r w:rsidR="00B84DA6" w:rsidRPr="00407A7B">
        <w:rPr>
          <w:rStyle w:val="FootnoteReference"/>
          <w:sz w:val="20"/>
          <w:szCs w:val="20"/>
          <w:lang w:val="es-ES"/>
        </w:rPr>
        <w:footnoteReference w:id="21"/>
      </w:r>
      <w:r w:rsidR="00B84DA6" w:rsidRPr="00407A7B">
        <w:rPr>
          <w:sz w:val="20"/>
          <w:szCs w:val="20"/>
          <w:lang w:val="es-ES"/>
        </w:rPr>
        <w:t xml:space="preserve">. </w:t>
      </w:r>
    </w:p>
    <w:p w14:paraId="5F8B665B" w14:textId="77777777" w:rsidR="002A0FDD" w:rsidRPr="00407A7B" w:rsidRDefault="002A0FDD" w:rsidP="002A0FDD">
      <w:pPr>
        <w:pStyle w:val="ListParagraph"/>
        <w:rPr>
          <w:sz w:val="20"/>
          <w:szCs w:val="20"/>
          <w:lang w:val="es-ES"/>
        </w:rPr>
      </w:pPr>
    </w:p>
    <w:p w14:paraId="01E28CA0" w14:textId="77777777" w:rsidR="002A0FDD" w:rsidRPr="00407A7B" w:rsidRDefault="002A0FDD" w:rsidP="00D66281">
      <w:pPr>
        <w:pStyle w:val="ListParagraph"/>
        <w:tabs>
          <w:tab w:val="left" w:pos="567"/>
        </w:tabs>
        <w:ind w:left="567"/>
        <w:jc w:val="both"/>
        <w:rPr>
          <w:b/>
          <w:sz w:val="20"/>
          <w:szCs w:val="20"/>
          <w:lang w:val="es-ES"/>
        </w:rPr>
      </w:pPr>
      <w:r w:rsidRPr="00407A7B">
        <w:rPr>
          <w:b/>
          <w:sz w:val="20"/>
          <w:szCs w:val="20"/>
          <w:lang w:val="es-ES"/>
        </w:rPr>
        <w:t xml:space="preserve">Segundo procedimiento de revisión </w:t>
      </w:r>
    </w:p>
    <w:p w14:paraId="6B398840" w14:textId="77777777" w:rsidR="00BA18EA" w:rsidRPr="00407A7B" w:rsidRDefault="00BA18EA" w:rsidP="00BA18EA">
      <w:pPr>
        <w:pStyle w:val="ListParagraph"/>
        <w:rPr>
          <w:sz w:val="20"/>
          <w:szCs w:val="20"/>
          <w:lang w:val="es-ES"/>
        </w:rPr>
      </w:pPr>
    </w:p>
    <w:p w14:paraId="192CECF3" w14:textId="77777777" w:rsidR="002A0FDD" w:rsidRPr="00407A7B" w:rsidRDefault="004404F4" w:rsidP="00E4526C">
      <w:pPr>
        <w:pStyle w:val="ListParagraph"/>
        <w:numPr>
          <w:ilvl w:val="0"/>
          <w:numId w:val="55"/>
        </w:numPr>
        <w:tabs>
          <w:tab w:val="left" w:pos="567"/>
        </w:tabs>
        <w:ind w:left="0" w:firstLine="0"/>
        <w:jc w:val="both"/>
        <w:rPr>
          <w:sz w:val="20"/>
          <w:szCs w:val="20"/>
          <w:lang w:val="es-ES"/>
        </w:rPr>
      </w:pPr>
      <w:r w:rsidRPr="00407A7B">
        <w:rPr>
          <w:sz w:val="20"/>
          <w:szCs w:val="20"/>
          <w:lang w:val="es-ES"/>
        </w:rPr>
        <w:t>El</w:t>
      </w:r>
      <w:r w:rsidR="009925EB" w:rsidRPr="00407A7B">
        <w:rPr>
          <w:sz w:val="20"/>
          <w:szCs w:val="20"/>
          <w:lang w:val="es-ES"/>
        </w:rPr>
        <w:t xml:space="preserve"> 28 de abril de 2009 el</w:t>
      </w:r>
      <w:r w:rsidRPr="00407A7B">
        <w:rPr>
          <w:sz w:val="20"/>
          <w:szCs w:val="20"/>
          <w:lang w:val="es-ES"/>
        </w:rPr>
        <w:t xml:space="preserve"> peticionario presentó</w:t>
      </w:r>
      <w:r w:rsidR="009925EB" w:rsidRPr="00407A7B">
        <w:rPr>
          <w:sz w:val="20"/>
          <w:szCs w:val="20"/>
          <w:lang w:val="es-ES"/>
        </w:rPr>
        <w:t xml:space="preserve"> un segundo procedimiento de revisión. En dicho </w:t>
      </w:r>
      <w:r w:rsidR="00E4526C" w:rsidRPr="00407A7B">
        <w:rPr>
          <w:sz w:val="20"/>
          <w:szCs w:val="20"/>
          <w:lang w:val="es-ES"/>
        </w:rPr>
        <w:t xml:space="preserve">escrito el </w:t>
      </w:r>
      <w:r w:rsidR="00735575" w:rsidRPr="00407A7B">
        <w:rPr>
          <w:sz w:val="20"/>
          <w:szCs w:val="20"/>
          <w:lang w:val="es-ES"/>
        </w:rPr>
        <w:t xml:space="preserve">Sr. Cochran </w:t>
      </w:r>
      <w:r w:rsidR="00E4526C" w:rsidRPr="00407A7B">
        <w:rPr>
          <w:sz w:val="20"/>
          <w:szCs w:val="20"/>
          <w:lang w:val="es-ES"/>
        </w:rPr>
        <w:t>realizó</w:t>
      </w:r>
      <w:r w:rsidR="00735575" w:rsidRPr="00407A7B">
        <w:rPr>
          <w:sz w:val="20"/>
          <w:szCs w:val="20"/>
          <w:lang w:val="es-ES"/>
        </w:rPr>
        <w:t xml:space="preserve">, </w:t>
      </w:r>
      <w:r w:rsidR="00E4526C" w:rsidRPr="00407A7B">
        <w:rPr>
          <w:sz w:val="20"/>
          <w:szCs w:val="20"/>
          <w:lang w:val="es-ES"/>
        </w:rPr>
        <w:t xml:space="preserve">en primer </w:t>
      </w:r>
      <w:r w:rsidR="00A9284B" w:rsidRPr="00407A7B">
        <w:rPr>
          <w:sz w:val="20"/>
          <w:szCs w:val="20"/>
          <w:lang w:val="es-ES"/>
        </w:rPr>
        <w:t xml:space="preserve">término, </w:t>
      </w:r>
      <w:r w:rsidR="00E4526C" w:rsidRPr="00407A7B">
        <w:rPr>
          <w:sz w:val="20"/>
          <w:szCs w:val="20"/>
          <w:lang w:val="es-ES"/>
        </w:rPr>
        <w:t xml:space="preserve">una exposición de supuestos actos y omisiones de los representantes del Ministerio Publico que representarían una vulneración del interés superior de los niños </w:t>
      </w:r>
      <w:r w:rsidR="00A9284B" w:rsidRPr="00407A7B">
        <w:rPr>
          <w:sz w:val="20"/>
          <w:szCs w:val="20"/>
          <w:lang w:val="es-ES"/>
        </w:rPr>
        <w:t>víctimas</w:t>
      </w:r>
      <w:r w:rsidR="00E4526C" w:rsidRPr="00407A7B">
        <w:rPr>
          <w:sz w:val="20"/>
          <w:szCs w:val="20"/>
          <w:lang w:val="es-ES"/>
        </w:rPr>
        <w:t xml:space="preserve"> de los hechos por los cuales fue juzgado. Por otra parte, el Sr. Cochran a</w:t>
      </w:r>
      <w:r w:rsidR="002A0FDD" w:rsidRPr="00407A7B">
        <w:rPr>
          <w:sz w:val="20"/>
          <w:szCs w:val="20"/>
          <w:lang w:val="es-ES"/>
        </w:rPr>
        <w:t>rgumentó</w:t>
      </w:r>
      <w:r w:rsidR="00E4526C" w:rsidRPr="00407A7B">
        <w:rPr>
          <w:sz w:val="20"/>
          <w:szCs w:val="20"/>
          <w:lang w:val="es-ES"/>
        </w:rPr>
        <w:t xml:space="preserve"> </w:t>
      </w:r>
      <w:r w:rsidR="002A0FDD" w:rsidRPr="00407A7B">
        <w:rPr>
          <w:sz w:val="20"/>
          <w:szCs w:val="20"/>
          <w:lang w:val="es-ES"/>
        </w:rPr>
        <w:t>que en el proceso seguido en su contra se vulner</w:t>
      </w:r>
      <w:r w:rsidR="009925EB" w:rsidRPr="00407A7B">
        <w:rPr>
          <w:sz w:val="20"/>
          <w:szCs w:val="20"/>
          <w:lang w:val="es-ES"/>
        </w:rPr>
        <w:t xml:space="preserve">ó el </w:t>
      </w:r>
      <w:r w:rsidR="002A0FDD" w:rsidRPr="00407A7B">
        <w:rPr>
          <w:sz w:val="20"/>
          <w:szCs w:val="20"/>
          <w:lang w:val="es-ES"/>
        </w:rPr>
        <w:t>debido proceso legal al no ser informado por las autoridades estatales de su derecho de requerir asistencia consular en función de su condición de ciudadano extranjero residente en Costa Rica</w:t>
      </w:r>
      <w:r w:rsidR="00E4526C" w:rsidRPr="00407A7B">
        <w:rPr>
          <w:rStyle w:val="FootnoteReference"/>
          <w:sz w:val="20"/>
          <w:szCs w:val="20"/>
          <w:lang w:val="es-ES"/>
        </w:rPr>
        <w:footnoteReference w:id="22"/>
      </w:r>
      <w:r w:rsidR="002A0FDD" w:rsidRPr="00407A7B">
        <w:rPr>
          <w:sz w:val="20"/>
          <w:szCs w:val="20"/>
          <w:lang w:val="es-ES"/>
        </w:rPr>
        <w:t xml:space="preserve">. </w:t>
      </w:r>
    </w:p>
    <w:p w14:paraId="6B8AEDD5" w14:textId="77777777" w:rsidR="009925EB" w:rsidRPr="00407A7B" w:rsidRDefault="009925EB" w:rsidP="009925EB">
      <w:pPr>
        <w:pStyle w:val="ListParagraph"/>
        <w:tabs>
          <w:tab w:val="left" w:pos="567"/>
        </w:tabs>
        <w:ind w:left="0"/>
        <w:jc w:val="both"/>
        <w:rPr>
          <w:sz w:val="20"/>
          <w:szCs w:val="20"/>
          <w:lang w:val="es-ES"/>
        </w:rPr>
      </w:pPr>
    </w:p>
    <w:p w14:paraId="4BD2F020" w14:textId="77777777" w:rsidR="002A0FDD" w:rsidRPr="00407A7B" w:rsidRDefault="00AF55C7" w:rsidP="00CE073B">
      <w:pPr>
        <w:pStyle w:val="ListParagraph"/>
        <w:numPr>
          <w:ilvl w:val="0"/>
          <w:numId w:val="55"/>
        </w:numPr>
        <w:tabs>
          <w:tab w:val="left" w:pos="567"/>
        </w:tabs>
        <w:ind w:left="0" w:firstLine="0"/>
        <w:jc w:val="both"/>
        <w:rPr>
          <w:sz w:val="20"/>
          <w:szCs w:val="20"/>
          <w:lang w:val="es-ES"/>
        </w:rPr>
      </w:pPr>
      <w:r w:rsidRPr="00407A7B">
        <w:rPr>
          <w:sz w:val="20"/>
          <w:szCs w:val="20"/>
          <w:lang w:val="es-ES"/>
        </w:rPr>
        <w:t xml:space="preserve">Este procedimiento de </w:t>
      </w:r>
      <w:r w:rsidR="008639BC" w:rsidRPr="00407A7B">
        <w:rPr>
          <w:sz w:val="20"/>
          <w:szCs w:val="20"/>
          <w:lang w:val="es-ES"/>
        </w:rPr>
        <w:t>revisión</w:t>
      </w:r>
      <w:r w:rsidRPr="00407A7B">
        <w:rPr>
          <w:sz w:val="20"/>
          <w:szCs w:val="20"/>
          <w:lang w:val="es-ES"/>
        </w:rPr>
        <w:t xml:space="preserve"> fue declarado </w:t>
      </w:r>
      <w:r w:rsidR="008639BC" w:rsidRPr="00407A7B">
        <w:rPr>
          <w:sz w:val="20"/>
          <w:szCs w:val="20"/>
          <w:lang w:val="es-ES"/>
        </w:rPr>
        <w:t xml:space="preserve">sin lugar por medio de una resolución dictada por la Sala Tercera de la Corte Suprema de Justicia el día 30 de noviembre de 2010. </w:t>
      </w:r>
      <w:r w:rsidR="00735575" w:rsidRPr="00407A7B">
        <w:rPr>
          <w:sz w:val="20"/>
          <w:szCs w:val="20"/>
          <w:lang w:val="es-ES"/>
        </w:rPr>
        <w:t xml:space="preserve">Para decidir de ese modo, el tribunal sostuvo que, conforme el texto del </w:t>
      </w:r>
      <w:r w:rsidR="00A9284B" w:rsidRPr="00407A7B">
        <w:rPr>
          <w:sz w:val="20"/>
          <w:szCs w:val="20"/>
          <w:lang w:val="es-ES"/>
        </w:rPr>
        <w:t>artículo</w:t>
      </w:r>
      <w:r w:rsidR="00735575" w:rsidRPr="00407A7B">
        <w:rPr>
          <w:sz w:val="20"/>
          <w:szCs w:val="20"/>
          <w:lang w:val="es-ES"/>
        </w:rPr>
        <w:t xml:space="preserve"> 36.1.b de la Convención de Viena sobre Relaciones Consulares, si el imputado en una causa penal considera que necesita ayuda </w:t>
      </w:r>
      <w:r w:rsidR="00D66281" w:rsidRPr="00407A7B">
        <w:rPr>
          <w:sz w:val="20"/>
          <w:szCs w:val="20"/>
          <w:lang w:val="es-ES"/>
        </w:rPr>
        <w:t>consular debe solicitar a las oficinas estatales competentes que comuniquen su situación al consulado correspondiente. En ese sentido, y luego de hacer un resumen de diversos actos procesales documentados en el expediente, el tribunal consignó que en ningún momento el Sr. Cochran o sus abogados solicitaron tal asistencia</w:t>
      </w:r>
      <w:r w:rsidR="00D66281" w:rsidRPr="00407A7B">
        <w:rPr>
          <w:rStyle w:val="FootnoteReference"/>
          <w:sz w:val="20"/>
          <w:szCs w:val="20"/>
          <w:lang w:val="es-ES"/>
        </w:rPr>
        <w:footnoteReference w:id="23"/>
      </w:r>
      <w:r w:rsidR="00D66281" w:rsidRPr="00407A7B">
        <w:rPr>
          <w:sz w:val="20"/>
          <w:szCs w:val="20"/>
          <w:lang w:val="es-ES"/>
        </w:rPr>
        <w:t xml:space="preserve">. </w:t>
      </w:r>
    </w:p>
    <w:p w14:paraId="7652DD41" w14:textId="77777777" w:rsidR="008639BC" w:rsidRPr="00407A7B" w:rsidRDefault="008639BC" w:rsidP="008639BC">
      <w:pPr>
        <w:pStyle w:val="ListParagraph"/>
        <w:tabs>
          <w:tab w:val="left" w:pos="567"/>
        </w:tabs>
        <w:ind w:left="0"/>
        <w:jc w:val="both"/>
        <w:rPr>
          <w:sz w:val="20"/>
          <w:szCs w:val="20"/>
          <w:lang w:val="es-ES"/>
        </w:rPr>
      </w:pPr>
    </w:p>
    <w:p w14:paraId="63FEFA73" w14:textId="77777777" w:rsidR="002A0FDD" w:rsidRPr="00407A7B" w:rsidRDefault="002A0FDD" w:rsidP="00D66281">
      <w:pPr>
        <w:pStyle w:val="ListParagraph"/>
        <w:ind w:left="567"/>
        <w:rPr>
          <w:b/>
          <w:sz w:val="20"/>
          <w:szCs w:val="20"/>
          <w:lang w:val="es-ES"/>
        </w:rPr>
      </w:pPr>
      <w:r w:rsidRPr="00407A7B">
        <w:rPr>
          <w:b/>
          <w:sz w:val="20"/>
          <w:szCs w:val="20"/>
          <w:lang w:val="es-ES"/>
        </w:rPr>
        <w:t xml:space="preserve">Tercer procedimiento de revisión </w:t>
      </w:r>
    </w:p>
    <w:p w14:paraId="47DB0716" w14:textId="77777777" w:rsidR="002A0FDD" w:rsidRPr="00407A7B" w:rsidRDefault="002A0FDD" w:rsidP="002A0FDD">
      <w:pPr>
        <w:pStyle w:val="ListParagraph"/>
        <w:rPr>
          <w:sz w:val="20"/>
          <w:szCs w:val="20"/>
          <w:lang w:val="es-ES"/>
        </w:rPr>
      </w:pPr>
    </w:p>
    <w:p w14:paraId="38ABB3C1" w14:textId="77777777" w:rsidR="002A0FDD" w:rsidRPr="00407A7B" w:rsidRDefault="00BA18EA" w:rsidP="00CE073B">
      <w:pPr>
        <w:pStyle w:val="ListParagraph"/>
        <w:numPr>
          <w:ilvl w:val="0"/>
          <w:numId w:val="55"/>
        </w:numPr>
        <w:tabs>
          <w:tab w:val="left" w:pos="567"/>
        </w:tabs>
        <w:ind w:left="0" w:firstLine="0"/>
        <w:jc w:val="both"/>
        <w:rPr>
          <w:sz w:val="20"/>
          <w:szCs w:val="20"/>
          <w:lang w:val="es-ES"/>
        </w:rPr>
      </w:pPr>
      <w:r w:rsidRPr="00407A7B">
        <w:rPr>
          <w:sz w:val="20"/>
          <w:szCs w:val="20"/>
          <w:lang w:val="es-ES"/>
        </w:rPr>
        <w:t xml:space="preserve">Finalmente, el </w:t>
      </w:r>
      <w:r w:rsidR="00F9518B" w:rsidRPr="00407A7B">
        <w:rPr>
          <w:sz w:val="20"/>
          <w:szCs w:val="20"/>
          <w:lang w:val="es-ES"/>
        </w:rPr>
        <w:t xml:space="preserve">Sr. Cochran interpuso un </w:t>
      </w:r>
      <w:r w:rsidR="002A0FDD" w:rsidRPr="00407A7B">
        <w:rPr>
          <w:sz w:val="20"/>
          <w:szCs w:val="20"/>
          <w:lang w:val="es-ES"/>
        </w:rPr>
        <w:t>tercer</w:t>
      </w:r>
      <w:r w:rsidR="00F9518B" w:rsidRPr="00407A7B">
        <w:rPr>
          <w:sz w:val="20"/>
          <w:szCs w:val="20"/>
          <w:lang w:val="es-ES"/>
        </w:rPr>
        <w:t xml:space="preserve"> procedimiento de revisión mediante escrito </w:t>
      </w:r>
      <w:r w:rsidR="00151F45" w:rsidRPr="00407A7B">
        <w:rPr>
          <w:sz w:val="20"/>
          <w:szCs w:val="20"/>
          <w:lang w:val="es-ES"/>
        </w:rPr>
        <w:t xml:space="preserve">de fecha </w:t>
      </w:r>
      <w:r w:rsidR="002C397E" w:rsidRPr="00407A7B">
        <w:rPr>
          <w:sz w:val="20"/>
          <w:szCs w:val="20"/>
          <w:lang w:val="es-ES"/>
        </w:rPr>
        <w:t>10 de febrero de 2012</w:t>
      </w:r>
      <w:r w:rsidR="00F9518B" w:rsidRPr="00407A7B">
        <w:rPr>
          <w:sz w:val="20"/>
          <w:szCs w:val="20"/>
          <w:lang w:val="es-ES"/>
        </w:rPr>
        <w:t xml:space="preserve">. En dicho documento, el peticionario </w:t>
      </w:r>
      <w:r w:rsidR="002A0FDD" w:rsidRPr="00407A7B">
        <w:rPr>
          <w:sz w:val="20"/>
          <w:szCs w:val="20"/>
          <w:lang w:val="es-ES"/>
        </w:rPr>
        <w:t>reiter</w:t>
      </w:r>
      <w:r w:rsidR="00301FC6" w:rsidRPr="00407A7B">
        <w:rPr>
          <w:sz w:val="20"/>
          <w:szCs w:val="20"/>
          <w:lang w:val="es-ES"/>
        </w:rPr>
        <w:t>ó</w:t>
      </w:r>
      <w:r w:rsidR="002A0FDD" w:rsidRPr="00407A7B">
        <w:rPr>
          <w:sz w:val="20"/>
          <w:szCs w:val="20"/>
          <w:lang w:val="es-ES"/>
        </w:rPr>
        <w:t xml:space="preserve"> sus argumentos respecto a la violación de su derecho a ser informado de la posibilidad de contar con asistencia consular y, como un segundo motivo de agravio, el peticionario consideró que se habría afectado la garantía del juez imparcial ya que un mismo magistrado participó en la confirmación de la prisión preventiva dictada en su contra como</w:t>
      </w:r>
      <w:r w:rsidR="00301FC6" w:rsidRPr="00407A7B">
        <w:rPr>
          <w:sz w:val="20"/>
          <w:szCs w:val="20"/>
          <w:lang w:val="es-ES"/>
        </w:rPr>
        <w:t xml:space="preserve"> </w:t>
      </w:r>
      <w:r w:rsidR="002A0FDD" w:rsidRPr="00407A7B">
        <w:rPr>
          <w:sz w:val="20"/>
          <w:szCs w:val="20"/>
          <w:lang w:val="es-ES"/>
        </w:rPr>
        <w:t>del tribunal de juicio que condujo el debate que culminó con su condena a prisión</w:t>
      </w:r>
      <w:r w:rsidR="002A0FDD" w:rsidRPr="00407A7B">
        <w:rPr>
          <w:rStyle w:val="FootnoteReference"/>
          <w:sz w:val="20"/>
          <w:szCs w:val="20"/>
          <w:lang w:val="es-ES"/>
        </w:rPr>
        <w:footnoteReference w:id="24"/>
      </w:r>
      <w:r w:rsidR="002A0FDD" w:rsidRPr="00407A7B">
        <w:rPr>
          <w:sz w:val="20"/>
          <w:szCs w:val="20"/>
          <w:lang w:val="es-ES"/>
        </w:rPr>
        <w:t>.</w:t>
      </w:r>
    </w:p>
    <w:p w14:paraId="2E1BC802" w14:textId="77777777" w:rsidR="002A0FDD" w:rsidRPr="00407A7B" w:rsidRDefault="002A0FDD" w:rsidP="002A0FDD">
      <w:pPr>
        <w:pStyle w:val="ListParagraph"/>
        <w:rPr>
          <w:sz w:val="20"/>
          <w:szCs w:val="20"/>
          <w:lang w:val="es-ES"/>
        </w:rPr>
      </w:pPr>
    </w:p>
    <w:p w14:paraId="7AD4C6D8" w14:textId="77777777" w:rsidR="002A0FDD" w:rsidRPr="00407A7B" w:rsidRDefault="002A0FDD" w:rsidP="002A0FDD">
      <w:pPr>
        <w:pStyle w:val="ListParagraph"/>
        <w:numPr>
          <w:ilvl w:val="0"/>
          <w:numId w:val="55"/>
        </w:numPr>
        <w:tabs>
          <w:tab w:val="left" w:pos="567"/>
        </w:tabs>
        <w:ind w:left="0" w:firstLine="0"/>
        <w:jc w:val="both"/>
        <w:rPr>
          <w:sz w:val="20"/>
          <w:szCs w:val="20"/>
          <w:lang w:val="es-ES"/>
        </w:rPr>
      </w:pPr>
      <w:r w:rsidRPr="00407A7B">
        <w:rPr>
          <w:sz w:val="20"/>
          <w:szCs w:val="20"/>
          <w:lang w:val="es-ES"/>
        </w:rPr>
        <w:t>El procedimiento de revisión reseñado en el párrafo anterior fue declarado inadmisible por la Sala Tercera de la Corte Suprema de Justicia por medio de una resolución de fecha 15 de febrero de 2013. En lo que respecta a la cuestión de la ausencia de imparcialidad de uno de los magistrados que integró el tribunal de juicio, la Sala Tercera sostuvo que del estudio de la resolución confirmando la prisión preventiva adoptada el 13 de agosto de 2003 no se extrae sospecha de parcialidad ya que no se evidencia que el juez haya valorado el acervo probatorio. Con respecto a la cuestión de la alegada ausencia de notificación del derecho a la asistencia consular, el tribunal se remitió a lo expuesto en su sentencia de fecha 30 de noviembre de 2010</w:t>
      </w:r>
      <w:r w:rsidR="009925EB" w:rsidRPr="00407A7B">
        <w:rPr>
          <w:rStyle w:val="FootnoteReference"/>
          <w:sz w:val="20"/>
          <w:szCs w:val="20"/>
          <w:lang w:val="es-ES"/>
        </w:rPr>
        <w:footnoteReference w:id="25"/>
      </w:r>
      <w:r w:rsidRPr="00407A7B">
        <w:rPr>
          <w:sz w:val="20"/>
          <w:szCs w:val="20"/>
          <w:lang w:val="es-ES"/>
        </w:rPr>
        <w:t xml:space="preserve">. </w:t>
      </w:r>
    </w:p>
    <w:p w14:paraId="4FDD4FAB" w14:textId="77777777" w:rsidR="002D36C1" w:rsidRPr="00407A7B" w:rsidRDefault="002D36C1" w:rsidP="002965D3">
      <w:pPr>
        <w:rPr>
          <w:rFonts w:ascii="Cambria" w:hAnsi="Cambria"/>
          <w:sz w:val="20"/>
          <w:szCs w:val="20"/>
          <w:lang w:val="es-ES"/>
        </w:rPr>
      </w:pPr>
    </w:p>
    <w:p w14:paraId="78462F0E" w14:textId="77777777" w:rsidR="002965D3" w:rsidRPr="00407A7B" w:rsidRDefault="002965D3" w:rsidP="002965D3">
      <w:pPr>
        <w:pStyle w:val="Heading1"/>
      </w:pPr>
      <w:bookmarkStart w:id="29" w:name="_Toc54369870"/>
      <w:r w:rsidRPr="00407A7B">
        <w:t>ANALISIS DE DERECHO</w:t>
      </w:r>
      <w:bookmarkEnd w:id="29"/>
      <w:r w:rsidRPr="00407A7B">
        <w:t xml:space="preserve"> </w:t>
      </w:r>
    </w:p>
    <w:p w14:paraId="3788276B" w14:textId="77777777" w:rsidR="002965D3" w:rsidRPr="00407A7B" w:rsidRDefault="002965D3" w:rsidP="002965D3">
      <w:pPr>
        <w:rPr>
          <w:rFonts w:ascii="Cambria" w:hAnsi="Cambria"/>
          <w:sz w:val="20"/>
          <w:szCs w:val="20"/>
          <w:lang w:val="es-ES_tradnl" w:eastAsia="es-ES"/>
        </w:rPr>
      </w:pPr>
    </w:p>
    <w:p w14:paraId="7D5D0D1B" w14:textId="77777777" w:rsidR="00FD6B79" w:rsidRPr="00407A7B" w:rsidRDefault="00EA5DD9" w:rsidP="00B00AA7">
      <w:pPr>
        <w:pStyle w:val="Heading2"/>
        <w:numPr>
          <w:ilvl w:val="0"/>
          <w:numId w:val="62"/>
        </w:numPr>
      </w:pPr>
      <w:bookmarkStart w:id="30" w:name="_Toc54369871"/>
      <w:r w:rsidRPr="00407A7B">
        <w:t xml:space="preserve">Derecho a </w:t>
      </w:r>
      <w:r w:rsidR="00D66281" w:rsidRPr="00407A7B">
        <w:t xml:space="preserve">no ser objeto de injerencias arbitrarias o abusivas en </w:t>
      </w:r>
      <w:r w:rsidR="00EC5E4B" w:rsidRPr="00407A7B">
        <w:t>el</w:t>
      </w:r>
      <w:r w:rsidR="00D66281" w:rsidRPr="00407A7B">
        <w:t xml:space="preserve"> domicilio (art 11 de la Convención Americana de Derechos Humanos en relación con su </w:t>
      </w:r>
      <w:r w:rsidR="00A9284B" w:rsidRPr="00407A7B">
        <w:t>artículo</w:t>
      </w:r>
      <w:r w:rsidR="00D66281" w:rsidRPr="00407A7B">
        <w:t xml:space="preserve"> 1.1)</w:t>
      </w:r>
      <w:bookmarkEnd w:id="30"/>
      <w:r w:rsidR="00D66281" w:rsidRPr="00407A7B">
        <w:t xml:space="preserve"> </w:t>
      </w:r>
    </w:p>
    <w:p w14:paraId="75CCD1D2" w14:textId="77777777" w:rsidR="008A1DD5" w:rsidRPr="00407A7B" w:rsidRDefault="008A1DD5" w:rsidP="008A1DD5">
      <w:pPr>
        <w:rPr>
          <w:sz w:val="20"/>
          <w:szCs w:val="20"/>
          <w:lang w:val="es-ES"/>
        </w:rPr>
      </w:pPr>
    </w:p>
    <w:p w14:paraId="4D9A5FCC" w14:textId="77777777" w:rsidR="00DE51E0" w:rsidRPr="00407A7B" w:rsidRDefault="00BC069C" w:rsidP="00E24760">
      <w:pPr>
        <w:pStyle w:val="Heading3"/>
        <w:numPr>
          <w:ilvl w:val="0"/>
          <w:numId w:val="64"/>
        </w:numPr>
        <w:spacing w:before="0" w:after="0"/>
        <w:ind w:left="714" w:hanging="357"/>
      </w:pPr>
      <w:bookmarkStart w:id="31" w:name="_Toc54369872"/>
      <w:r w:rsidRPr="00407A7B">
        <w:t>Consideraciones</w:t>
      </w:r>
      <w:r w:rsidR="00FD6B79" w:rsidRPr="00407A7B">
        <w:t xml:space="preserve"> generales</w:t>
      </w:r>
      <w:r w:rsidR="00873228" w:rsidRPr="00407A7B">
        <w:t xml:space="preserve"> sobre la garantía de la inviolabilidad del domicilio</w:t>
      </w:r>
      <w:bookmarkEnd w:id="31"/>
      <w:r w:rsidR="00FD6B79" w:rsidRPr="00407A7B">
        <w:t xml:space="preserve"> </w:t>
      </w:r>
    </w:p>
    <w:p w14:paraId="3659EE5A" w14:textId="77777777" w:rsidR="00FD6B79" w:rsidRPr="00407A7B" w:rsidRDefault="00FD6B79" w:rsidP="00FD6B79">
      <w:pPr>
        <w:pStyle w:val="ListParagraph"/>
        <w:rPr>
          <w:b/>
          <w:sz w:val="20"/>
          <w:szCs w:val="20"/>
          <w:lang w:val="es-ES"/>
        </w:rPr>
      </w:pPr>
    </w:p>
    <w:p w14:paraId="3319B2FC" w14:textId="77777777" w:rsidR="000B4611" w:rsidRPr="00407A7B" w:rsidRDefault="00FD6B79" w:rsidP="00510227">
      <w:pPr>
        <w:pStyle w:val="ListParagraph"/>
        <w:numPr>
          <w:ilvl w:val="0"/>
          <w:numId w:val="55"/>
        </w:numPr>
        <w:tabs>
          <w:tab w:val="left" w:pos="567"/>
        </w:tabs>
        <w:ind w:left="0" w:firstLine="0"/>
        <w:jc w:val="both"/>
        <w:rPr>
          <w:sz w:val="20"/>
          <w:szCs w:val="20"/>
          <w:lang w:val="es-ES"/>
        </w:rPr>
      </w:pPr>
      <w:r w:rsidRPr="00407A7B">
        <w:rPr>
          <w:sz w:val="20"/>
          <w:szCs w:val="20"/>
          <w:lang w:val="es-ES"/>
        </w:rPr>
        <w:t>Los órganos del sistema</w:t>
      </w:r>
      <w:r w:rsidR="00873228" w:rsidRPr="00407A7B">
        <w:rPr>
          <w:sz w:val="20"/>
          <w:szCs w:val="20"/>
          <w:lang w:val="es-ES"/>
        </w:rPr>
        <w:t xml:space="preserve"> </w:t>
      </w:r>
      <w:r w:rsidR="00A9284B" w:rsidRPr="00407A7B">
        <w:rPr>
          <w:sz w:val="20"/>
          <w:szCs w:val="20"/>
          <w:lang w:val="es-ES"/>
        </w:rPr>
        <w:t xml:space="preserve">interamericano de derechos </w:t>
      </w:r>
      <w:r w:rsidRPr="00407A7B">
        <w:rPr>
          <w:sz w:val="20"/>
          <w:szCs w:val="20"/>
          <w:lang w:val="es-ES"/>
        </w:rPr>
        <w:t>humanos han</w:t>
      </w:r>
      <w:r w:rsidR="00964D5E" w:rsidRPr="00407A7B">
        <w:rPr>
          <w:sz w:val="20"/>
          <w:szCs w:val="20"/>
          <w:lang w:val="es-ES"/>
        </w:rPr>
        <w:t xml:space="preserve"> </w:t>
      </w:r>
      <w:r w:rsidRPr="00407A7B">
        <w:rPr>
          <w:sz w:val="20"/>
          <w:szCs w:val="20"/>
          <w:lang w:val="es-ES"/>
        </w:rPr>
        <w:t xml:space="preserve">analizado en </w:t>
      </w:r>
      <w:r w:rsidR="000B4611" w:rsidRPr="00407A7B">
        <w:rPr>
          <w:sz w:val="20"/>
          <w:szCs w:val="20"/>
          <w:lang w:val="es-ES"/>
        </w:rPr>
        <w:t xml:space="preserve">diversas oportunidades el alcance de la garantía de la inviolabilidad del domicilio consagrada en el </w:t>
      </w:r>
      <w:r w:rsidR="00A9284B" w:rsidRPr="00407A7B">
        <w:rPr>
          <w:sz w:val="20"/>
          <w:szCs w:val="20"/>
          <w:lang w:val="es-ES"/>
        </w:rPr>
        <w:t>artículo</w:t>
      </w:r>
      <w:r w:rsidR="000B4611" w:rsidRPr="00407A7B">
        <w:rPr>
          <w:sz w:val="20"/>
          <w:szCs w:val="20"/>
          <w:lang w:val="es-ES"/>
        </w:rPr>
        <w:t xml:space="preserve"> 11.2 de la Convención Americana sobre Derechos Humanos. En este sentido, la Corte IDH señaló que el domicilio constituye un ámbito personal que debe estar libre de injerencias abusivas o arbitrarias por parte de terceros o de la autoridad </w:t>
      </w:r>
      <w:r w:rsidR="00A9284B" w:rsidRPr="00407A7B">
        <w:rPr>
          <w:sz w:val="20"/>
          <w:szCs w:val="20"/>
          <w:lang w:val="es-ES"/>
        </w:rPr>
        <w:t>pública</w:t>
      </w:r>
      <w:r w:rsidR="000B4611" w:rsidRPr="00407A7B">
        <w:rPr>
          <w:sz w:val="20"/>
          <w:szCs w:val="20"/>
          <w:lang w:val="es-ES"/>
        </w:rPr>
        <w:t xml:space="preserve"> y estableció una relación cercana entre la protección de la inviolabilidad del domicilio y el derecho a la vida privada</w:t>
      </w:r>
      <w:r w:rsidR="000B4611" w:rsidRPr="00407A7B">
        <w:rPr>
          <w:rStyle w:val="FootnoteReference"/>
          <w:sz w:val="20"/>
          <w:szCs w:val="20"/>
          <w:lang w:val="es-ES"/>
        </w:rPr>
        <w:footnoteReference w:id="26"/>
      </w:r>
      <w:r w:rsidR="000B4611" w:rsidRPr="00407A7B">
        <w:rPr>
          <w:sz w:val="20"/>
          <w:szCs w:val="20"/>
          <w:lang w:val="es-ES"/>
        </w:rPr>
        <w:t xml:space="preserve">. </w:t>
      </w:r>
    </w:p>
    <w:p w14:paraId="7BF4418A" w14:textId="77777777" w:rsidR="000B4611" w:rsidRPr="00407A7B" w:rsidRDefault="000B4611" w:rsidP="00510227">
      <w:pPr>
        <w:pStyle w:val="ListParagraph"/>
        <w:tabs>
          <w:tab w:val="left" w:pos="567"/>
        </w:tabs>
        <w:ind w:left="0"/>
        <w:jc w:val="both"/>
        <w:rPr>
          <w:sz w:val="20"/>
          <w:szCs w:val="20"/>
          <w:lang w:val="es-ES"/>
        </w:rPr>
      </w:pPr>
    </w:p>
    <w:p w14:paraId="64833CB9" w14:textId="77777777" w:rsidR="00FD6B79" w:rsidRPr="00407A7B" w:rsidRDefault="00510227" w:rsidP="00510227">
      <w:pPr>
        <w:pStyle w:val="ListParagraph"/>
        <w:numPr>
          <w:ilvl w:val="0"/>
          <w:numId w:val="55"/>
        </w:numPr>
        <w:tabs>
          <w:tab w:val="left" w:pos="567"/>
        </w:tabs>
        <w:ind w:left="0" w:firstLine="0"/>
        <w:jc w:val="both"/>
        <w:rPr>
          <w:sz w:val="20"/>
          <w:szCs w:val="20"/>
          <w:lang w:val="es-ES"/>
        </w:rPr>
      </w:pPr>
      <w:r w:rsidRPr="00407A7B">
        <w:rPr>
          <w:sz w:val="20"/>
          <w:szCs w:val="20"/>
          <w:lang w:val="es-ES"/>
        </w:rPr>
        <w:t>A modo de ejemplo cabe recalcar que</w:t>
      </w:r>
      <w:r w:rsidR="000B4611" w:rsidRPr="00407A7B">
        <w:rPr>
          <w:sz w:val="20"/>
          <w:szCs w:val="20"/>
          <w:lang w:val="es-ES"/>
        </w:rPr>
        <w:t xml:space="preserve"> en el caso Escu</w:t>
      </w:r>
      <w:r w:rsidRPr="00407A7B">
        <w:rPr>
          <w:sz w:val="20"/>
          <w:szCs w:val="20"/>
          <w:lang w:val="es-ES"/>
        </w:rPr>
        <w:t>é</w:t>
      </w:r>
      <w:r w:rsidR="000B4611" w:rsidRPr="00407A7B">
        <w:rPr>
          <w:sz w:val="20"/>
          <w:szCs w:val="20"/>
          <w:lang w:val="es-ES"/>
        </w:rPr>
        <w:t xml:space="preserve"> Zapata Vs. Colombia, la Corte IDH</w:t>
      </w:r>
      <w:r w:rsidRPr="00407A7B">
        <w:rPr>
          <w:sz w:val="20"/>
          <w:szCs w:val="20"/>
          <w:lang w:val="es-ES"/>
        </w:rPr>
        <w:t xml:space="preserve"> - luego de acreditar que un grupo efectivos militares ingresaron a la vivienda en la que se encontraban las victimas del caso contra la voluntad de sus ocupantes y sin autorización legal para ello – concluyó que se había violado el </w:t>
      </w:r>
      <w:r w:rsidR="00A9284B" w:rsidRPr="00407A7B">
        <w:rPr>
          <w:sz w:val="20"/>
          <w:szCs w:val="20"/>
          <w:lang w:val="es-ES"/>
        </w:rPr>
        <w:t>artículo</w:t>
      </w:r>
      <w:r w:rsidRPr="00407A7B">
        <w:rPr>
          <w:sz w:val="20"/>
          <w:szCs w:val="20"/>
          <w:lang w:val="es-ES"/>
        </w:rPr>
        <w:t xml:space="preserve"> 11.2 de la Convención en relación con el </w:t>
      </w:r>
      <w:r w:rsidR="00A9284B" w:rsidRPr="00407A7B">
        <w:rPr>
          <w:sz w:val="20"/>
          <w:szCs w:val="20"/>
          <w:lang w:val="es-ES"/>
        </w:rPr>
        <w:t>artículo</w:t>
      </w:r>
      <w:r w:rsidRPr="00407A7B">
        <w:rPr>
          <w:sz w:val="20"/>
          <w:szCs w:val="20"/>
          <w:lang w:val="es-ES"/>
        </w:rPr>
        <w:t xml:space="preserve"> 1.1. toda vez que se </w:t>
      </w:r>
      <w:r w:rsidR="00A9284B" w:rsidRPr="00407A7B">
        <w:rPr>
          <w:sz w:val="20"/>
          <w:szCs w:val="20"/>
          <w:lang w:val="es-ES"/>
        </w:rPr>
        <w:t>trató</w:t>
      </w:r>
      <w:r w:rsidRPr="00407A7B">
        <w:rPr>
          <w:sz w:val="20"/>
          <w:szCs w:val="20"/>
          <w:lang w:val="es-ES"/>
        </w:rPr>
        <w:t xml:space="preserve"> de una injerencia arbitraria y abusiva del domicilio del peticionario</w:t>
      </w:r>
      <w:r w:rsidRPr="00407A7B">
        <w:rPr>
          <w:rStyle w:val="FootnoteReference"/>
          <w:sz w:val="20"/>
          <w:szCs w:val="20"/>
          <w:lang w:val="es-ES"/>
        </w:rPr>
        <w:footnoteReference w:id="27"/>
      </w:r>
      <w:r w:rsidRPr="00407A7B">
        <w:rPr>
          <w:sz w:val="20"/>
          <w:szCs w:val="20"/>
          <w:lang w:val="es-ES"/>
        </w:rPr>
        <w:t xml:space="preserve">. </w:t>
      </w:r>
    </w:p>
    <w:p w14:paraId="19BD6D23" w14:textId="77777777" w:rsidR="00510227" w:rsidRPr="00407A7B" w:rsidRDefault="00510227" w:rsidP="00510227">
      <w:pPr>
        <w:pStyle w:val="ListParagraph"/>
        <w:rPr>
          <w:sz w:val="20"/>
          <w:szCs w:val="20"/>
          <w:lang w:val="es-ES"/>
        </w:rPr>
      </w:pPr>
    </w:p>
    <w:p w14:paraId="131088B9" w14:textId="77777777" w:rsidR="00510227" w:rsidRPr="00407A7B" w:rsidRDefault="004D4B6B" w:rsidP="00510227">
      <w:pPr>
        <w:pStyle w:val="ListParagraph"/>
        <w:numPr>
          <w:ilvl w:val="0"/>
          <w:numId w:val="55"/>
        </w:numPr>
        <w:tabs>
          <w:tab w:val="left" w:pos="567"/>
        </w:tabs>
        <w:ind w:left="0" w:firstLine="0"/>
        <w:jc w:val="both"/>
        <w:rPr>
          <w:sz w:val="20"/>
          <w:szCs w:val="20"/>
          <w:lang w:val="es-ES"/>
        </w:rPr>
      </w:pPr>
      <w:r>
        <w:rPr>
          <w:sz w:val="20"/>
          <w:szCs w:val="20"/>
          <w:lang w:val="es-ES"/>
        </w:rPr>
        <w:t>Asimismo, en el caso Uzcá</w:t>
      </w:r>
      <w:r w:rsidR="00510227" w:rsidRPr="00407A7B">
        <w:rPr>
          <w:sz w:val="20"/>
          <w:szCs w:val="20"/>
          <w:lang w:val="es-ES"/>
        </w:rPr>
        <w:t xml:space="preserve">tegui y otros Vs. Venezuela, la Corte IDH encontró que el allanamiento realizado por fuerzas policiales al domicilio de la </w:t>
      </w:r>
      <w:r w:rsidR="00A9284B" w:rsidRPr="00407A7B">
        <w:rPr>
          <w:sz w:val="20"/>
          <w:szCs w:val="20"/>
          <w:lang w:val="es-ES"/>
        </w:rPr>
        <w:t>víctima</w:t>
      </w:r>
      <w:r w:rsidR="00510227" w:rsidRPr="00407A7B">
        <w:rPr>
          <w:sz w:val="20"/>
          <w:szCs w:val="20"/>
          <w:lang w:val="es-ES"/>
        </w:rPr>
        <w:t xml:space="preserve"> fue practicado sin orden judicial o autorización legal </w:t>
      </w:r>
      <w:r w:rsidR="00510227" w:rsidRPr="00407A7B">
        <w:rPr>
          <w:sz w:val="20"/>
          <w:szCs w:val="20"/>
          <w:lang w:val="es-ES"/>
        </w:rPr>
        <w:lastRenderedPageBreak/>
        <w:t xml:space="preserve">y sin consentimiento de sus moradores. Dicha diligencia, en consecuencia, fue considerada una intromisión ilegal y abusiva en la vida privada de las personas que se encontraban en el domicilio y resulta incompatible con la protección asignada por el </w:t>
      </w:r>
      <w:r w:rsidR="00A9284B" w:rsidRPr="00407A7B">
        <w:rPr>
          <w:sz w:val="20"/>
          <w:szCs w:val="20"/>
          <w:lang w:val="es-ES"/>
        </w:rPr>
        <w:t>artículo</w:t>
      </w:r>
      <w:r w:rsidR="00510227" w:rsidRPr="00407A7B">
        <w:rPr>
          <w:sz w:val="20"/>
          <w:szCs w:val="20"/>
          <w:lang w:val="es-ES"/>
        </w:rPr>
        <w:t xml:space="preserve"> 11.2 de la </w:t>
      </w:r>
      <w:r w:rsidR="000A51B7" w:rsidRPr="00407A7B">
        <w:rPr>
          <w:sz w:val="20"/>
          <w:szCs w:val="20"/>
          <w:lang w:val="es-ES"/>
        </w:rPr>
        <w:t>Convención</w:t>
      </w:r>
      <w:r w:rsidR="00B74001" w:rsidRPr="00407A7B">
        <w:rPr>
          <w:rStyle w:val="FootnoteReference"/>
          <w:sz w:val="20"/>
          <w:szCs w:val="20"/>
          <w:lang w:val="es-ES"/>
        </w:rPr>
        <w:footnoteReference w:id="28"/>
      </w:r>
      <w:r w:rsidR="00510227" w:rsidRPr="00407A7B">
        <w:rPr>
          <w:sz w:val="20"/>
          <w:szCs w:val="20"/>
          <w:lang w:val="es-ES"/>
        </w:rPr>
        <w:t xml:space="preserve">. </w:t>
      </w:r>
    </w:p>
    <w:p w14:paraId="7C59CCBD" w14:textId="77777777" w:rsidR="00510227" w:rsidRPr="00407A7B" w:rsidRDefault="00510227" w:rsidP="00510227">
      <w:pPr>
        <w:pStyle w:val="ListParagraph"/>
        <w:rPr>
          <w:sz w:val="20"/>
          <w:szCs w:val="20"/>
          <w:lang w:val="es-ES"/>
        </w:rPr>
      </w:pPr>
    </w:p>
    <w:p w14:paraId="1C105CF5" w14:textId="77777777" w:rsidR="007741BF" w:rsidRPr="00407A7B" w:rsidRDefault="00510227" w:rsidP="00510227">
      <w:pPr>
        <w:pStyle w:val="ListParagraph"/>
        <w:numPr>
          <w:ilvl w:val="0"/>
          <w:numId w:val="55"/>
        </w:numPr>
        <w:tabs>
          <w:tab w:val="left" w:pos="567"/>
        </w:tabs>
        <w:ind w:left="0" w:firstLine="0"/>
        <w:jc w:val="both"/>
        <w:rPr>
          <w:sz w:val="20"/>
          <w:szCs w:val="20"/>
          <w:lang w:val="es-ES"/>
        </w:rPr>
      </w:pPr>
      <w:r w:rsidRPr="00407A7B">
        <w:rPr>
          <w:sz w:val="20"/>
          <w:szCs w:val="20"/>
          <w:lang w:val="es-ES"/>
        </w:rPr>
        <w:t xml:space="preserve">En sentido </w:t>
      </w:r>
      <w:r w:rsidR="007741BF" w:rsidRPr="00407A7B">
        <w:rPr>
          <w:sz w:val="20"/>
          <w:szCs w:val="20"/>
          <w:lang w:val="es-ES"/>
        </w:rPr>
        <w:t>coincidente</w:t>
      </w:r>
      <w:r w:rsidRPr="00407A7B">
        <w:rPr>
          <w:sz w:val="20"/>
          <w:szCs w:val="20"/>
          <w:lang w:val="es-ES"/>
        </w:rPr>
        <w:t xml:space="preserve">, </w:t>
      </w:r>
      <w:r w:rsidR="007741BF" w:rsidRPr="00407A7B">
        <w:rPr>
          <w:sz w:val="20"/>
          <w:szCs w:val="20"/>
          <w:lang w:val="es-ES"/>
        </w:rPr>
        <w:t xml:space="preserve">resulta oportuno destacar que el Tribunal Europeo de Derechos Humanos, en su interpretación del </w:t>
      </w:r>
      <w:r w:rsidR="00A9284B" w:rsidRPr="00407A7B">
        <w:rPr>
          <w:sz w:val="20"/>
          <w:szCs w:val="20"/>
          <w:lang w:val="es-ES"/>
        </w:rPr>
        <w:t>artículo</w:t>
      </w:r>
      <w:r w:rsidR="007741BF" w:rsidRPr="00407A7B">
        <w:rPr>
          <w:sz w:val="20"/>
          <w:szCs w:val="20"/>
          <w:lang w:val="es-ES"/>
        </w:rPr>
        <w:t xml:space="preserve"> 8 del Convenio Europeo de Derechos Humanos</w:t>
      </w:r>
      <w:r w:rsidR="007741BF" w:rsidRPr="00407A7B">
        <w:rPr>
          <w:rStyle w:val="FootnoteReference"/>
          <w:sz w:val="20"/>
          <w:szCs w:val="20"/>
          <w:lang w:val="es-ES"/>
        </w:rPr>
        <w:footnoteReference w:id="29"/>
      </w:r>
      <w:r w:rsidR="007741BF" w:rsidRPr="00407A7B">
        <w:rPr>
          <w:sz w:val="20"/>
          <w:szCs w:val="20"/>
          <w:lang w:val="es-ES"/>
        </w:rPr>
        <w:t xml:space="preserve">, ha exigido que cualquier interferencia a la vida privada por parte de agentes estatales sea conducida de acuerdo con la ley nacional, persiga un fin </w:t>
      </w:r>
      <w:r w:rsidR="00A9284B" w:rsidRPr="00407A7B">
        <w:rPr>
          <w:sz w:val="20"/>
          <w:szCs w:val="20"/>
          <w:lang w:val="es-ES"/>
        </w:rPr>
        <w:t>legítimo</w:t>
      </w:r>
      <w:r w:rsidR="007741BF" w:rsidRPr="00407A7B">
        <w:rPr>
          <w:sz w:val="20"/>
          <w:szCs w:val="20"/>
          <w:lang w:val="es-ES"/>
        </w:rPr>
        <w:t xml:space="preserve"> y resulte necesaria en una sociedad democrática</w:t>
      </w:r>
      <w:r w:rsidR="007741BF" w:rsidRPr="00407A7B">
        <w:rPr>
          <w:rStyle w:val="FootnoteReference"/>
          <w:sz w:val="20"/>
          <w:szCs w:val="20"/>
          <w:lang w:val="es-ES"/>
        </w:rPr>
        <w:footnoteReference w:id="30"/>
      </w:r>
    </w:p>
    <w:p w14:paraId="3ACAE4DE" w14:textId="77777777" w:rsidR="007741BF" w:rsidRPr="00407A7B" w:rsidRDefault="007741BF" w:rsidP="007741BF">
      <w:pPr>
        <w:pStyle w:val="ListParagraph"/>
        <w:rPr>
          <w:sz w:val="20"/>
          <w:szCs w:val="20"/>
          <w:lang w:val="es-ES"/>
        </w:rPr>
      </w:pPr>
    </w:p>
    <w:p w14:paraId="14BAE587" w14:textId="77777777" w:rsidR="00DE51E0" w:rsidRPr="00407A7B" w:rsidRDefault="000A51B7" w:rsidP="00DE51E0">
      <w:pPr>
        <w:pStyle w:val="ListParagraph"/>
        <w:numPr>
          <w:ilvl w:val="0"/>
          <w:numId w:val="55"/>
        </w:numPr>
        <w:tabs>
          <w:tab w:val="left" w:pos="567"/>
        </w:tabs>
        <w:ind w:left="0" w:firstLine="0"/>
        <w:jc w:val="both"/>
        <w:rPr>
          <w:sz w:val="20"/>
          <w:szCs w:val="20"/>
          <w:lang w:val="es-ES"/>
        </w:rPr>
      </w:pPr>
      <w:r w:rsidRPr="00407A7B">
        <w:rPr>
          <w:sz w:val="20"/>
          <w:szCs w:val="20"/>
          <w:lang w:val="es-ES"/>
        </w:rPr>
        <w:t xml:space="preserve">Finalmente, </w:t>
      </w:r>
      <w:r w:rsidR="00BA134B" w:rsidRPr="00407A7B">
        <w:rPr>
          <w:sz w:val="20"/>
          <w:szCs w:val="20"/>
          <w:lang w:val="es-ES"/>
        </w:rPr>
        <w:t xml:space="preserve">en el ámbito del Sistema Universal de Protección de los Derechos Humanos, la </w:t>
      </w:r>
      <w:r w:rsidR="008A1DD5" w:rsidRPr="00407A7B">
        <w:rPr>
          <w:sz w:val="20"/>
          <w:szCs w:val="20"/>
          <w:lang w:val="es-ES"/>
        </w:rPr>
        <w:t>Observación</w:t>
      </w:r>
      <w:r w:rsidR="00BA134B" w:rsidRPr="00407A7B">
        <w:rPr>
          <w:sz w:val="20"/>
          <w:szCs w:val="20"/>
          <w:lang w:val="es-ES"/>
        </w:rPr>
        <w:t xml:space="preserve"> General Nro. 16 adoptada por el Comité de Derechos Humanos señala que el </w:t>
      </w:r>
      <w:r w:rsidR="00A9284B" w:rsidRPr="00407A7B">
        <w:rPr>
          <w:sz w:val="20"/>
          <w:szCs w:val="20"/>
          <w:lang w:val="es-ES"/>
        </w:rPr>
        <w:t>artículo</w:t>
      </w:r>
      <w:r w:rsidR="00BA134B" w:rsidRPr="00407A7B">
        <w:rPr>
          <w:sz w:val="20"/>
          <w:szCs w:val="20"/>
          <w:lang w:val="es-ES"/>
        </w:rPr>
        <w:t xml:space="preserve"> 17 del Pacto Internacional de Derechos Civiles y </w:t>
      </w:r>
      <w:r w:rsidR="008A1DD5" w:rsidRPr="00407A7B">
        <w:rPr>
          <w:sz w:val="20"/>
          <w:szCs w:val="20"/>
          <w:lang w:val="es-ES"/>
        </w:rPr>
        <w:t>Políticos</w:t>
      </w:r>
      <w:r w:rsidR="00BA134B" w:rsidRPr="00407A7B">
        <w:rPr>
          <w:rStyle w:val="FootnoteReference"/>
          <w:sz w:val="20"/>
          <w:szCs w:val="20"/>
          <w:lang w:val="es-ES"/>
        </w:rPr>
        <w:footnoteReference w:id="31"/>
      </w:r>
      <w:r w:rsidR="00BA134B" w:rsidRPr="00407A7B">
        <w:rPr>
          <w:sz w:val="20"/>
          <w:szCs w:val="20"/>
          <w:lang w:val="es-ES"/>
        </w:rPr>
        <w:t xml:space="preserve"> prevé el derecho de toda persona a ser protegida respecto de injerencias arbitrarias o ilegales en su domicili</w:t>
      </w:r>
      <w:r w:rsidR="008A1DD5" w:rsidRPr="00407A7B">
        <w:rPr>
          <w:sz w:val="20"/>
          <w:szCs w:val="20"/>
          <w:lang w:val="es-ES"/>
        </w:rPr>
        <w:t>o</w:t>
      </w:r>
      <w:r w:rsidR="00BA134B" w:rsidRPr="00407A7B">
        <w:rPr>
          <w:sz w:val="20"/>
          <w:szCs w:val="20"/>
          <w:lang w:val="es-ES"/>
        </w:rPr>
        <w:t xml:space="preserve">. El </w:t>
      </w:r>
      <w:r w:rsidR="00A9284B" w:rsidRPr="00407A7B">
        <w:rPr>
          <w:sz w:val="20"/>
          <w:szCs w:val="20"/>
          <w:lang w:val="es-ES"/>
        </w:rPr>
        <w:t>término</w:t>
      </w:r>
      <w:r w:rsidR="00BA134B" w:rsidRPr="00407A7B">
        <w:rPr>
          <w:sz w:val="20"/>
          <w:szCs w:val="20"/>
          <w:lang w:val="es-ES"/>
        </w:rPr>
        <w:t xml:space="preserve"> “ilegales” </w:t>
      </w:r>
      <w:r w:rsidR="008A1DD5" w:rsidRPr="00407A7B">
        <w:rPr>
          <w:sz w:val="20"/>
          <w:szCs w:val="20"/>
          <w:lang w:val="es-ES"/>
        </w:rPr>
        <w:t xml:space="preserve">supone, a criterio del Comité, </w:t>
      </w:r>
      <w:r w:rsidR="00BA134B" w:rsidRPr="00407A7B">
        <w:rPr>
          <w:sz w:val="20"/>
          <w:szCs w:val="20"/>
          <w:lang w:val="es-ES"/>
        </w:rPr>
        <w:t>que no puede producirse injerencia alguna salvo en los casos previstos por la ley</w:t>
      </w:r>
      <w:r w:rsidR="008A1DD5" w:rsidRPr="00407A7B">
        <w:rPr>
          <w:sz w:val="20"/>
          <w:szCs w:val="20"/>
          <w:lang w:val="es-ES"/>
        </w:rPr>
        <w:t>. La expresión “injerencias arbitrarias”, en tanto, “pretende garantizar que incluso cualquier injerencia prevista en la ley esté en consonancia con las disposiciones, los propósitos y los objeti</w:t>
      </w:r>
      <w:r w:rsidR="00FC6815" w:rsidRPr="00407A7B">
        <w:rPr>
          <w:sz w:val="20"/>
          <w:szCs w:val="20"/>
          <w:lang w:val="es-ES"/>
        </w:rPr>
        <w:t>vo</w:t>
      </w:r>
      <w:r w:rsidR="008A1DD5" w:rsidRPr="00407A7B">
        <w:rPr>
          <w:sz w:val="20"/>
          <w:szCs w:val="20"/>
          <w:lang w:val="es-ES"/>
        </w:rPr>
        <w:t>s del Pacto y sea, en todo caso, razonable en las circunstancias particulares del caso”</w:t>
      </w:r>
      <w:r w:rsidR="008A1DD5" w:rsidRPr="00407A7B">
        <w:rPr>
          <w:rStyle w:val="FootnoteReference"/>
          <w:sz w:val="20"/>
          <w:szCs w:val="20"/>
          <w:lang w:val="es-ES"/>
        </w:rPr>
        <w:footnoteReference w:id="32"/>
      </w:r>
      <w:r w:rsidR="008A1DD5" w:rsidRPr="00407A7B">
        <w:rPr>
          <w:sz w:val="20"/>
          <w:szCs w:val="20"/>
          <w:lang w:val="es-ES"/>
        </w:rPr>
        <w:t xml:space="preserve">. </w:t>
      </w:r>
    </w:p>
    <w:p w14:paraId="61042D74" w14:textId="77777777" w:rsidR="008A1DD5" w:rsidRPr="00407A7B" w:rsidRDefault="008A1DD5" w:rsidP="008A1DD5">
      <w:pPr>
        <w:pStyle w:val="ListParagraph"/>
        <w:tabs>
          <w:tab w:val="left" w:pos="567"/>
        </w:tabs>
        <w:ind w:left="0"/>
        <w:jc w:val="both"/>
        <w:rPr>
          <w:sz w:val="20"/>
          <w:szCs w:val="20"/>
          <w:lang w:val="es-ES"/>
        </w:rPr>
      </w:pPr>
    </w:p>
    <w:p w14:paraId="7850AAEE" w14:textId="77777777" w:rsidR="000135E8" w:rsidRPr="00407A7B" w:rsidRDefault="008A1DD5" w:rsidP="00E24760">
      <w:pPr>
        <w:pStyle w:val="Heading3"/>
        <w:numPr>
          <w:ilvl w:val="0"/>
          <w:numId w:val="64"/>
        </w:numPr>
        <w:spacing w:before="0" w:after="0"/>
        <w:ind w:left="714" w:hanging="357"/>
      </w:pPr>
      <w:bookmarkStart w:id="32" w:name="_Toc54369873"/>
      <w:r w:rsidRPr="00407A7B">
        <w:t>Análisis del caso</w:t>
      </w:r>
      <w:bookmarkEnd w:id="32"/>
      <w:r w:rsidRPr="00407A7B">
        <w:t xml:space="preserve"> </w:t>
      </w:r>
    </w:p>
    <w:p w14:paraId="49BA6CF6" w14:textId="77777777" w:rsidR="000135E8" w:rsidRPr="00407A7B" w:rsidRDefault="000135E8" w:rsidP="000135E8">
      <w:pPr>
        <w:rPr>
          <w:rFonts w:ascii="Cambria" w:hAnsi="Cambria"/>
          <w:sz w:val="20"/>
          <w:szCs w:val="20"/>
          <w:lang w:val="es-ES_tradnl"/>
        </w:rPr>
      </w:pPr>
    </w:p>
    <w:p w14:paraId="0FF306FE" w14:textId="77777777" w:rsidR="008A1DD5" w:rsidRPr="00407A7B" w:rsidRDefault="000135E8" w:rsidP="00D3137D">
      <w:pPr>
        <w:pStyle w:val="ListParagraph"/>
        <w:numPr>
          <w:ilvl w:val="0"/>
          <w:numId w:val="55"/>
        </w:numPr>
        <w:tabs>
          <w:tab w:val="left" w:pos="567"/>
        </w:tabs>
        <w:ind w:left="0" w:firstLine="0"/>
        <w:jc w:val="both"/>
        <w:rPr>
          <w:sz w:val="20"/>
          <w:szCs w:val="20"/>
          <w:lang w:val="es-ES_tradnl"/>
        </w:rPr>
      </w:pPr>
      <w:r w:rsidRPr="00407A7B">
        <w:rPr>
          <w:sz w:val="20"/>
          <w:szCs w:val="20"/>
          <w:lang w:val="es-ES_tradnl"/>
        </w:rPr>
        <w:t xml:space="preserve">En primer lugar, la Comisión resalta que no existe controversia entre las partes respecto a que en la noche del 19 de enero de 2003 el domicilio del Sr. Cochran fue allanado por fuerzas policiales, quienes procedieron al arresto del peticionario y a la incautación de diversos documentos presuntamente vinculados con los delitos que eran investigados. Por el contrario, la controversia radica en el hecho de que, según el peticionario, el procedimiento en su domicilio fue realizado en una fecha y hora distinta a la que habría sido prevista en la orden judicial emitida a tales efectos. </w:t>
      </w:r>
    </w:p>
    <w:p w14:paraId="795FE7C8" w14:textId="77777777" w:rsidR="000135E8" w:rsidRPr="00407A7B" w:rsidRDefault="000135E8" w:rsidP="00D3137D">
      <w:pPr>
        <w:pStyle w:val="ListParagraph"/>
        <w:tabs>
          <w:tab w:val="left" w:pos="567"/>
        </w:tabs>
        <w:ind w:left="0"/>
        <w:jc w:val="both"/>
        <w:rPr>
          <w:sz w:val="20"/>
          <w:szCs w:val="20"/>
          <w:lang w:val="es-ES_tradnl"/>
        </w:rPr>
      </w:pPr>
    </w:p>
    <w:p w14:paraId="6F4BD59F" w14:textId="77777777" w:rsidR="00FB7CB2" w:rsidRPr="00407A7B" w:rsidRDefault="000135E8" w:rsidP="00D3137D">
      <w:pPr>
        <w:pStyle w:val="ListParagraph"/>
        <w:numPr>
          <w:ilvl w:val="0"/>
          <w:numId w:val="55"/>
        </w:numPr>
        <w:tabs>
          <w:tab w:val="left" w:pos="567"/>
        </w:tabs>
        <w:ind w:left="0" w:firstLine="0"/>
        <w:jc w:val="both"/>
        <w:rPr>
          <w:sz w:val="20"/>
          <w:szCs w:val="20"/>
          <w:lang w:val="es-ES_tradnl"/>
        </w:rPr>
      </w:pPr>
      <w:r w:rsidRPr="00407A7B">
        <w:rPr>
          <w:sz w:val="20"/>
          <w:szCs w:val="20"/>
          <w:lang w:val="es-ES_tradnl"/>
        </w:rPr>
        <w:t xml:space="preserve">De acuerdo con las constancias </w:t>
      </w:r>
      <w:r w:rsidR="00FB7CB2" w:rsidRPr="00407A7B">
        <w:rPr>
          <w:sz w:val="20"/>
          <w:szCs w:val="20"/>
          <w:lang w:val="es-ES_tradnl"/>
        </w:rPr>
        <w:t>existentes en el expediente, el 17 de enero de 2003</w:t>
      </w:r>
      <w:r w:rsidR="00816474" w:rsidRPr="00407A7B">
        <w:rPr>
          <w:sz w:val="20"/>
          <w:szCs w:val="20"/>
          <w:lang w:val="es-ES_tradnl"/>
        </w:rPr>
        <w:t xml:space="preserve"> </w:t>
      </w:r>
      <w:r w:rsidR="00FB7CB2" w:rsidRPr="00407A7B">
        <w:rPr>
          <w:sz w:val="20"/>
          <w:szCs w:val="20"/>
          <w:lang w:val="es-ES_tradnl"/>
        </w:rPr>
        <w:t xml:space="preserve">la Fiscal Coordinadora de la Unidad </w:t>
      </w:r>
      <w:r w:rsidR="00F0084E" w:rsidRPr="00407A7B">
        <w:rPr>
          <w:sz w:val="20"/>
          <w:szCs w:val="20"/>
          <w:lang w:val="es-ES_tradnl"/>
        </w:rPr>
        <w:t>Especializada</w:t>
      </w:r>
      <w:r w:rsidR="00FB7CB2" w:rsidRPr="00407A7B">
        <w:rPr>
          <w:sz w:val="20"/>
          <w:szCs w:val="20"/>
          <w:lang w:val="es-ES_tradnl"/>
        </w:rPr>
        <w:t xml:space="preserve"> contra los Delitos Sexuales solicitó al juez de la etapa preparatoria del Primer Circuito Judicial que emita una orden de allanamiento, registro y secuestro al domicilio del Sr. Cochran. En dicho escrito, la Fiscal enumeró una serie de indicios que conducían a los investigadores a concluir que en la casa del peticionario se estarían cometiendo delitos contra la integridad sexual de menores de edad.  El juez autorizó la realización de la diligencia a partir de las 21 horas. </w:t>
      </w:r>
    </w:p>
    <w:p w14:paraId="4B4F193D" w14:textId="77777777" w:rsidR="00FB7CB2" w:rsidRPr="00407A7B" w:rsidRDefault="00FB7CB2" w:rsidP="00D3137D">
      <w:pPr>
        <w:pStyle w:val="ListParagraph"/>
        <w:tabs>
          <w:tab w:val="left" w:pos="567"/>
        </w:tabs>
        <w:rPr>
          <w:sz w:val="20"/>
          <w:szCs w:val="20"/>
          <w:lang w:val="es-ES_tradnl"/>
        </w:rPr>
      </w:pPr>
    </w:p>
    <w:p w14:paraId="34882954" w14:textId="77777777" w:rsidR="000135E8" w:rsidRPr="00407A7B" w:rsidRDefault="00FB7CB2" w:rsidP="00D3137D">
      <w:pPr>
        <w:pStyle w:val="ListParagraph"/>
        <w:numPr>
          <w:ilvl w:val="0"/>
          <w:numId w:val="55"/>
        </w:numPr>
        <w:tabs>
          <w:tab w:val="left" w:pos="567"/>
        </w:tabs>
        <w:ind w:left="0" w:firstLine="0"/>
        <w:jc w:val="both"/>
        <w:rPr>
          <w:sz w:val="20"/>
          <w:szCs w:val="20"/>
          <w:lang w:val="es-ES_tradnl"/>
        </w:rPr>
      </w:pPr>
      <w:r w:rsidRPr="00407A7B">
        <w:rPr>
          <w:sz w:val="20"/>
          <w:szCs w:val="20"/>
          <w:lang w:val="es-ES_tradnl"/>
        </w:rPr>
        <w:t xml:space="preserve">Sin embargo, la </w:t>
      </w:r>
      <w:r w:rsidR="00F0084E" w:rsidRPr="00407A7B">
        <w:rPr>
          <w:sz w:val="20"/>
          <w:szCs w:val="20"/>
          <w:lang w:val="es-ES_tradnl"/>
        </w:rPr>
        <w:t>Comisión</w:t>
      </w:r>
      <w:r w:rsidRPr="00407A7B">
        <w:rPr>
          <w:sz w:val="20"/>
          <w:szCs w:val="20"/>
          <w:lang w:val="es-ES_tradnl"/>
        </w:rPr>
        <w:t xml:space="preserve"> nota que el allanamiento del </w:t>
      </w:r>
      <w:r w:rsidR="00F0084E" w:rsidRPr="00407A7B">
        <w:rPr>
          <w:sz w:val="20"/>
          <w:szCs w:val="20"/>
          <w:lang w:val="es-ES_tradnl"/>
        </w:rPr>
        <w:t>día</w:t>
      </w:r>
      <w:r w:rsidRPr="00407A7B">
        <w:rPr>
          <w:sz w:val="20"/>
          <w:szCs w:val="20"/>
          <w:lang w:val="es-ES_tradnl"/>
        </w:rPr>
        <w:t xml:space="preserve"> 17 de enero de 2003 fue suspendido. En efecto, consta en el expediente una nota manuscrita formada por el juez que </w:t>
      </w:r>
      <w:r w:rsidR="00F0084E" w:rsidRPr="00407A7B">
        <w:rPr>
          <w:sz w:val="20"/>
          <w:szCs w:val="20"/>
          <w:lang w:val="es-ES_tradnl"/>
        </w:rPr>
        <w:t>reza</w:t>
      </w:r>
      <w:r w:rsidRPr="00407A7B">
        <w:rPr>
          <w:sz w:val="20"/>
          <w:szCs w:val="20"/>
          <w:lang w:val="es-ES_tradnl"/>
        </w:rPr>
        <w:t xml:space="preserve">: “se deja constancia de que se difirió la ejecución de la presente orden para una fecha posterior que gestionará la fiscal, en razón de que el </w:t>
      </w:r>
      <w:r w:rsidR="00F0084E" w:rsidRPr="00407A7B">
        <w:rPr>
          <w:sz w:val="20"/>
          <w:szCs w:val="20"/>
          <w:lang w:val="es-ES_tradnl"/>
        </w:rPr>
        <w:t>día</w:t>
      </w:r>
      <w:r w:rsidRPr="00407A7B">
        <w:rPr>
          <w:sz w:val="20"/>
          <w:szCs w:val="20"/>
          <w:lang w:val="es-ES_tradnl"/>
        </w:rPr>
        <w:t xml:space="preserve"> de hoy el sospechoso Thomas Cochran ingresó solo a su vivienda. Por ello la presente orden se ejecutara en fecha posterior a solicitud del Ministerio Publico”</w:t>
      </w:r>
      <w:r w:rsidR="00F0084E" w:rsidRPr="00407A7B">
        <w:rPr>
          <w:rStyle w:val="FootnoteReference"/>
          <w:sz w:val="20"/>
          <w:szCs w:val="20"/>
          <w:lang w:val="es-ES_tradnl"/>
        </w:rPr>
        <w:footnoteReference w:id="33"/>
      </w:r>
      <w:r w:rsidRPr="00407A7B">
        <w:rPr>
          <w:sz w:val="20"/>
          <w:szCs w:val="20"/>
          <w:lang w:val="es-ES_tradnl"/>
        </w:rPr>
        <w:t xml:space="preserve">  </w:t>
      </w:r>
    </w:p>
    <w:p w14:paraId="66A65221" w14:textId="77777777" w:rsidR="00816474" w:rsidRPr="00407A7B" w:rsidRDefault="00816474" w:rsidP="00D3137D">
      <w:pPr>
        <w:pStyle w:val="ListParagraph"/>
        <w:tabs>
          <w:tab w:val="left" w:pos="567"/>
        </w:tabs>
        <w:rPr>
          <w:sz w:val="20"/>
          <w:szCs w:val="20"/>
          <w:lang w:val="es-ES_tradnl"/>
        </w:rPr>
      </w:pPr>
    </w:p>
    <w:p w14:paraId="15A9BB4B" w14:textId="77777777" w:rsidR="00935A2D" w:rsidRPr="00407A7B" w:rsidRDefault="00935A2D" w:rsidP="00845885">
      <w:pPr>
        <w:pStyle w:val="ListParagraph"/>
        <w:numPr>
          <w:ilvl w:val="0"/>
          <w:numId w:val="55"/>
        </w:numPr>
        <w:tabs>
          <w:tab w:val="left" w:pos="567"/>
        </w:tabs>
        <w:ind w:left="0" w:firstLine="0"/>
        <w:jc w:val="both"/>
        <w:rPr>
          <w:sz w:val="20"/>
          <w:szCs w:val="20"/>
          <w:lang w:val="es-ES_tradnl"/>
        </w:rPr>
      </w:pPr>
      <w:r w:rsidRPr="00407A7B">
        <w:rPr>
          <w:sz w:val="20"/>
          <w:szCs w:val="20"/>
          <w:lang w:val="es-ES_tradnl"/>
        </w:rPr>
        <w:lastRenderedPageBreak/>
        <w:t xml:space="preserve">A </w:t>
      </w:r>
      <w:r w:rsidR="00A9284B" w:rsidRPr="00407A7B">
        <w:rPr>
          <w:sz w:val="20"/>
          <w:szCs w:val="20"/>
          <w:lang w:val="es-ES_tradnl"/>
        </w:rPr>
        <w:t>continuación,</w:t>
      </w:r>
      <w:r w:rsidR="00816474" w:rsidRPr="00407A7B">
        <w:rPr>
          <w:sz w:val="20"/>
          <w:szCs w:val="20"/>
          <w:lang w:val="es-ES_tradnl"/>
        </w:rPr>
        <w:t xml:space="preserve"> se </w:t>
      </w:r>
      <w:r w:rsidRPr="00407A7B">
        <w:rPr>
          <w:sz w:val="20"/>
          <w:szCs w:val="20"/>
          <w:lang w:val="es-ES_tradnl"/>
        </w:rPr>
        <w:t>encuentra incluido</w:t>
      </w:r>
      <w:r w:rsidR="00816474" w:rsidRPr="00407A7B">
        <w:rPr>
          <w:sz w:val="20"/>
          <w:szCs w:val="20"/>
          <w:lang w:val="es-ES_tradnl"/>
        </w:rPr>
        <w:t xml:space="preserve"> </w:t>
      </w:r>
      <w:r w:rsidRPr="00407A7B">
        <w:rPr>
          <w:sz w:val="20"/>
          <w:szCs w:val="20"/>
          <w:lang w:val="es-ES_tradnl"/>
        </w:rPr>
        <w:t xml:space="preserve">en el </w:t>
      </w:r>
      <w:r w:rsidR="00816474" w:rsidRPr="00407A7B">
        <w:rPr>
          <w:sz w:val="20"/>
          <w:szCs w:val="20"/>
          <w:lang w:val="es-ES_tradnl"/>
        </w:rPr>
        <w:t xml:space="preserve">expediente un documento titulado “se solicita verbalmente ejecución de la orden de allanamiento y se ordena la misma” fechado el 19 de enero de 2003 y suscripto por el Juez Penal. En ese documento, la representante del Ministerio Publico </w:t>
      </w:r>
      <w:r w:rsidR="00603BDE" w:rsidRPr="00407A7B">
        <w:rPr>
          <w:sz w:val="20"/>
          <w:szCs w:val="20"/>
          <w:lang w:val="es-ES_tradnl"/>
        </w:rPr>
        <w:t>manifiesta que</w:t>
      </w:r>
      <w:r w:rsidR="00816474" w:rsidRPr="00407A7B">
        <w:rPr>
          <w:sz w:val="20"/>
          <w:szCs w:val="20"/>
          <w:lang w:val="es-ES_tradnl"/>
        </w:rPr>
        <w:t>: “siendo</w:t>
      </w:r>
      <w:r w:rsidRPr="00407A7B">
        <w:rPr>
          <w:sz w:val="20"/>
          <w:szCs w:val="20"/>
          <w:lang w:val="es-ES_tradnl"/>
        </w:rPr>
        <w:t xml:space="preserve"> </w:t>
      </w:r>
      <w:r w:rsidR="00816474" w:rsidRPr="00407A7B">
        <w:rPr>
          <w:sz w:val="20"/>
          <w:szCs w:val="20"/>
          <w:lang w:val="es-ES_tradnl"/>
        </w:rPr>
        <w:t xml:space="preserve">que con ocasión de la vigilancia que en el </w:t>
      </w:r>
      <w:r w:rsidR="0008368B" w:rsidRPr="00407A7B">
        <w:rPr>
          <w:sz w:val="20"/>
          <w:szCs w:val="20"/>
          <w:lang w:val="es-ES_tradnl"/>
        </w:rPr>
        <w:t>día</w:t>
      </w:r>
      <w:r w:rsidR="00816474" w:rsidRPr="00407A7B">
        <w:rPr>
          <w:sz w:val="20"/>
          <w:szCs w:val="20"/>
          <w:lang w:val="es-ES_tradnl"/>
        </w:rPr>
        <w:t xml:space="preserve"> de hoy se </w:t>
      </w:r>
      <w:r w:rsidR="00A9284B" w:rsidRPr="00407A7B">
        <w:rPr>
          <w:sz w:val="20"/>
          <w:szCs w:val="20"/>
          <w:lang w:val="es-ES_tradnl"/>
        </w:rPr>
        <w:t>está</w:t>
      </w:r>
      <w:r w:rsidR="00816474" w:rsidRPr="00407A7B">
        <w:rPr>
          <w:sz w:val="20"/>
          <w:szCs w:val="20"/>
          <w:lang w:val="es-ES_tradnl"/>
        </w:rPr>
        <w:t xml:space="preserve"> realizando en la casa habitación del sospechoso Thomas Cochran Scott, se ha podido determinar que hace escasamente unos treinta minutos dicho acusado ingreso a su vivienda en compañía de un joven que aparenta ser menor de 15 años, </w:t>
      </w:r>
      <w:r w:rsidR="00603BDE" w:rsidRPr="00407A7B">
        <w:rPr>
          <w:sz w:val="20"/>
          <w:szCs w:val="20"/>
          <w:lang w:val="es-ES_tradnl"/>
        </w:rPr>
        <w:t>solicito</w:t>
      </w:r>
      <w:r w:rsidR="00816474" w:rsidRPr="00407A7B">
        <w:rPr>
          <w:sz w:val="20"/>
          <w:szCs w:val="20"/>
          <w:lang w:val="es-ES_tradnl"/>
        </w:rPr>
        <w:t xml:space="preserve"> se proceda ejecutar en esta fecha la orden de allanamiento de las dieciséis horas del diecisiete de enero anterior”. </w:t>
      </w:r>
      <w:r w:rsidR="00603BDE" w:rsidRPr="00407A7B">
        <w:rPr>
          <w:sz w:val="20"/>
          <w:szCs w:val="20"/>
          <w:lang w:val="es-ES_tradnl"/>
        </w:rPr>
        <w:t xml:space="preserve">Acto seguido, el Juez manifestó que: “habiendo escuchado a la representante del Ministerio Publico y siendo que la orden antes señalada no pudo ser ejecutada el pasado diecisiete de enero en razón de que en esa fecha el sospechoso ingresó solo a su vivienda, se accede a lo solicitado y se autoriza la ejecución de la misma el </w:t>
      </w:r>
      <w:r w:rsidR="0008368B" w:rsidRPr="00407A7B">
        <w:rPr>
          <w:sz w:val="20"/>
          <w:szCs w:val="20"/>
          <w:lang w:val="es-ES_tradnl"/>
        </w:rPr>
        <w:t>día</w:t>
      </w:r>
      <w:r w:rsidR="00603BDE" w:rsidRPr="00407A7B">
        <w:rPr>
          <w:sz w:val="20"/>
          <w:szCs w:val="20"/>
          <w:lang w:val="es-ES_tradnl"/>
        </w:rPr>
        <w:t xml:space="preserve"> de hoy a partir de las 23 horas…”.</w:t>
      </w:r>
      <w:r w:rsidR="00845885" w:rsidRPr="00407A7B">
        <w:rPr>
          <w:sz w:val="20"/>
          <w:szCs w:val="20"/>
          <w:lang w:val="es-ES_tradnl"/>
        </w:rPr>
        <w:t xml:space="preserve"> </w:t>
      </w:r>
      <w:r w:rsidR="00873228" w:rsidRPr="00407A7B">
        <w:rPr>
          <w:sz w:val="20"/>
          <w:szCs w:val="20"/>
          <w:lang w:val="es-ES_tradnl"/>
        </w:rPr>
        <w:t>La</w:t>
      </w:r>
      <w:r w:rsidR="00845885" w:rsidRPr="00407A7B">
        <w:rPr>
          <w:sz w:val="20"/>
          <w:szCs w:val="20"/>
          <w:lang w:val="es-ES_tradnl"/>
        </w:rPr>
        <w:t xml:space="preserve"> </w:t>
      </w:r>
      <w:r w:rsidR="00873228" w:rsidRPr="00407A7B">
        <w:rPr>
          <w:sz w:val="20"/>
          <w:szCs w:val="20"/>
          <w:lang w:val="es-ES_tradnl"/>
        </w:rPr>
        <w:t xml:space="preserve">Comisión ha verificado que fue en ese momento en que tuvo lugar el registro domiciliario a la vivienda del Sr. Cochran que culminó en su arresto. </w:t>
      </w:r>
    </w:p>
    <w:p w14:paraId="2B82F707" w14:textId="77777777" w:rsidR="00935A2D" w:rsidRPr="00407A7B" w:rsidRDefault="00935A2D" w:rsidP="00845885">
      <w:pPr>
        <w:pStyle w:val="ListParagraph"/>
        <w:tabs>
          <w:tab w:val="left" w:pos="567"/>
        </w:tabs>
        <w:ind w:left="0"/>
        <w:jc w:val="both"/>
        <w:rPr>
          <w:sz w:val="20"/>
          <w:szCs w:val="20"/>
          <w:lang w:val="es-ES_tradnl"/>
        </w:rPr>
      </w:pPr>
    </w:p>
    <w:p w14:paraId="5A4B85A8" w14:textId="77777777" w:rsidR="00935A2D" w:rsidRPr="00407A7B" w:rsidRDefault="00873228" w:rsidP="00845885">
      <w:pPr>
        <w:pStyle w:val="ListParagraph"/>
        <w:numPr>
          <w:ilvl w:val="0"/>
          <w:numId w:val="55"/>
        </w:numPr>
        <w:tabs>
          <w:tab w:val="left" w:pos="567"/>
        </w:tabs>
        <w:ind w:left="0" w:firstLine="0"/>
        <w:jc w:val="both"/>
        <w:rPr>
          <w:sz w:val="20"/>
          <w:szCs w:val="20"/>
          <w:lang w:val="es-ES"/>
        </w:rPr>
      </w:pPr>
      <w:r w:rsidRPr="00407A7B">
        <w:rPr>
          <w:sz w:val="20"/>
          <w:szCs w:val="20"/>
          <w:lang w:val="es-ES_tradnl"/>
        </w:rPr>
        <w:t xml:space="preserve">Con respecto a la legalidad del allanamiento realizado el </w:t>
      </w:r>
      <w:r w:rsidR="00935A2D" w:rsidRPr="00407A7B">
        <w:rPr>
          <w:sz w:val="20"/>
          <w:szCs w:val="20"/>
          <w:lang w:val="es-ES_tradnl"/>
        </w:rPr>
        <w:t>día</w:t>
      </w:r>
      <w:r w:rsidRPr="00407A7B">
        <w:rPr>
          <w:sz w:val="20"/>
          <w:szCs w:val="20"/>
          <w:lang w:val="es-ES_tradnl"/>
        </w:rPr>
        <w:t xml:space="preserve"> 19 de enero, la </w:t>
      </w:r>
      <w:r w:rsidR="00935A2D" w:rsidRPr="00407A7B">
        <w:rPr>
          <w:sz w:val="20"/>
          <w:szCs w:val="20"/>
          <w:lang w:val="es-ES_tradnl"/>
        </w:rPr>
        <w:t>Comisión</w:t>
      </w:r>
      <w:r w:rsidRPr="00407A7B">
        <w:rPr>
          <w:sz w:val="20"/>
          <w:szCs w:val="20"/>
          <w:lang w:val="es-ES_tradnl"/>
        </w:rPr>
        <w:t xml:space="preserve"> subraya en primer </w:t>
      </w:r>
      <w:r w:rsidR="00A9284B" w:rsidRPr="00407A7B">
        <w:rPr>
          <w:sz w:val="20"/>
          <w:szCs w:val="20"/>
          <w:lang w:val="es-ES_tradnl"/>
        </w:rPr>
        <w:t>término</w:t>
      </w:r>
      <w:r w:rsidR="00935A2D" w:rsidRPr="00407A7B">
        <w:rPr>
          <w:sz w:val="20"/>
          <w:szCs w:val="20"/>
          <w:lang w:val="es-ES_tradnl"/>
        </w:rPr>
        <w:t>,</w:t>
      </w:r>
      <w:r w:rsidRPr="00407A7B">
        <w:rPr>
          <w:sz w:val="20"/>
          <w:szCs w:val="20"/>
          <w:lang w:val="es-ES_tradnl"/>
        </w:rPr>
        <w:t xml:space="preserve"> que</w:t>
      </w:r>
      <w:r w:rsidR="00964D5E" w:rsidRPr="00407A7B">
        <w:rPr>
          <w:sz w:val="20"/>
          <w:szCs w:val="20"/>
          <w:lang w:val="es-ES_tradnl"/>
        </w:rPr>
        <w:t xml:space="preserve">, </w:t>
      </w:r>
      <w:r w:rsidRPr="00407A7B">
        <w:rPr>
          <w:sz w:val="20"/>
          <w:szCs w:val="20"/>
          <w:lang w:val="es-ES_tradnl"/>
        </w:rPr>
        <w:t xml:space="preserve">conforme el </w:t>
      </w:r>
      <w:r w:rsidR="00A9284B" w:rsidRPr="00407A7B">
        <w:rPr>
          <w:sz w:val="20"/>
          <w:szCs w:val="20"/>
          <w:lang w:val="es-ES_tradnl"/>
        </w:rPr>
        <w:t>artículo</w:t>
      </w:r>
      <w:r w:rsidRPr="00407A7B">
        <w:rPr>
          <w:sz w:val="20"/>
          <w:szCs w:val="20"/>
          <w:lang w:val="es-ES_tradnl"/>
        </w:rPr>
        <w:t xml:space="preserve"> 23 de la </w:t>
      </w:r>
      <w:r w:rsidR="00935A2D" w:rsidRPr="00407A7B">
        <w:rPr>
          <w:sz w:val="20"/>
          <w:szCs w:val="20"/>
          <w:lang w:val="es-ES_tradnl"/>
        </w:rPr>
        <w:t>Constitución</w:t>
      </w:r>
      <w:r w:rsidRPr="00407A7B">
        <w:rPr>
          <w:sz w:val="20"/>
          <w:szCs w:val="20"/>
          <w:lang w:val="es-ES_tradnl"/>
        </w:rPr>
        <w:t xml:space="preserve"> </w:t>
      </w:r>
      <w:r w:rsidR="00935A2D" w:rsidRPr="00407A7B">
        <w:rPr>
          <w:sz w:val="20"/>
          <w:szCs w:val="20"/>
          <w:lang w:val="es-ES_tradnl"/>
        </w:rPr>
        <w:t>Política</w:t>
      </w:r>
      <w:r w:rsidRPr="00407A7B">
        <w:rPr>
          <w:sz w:val="20"/>
          <w:szCs w:val="20"/>
          <w:lang w:val="es-ES_tradnl"/>
        </w:rPr>
        <w:t xml:space="preserve"> de Costa Rica</w:t>
      </w:r>
      <w:r w:rsidR="00964D5E" w:rsidRPr="00407A7B">
        <w:rPr>
          <w:sz w:val="20"/>
          <w:szCs w:val="20"/>
          <w:lang w:val="es-ES_tradnl"/>
        </w:rPr>
        <w:t xml:space="preserve">, </w:t>
      </w:r>
      <w:r w:rsidRPr="00407A7B">
        <w:rPr>
          <w:sz w:val="20"/>
          <w:szCs w:val="20"/>
          <w:lang w:val="es-ES_tradnl"/>
        </w:rPr>
        <w:t xml:space="preserve">el domicilio puede ser allanado “por orden </w:t>
      </w:r>
      <w:r w:rsidRPr="00407A7B">
        <w:rPr>
          <w:sz w:val="20"/>
          <w:szCs w:val="20"/>
          <w:lang w:val="es-ES"/>
        </w:rPr>
        <w:t xml:space="preserve">escrita de juez competente, o para impedir la comisión o impunidad de </w:t>
      </w:r>
      <w:r w:rsidR="00A9284B" w:rsidRPr="00407A7B">
        <w:rPr>
          <w:sz w:val="20"/>
          <w:szCs w:val="20"/>
          <w:lang w:val="es-ES"/>
        </w:rPr>
        <w:t>delitos,</w:t>
      </w:r>
      <w:r w:rsidRPr="00407A7B">
        <w:rPr>
          <w:sz w:val="20"/>
          <w:szCs w:val="20"/>
          <w:lang w:val="es-ES"/>
        </w:rPr>
        <w:t xml:space="preserve"> o evitar daños graves a las personas o a la propiedad”. </w:t>
      </w:r>
      <w:r w:rsidR="00935A2D" w:rsidRPr="00407A7B">
        <w:rPr>
          <w:sz w:val="20"/>
          <w:szCs w:val="20"/>
          <w:lang w:val="es-ES"/>
        </w:rPr>
        <w:t xml:space="preserve">Asimismo, el </w:t>
      </w:r>
      <w:r w:rsidR="00A9284B" w:rsidRPr="00407A7B">
        <w:rPr>
          <w:sz w:val="20"/>
          <w:szCs w:val="20"/>
          <w:lang w:val="es-ES"/>
        </w:rPr>
        <w:t>artículo</w:t>
      </w:r>
      <w:r w:rsidR="00935A2D" w:rsidRPr="00407A7B">
        <w:rPr>
          <w:sz w:val="20"/>
          <w:szCs w:val="20"/>
          <w:lang w:val="es-ES"/>
        </w:rPr>
        <w:t xml:space="preserve"> 195 del Código Procesal Penal exige que la resolución que ordena el allanamiento debe contener: a) el nombre y cargo del funcionario que autoriza el allanamiento y la identificación del procedimiento en el cual se ordena; b) la determinación concreta del lugar o los lugares que habrán de ser registrados; c) el nombre de la autoridad que </w:t>
      </w:r>
      <w:r w:rsidR="00935A2D" w:rsidRPr="00407A7B">
        <w:rPr>
          <w:rFonts w:eastAsia="Times New Roman"/>
          <w:sz w:val="20"/>
          <w:szCs w:val="20"/>
          <w:bdr w:val="none" w:sz="0" w:space="0" w:color="auto"/>
          <w:lang w:val="es-ES"/>
        </w:rPr>
        <w:t xml:space="preserve">habrá de practicar el registro, en el caso de que la diligencia se delegue en el Ministerio Público o en la policía, por proceder así conforme lo dispuesto en este Título; d) El motivo del allanamiento y e) La hora y la fecha en que deba practicarse la diligencia. </w:t>
      </w:r>
    </w:p>
    <w:p w14:paraId="1E536E20" w14:textId="77777777" w:rsidR="00935A2D" w:rsidRPr="00407A7B" w:rsidRDefault="00935A2D" w:rsidP="00845885">
      <w:pPr>
        <w:pStyle w:val="ListParagraph"/>
        <w:tabs>
          <w:tab w:val="left" w:pos="567"/>
        </w:tabs>
        <w:rPr>
          <w:sz w:val="20"/>
          <w:szCs w:val="20"/>
          <w:lang w:val="es-ES"/>
        </w:rPr>
      </w:pPr>
    </w:p>
    <w:p w14:paraId="01B49147" w14:textId="77777777" w:rsidR="00935A2D" w:rsidRPr="00407A7B" w:rsidRDefault="00935A2D" w:rsidP="00845885">
      <w:pPr>
        <w:pStyle w:val="ListParagraph"/>
        <w:numPr>
          <w:ilvl w:val="0"/>
          <w:numId w:val="55"/>
        </w:numPr>
        <w:tabs>
          <w:tab w:val="left" w:pos="567"/>
        </w:tabs>
        <w:ind w:left="0" w:firstLine="0"/>
        <w:jc w:val="both"/>
        <w:rPr>
          <w:sz w:val="20"/>
          <w:szCs w:val="20"/>
          <w:lang w:val="es-ES"/>
        </w:rPr>
      </w:pPr>
      <w:r w:rsidRPr="00407A7B">
        <w:rPr>
          <w:sz w:val="20"/>
          <w:szCs w:val="20"/>
          <w:lang w:val="es-ES"/>
        </w:rPr>
        <w:t>De la lectura del documento suscripto por el juez el 19 de enero de 2003 titulado “</w:t>
      </w:r>
      <w:r w:rsidRPr="00407A7B">
        <w:rPr>
          <w:sz w:val="20"/>
          <w:szCs w:val="20"/>
          <w:lang w:val="es-ES_tradnl"/>
        </w:rPr>
        <w:t>se solicita verbalmente ejecución de la orden de allanamiento y se ordena la misma”, l</w:t>
      </w:r>
      <w:r w:rsidRPr="00407A7B">
        <w:rPr>
          <w:sz w:val="20"/>
          <w:szCs w:val="20"/>
          <w:lang w:val="es-ES"/>
        </w:rPr>
        <w:t xml:space="preserve">a </w:t>
      </w:r>
      <w:r w:rsidR="00560E68" w:rsidRPr="00407A7B">
        <w:rPr>
          <w:sz w:val="20"/>
          <w:szCs w:val="20"/>
          <w:lang w:val="es-ES"/>
        </w:rPr>
        <w:t>Comisión</w:t>
      </w:r>
      <w:r w:rsidRPr="00407A7B">
        <w:rPr>
          <w:sz w:val="20"/>
          <w:szCs w:val="20"/>
          <w:lang w:val="es-ES"/>
        </w:rPr>
        <w:t xml:space="preserve"> concluye que </w:t>
      </w:r>
      <w:r w:rsidR="00560E68" w:rsidRPr="00407A7B">
        <w:rPr>
          <w:sz w:val="20"/>
          <w:szCs w:val="20"/>
          <w:lang w:val="es-ES"/>
        </w:rPr>
        <w:t xml:space="preserve">el allanamiento realizado al domicilio del peticionario no resultó ilegal, toda vez que en dicho documento se hallan presentes todos los requisitos formales y sustantivos exigibles </w:t>
      </w:r>
      <w:r w:rsidR="00964D5E" w:rsidRPr="00407A7B">
        <w:rPr>
          <w:sz w:val="20"/>
          <w:szCs w:val="20"/>
          <w:lang w:val="es-ES"/>
        </w:rPr>
        <w:t xml:space="preserve">por las normas costarricenses para la realización de </w:t>
      </w:r>
      <w:r w:rsidR="00560E68" w:rsidRPr="00407A7B">
        <w:rPr>
          <w:sz w:val="20"/>
          <w:szCs w:val="20"/>
          <w:lang w:val="es-ES"/>
        </w:rPr>
        <w:t>un registro domiciliario.</w:t>
      </w:r>
      <w:r w:rsidR="001979D6" w:rsidRPr="00407A7B">
        <w:rPr>
          <w:sz w:val="20"/>
          <w:szCs w:val="20"/>
          <w:lang w:val="es-ES"/>
        </w:rPr>
        <w:t xml:space="preserve"> </w:t>
      </w:r>
      <w:r w:rsidR="00560E68" w:rsidRPr="00407A7B">
        <w:rPr>
          <w:sz w:val="20"/>
          <w:szCs w:val="20"/>
          <w:lang w:val="es-ES"/>
        </w:rPr>
        <w:t xml:space="preserve">La Comisión entiende que la circunstancia de que la orden de allanamiento emitida para el día 17 de enero no fue oportunamente ejecutada en dicha fecha es irrelevante, ya que </w:t>
      </w:r>
      <w:r w:rsidR="00964D5E" w:rsidRPr="00407A7B">
        <w:rPr>
          <w:sz w:val="20"/>
          <w:szCs w:val="20"/>
          <w:lang w:val="es-ES"/>
        </w:rPr>
        <w:t>el documento del 19 de enero suscripto por el</w:t>
      </w:r>
      <w:r w:rsidR="00560E68" w:rsidRPr="00407A7B">
        <w:rPr>
          <w:sz w:val="20"/>
          <w:szCs w:val="20"/>
          <w:lang w:val="es-ES"/>
        </w:rPr>
        <w:t xml:space="preserve"> juez penal competente en la investigación </w:t>
      </w:r>
      <w:r w:rsidR="00964D5E" w:rsidRPr="00407A7B">
        <w:rPr>
          <w:sz w:val="20"/>
          <w:szCs w:val="20"/>
          <w:lang w:val="es-ES"/>
        </w:rPr>
        <w:t xml:space="preserve">constituye a todos los efectos </w:t>
      </w:r>
      <w:r w:rsidR="00560E68" w:rsidRPr="00407A7B">
        <w:rPr>
          <w:sz w:val="20"/>
          <w:szCs w:val="20"/>
          <w:lang w:val="es-ES"/>
        </w:rPr>
        <w:t xml:space="preserve">una nueva orden, la cual sí fue cumplida. </w:t>
      </w:r>
    </w:p>
    <w:p w14:paraId="0736077F" w14:textId="77777777" w:rsidR="00560E68" w:rsidRPr="00407A7B" w:rsidRDefault="00560E68" w:rsidP="00845885">
      <w:pPr>
        <w:pStyle w:val="ListParagraph"/>
        <w:tabs>
          <w:tab w:val="left" w:pos="567"/>
        </w:tabs>
        <w:rPr>
          <w:sz w:val="20"/>
          <w:szCs w:val="20"/>
          <w:lang w:val="es-ES"/>
        </w:rPr>
      </w:pPr>
    </w:p>
    <w:p w14:paraId="3ECA372E" w14:textId="77777777" w:rsidR="00560E68" w:rsidRPr="00407A7B" w:rsidRDefault="00560E68" w:rsidP="00845885">
      <w:pPr>
        <w:pStyle w:val="ListParagraph"/>
        <w:numPr>
          <w:ilvl w:val="0"/>
          <w:numId w:val="55"/>
        </w:numPr>
        <w:tabs>
          <w:tab w:val="left" w:pos="567"/>
        </w:tabs>
        <w:ind w:left="0" w:firstLine="0"/>
        <w:jc w:val="both"/>
        <w:rPr>
          <w:sz w:val="20"/>
          <w:szCs w:val="20"/>
          <w:lang w:val="es-ES"/>
        </w:rPr>
      </w:pPr>
      <w:r w:rsidRPr="00407A7B">
        <w:rPr>
          <w:sz w:val="20"/>
          <w:szCs w:val="20"/>
          <w:lang w:val="es-ES"/>
        </w:rPr>
        <w:t xml:space="preserve">Por otra parte, la </w:t>
      </w:r>
      <w:r w:rsidR="007D387A" w:rsidRPr="00407A7B">
        <w:rPr>
          <w:sz w:val="20"/>
          <w:szCs w:val="20"/>
          <w:lang w:val="es-ES"/>
        </w:rPr>
        <w:t>Comisión</w:t>
      </w:r>
      <w:r w:rsidRPr="00407A7B">
        <w:rPr>
          <w:sz w:val="20"/>
          <w:szCs w:val="20"/>
          <w:lang w:val="es-ES"/>
        </w:rPr>
        <w:t xml:space="preserve"> no posee elementos para sostener que el allanamiento efectuado al domicilio del peticionario </w:t>
      </w:r>
      <w:r w:rsidR="00D3137D" w:rsidRPr="00407A7B">
        <w:rPr>
          <w:sz w:val="20"/>
          <w:szCs w:val="20"/>
          <w:lang w:val="es-ES"/>
        </w:rPr>
        <w:t xml:space="preserve">haya sido </w:t>
      </w:r>
      <w:r w:rsidRPr="00407A7B">
        <w:rPr>
          <w:sz w:val="20"/>
          <w:szCs w:val="20"/>
          <w:lang w:val="es-ES"/>
        </w:rPr>
        <w:t>arbitrar</w:t>
      </w:r>
      <w:r w:rsidR="007D387A" w:rsidRPr="00407A7B">
        <w:rPr>
          <w:sz w:val="20"/>
          <w:szCs w:val="20"/>
          <w:lang w:val="es-ES"/>
        </w:rPr>
        <w:t>i</w:t>
      </w:r>
      <w:r w:rsidRPr="00407A7B">
        <w:rPr>
          <w:sz w:val="20"/>
          <w:szCs w:val="20"/>
          <w:lang w:val="es-ES"/>
        </w:rPr>
        <w:t>o o</w:t>
      </w:r>
      <w:r w:rsidR="007D387A" w:rsidRPr="00407A7B">
        <w:rPr>
          <w:sz w:val="20"/>
          <w:szCs w:val="20"/>
          <w:lang w:val="es-ES"/>
        </w:rPr>
        <w:t xml:space="preserve"> que</w:t>
      </w:r>
      <w:r w:rsidRPr="00407A7B">
        <w:rPr>
          <w:sz w:val="20"/>
          <w:szCs w:val="20"/>
          <w:lang w:val="es-ES"/>
        </w:rPr>
        <w:t xml:space="preserve"> no haya perseguido un fin </w:t>
      </w:r>
      <w:r w:rsidR="00A9284B" w:rsidRPr="00407A7B">
        <w:rPr>
          <w:sz w:val="20"/>
          <w:szCs w:val="20"/>
          <w:lang w:val="es-ES"/>
        </w:rPr>
        <w:t>legítimo</w:t>
      </w:r>
      <w:r w:rsidRPr="00407A7B">
        <w:rPr>
          <w:sz w:val="20"/>
          <w:szCs w:val="20"/>
          <w:lang w:val="es-ES"/>
        </w:rPr>
        <w:t>. En efecto,</w:t>
      </w:r>
      <w:r w:rsidR="001979D6" w:rsidRPr="00407A7B">
        <w:rPr>
          <w:sz w:val="20"/>
          <w:szCs w:val="20"/>
          <w:lang w:val="es-ES"/>
        </w:rPr>
        <w:t xml:space="preserve"> </w:t>
      </w:r>
      <w:r w:rsidRPr="00407A7B">
        <w:rPr>
          <w:sz w:val="20"/>
          <w:szCs w:val="20"/>
          <w:lang w:val="es-ES"/>
        </w:rPr>
        <w:t>de la</w:t>
      </w:r>
      <w:r w:rsidR="007D387A" w:rsidRPr="00407A7B">
        <w:rPr>
          <w:sz w:val="20"/>
          <w:szCs w:val="20"/>
          <w:lang w:val="es-ES"/>
        </w:rPr>
        <w:t xml:space="preserve"> información disponible en el expediente se desprende que el procedimiento del día 19 de enero fue precedido de una importante actividad investigativa a través de la cual el Ministerio Publico arribó a la conclusión de que en el domicilio del peticionario se estarían cometiendo delitos de acción </w:t>
      </w:r>
      <w:r w:rsidR="00A9284B" w:rsidRPr="00407A7B">
        <w:rPr>
          <w:sz w:val="20"/>
          <w:szCs w:val="20"/>
          <w:lang w:val="es-ES"/>
        </w:rPr>
        <w:t>pública</w:t>
      </w:r>
      <w:r w:rsidR="001979D6" w:rsidRPr="00407A7B">
        <w:rPr>
          <w:sz w:val="20"/>
          <w:szCs w:val="20"/>
          <w:lang w:val="es-ES"/>
        </w:rPr>
        <w:t>, cuya prevención y sanción constituyen un deber fundamental del Estado</w:t>
      </w:r>
      <w:r w:rsidR="007D387A" w:rsidRPr="00407A7B">
        <w:rPr>
          <w:sz w:val="20"/>
          <w:szCs w:val="20"/>
          <w:lang w:val="es-ES"/>
        </w:rPr>
        <w:t>.</w:t>
      </w:r>
      <w:r w:rsidR="00D3137D" w:rsidRPr="00407A7B">
        <w:rPr>
          <w:sz w:val="20"/>
          <w:szCs w:val="20"/>
          <w:lang w:val="es-ES"/>
        </w:rPr>
        <w:t xml:space="preserve"> </w:t>
      </w:r>
      <w:r w:rsidR="007D387A" w:rsidRPr="00407A7B">
        <w:rPr>
          <w:sz w:val="20"/>
          <w:szCs w:val="20"/>
          <w:lang w:val="es-ES"/>
        </w:rPr>
        <w:t xml:space="preserve"> </w:t>
      </w:r>
    </w:p>
    <w:p w14:paraId="6EB3B857" w14:textId="77777777" w:rsidR="00935A2D" w:rsidRPr="00407A7B" w:rsidRDefault="00935A2D" w:rsidP="00845885">
      <w:pPr>
        <w:tabs>
          <w:tab w:val="left" w:pos="567"/>
        </w:tabs>
        <w:rPr>
          <w:rFonts w:ascii="Cambria" w:hAnsi="Cambria"/>
          <w:sz w:val="20"/>
          <w:szCs w:val="20"/>
          <w:lang w:val="es-ES"/>
        </w:rPr>
      </w:pPr>
    </w:p>
    <w:p w14:paraId="7FB3CDF3" w14:textId="77777777" w:rsidR="00873228" w:rsidRPr="00407A7B" w:rsidRDefault="00560E68" w:rsidP="00845885">
      <w:pPr>
        <w:pStyle w:val="ListParagraph"/>
        <w:numPr>
          <w:ilvl w:val="0"/>
          <w:numId w:val="55"/>
        </w:numPr>
        <w:tabs>
          <w:tab w:val="left" w:pos="567"/>
        </w:tabs>
        <w:ind w:left="0" w:firstLine="0"/>
        <w:jc w:val="both"/>
        <w:rPr>
          <w:sz w:val="20"/>
          <w:szCs w:val="20"/>
          <w:lang w:val="es-ES_tradnl"/>
        </w:rPr>
      </w:pPr>
      <w:r w:rsidRPr="00407A7B">
        <w:rPr>
          <w:sz w:val="20"/>
          <w:szCs w:val="20"/>
          <w:lang w:val="es-ES_tradnl"/>
        </w:rPr>
        <w:t xml:space="preserve">En virtud lo expuesto anteriormente, la </w:t>
      </w:r>
      <w:r w:rsidR="007D387A" w:rsidRPr="00407A7B">
        <w:rPr>
          <w:sz w:val="20"/>
          <w:szCs w:val="20"/>
          <w:lang w:val="es-ES_tradnl"/>
        </w:rPr>
        <w:t>Comisión</w:t>
      </w:r>
      <w:r w:rsidRPr="00407A7B">
        <w:rPr>
          <w:sz w:val="20"/>
          <w:szCs w:val="20"/>
          <w:lang w:val="es-ES_tradnl"/>
        </w:rPr>
        <w:t xml:space="preserve"> no encuentra acreditado que se haya configurado en el caso una violación del derecho a no ser objeto de injerencias arbitrarias o abusivas en el domicilio privado.  </w:t>
      </w:r>
    </w:p>
    <w:p w14:paraId="2FF0D64B" w14:textId="77777777" w:rsidR="008A1DD5" w:rsidRPr="00407A7B" w:rsidRDefault="008A1DD5" w:rsidP="008A1DD5">
      <w:pPr>
        <w:rPr>
          <w:lang w:val="es-ES_tradnl"/>
        </w:rPr>
      </w:pPr>
    </w:p>
    <w:p w14:paraId="4559CE31" w14:textId="77777777" w:rsidR="00BC069C" w:rsidRPr="00407A7B" w:rsidRDefault="00D66281" w:rsidP="00B00AA7">
      <w:pPr>
        <w:pStyle w:val="Heading2"/>
        <w:numPr>
          <w:ilvl w:val="0"/>
          <w:numId w:val="62"/>
        </w:numPr>
      </w:pPr>
      <w:bookmarkStart w:id="33" w:name="_Toc54369874"/>
      <w:r w:rsidRPr="00407A7B">
        <w:t xml:space="preserve">Derecho </w:t>
      </w:r>
      <w:r w:rsidR="004B57F4" w:rsidRPr="00407A7B">
        <w:t>a la información sobre la asistencia consular</w:t>
      </w:r>
      <w:r w:rsidR="00451989" w:rsidRPr="00407A7B">
        <w:t xml:space="preserve"> (art 7.4 </w:t>
      </w:r>
      <w:r w:rsidR="00A62BE3" w:rsidRPr="00407A7B">
        <w:t xml:space="preserve">y 8.2 </w:t>
      </w:r>
      <w:r w:rsidR="00451989" w:rsidRPr="00407A7B">
        <w:t xml:space="preserve">de la Convención Americana sobre Derechos Humanos en relación con su </w:t>
      </w:r>
      <w:r w:rsidR="000801B5" w:rsidRPr="00407A7B">
        <w:t>artículo</w:t>
      </w:r>
      <w:r w:rsidR="00451989" w:rsidRPr="00407A7B">
        <w:t xml:space="preserve"> 1.1)</w:t>
      </w:r>
      <w:bookmarkEnd w:id="33"/>
      <w:r w:rsidR="00451989" w:rsidRPr="00407A7B">
        <w:t xml:space="preserve"> </w:t>
      </w:r>
    </w:p>
    <w:p w14:paraId="21480A90" w14:textId="77777777" w:rsidR="00D1535B" w:rsidRPr="00407A7B" w:rsidRDefault="00D1535B" w:rsidP="00D1535B">
      <w:pPr>
        <w:rPr>
          <w:rFonts w:ascii="Cambria" w:hAnsi="Cambria"/>
          <w:sz w:val="20"/>
          <w:szCs w:val="20"/>
          <w:lang w:val="es-ES"/>
        </w:rPr>
      </w:pPr>
    </w:p>
    <w:p w14:paraId="63CA0B34" w14:textId="77777777" w:rsidR="001A6C35" w:rsidRPr="00407A7B" w:rsidRDefault="00BC069C" w:rsidP="0097352B">
      <w:pPr>
        <w:pStyle w:val="Heading3"/>
        <w:numPr>
          <w:ilvl w:val="0"/>
          <w:numId w:val="68"/>
        </w:numPr>
        <w:spacing w:before="0" w:after="0"/>
        <w:ind w:left="714" w:hanging="357"/>
      </w:pPr>
      <w:bookmarkStart w:id="34" w:name="_Toc54369875"/>
      <w:r w:rsidRPr="00407A7B">
        <w:t>Consideraciones generales sobre el derecho a la información sobre la asistencia consular.</w:t>
      </w:r>
      <w:bookmarkEnd w:id="34"/>
      <w:r w:rsidRPr="00407A7B">
        <w:t xml:space="preserve"> </w:t>
      </w:r>
      <w:r w:rsidR="00D66281" w:rsidRPr="00407A7B">
        <w:t xml:space="preserve"> </w:t>
      </w:r>
    </w:p>
    <w:p w14:paraId="591CC260" w14:textId="77777777" w:rsidR="00D1535B" w:rsidRPr="00407A7B" w:rsidRDefault="00D1535B" w:rsidP="00D1535B">
      <w:pPr>
        <w:rPr>
          <w:rFonts w:ascii="Cambria" w:hAnsi="Cambria"/>
          <w:sz w:val="20"/>
          <w:szCs w:val="20"/>
          <w:lang w:val="es-ES_tradnl"/>
        </w:rPr>
      </w:pPr>
    </w:p>
    <w:p w14:paraId="3F59B9B6" w14:textId="77777777" w:rsidR="00094D13" w:rsidRPr="00407A7B" w:rsidRDefault="00A62BE3" w:rsidP="00A62BE3">
      <w:pPr>
        <w:pStyle w:val="ListParagraph"/>
        <w:numPr>
          <w:ilvl w:val="0"/>
          <w:numId w:val="55"/>
        </w:numPr>
        <w:tabs>
          <w:tab w:val="left" w:pos="567"/>
        </w:tabs>
        <w:ind w:left="0" w:firstLine="0"/>
        <w:jc w:val="both"/>
        <w:rPr>
          <w:sz w:val="20"/>
          <w:szCs w:val="20"/>
          <w:lang w:val="es-ES"/>
        </w:rPr>
      </w:pPr>
      <w:r w:rsidRPr="00407A7B">
        <w:rPr>
          <w:sz w:val="20"/>
          <w:lang w:val="es-ES"/>
        </w:rPr>
        <w:t xml:space="preserve">La Corte Interamericana desde su opinión consultiva sobre </w:t>
      </w:r>
      <w:r w:rsidRPr="00407A7B">
        <w:rPr>
          <w:i/>
          <w:sz w:val="20"/>
          <w:lang w:val="es-ES"/>
        </w:rPr>
        <w:t>El Derecho a la Información sobre la Asistencia Consular en el Marco de las Garantías del Debido Proceso Legal</w:t>
      </w:r>
      <w:r w:rsidRPr="00407A7B">
        <w:rPr>
          <w:sz w:val="20"/>
          <w:lang w:val="es-ES"/>
        </w:rPr>
        <w:t>, declaró que el derecho del detenido extranjero a la información sobre la  asistencia consular, establecido en el artículo 36 de la Convención de Viena sobre Relaciones Consulares</w:t>
      </w:r>
      <w:r w:rsidRPr="00407A7B">
        <w:rPr>
          <w:rFonts w:cs="Calibri"/>
          <w:sz w:val="20"/>
          <w:lang w:val="es-ES"/>
        </w:rPr>
        <w:t xml:space="preserve">, es un derecho individual y una </w:t>
      </w:r>
      <w:r w:rsidRPr="00407A7B">
        <w:rPr>
          <w:sz w:val="20"/>
          <w:lang w:val="es-ES"/>
        </w:rPr>
        <w:t>garantía mínima protegida dentro del sistema interamericano</w:t>
      </w:r>
      <w:r w:rsidRPr="00407A7B">
        <w:rPr>
          <w:rStyle w:val="FootnoteReference"/>
          <w:sz w:val="20"/>
        </w:rPr>
        <w:footnoteReference w:id="34"/>
      </w:r>
      <w:r w:rsidRPr="00407A7B">
        <w:rPr>
          <w:sz w:val="20"/>
          <w:lang w:val="es-ES"/>
        </w:rPr>
        <w:t>.</w:t>
      </w:r>
      <w:r w:rsidRPr="00407A7B">
        <w:rPr>
          <w:sz w:val="20"/>
          <w:szCs w:val="20"/>
          <w:lang w:val="es-ES"/>
        </w:rPr>
        <w:t xml:space="preserve"> </w:t>
      </w:r>
    </w:p>
    <w:p w14:paraId="703656FA" w14:textId="77777777" w:rsidR="00094D13" w:rsidRPr="00407A7B" w:rsidRDefault="00094D13" w:rsidP="00094D13">
      <w:pPr>
        <w:pStyle w:val="ListParagraph"/>
        <w:tabs>
          <w:tab w:val="left" w:pos="567"/>
        </w:tabs>
        <w:ind w:left="0"/>
        <w:jc w:val="both"/>
        <w:rPr>
          <w:sz w:val="20"/>
          <w:szCs w:val="20"/>
          <w:lang w:val="es-ES"/>
        </w:rPr>
      </w:pPr>
    </w:p>
    <w:p w14:paraId="6FB3A92E" w14:textId="77777777" w:rsidR="00094D13" w:rsidRPr="00407A7B" w:rsidRDefault="001A6C35" w:rsidP="00094D13">
      <w:pPr>
        <w:pStyle w:val="ListParagraph"/>
        <w:numPr>
          <w:ilvl w:val="0"/>
          <w:numId w:val="55"/>
        </w:numPr>
        <w:tabs>
          <w:tab w:val="left" w:pos="567"/>
        </w:tabs>
        <w:ind w:left="0" w:firstLine="0"/>
        <w:jc w:val="both"/>
        <w:rPr>
          <w:sz w:val="20"/>
          <w:szCs w:val="20"/>
          <w:lang w:val="es-ES"/>
        </w:rPr>
      </w:pPr>
      <w:r w:rsidRPr="00407A7B">
        <w:rPr>
          <w:sz w:val="20"/>
          <w:szCs w:val="20"/>
          <w:lang w:val="es-ES"/>
        </w:rPr>
        <w:t xml:space="preserve">De acuerdo con la Corte IDH el derecho a la información sobre la asistencia consular </w:t>
      </w:r>
      <w:r w:rsidR="00A411C6" w:rsidRPr="00407A7B">
        <w:rPr>
          <w:sz w:val="20"/>
          <w:szCs w:val="20"/>
          <w:lang w:val="es-ES"/>
        </w:rPr>
        <w:t xml:space="preserve">implica “el derecho </w:t>
      </w:r>
      <w:r w:rsidR="00A411C6" w:rsidRPr="00407A7B">
        <w:rPr>
          <w:b/>
          <w:i/>
          <w:sz w:val="20"/>
          <w:szCs w:val="20"/>
          <w:lang w:val="es-ES"/>
        </w:rPr>
        <w:t>del nacional del Estado que envía</w:t>
      </w:r>
      <w:r w:rsidR="00A411C6" w:rsidRPr="00407A7B">
        <w:rPr>
          <w:sz w:val="20"/>
          <w:szCs w:val="20"/>
          <w:lang w:val="es-ES"/>
        </w:rPr>
        <w:t>, que es arrestado, detenido o puesto en prisión preventiva, a ser informado, ‘sin dilación’, que tiene los siguientes derechos: i) el derecho a la notificación consular, y ii) el derecho a que cualquier comunicación que dirija a la oficina consular sea transmitida sin demora”</w:t>
      </w:r>
      <w:r w:rsidR="00A411C6" w:rsidRPr="00407A7B">
        <w:rPr>
          <w:rStyle w:val="FootnoteReference"/>
          <w:sz w:val="20"/>
          <w:szCs w:val="20"/>
          <w:lang w:val="es-ES"/>
        </w:rPr>
        <w:footnoteReference w:id="35"/>
      </w:r>
      <w:r w:rsidR="00A411C6" w:rsidRPr="00407A7B">
        <w:rPr>
          <w:sz w:val="20"/>
          <w:szCs w:val="20"/>
          <w:lang w:val="es-ES"/>
        </w:rPr>
        <w:t xml:space="preserve">. </w:t>
      </w:r>
      <w:r w:rsidR="00094D13" w:rsidRPr="00407A7B">
        <w:rPr>
          <w:sz w:val="20"/>
          <w:lang w:val="es-ES"/>
        </w:rPr>
        <w:t>Los anteriores componentes han sido analizados por la Corte a través de los artículos 7.4 y 8.2 de la Convención Americana.</w:t>
      </w:r>
    </w:p>
    <w:p w14:paraId="5A6E4D5C" w14:textId="77777777" w:rsidR="00094D13" w:rsidRPr="00407A7B" w:rsidRDefault="00094D13" w:rsidP="00094D13">
      <w:pPr>
        <w:pStyle w:val="ListParagraph"/>
        <w:rPr>
          <w:sz w:val="20"/>
          <w:lang w:val="es-ES"/>
        </w:rPr>
      </w:pPr>
    </w:p>
    <w:p w14:paraId="549AA1CE" w14:textId="77777777" w:rsidR="00094D13" w:rsidRPr="00407A7B" w:rsidRDefault="00094D13" w:rsidP="00094D13">
      <w:pPr>
        <w:pStyle w:val="ListParagraph"/>
        <w:numPr>
          <w:ilvl w:val="0"/>
          <w:numId w:val="55"/>
        </w:numPr>
        <w:tabs>
          <w:tab w:val="left" w:pos="567"/>
        </w:tabs>
        <w:ind w:left="0" w:firstLine="0"/>
        <w:jc w:val="both"/>
        <w:rPr>
          <w:sz w:val="20"/>
          <w:szCs w:val="20"/>
          <w:lang w:val="es-ES"/>
        </w:rPr>
      </w:pPr>
      <w:r w:rsidRPr="00407A7B">
        <w:rPr>
          <w:sz w:val="20"/>
          <w:lang w:val="es-ES"/>
        </w:rPr>
        <w:t>Al respecto, la Corte ha indicado que “para prevenir detenciones arbitrarias” la persona detenida “debe ser notificada de su derecho a establecer contacto con una tercera persona, tal como el funcionario consular, para informarle que se halla bajo custodia del Estado, lo cual debe realizarse en conjunto con sus obligaciones bajo el artículo 7.4 de la Convención”</w:t>
      </w:r>
      <w:r w:rsidRPr="00407A7B">
        <w:rPr>
          <w:rStyle w:val="FootnoteReference"/>
          <w:sz w:val="20"/>
        </w:rPr>
        <w:footnoteReference w:id="36"/>
      </w:r>
      <w:r w:rsidRPr="00407A7B">
        <w:rPr>
          <w:sz w:val="20"/>
          <w:lang w:val="es-ES"/>
        </w:rPr>
        <w:t xml:space="preserve">. </w:t>
      </w:r>
    </w:p>
    <w:p w14:paraId="4B3E3E71" w14:textId="77777777" w:rsidR="00FA2679" w:rsidRPr="00407A7B" w:rsidRDefault="00FA2679" w:rsidP="00FA2679">
      <w:pPr>
        <w:pStyle w:val="ListParagraph"/>
        <w:tabs>
          <w:tab w:val="left" w:pos="567"/>
        </w:tabs>
        <w:ind w:left="0"/>
        <w:jc w:val="both"/>
        <w:rPr>
          <w:sz w:val="20"/>
          <w:szCs w:val="20"/>
          <w:lang w:val="es-ES"/>
        </w:rPr>
      </w:pPr>
    </w:p>
    <w:p w14:paraId="2DEE5064" w14:textId="77777777" w:rsidR="00A62BE3" w:rsidRPr="00407A7B" w:rsidRDefault="00FA2679" w:rsidP="00A62BE3">
      <w:pPr>
        <w:pStyle w:val="ListParagraph"/>
        <w:numPr>
          <w:ilvl w:val="0"/>
          <w:numId w:val="55"/>
        </w:numPr>
        <w:tabs>
          <w:tab w:val="left" w:pos="567"/>
        </w:tabs>
        <w:ind w:left="0" w:firstLine="0"/>
        <w:jc w:val="both"/>
        <w:rPr>
          <w:sz w:val="20"/>
          <w:szCs w:val="20"/>
          <w:lang w:val="es-ES"/>
        </w:rPr>
      </w:pPr>
      <w:r w:rsidRPr="00407A7B">
        <w:rPr>
          <w:sz w:val="20"/>
          <w:szCs w:val="20"/>
          <w:lang w:val="es-ES"/>
        </w:rPr>
        <w:t>Este derecho a la información sobre la asistencia consular forma parte de las garantías mín</w:t>
      </w:r>
      <w:r w:rsidR="00094D13" w:rsidRPr="00407A7B">
        <w:rPr>
          <w:sz w:val="20"/>
          <w:szCs w:val="20"/>
          <w:lang w:val="es-ES"/>
        </w:rPr>
        <w:t xml:space="preserve">imas del debido proceso penal. </w:t>
      </w:r>
      <w:r w:rsidR="00A62BE3" w:rsidRPr="00407A7B">
        <w:rPr>
          <w:sz w:val="20"/>
          <w:szCs w:val="20"/>
          <w:lang w:val="es-ES"/>
        </w:rPr>
        <w:t xml:space="preserve">En este sentido, </w:t>
      </w:r>
      <w:r w:rsidR="00A62BE3" w:rsidRPr="00407A7B">
        <w:rPr>
          <w:sz w:val="20"/>
          <w:lang w:val="es-ES"/>
        </w:rPr>
        <w:t>respecto del artículo 8.2 de la Convención, la Corte ha señalado que cuando la persona detenida no es nacional del Estado bajo el cual se halla en custodia, “la notificación de su derecho a contar con la asistencia consular se erige también en una garantía fundamental de acceso a la justicia y permite el ejercicio efectivo del derecho de defensa, pues el cónsul puede asistir al detenido en diversos actos de defensa, como el otorgamiento o contratación de patrocinio letrado, la obtención de pruebas en el país de origen la verificación de las condiciones en que se ejerce la asistencia legal y la observación de la situación de privación de libertad”</w:t>
      </w:r>
      <w:r w:rsidR="00A62BE3" w:rsidRPr="00407A7B">
        <w:rPr>
          <w:rStyle w:val="FootnoteReference"/>
          <w:sz w:val="20"/>
          <w:lang w:val="es-ES"/>
        </w:rPr>
        <w:t xml:space="preserve"> </w:t>
      </w:r>
      <w:r w:rsidR="00A62BE3" w:rsidRPr="00407A7B">
        <w:rPr>
          <w:rStyle w:val="FootnoteReference"/>
          <w:sz w:val="20"/>
        </w:rPr>
        <w:footnoteReference w:id="37"/>
      </w:r>
      <w:r w:rsidR="00A62BE3" w:rsidRPr="00407A7B">
        <w:rPr>
          <w:sz w:val="20"/>
          <w:lang w:val="es-ES"/>
        </w:rPr>
        <w:t xml:space="preserve">. </w:t>
      </w:r>
    </w:p>
    <w:p w14:paraId="2A8ECFEA" w14:textId="77777777" w:rsidR="00A87EC2" w:rsidRPr="00407A7B" w:rsidRDefault="00A87EC2" w:rsidP="00A62BE3">
      <w:pPr>
        <w:rPr>
          <w:sz w:val="20"/>
          <w:szCs w:val="20"/>
          <w:lang w:val="es-ES"/>
        </w:rPr>
      </w:pPr>
    </w:p>
    <w:p w14:paraId="43CB17B4" w14:textId="77777777" w:rsidR="0012154C" w:rsidRPr="00407A7B" w:rsidRDefault="00E20818" w:rsidP="0012154C">
      <w:pPr>
        <w:pStyle w:val="ListParagraph"/>
        <w:numPr>
          <w:ilvl w:val="0"/>
          <w:numId w:val="55"/>
        </w:numPr>
        <w:tabs>
          <w:tab w:val="left" w:pos="567"/>
        </w:tabs>
        <w:ind w:left="0" w:firstLine="0"/>
        <w:jc w:val="both"/>
        <w:rPr>
          <w:sz w:val="20"/>
          <w:szCs w:val="20"/>
          <w:lang w:val="es-ES"/>
        </w:rPr>
      </w:pPr>
      <w:r w:rsidRPr="00407A7B">
        <w:rPr>
          <w:sz w:val="20"/>
          <w:szCs w:val="20"/>
          <w:lang w:val="es-ES"/>
        </w:rPr>
        <w:t xml:space="preserve">La principal razón de ser </w:t>
      </w:r>
      <w:r w:rsidR="00A87EC2" w:rsidRPr="00407A7B">
        <w:rPr>
          <w:sz w:val="20"/>
          <w:szCs w:val="20"/>
          <w:lang w:val="es-ES"/>
        </w:rPr>
        <w:t>del derecho a la información consular radica en</w:t>
      </w:r>
      <w:r w:rsidRPr="00407A7B">
        <w:rPr>
          <w:sz w:val="20"/>
          <w:szCs w:val="20"/>
          <w:lang w:val="es-ES"/>
        </w:rPr>
        <w:t xml:space="preserve"> la existencia de factores de desigualdad real </w:t>
      </w:r>
      <w:r w:rsidR="00A87EC2" w:rsidRPr="00407A7B">
        <w:rPr>
          <w:sz w:val="20"/>
          <w:szCs w:val="20"/>
          <w:lang w:val="es-ES"/>
        </w:rPr>
        <w:t>que afectan a</w:t>
      </w:r>
      <w:r w:rsidRPr="00407A7B">
        <w:rPr>
          <w:sz w:val="20"/>
          <w:szCs w:val="20"/>
          <w:lang w:val="es-ES"/>
        </w:rPr>
        <w:t xml:space="preserve"> aquellos extranjeros sometidos a un proceso penal en un país distinto al de su nacionalidad y la necesidad de “adoptar medidas de compensación que contribuyan a reducir o eliminar los obstáculos y deficiencias que impidan o reduzcan la defensa eficaz de los propios intereses”</w:t>
      </w:r>
      <w:r w:rsidR="00A87EC2" w:rsidRPr="00407A7B">
        <w:rPr>
          <w:rStyle w:val="FootnoteReference"/>
          <w:sz w:val="20"/>
          <w:szCs w:val="20"/>
          <w:lang w:val="es-ES"/>
        </w:rPr>
        <w:footnoteReference w:id="38"/>
      </w:r>
      <w:r w:rsidR="00C03355" w:rsidRPr="00407A7B">
        <w:rPr>
          <w:sz w:val="20"/>
          <w:szCs w:val="20"/>
          <w:lang w:val="es-ES"/>
        </w:rPr>
        <w:t>.</w:t>
      </w:r>
      <w:r w:rsidR="00A87EC2" w:rsidRPr="00407A7B">
        <w:rPr>
          <w:sz w:val="20"/>
          <w:szCs w:val="20"/>
          <w:lang w:val="es-ES"/>
        </w:rPr>
        <w:t xml:space="preserve"> La Comisión añade que garantizar este derecho es especialmente necesario cuando el extranjero es detenido y vinculado a proceso penal en un país cuyo idioma oficial es distinto a su idioma materno, ya que la barrera lingüística puede afectar de manera determinante la capacidad del justiciable de conocer el significado de los actos procesales, de controlar el desempeño de los actores estatales y de proveer a su defensa técnica y material.</w:t>
      </w:r>
    </w:p>
    <w:p w14:paraId="61592A1B" w14:textId="77777777" w:rsidR="0012154C" w:rsidRPr="00407A7B" w:rsidRDefault="0012154C" w:rsidP="0012154C">
      <w:pPr>
        <w:pStyle w:val="ListParagraph"/>
        <w:rPr>
          <w:sz w:val="20"/>
          <w:szCs w:val="20"/>
          <w:lang w:val="es-ES"/>
        </w:rPr>
      </w:pPr>
    </w:p>
    <w:p w14:paraId="34B14638" w14:textId="77777777" w:rsidR="00D1535B" w:rsidRPr="00407A7B" w:rsidRDefault="00E0629B" w:rsidP="00F860A9">
      <w:pPr>
        <w:pStyle w:val="ListParagraph"/>
        <w:numPr>
          <w:ilvl w:val="0"/>
          <w:numId w:val="55"/>
        </w:numPr>
        <w:tabs>
          <w:tab w:val="left" w:pos="567"/>
        </w:tabs>
        <w:ind w:left="0" w:firstLine="0"/>
        <w:jc w:val="both"/>
        <w:rPr>
          <w:sz w:val="20"/>
          <w:szCs w:val="20"/>
          <w:lang w:val="es-ES"/>
        </w:rPr>
      </w:pPr>
      <w:r w:rsidRPr="00407A7B">
        <w:rPr>
          <w:sz w:val="20"/>
          <w:szCs w:val="20"/>
          <w:lang w:val="es-ES"/>
        </w:rPr>
        <w:t>De acuerdo con la jurisprudencia de la Corte IDH, el derecho a la información sobre la asistencia consular debe garantizarse desde el inicio del procedimiento penal</w:t>
      </w:r>
      <w:r w:rsidR="0012154C" w:rsidRPr="00407A7B">
        <w:rPr>
          <w:sz w:val="20"/>
          <w:szCs w:val="20"/>
          <w:lang w:val="es-ES"/>
        </w:rPr>
        <w:t xml:space="preserve">. En el caso de que se proceda al arresto de un extranjero, se debe comunicar “al momento de privar la libertad al inculpado y en todo caso antes de que este rinda su primera </w:t>
      </w:r>
      <w:r w:rsidR="00F860A9" w:rsidRPr="00407A7B">
        <w:rPr>
          <w:sz w:val="20"/>
          <w:szCs w:val="20"/>
          <w:lang w:val="es-ES"/>
        </w:rPr>
        <w:t>declaración</w:t>
      </w:r>
      <w:r w:rsidR="0012154C" w:rsidRPr="00407A7B">
        <w:rPr>
          <w:sz w:val="20"/>
          <w:szCs w:val="20"/>
          <w:lang w:val="es-ES"/>
        </w:rPr>
        <w:t xml:space="preserve"> ante la autoridad”</w:t>
      </w:r>
      <w:r w:rsidR="00F860A9" w:rsidRPr="00407A7B">
        <w:rPr>
          <w:rStyle w:val="FootnoteReference"/>
          <w:sz w:val="20"/>
          <w:szCs w:val="20"/>
          <w:lang w:val="es-ES"/>
        </w:rPr>
        <w:footnoteReference w:id="39"/>
      </w:r>
      <w:r w:rsidR="0012154C" w:rsidRPr="00407A7B">
        <w:rPr>
          <w:sz w:val="20"/>
          <w:szCs w:val="20"/>
          <w:lang w:val="es-ES"/>
        </w:rPr>
        <w:t xml:space="preserve"> la existencia de su derecho a solicitar y recibir asistencia consular. En este sentido, el derecho de información sobre la asistencia consular se encuentra estrechamente vinculado con el derecho a ser informado de las razones de la detención y de los cargos formulados consagrado en el </w:t>
      </w:r>
      <w:r w:rsidR="00A9284B" w:rsidRPr="00407A7B">
        <w:rPr>
          <w:sz w:val="20"/>
          <w:szCs w:val="20"/>
          <w:lang w:val="es-ES"/>
        </w:rPr>
        <w:t>artículo</w:t>
      </w:r>
      <w:r w:rsidR="0012154C" w:rsidRPr="00407A7B">
        <w:rPr>
          <w:sz w:val="20"/>
          <w:szCs w:val="20"/>
          <w:lang w:val="es-ES"/>
        </w:rPr>
        <w:t xml:space="preserve"> 7.4</w:t>
      </w:r>
      <w:r w:rsidR="00B65DAC" w:rsidRPr="00407A7B">
        <w:rPr>
          <w:sz w:val="20"/>
          <w:szCs w:val="20"/>
          <w:lang w:val="es-ES"/>
        </w:rPr>
        <w:t xml:space="preserve"> de la Convención Americana</w:t>
      </w:r>
      <w:r w:rsidR="0012154C" w:rsidRPr="00407A7B">
        <w:rPr>
          <w:sz w:val="20"/>
          <w:szCs w:val="20"/>
          <w:lang w:val="es-ES"/>
        </w:rPr>
        <w:t xml:space="preserve">, puesto que ambos buscan </w:t>
      </w:r>
      <w:r w:rsidR="00F860A9" w:rsidRPr="00407A7B">
        <w:rPr>
          <w:sz w:val="20"/>
          <w:szCs w:val="20"/>
          <w:lang w:val="es-ES"/>
        </w:rPr>
        <w:t xml:space="preserve">garantizar una defensa eficaz frente a la privación de la libertad. </w:t>
      </w:r>
    </w:p>
    <w:p w14:paraId="0FDFA837" w14:textId="77777777" w:rsidR="00F860A9" w:rsidRPr="00407A7B" w:rsidRDefault="00F860A9" w:rsidP="00F860A9">
      <w:pPr>
        <w:pStyle w:val="ListParagraph"/>
        <w:rPr>
          <w:sz w:val="20"/>
          <w:szCs w:val="20"/>
          <w:lang w:val="es-ES"/>
        </w:rPr>
      </w:pPr>
    </w:p>
    <w:p w14:paraId="1244FF9A" w14:textId="77777777" w:rsidR="00F46AA9" w:rsidRDefault="000801B5" w:rsidP="008C4755">
      <w:pPr>
        <w:pStyle w:val="ListParagraph"/>
        <w:numPr>
          <w:ilvl w:val="0"/>
          <w:numId w:val="55"/>
        </w:numPr>
        <w:tabs>
          <w:tab w:val="left" w:pos="567"/>
        </w:tabs>
        <w:ind w:left="0" w:firstLine="0"/>
        <w:jc w:val="both"/>
        <w:rPr>
          <w:sz w:val="20"/>
          <w:szCs w:val="20"/>
          <w:lang w:val="es-ES"/>
        </w:rPr>
      </w:pPr>
      <w:r>
        <w:rPr>
          <w:sz w:val="20"/>
          <w:szCs w:val="20"/>
          <w:lang w:val="es-ES"/>
        </w:rPr>
        <w:t>La</w:t>
      </w:r>
      <w:r w:rsidR="00F860A9" w:rsidRPr="00407A7B">
        <w:rPr>
          <w:sz w:val="20"/>
          <w:szCs w:val="20"/>
          <w:lang w:val="es-ES"/>
        </w:rPr>
        <w:t xml:space="preserve"> Corte IDH ha </w:t>
      </w:r>
      <w:r>
        <w:rPr>
          <w:sz w:val="20"/>
          <w:szCs w:val="20"/>
          <w:lang w:val="es-ES"/>
        </w:rPr>
        <w:t xml:space="preserve">también </w:t>
      </w:r>
      <w:r w:rsidR="00F860A9" w:rsidRPr="00407A7B">
        <w:rPr>
          <w:sz w:val="20"/>
          <w:szCs w:val="20"/>
          <w:lang w:val="es-ES"/>
        </w:rPr>
        <w:t>establecido que</w:t>
      </w:r>
      <w:r w:rsidR="008C4755" w:rsidRPr="00407A7B">
        <w:rPr>
          <w:sz w:val="20"/>
          <w:szCs w:val="20"/>
          <w:lang w:val="es-ES"/>
        </w:rPr>
        <w:t xml:space="preserve">, de acuerdo con el </w:t>
      </w:r>
      <w:r w:rsidR="00A9284B" w:rsidRPr="00407A7B">
        <w:rPr>
          <w:sz w:val="20"/>
          <w:szCs w:val="20"/>
          <w:lang w:val="es-ES"/>
        </w:rPr>
        <w:t>artículo</w:t>
      </w:r>
      <w:r w:rsidR="008C4755" w:rsidRPr="00407A7B">
        <w:rPr>
          <w:sz w:val="20"/>
          <w:szCs w:val="20"/>
          <w:lang w:val="es-ES"/>
        </w:rPr>
        <w:t xml:space="preserve"> 36.1.a de la Convención de Viena sobre Relaciones Consulares</w:t>
      </w:r>
      <w:r w:rsidR="00A62BE3" w:rsidRPr="00407A7B">
        <w:rPr>
          <w:sz w:val="20"/>
          <w:szCs w:val="20"/>
          <w:lang w:val="es-ES"/>
        </w:rPr>
        <w:t xml:space="preserve"> que sirve para la interpretación de las obligaciones establecidas en la Convención Americana a ese respecto</w:t>
      </w:r>
      <w:r w:rsidR="008C4755" w:rsidRPr="00407A7B">
        <w:rPr>
          <w:sz w:val="20"/>
          <w:szCs w:val="20"/>
          <w:lang w:val="es-ES"/>
        </w:rPr>
        <w:t xml:space="preserve">, </w:t>
      </w:r>
      <w:r w:rsidR="00F46AA9" w:rsidRPr="00407A7B">
        <w:rPr>
          <w:sz w:val="20"/>
          <w:szCs w:val="20"/>
          <w:lang w:val="es-ES"/>
        </w:rPr>
        <w:t xml:space="preserve">la obligación del Estado que recibe de garantizar el derecho de información sobre la asistencia consular “no </w:t>
      </w:r>
      <w:r w:rsidR="00A9284B" w:rsidRPr="00407A7B">
        <w:rPr>
          <w:sz w:val="20"/>
          <w:szCs w:val="20"/>
          <w:lang w:val="es-ES"/>
        </w:rPr>
        <w:t>está</w:t>
      </w:r>
      <w:r w:rsidR="00F46AA9" w:rsidRPr="00407A7B">
        <w:rPr>
          <w:sz w:val="20"/>
          <w:szCs w:val="20"/>
          <w:lang w:val="es-ES"/>
        </w:rPr>
        <w:t xml:space="preserve"> sujeto al requisito de protesta previa del Estado que envía”</w:t>
      </w:r>
      <w:r w:rsidR="008C4755" w:rsidRPr="00407A7B">
        <w:rPr>
          <w:sz w:val="20"/>
          <w:szCs w:val="20"/>
          <w:lang w:val="es-ES"/>
        </w:rPr>
        <w:t xml:space="preserve"> como así </w:t>
      </w:r>
      <w:r w:rsidR="00B65DAC" w:rsidRPr="00407A7B">
        <w:rPr>
          <w:sz w:val="20"/>
          <w:szCs w:val="20"/>
          <w:lang w:val="es-ES"/>
        </w:rPr>
        <w:t xml:space="preserve">tampoco </w:t>
      </w:r>
      <w:r w:rsidR="00F46AA9" w:rsidRPr="00407A7B">
        <w:rPr>
          <w:sz w:val="20"/>
          <w:szCs w:val="20"/>
          <w:lang w:val="es-ES"/>
        </w:rPr>
        <w:t>existe necesidad “de requerimiento alguno para que adquiera vigencia o actualidad”</w:t>
      </w:r>
      <w:r w:rsidR="00B65DAC" w:rsidRPr="00407A7B">
        <w:rPr>
          <w:sz w:val="20"/>
          <w:szCs w:val="20"/>
          <w:lang w:val="es-ES"/>
        </w:rPr>
        <w:t xml:space="preserve"> por parte de la persona que ha </w:t>
      </w:r>
      <w:r w:rsidR="00B65DAC" w:rsidRPr="00407A7B">
        <w:rPr>
          <w:sz w:val="20"/>
          <w:szCs w:val="20"/>
          <w:lang w:val="es-ES"/>
        </w:rPr>
        <w:lastRenderedPageBreak/>
        <w:t>sido detenida</w:t>
      </w:r>
      <w:r w:rsidR="00F46AA9" w:rsidRPr="00407A7B">
        <w:rPr>
          <w:rStyle w:val="FootnoteReference"/>
          <w:sz w:val="20"/>
          <w:szCs w:val="20"/>
          <w:lang w:val="es-ES"/>
        </w:rPr>
        <w:footnoteReference w:id="40"/>
      </w:r>
      <w:r w:rsidR="00F46AA9" w:rsidRPr="00407A7B">
        <w:rPr>
          <w:sz w:val="20"/>
          <w:szCs w:val="20"/>
          <w:lang w:val="es-ES"/>
        </w:rPr>
        <w:t xml:space="preserve">. </w:t>
      </w:r>
      <w:r w:rsidR="00B65DAC" w:rsidRPr="00407A7B">
        <w:rPr>
          <w:sz w:val="20"/>
          <w:szCs w:val="20"/>
          <w:lang w:val="es-ES"/>
        </w:rPr>
        <w:t>En esta línea</w:t>
      </w:r>
      <w:r w:rsidR="008C4755" w:rsidRPr="00407A7B">
        <w:rPr>
          <w:sz w:val="20"/>
          <w:szCs w:val="20"/>
          <w:lang w:val="es-ES"/>
        </w:rPr>
        <w:t xml:space="preserve">, </w:t>
      </w:r>
      <w:r w:rsidR="00B65DAC" w:rsidRPr="00407A7B">
        <w:rPr>
          <w:sz w:val="20"/>
          <w:szCs w:val="20"/>
          <w:lang w:val="es-ES"/>
        </w:rPr>
        <w:t xml:space="preserve">cabe subrayar que </w:t>
      </w:r>
      <w:r w:rsidR="00F46AA9" w:rsidRPr="00407A7B">
        <w:rPr>
          <w:sz w:val="20"/>
          <w:szCs w:val="20"/>
          <w:lang w:val="es-ES"/>
        </w:rPr>
        <w:t xml:space="preserve">la Corte IDH </w:t>
      </w:r>
      <w:r w:rsidR="00B65DAC" w:rsidRPr="00407A7B">
        <w:rPr>
          <w:sz w:val="20"/>
          <w:szCs w:val="20"/>
          <w:lang w:val="es-ES"/>
        </w:rPr>
        <w:t>determin</w:t>
      </w:r>
      <w:r w:rsidR="008C4755" w:rsidRPr="00407A7B">
        <w:rPr>
          <w:sz w:val="20"/>
          <w:szCs w:val="20"/>
          <w:lang w:val="es-ES"/>
        </w:rPr>
        <w:t>ó</w:t>
      </w:r>
      <w:r w:rsidR="00F46AA9" w:rsidRPr="00407A7B">
        <w:rPr>
          <w:sz w:val="20"/>
          <w:szCs w:val="20"/>
          <w:lang w:val="es-ES"/>
        </w:rPr>
        <w:t xml:space="preserve"> que </w:t>
      </w:r>
      <w:r w:rsidR="00B65DAC" w:rsidRPr="00407A7B">
        <w:rPr>
          <w:sz w:val="20"/>
          <w:szCs w:val="20"/>
          <w:lang w:val="es-ES"/>
        </w:rPr>
        <w:t>los</w:t>
      </w:r>
      <w:r w:rsidR="00F46AA9" w:rsidRPr="00407A7B">
        <w:rPr>
          <w:sz w:val="20"/>
          <w:szCs w:val="20"/>
          <w:lang w:val="es-ES"/>
        </w:rPr>
        <w:t xml:space="preserve"> Estado</w:t>
      </w:r>
      <w:r w:rsidR="00B65DAC" w:rsidRPr="00407A7B">
        <w:rPr>
          <w:sz w:val="20"/>
          <w:szCs w:val="20"/>
          <w:lang w:val="es-ES"/>
        </w:rPr>
        <w:t>s tienen</w:t>
      </w:r>
      <w:r w:rsidR="00F46AA9" w:rsidRPr="00407A7B">
        <w:rPr>
          <w:sz w:val="20"/>
          <w:szCs w:val="20"/>
          <w:lang w:val="es-ES"/>
        </w:rPr>
        <w:t xml:space="preserve"> la carga de probar que </w:t>
      </w:r>
      <w:r w:rsidR="00B65DAC" w:rsidRPr="00407A7B">
        <w:rPr>
          <w:sz w:val="20"/>
          <w:szCs w:val="20"/>
          <w:lang w:val="es-ES"/>
        </w:rPr>
        <w:t xml:space="preserve">se han cumplido en el caso concreto las obligaciones de información que derivan del </w:t>
      </w:r>
      <w:r w:rsidR="00A9284B" w:rsidRPr="00407A7B">
        <w:rPr>
          <w:sz w:val="20"/>
          <w:szCs w:val="20"/>
          <w:lang w:val="es-ES"/>
        </w:rPr>
        <w:t>artículo</w:t>
      </w:r>
      <w:r w:rsidR="00B65DAC" w:rsidRPr="00407A7B">
        <w:rPr>
          <w:sz w:val="20"/>
          <w:szCs w:val="20"/>
          <w:lang w:val="es-ES"/>
        </w:rPr>
        <w:t xml:space="preserve"> 7.4 de la Convención Americana</w:t>
      </w:r>
      <w:r w:rsidR="008C4755" w:rsidRPr="00407A7B">
        <w:rPr>
          <w:rStyle w:val="FootnoteReference"/>
          <w:sz w:val="20"/>
          <w:szCs w:val="20"/>
          <w:lang w:val="es-ES"/>
        </w:rPr>
        <w:footnoteReference w:id="41"/>
      </w:r>
      <w:r w:rsidR="00B65DAC" w:rsidRPr="00407A7B">
        <w:rPr>
          <w:sz w:val="20"/>
          <w:szCs w:val="20"/>
          <w:lang w:val="es-ES"/>
        </w:rPr>
        <w:t xml:space="preserve">. </w:t>
      </w:r>
    </w:p>
    <w:p w14:paraId="7C0E8491" w14:textId="77777777" w:rsidR="00F46AA9" w:rsidRPr="00407A7B" w:rsidRDefault="00F46AA9" w:rsidP="00F46AA9">
      <w:pPr>
        <w:pStyle w:val="ListParagraph"/>
        <w:tabs>
          <w:tab w:val="left" w:pos="567"/>
        </w:tabs>
        <w:ind w:left="0"/>
        <w:jc w:val="both"/>
        <w:rPr>
          <w:sz w:val="20"/>
          <w:szCs w:val="20"/>
          <w:lang w:val="es-ES"/>
        </w:rPr>
      </w:pPr>
    </w:p>
    <w:p w14:paraId="5400B5C5" w14:textId="77777777" w:rsidR="00D1535B" w:rsidRPr="00407A7B" w:rsidRDefault="00D1535B" w:rsidP="0097352B">
      <w:pPr>
        <w:pStyle w:val="Heading3"/>
        <w:numPr>
          <w:ilvl w:val="0"/>
          <w:numId w:val="68"/>
        </w:numPr>
        <w:spacing w:before="0" w:after="0"/>
      </w:pPr>
      <w:bookmarkStart w:id="35" w:name="_Toc54369876"/>
      <w:r w:rsidRPr="00407A7B">
        <w:t>Análisis del caso</w:t>
      </w:r>
      <w:bookmarkEnd w:id="35"/>
      <w:r w:rsidRPr="00407A7B">
        <w:t xml:space="preserve"> </w:t>
      </w:r>
    </w:p>
    <w:p w14:paraId="3A4A3396" w14:textId="77777777" w:rsidR="008C4755" w:rsidRPr="00407A7B" w:rsidRDefault="008C4755" w:rsidP="008C4755">
      <w:pPr>
        <w:rPr>
          <w:sz w:val="20"/>
          <w:szCs w:val="20"/>
          <w:lang w:val="es-ES_tradnl"/>
        </w:rPr>
      </w:pPr>
    </w:p>
    <w:p w14:paraId="4BA9E658" w14:textId="77777777" w:rsidR="001D02AC" w:rsidRPr="00407A7B" w:rsidRDefault="008C4755" w:rsidP="005E5134">
      <w:pPr>
        <w:pStyle w:val="ListParagraph"/>
        <w:numPr>
          <w:ilvl w:val="0"/>
          <w:numId w:val="55"/>
        </w:numPr>
        <w:tabs>
          <w:tab w:val="left" w:pos="567"/>
        </w:tabs>
        <w:ind w:left="0" w:firstLine="0"/>
        <w:jc w:val="both"/>
        <w:rPr>
          <w:sz w:val="20"/>
          <w:szCs w:val="20"/>
          <w:lang w:val="es-ES"/>
        </w:rPr>
      </w:pPr>
      <w:r w:rsidRPr="00407A7B">
        <w:rPr>
          <w:sz w:val="20"/>
          <w:szCs w:val="20"/>
          <w:lang w:val="es-ES"/>
        </w:rPr>
        <w:t xml:space="preserve">La </w:t>
      </w:r>
      <w:r w:rsidR="00042DAB" w:rsidRPr="00407A7B">
        <w:rPr>
          <w:sz w:val="20"/>
          <w:szCs w:val="20"/>
          <w:lang w:val="es-ES"/>
        </w:rPr>
        <w:t>Comisión</w:t>
      </w:r>
      <w:r w:rsidRPr="00407A7B">
        <w:rPr>
          <w:sz w:val="20"/>
          <w:szCs w:val="20"/>
          <w:lang w:val="es-ES"/>
        </w:rPr>
        <w:t xml:space="preserve"> </w:t>
      </w:r>
      <w:r w:rsidR="001D02AC" w:rsidRPr="00407A7B">
        <w:rPr>
          <w:sz w:val="20"/>
          <w:szCs w:val="20"/>
          <w:lang w:val="es-ES"/>
        </w:rPr>
        <w:t xml:space="preserve">entiende que la controversia sobre este punto radica en el hecho de que, según el peticionario, los funcionarios que procedieron a su arresto no le informaron en ningún momento de su derecho a la información sobre la asistencia consular en cuando ciudadano de un país extranjero residente en el territorio del estado de Costa Rica. </w:t>
      </w:r>
    </w:p>
    <w:p w14:paraId="4FF6AA8A" w14:textId="77777777" w:rsidR="001D02AC" w:rsidRPr="00407A7B" w:rsidRDefault="001D02AC" w:rsidP="001D02AC">
      <w:pPr>
        <w:pStyle w:val="ListParagraph"/>
        <w:tabs>
          <w:tab w:val="left" w:pos="567"/>
        </w:tabs>
        <w:ind w:left="0"/>
        <w:jc w:val="both"/>
        <w:rPr>
          <w:sz w:val="20"/>
          <w:szCs w:val="20"/>
          <w:lang w:val="es-ES"/>
        </w:rPr>
      </w:pPr>
    </w:p>
    <w:p w14:paraId="44F9518A" w14:textId="77777777" w:rsidR="00301FC6" w:rsidRPr="00407A7B" w:rsidRDefault="001D02AC" w:rsidP="005E5134">
      <w:pPr>
        <w:pStyle w:val="ListParagraph"/>
        <w:numPr>
          <w:ilvl w:val="0"/>
          <w:numId w:val="55"/>
        </w:numPr>
        <w:tabs>
          <w:tab w:val="left" w:pos="567"/>
        </w:tabs>
        <w:ind w:left="0" w:firstLine="0"/>
        <w:jc w:val="both"/>
        <w:rPr>
          <w:sz w:val="20"/>
          <w:szCs w:val="20"/>
          <w:lang w:val="es-ES"/>
        </w:rPr>
      </w:pPr>
      <w:r w:rsidRPr="00407A7B">
        <w:rPr>
          <w:sz w:val="20"/>
          <w:szCs w:val="20"/>
          <w:lang w:val="es-ES"/>
        </w:rPr>
        <w:t>Al respecto, la CIDH constata</w:t>
      </w:r>
      <w:r w:rsidR="008C4755" w:rsidRPr="00407A7B">
        <w:rPr>
          <w:sz w:val="20"/>
          <w:szCs w:val="20"/>
          <w:lang w:val="es-ES"/>
        </w:rPr>
        <w:t xml:space="preserve"> en primer lugar</w:t>
      </w:r>
      <w:r w:rsidR="001E2641" w:rsidRPr="00407A7B">
        <w:rPr>
          <w:sz w:val="20"/>
          <w:szCs w:val="20"/>
          <w:lang w:val="es-ES"/>
        </w:rPr>
        <w:t>,</w:t>
      </w:r>
      <w:r w:rsidR="008C4755" w:rsidRPr="00407A7B">
        <w:rPr>
          <w:sz w:val="20"/>
          <w:szCs w:val="20"/>
          <w:lang w:val="es-ES"/>
        </w:rPr>
        <w:t xml:space="preserve"> que</w:t>
      </w:r>
      <w:r w:rsidRPr="00407A7B">
        <w:rPr>
          <w:sz w:val="20"/>
          <w:szCs w:val="20"/>
          <w:lang w:val="es-ES"/>
        </w:rPr>
        <w:t xml:space="preserve">, </w:t>
      </w:r>
      <w:r w:rsidR="005E5134" w:rsidRPr="00407A7B">
        <w:rPr>
          <w:sz w:val="20"/>
          <w:szCs w:val="20"/>
          <w:lang w:val="es-ES"/>
        </w:rPr>
        <w:t xml:space="preserve"> </w:t>
      </w:r>
      <w:r w:rsidR="008C4755" w:rsidRPr="00407A7B">
        <w:rPr>
          <w:sz w:val="20"/>
          <w:szCs w:val="20"/>
          <w:lang w:val="es-ES"/>
        </w:rPr>
        <w:t>al momento de su arresto</w:t>
      </w:r>
      <w:r w:rsidRPr="00407A7B">
        <w:rPr>
          <w:sz w:val="20"/>
          <w:szCs w:val="20"/>
          <w:lang w:val="es-ES"/>
        </w:rPr>
        <w:t>,</w:t>
      </w:r>
      <w:r w:rsidR="008C4755" w:rsidRPr="00407A7B">
        <w:rPr>
          <w:sz w:val="20"/>
          <w:szCs w:val="20"/>
          <w:lang w:val="es-ES"/>
        </w:rPr>
        <w:t xml:space="preserve"> el Sr. Cochran</w:t>
      </w:r>
      <w:r w:rsidR="005E5134" w:rsidRPr="00407A7B">
        <w:rPr>
          <w:sz w:val="20"/>
          <w:szCs w:val="20"/>
          <w:lang w:val="es-ES"/>
        </w:rPr>
        <w:t xml:space="preserve">, </w:t>
      </w:r>
      <w:r w:rsidR="008C4755" w:rsidRPr="00407A7B">
        <w:rPr>
          <w:sz w:val="20"/>
          <w:szCs w:val="20"/>
          <w:lang w:val="es-ES"/>
        </w:rPr>
        <w:t xml:space="preserve">era un ciudadano de los Estados Unidos de </w:t>
      </w:r>
      <w:r w:rsidR="00042DAB" w:rsidRPr="00407A7B">
        <w:rPr>
          <w:sz w:val="20"/>
          <w:szCs w:val="20"/>
          <w:lang w:val="es-ES"/>
        </w:rPr>
        <w:t>América</w:t>
      </w:r>
      <w:r w:rsidR="001E2641" w:rsidRPr="00407A7B">
        <w:rPr>
          <w:rStyle w:val="FootnoteReference"/>
          <w:sz w:val="20"/>
          <w:szCs w:val="20"/>
          <w:lang w:val="es-ES"/>
        </w:rPr>
        <w:footnoteReference w:id="42"/>
      </w:r>
      <w:r w:rsidR="001E2641" w:rsidRPr="00407A7B">
        <w:rPr>
          <w:sz w:val="20"/>
          <w:szCs w:val="20"/>
          <w:lang w:val="es-ES"/>
        </w:rPr>
        <w:t>.</w:t>
      </w:r>
      <w:r w:rsidR="00042DAB" w:rsidRPr="00407A7B">
        <w:rPr>
          <w:sz w:val="20"/>
          <w:szCs w:val="20"/>
          <w:lang w:val="es-ES"/>
        </w:rPr>
        <w:t xml:space="preserve"> Surge asimismo del expediente que el </w:t>
      </w:r>
      <w:r w:rsidRPr="00407A7B">
        <w:rPr>
          <w:sz w:val="20"/>
          <w:szCs w:val="20"/>
          <w:lang w:val="es-ES"/>
        </w:rPr>
        <w:t xml:space="preserve">día 19 de enero de 2003 el domicilio del peticionario fue allanado por orden judicial y que, al </w:t>
      </w:r>
      <w:r w:rsidR="00A9284B" w:rsidRPr="00407A7B">
        <w:rPr>
          <w:sz w:val="20"/>
          <w:szCs w:val="20"/>
          <w:lang w:val="es-ES"/>
        </w:rPr>
        <w:t>término</w:t>
      </w:r>
      <w:r w:rsidRPr="00407A7B">
        <w:rPr>
          <w:sz w:val="20"/>
          <w:szCs w:val="20"/>
          <w:lang w:val="es-ES"/>
        </w:rPr>
        <w:t xml:space="preserve"> de dicha diligencia, el Sr. Cochran fue arrestado y alojado en las celdas del Segundo Circuito Judicial a disposición de la fiscalía de turno</w:t>
      </w:r>
      <w:r w:rsidRPr="00407A7B">
        <w:rPr>
          <w:rStyle w:val="FootnoteReference"/>
          <w:sz w:val="20"/>
          <w:szCs w:val="20"/>
          <w:lang w:val="es-ES"/>
        </w:rPr>
        <w:footnoteReference w:id="43"/>
      </w:r>
      <w:r w:rsidRPr="00407A7B">
        <w:rPr>
          <w:sz w:val="20"/>
          <w:szCs w:val="20"/>
          <w:lang w:val="es-ES"/>
        </w:rPr>
        <w:t xml:space="preserve">.  </w:t>
      </w:r>
    </w:p>
    <w:p w14:paraId="2BB9FA12" w14:textId="77777777" w:rsidR="006A557C" w:rsidRPr="00407A7B" w:rsidRDefault="006A557C" w:rsidP="006A557C">
      <w:pPr>
        <w:pStyle w:val="ListParagraph"/>
        <w:rPr>
          <w:sz w:val="20"/>
          <w:szCs w:val="20"/>
          <w:lang w:val="es-ES"/>
        </w:rPr>
      </w:pPr>
    </w:p>
    <w:p w14:paraId="18BB3D56" w14:textId="77777777" w:rsidR="006A557C" w:rsidRPr="00407A7B" w:rsidRDefault="006A557C" w:rsidP="005E5134">
      <w:pPr>
        <w:pStyle w:val="ListParagraph"/>
        <w:numPr>
          <w:ilvl w:val="0"/>
          <w:numId w:val="55"/>
        </w:numPr>
        <w:tabs>
          <w:tab w:val="left" w:pos="567"/>
        </w:tabs>
        <w:ind w:left="0" w:firstLine="0"/>
        <w:jc w:val="both"/>
        <w:rPr>
          <w:sz w:val="20"/>
          <w:szCs w:val="20"/>
          <w:lang w:val="es-ES"/>
        </w:rPr>
      </w:pPr>
      <w:r w:rsidRPr="00407A7B">
        <w:rPr>
          <w:sz w:val="20"/>
          <w:szCs w:val="20"/>
          <w:lang w:val="es-ES"/>
        </w:rPr>
        <w:t xml:space="preserve">Asimismo, la Comisión tiene por acreditado que en la mañana del 20 de enero de 2003 se </w:t>
      </w:r>
      <w:r w:rsidR="00A9284B" w:rsidRPr="00407A7B">
        <w:rPr>
          <w:sz w:val="20"/>
          <w:szCs w:val="20"/>
          <w:lang w:val="es-ES"/>
        </w:rPr>
        <w:t>celebró</w:t>
      </w:r>
      <w:r w:rsidRPr="00407A7B">
        <w:rPr>
          <w:sz w:val="20"/>
          <w:szCs w:val="20"/>
          <w:lang w:val="es-ES"/>
        </w:rPr>
        <w:t xml:space="preserve"> en la Unidad Especializada en Delitos Sexuales del Ministerio P</w:t>
      </w:r>
      <w:r w:rsidR="003A2AD7" w:rsidRPr="00407A7B">
        <w:rPr>
          <w:sz w:val="20"/>
          <w:szCs w:val="20"/>
          <w:lang w:val="es-ES"/>
        </w:rPr>
        <w:t>ú</w:t>
      </w:r>
      <w:r w:rsidRPr="00407A7B">
        <w:rPr>
          <w:sz w:val="20"/>
          <w:szCs w:val="20"/>
          <w:lang w:val="es-ES"/>
        </w:rPr>
        <w:t xml:space="preserve">blico la declaración indagatoria del peticionario. En </w:t>
      </w:r>
      <w:r w:rsidR="00AD4E6A" w:rsidRPr="00407A7B">
        <w:rPr>
          <w:sz w:val="20"/>
          <w:szCs w:val="20"/>
          <w:lang w:val="es-ES"/>
        </w:rPr>
        <w:t>el marco de dicho acto,</w:t>
      </w:r>
      <w:r w:rsidRPr="00407A7B">
        <w:rPr>
          <w:sz w:val="20"/>
          <w:szCs w:val="20"/>
          <w:lang w:val="es-ES"/>
        </w:rPr>
        <w:t xml:space="preserve"> el Sr. Cochran fue informado de su derecho a nombrar un abogado y se </w:t>
      </w:r>
      <w:r w:rsidR="00A439CD" w:rsidRPr="00407A7B">
        <w:rPr>
          <w:sz w:val="20"/>
          <w:szCs w:val="20"/>
          <w:lang w:val="es-ES"/>
        </w:rPr>
        <w:t xml:space="preserve">procedió a realizar </w:t>
      </w:r>
      <w:r w:rsidRPr="00407A7B">
        <w:rPr>
          <w:sz w:val="20"/>
          <w:szCs w:val="20"/>
          <w:lang w:val="es-ES"/>
        </w:rPr>
        <w:t xml:space="preserve">un interrogatorio de identificación. </w:t>
      </w:r>
      <w:r w:rsidR="00A439CD" w:rsidRPr="00407A7B">
        <w:rPr>
          <w:sz w:val="20"/>
          <w:szCs w:val="20"/>
          <w:lang w:val="es-ES"/>
        </w:rPr>
        <w:t xml:space="preserve">Acto seguido - ya </w:t>
      </w:r>
      <w:r w:rsidRPr="00407A7B">
        <w:rPr>
          <w:sz w:val="20"/>
          <w:szCs w:val="20"/>
          <w:lang w:val="es-ES"/>
        </w:rPr>
        <w:t>en presencia de su abogado y un traductor</w:t>
      </w:r>
      <w:r w:rsidR="00A439CD" w:rsidRPr="00407A7B">
        <w:rPr>
          <w:sz w:val="20"/>
          <w:szCs w:val="20"/>
          <w:lang w:val="es-ES"/>
        </w:rPr>
        <w:t xml:space="preserve"> – consta en acta que</w:t>
      </w:r>
      <w:r w:rsidRPr="00407A7B">
        <w:rPr>
          <w:sz w:val="20"/>
          <w:szCs w:val="20"/>
          <w:lang w:val="es-ES"/>
        </w:rPr>
        <w:t xml:space="preserve"> le fueron comunicados</w:t>
      </w:r>
      <w:r w:rsidR="00A439CD" w:rsidRPr="00407A7B">
        <w:rPr>
          <w:sz w:val="20"/>
          <w:szCs w:val="20"/>
          <w:lang w:val="es-ES"/>
        </w:rPr>
        <w:t xml:space="preserve"> al detenido</w:t>
      </w:r>
      <w:r w:rsidRPr="00407A7B">
        <w:rPr>
          <w:sz w:val="20"/>
          <w:szCs w:val="20"/>
          <w:lang w:val="es-ES"/>
        </w:rPr>
        <w:t xml:space="preserve"> los hechos que se le imputaban y </w:t>
      </w:r>
      <w:r w:rsidR="00A439CD" w:rsidRPr="00407A7B">
        <w:rPr>
          <w:sz w:val="20"/>
          <w:szCs w:val="20"/>
          <w:lang w:val="es-ES"/>
        </w:rPr>
        <w:t xml:space="preserve">que </w:t>
      </w:r>
      <w:r w:rsidRPr="00407A7B">
        <w:rPr>
          <w:sz w:val="20"/>
          <w:szCs w:val="20"/>
          <w:lang w:val="es-ES"/>
        </w:rPr>
        <w:t xml:space="preserve">el Sr. Cochran se negó a prestar declaración indagatoria. </w:t>
      </w:r>
    </w:p>
    <w:p w14:paraId="622CD9F1" w14:textId="77777777" w:rsidR="008908D9" w:rsidRPr="00407A7B" w:rsidRDefault="008908D9" w:rsidP="0090515E">
      <w:pPr>
        <w:rPr>
          <w:sz w:val="20"/>
          <w:szCs w:val="20"/>
          <w:lang w:val="es-ES"/>
        </w:rPr>
      </w:pPr>
    </w:p>
    <w:p w14:paraId="6DB1DA40" w14:textId="77777777" w:rsidR="006A557C" w:rsidRPr="00407A7B" w:rsidRDefault="00A439CD" w:rsidP="0090515E">
      <w:pPr>
        <w:pStyle w:val="ListParagraph"/>
        <w:numPr>
          <w:ilvl w:val="0"/>
          <w:numId w:val="55"/>
        </w:numPr>
        <w:tabs>
          <w:tab w:val="left" w:pos="567"/>
        </w:tabs>
        <w:ind w:left="0" w:firstLine="0"/>
        <w:jc w:val="both"/>
        <w:rPr>
          <w:sz w:val="20"/>
          <w:szCs w:val="20"/>
          <w:lang w:val="es-ES"/>
        </w:rPr>
      </w:pPr>
      <w:r w:rsidRPr="00407A7B">
        <w:rPr>
          <w:sz w:val="20"/>
          <w:szCs w:val="20"/>
          <w:lang w:val="es-ES"/>
        </w:rPr>
        <w:t>Por otra parte, l</w:t>
      </w:r>
      <w:r w:rsidR="008908D9" w:rsidRPr="00407A7B">
        <w:rPr>
          <w:sz w:val="20"/>
          <w:szCs w:val="20"/>
          <w:lang w:val="es-ES"/>
        </w:rPr>
        <w:t xml:space="preserve">a </w:t>
      </w:r>
      <w:r w:rsidR="0090515E" w:rsidRPr="00407A7B">
        <w:rPr>
          <w:sz w:val="20"/>
          <w:szCs w:val="20"/>
          <w:lang w:val="es-ES"/>
        </w:rPr>
        <w:t>Comisión</w:t>
      </w:r>
      <w:r w:rsidR="008908D9" w:rsidRPr="00407A7B">
        <w:rPr>
          <w:sz w:val="20"/>
          <w:szCs w:val="20"/>
          <w:lang w:val="es-ES"/>
        </w:rPr>
        <w:t xml:space="preserve"> </w:t>
      </w:r>
      <w:r w:rsidRPr="00407A7B">
        <w:rPr>
          <w:sz w:val="20"/>
          <w:szCs w:val="20"/>
          <w:lang w:val="es-ES"/>
        </w:rPr>
        <w:t xml:space="preserve">ha advertido </w:t>
      </w:r>
      <w:r w:rsidR="008908D9" w:rsidRPr="00407A7B">
        <w:rPr>
          <w:sz w:val="20"/>
          <w:szCs w:val="20"/>
          <w:lang w:val="es-ES"/>
        </w:rPr>
        <w:t xml:space="preserve">que en el expediente judicial existe una carta de fecha 20 de enero de 2003 </w:t>
      </w:r>
      <w:r w:rsidR="00904DED" w:rsidRPr="00407A7B">
        <w:rPr>
          <w:sz w:val="20"/>
          <w:szCs w:val="20"/>
          <w:lang w:val="es-ES"/>
        </w:rPr>
        <w:t>suscripta</w:t>
      </w:r>
      <w:r w:rsidR="008908D9" w:rsidRPr="00407A7B">
        <w:rPr>
          <w:sz w:val="20"/>
          <w:szCs w:val="20"/>
          <w:lang w:val="es-ES"/>
        </w:rPr>
        <w:t xml:space="preserve"> por el Juez Penal de Turno y dirigida a la Embajada de los Estados Unidos de </w:t>
      </w:r>
      <w:r w:rsidR="00904DED" w:rsidRPr="00407A7B">
        <w:rPr>
          <w:sz w:val="20"/>
          <w:szCs w:val="20"/>
          <w:lang w:val="es-ES"/>
        </w:rPr>
        <w:t>América</w:t>
      </w:r>
      <w:r w:rsidR="008908D9" w:rsidRPr="00407A7B">
        <w:rPr>
          <w:sz w:val="20"/>
          <w:szCs w:val="20"/>
          <w:lang w:val="es-ES"/>
        </w:rPr>
        <w:t xml:space="preserve"> en Costa Rica. En dicha carta, el </w:t>
      </w:r>
      <w:r w:rsidR="00904DED" w:rsidRPr="00407A7B">
        <w:rPr>
          <w:sz w:val="20"/>
          <w:szCs w:val="20"/>
          <w:lang w:val="es-ES"/>
        </w:rPr>
        <w:t>J</w:t>
      </w:r>
      <w:r w:rsidR="008908D9" w:rsidRPr="00407A7B">
        <w:rPr>
          <w:sz w:val="20"/>
          <w:szCs w:val="20"/>
          <w:lang w:val="es-ES"/>
        </w:rPr>
        <w:t xml:space="preserve">uez informa de su decisión de dictar una medida de prisión </w:t>
      </w:r>
      <w:r w:rsidR="0090515E" w:rsidRPr="00407A7B">
        <w:rPr>
          <w:sz w:val="20"/>
          <w:szCs w:val="20"/>
          <w:lang w:val="es-ES"/>
        </w:rPr>
        <w:t>preventiva</w:t>
      </w:r>
      <w:r w:rsidR="008908D9" w:rsidRPr="00407A7B">
        <w:rPr>
          <w:sz w:val="20"/>
          <w:szCs w:val="20"/>
          <w:lang w:val="es-ES"/>
        </w:rPr>
        <w:t xml:space="preserve"> por el termino de 6 meses contra el Sr Cochran</w:t>
      </w:r>
      <w:r w:rsidR="0090515E" w:rsidRPr="00407A7B">
        <w:rPr>
          <w:sz w:val="20"/>
          <w:szCs w:val="20"/>
          <w:lang w:val="es-ES"/>
        </w:rPr>
        <w:t>. L</w:t>
      </w:r>
      <w:r w:rsidR="008908D9" w:rsidRPr="00407A7B">
        <w:rPr>
          <w:sz w:val="20"/>
          <w:szCs w:val="20"/>
          <w:lang w:val="es-ES"/>
        </w:rPr>
        <w:t>a CIDH entiende</w:t>
      </w:r>
      <w:r w:rsidR="00094D13" w:rsidRPr="00407A7B">
        <w:rPr>
          <w:sz w:val="20"/>
          <w:szCs w:val="20"/>
          <w:lang w:val="es-ES"/>
        </w:rPr>
        <w:t xml:space="preserve"> que</w:t>
      </w:r>
      <w:r w:rsidR="008908D9" w:rsidRPr="00407A7B">
        <w:rPr>
          <w:sz w:val="20"/>
          <w:szCs w:val="20"/>
          <w:lang w:val="es-ES"/>
        </w:rPr>
        <w:t xml:space="preserve"> esa notificación no es suficiente para tener por cumplido el derecho del peticionario a la información sobre l</w:t>
      </w:r>
      <w:r w:rsidR="00094D13" w:rsidRPr="00407A7B">
        <w:rPr>
          <w:sz w:val="20"/>
          <w:szCs w:val="20"/>
          <w:lang w:val="es-ES"/>
        </w:rPr>
        <w:t>a asistencia consular, el cual incluye</w:t>
      </w:r>
      <w:r w:rsidR="008908D9" w:rsidRPr="00407A7B">
        <w:rPr>
          <w:sz w:val="20"/>
          <w:szCs w:val="20"/>
          <w:lang w:val="es-ES"/>
        </w:rPr>
        <w:t xml:space="preserve"> un contenido distinto, pues, como se ha explicado, </w:t>
      </w:r>
      <w:r w:rsidR="0090515E" w:rsidRPr="00407A7B">
        <w:rPr>
          <w:sz w:val="20"/>
          <w:szCs w:val="20"/>
          <w:lang w:val="es-ES"/>
        </w:rPr>
        <w:t>implica el derecho del extranjero que es arrestado a ser informado sin dilación que posee el derecho de solicitar los servicios consulares de su Estado de origen</w:t>
      </w:r>
      <w:r w:rsidR="0090515E" w:rsidRPr="00407A7B">
        <w:rPr>
          <w:rStyle w:val="FootnoteReference"/>
          <w:sz w:val="20"/>
          <w:szCs w:val="20"/>
          <w:lang w:val="es-ES"/>
        </w:rPr>
        <w:footnoteReference w:id="44"/>
      </w:r>
      <w:r w:rsidR="0090515E" w:rsidRPr="00407A7B">
        <w:rPr>
          <w:sz w:val="20"/>
          <w:szCs w:val="20"/>
          <w:lang w:val="es-ES"/>
        </w:rPr>
        <w:t xml:space="preserve">. </w:t>
      </w:r>
    </w:p>
    <w:p w14:paraId="5B0EB213" w14:textId="77777777" w:rsidR="0090515E" w:rsidRPr="00407A7B" w:rsidRDefault="0090515E" w:rsidP="0090515E">
      <w:pPr>
        <w:pStyle w:val="ListParagraph"/>
        <w:tabs>
          <w:tab w:val="left" w:pos="567"/>
        </w:tabs>
        <w:ind w:left="0"/>
        <w:jc w:val="both"/>
        <w:rPr>
          <w:sz w:val="20"/>
          <w:szCs w:val="20"/>
          <w:lang w:val="es-ES"/>
        </w:rPr>
      </w:pPr>
    </w:p>
    <w:p w14:paraId="5DD2613C" w14:textId="77777777" w:rsidR="00E55FCF" w:rsidRDefault="00A439CD" w:rsidP="005E5134">
      <w:pPr>
        <w:pStyle w:val="ListParagraph"/>
        <w:numPr>
          <w:ilvl w:val="0"/>
          <w:numId w:val="55"/>
        </w:numPr>
        <w:tabs>
          <w:tab w:val="left" w:pos="567"/>
        </w:tabs>
        <w:ind w:left="0" w:firstLine="0"/>
        <w:jc w:val="both"/>
        <w:rPr>
          <w:sz w:val="20"/>
          <w:szCs w:val="20"/>
          <w:lang w:val="es-ES"/>
        </w:rPr>
      </w:pPr>
      <w:r w:rsidRPr="00407A7B">
        <w:rPr>
          <w:sz w:val="20"/>
          <w:szCs w:val="20"/>
          <w:lang w:val="es-ES"/>
        </w:rPr>
        <w:t>En este sentido y a partir d</w:t>
      </w:r>
      <w:r w:rsidR="0090515E" w:rsidRPr="00407A7B">
        <w:rPr>
          <w:sz w:val="20"/>
          <w:szCs w:val="20"/>
          <w:lang w:val="es-ES"/>
        </w:rPr>
        <w:t xml:space="preserve">e la lectura de las constancias obrantes en el expediente la Comisión advierte que no existe registro alguno que en el inicio del proceso penal y, de hecho, </w:t>
      </w:r>
      <w:r w:rsidR="00C220E9" w:rsidRPr="00407A7B">
        <w:rPr>
          <w:sz w:val="20"/>
          <w:szCs w:val="20"/>
          <w:lang w:val="es-ES"/>
        </w:rPr>
        <w:t>que,</w:t>
      </w:r>
      <w:r w:rsidR="00FB2738" w:rsidRPr="00407A7B">
        <w:rPr>
          <w:sz w:val="20"/>
          <w:szCs w:val="20"/>
          <w:lang w:val="es-ES"/>
        </w:rPr>
        <w:t xml:space="preserve"> </w:t>
      </w:r>
      <w:r w:rsidR="0090515E" w:rsidRPr="00407A7B">
        <w:rPr>
          <w:sz w:val="20"/>
          <w:szCs w:val="20"/>
          <w:lang w:val="es-ES"/>
        </w:rPr>
        <w:t xml:space="preserve">en ningún otro momento del mismo, las autoridades judiciales costarricenses hayan procedido a informar al Sr. Cochran de su derecho a la información sobre la asistencia consular. Asimismo, durante el </w:t>
      </w:r>
      <w:r w:rsidR="00A9284B" w:rsidRPr="00407A7B">
        <w:rPr>
          <w:sz w:val="20"/>
          <w:szCs w:val="20"/>
          <w:lang w:val="es-ES"/>
        </w:rPr>
        <w:t>trámite en sede internacional el</w:t>
      </w:r>
      <w:r w:rsidR="0090515E" w:rsidRPr="00407A7B">
        <w:rPr>
          <w:sz w:val="20"/>
          <w:szCs w:val="20"/>
          <w:lang w:val="es-ES"/>
        </w:rPr>
        <w:t xml:space="preserve"> Estado de Costa Rica no presentó prueba en este sentido.</w:t>
      </w:r>
    </w:p>
    <w:p w14:paraId="6AE92EEF" w14:textId="77777777" w:rsidR="00E55FCF" w:rsidRPr="00E55FCF" w:rsidRDefault="00E55FCF" w:rsidP="00E55FCF">
      <w:pPr>
        <w:pStyle w:val="ListParagraph"/>
        <w:rPr>
          <w:sz w:val="20"/>
          <w:szCs w:val="20"/>
          <w:lang w:val="es-ES"/>
        </w:rPr>
      </w:pPr>
    </w:p>
    <w:p w14:paraId="0EBA757F" w14:textId="77777777" w:rsidR="00E55FCF" w:rsidRPr="00506895" w:rsidRDefault="00E55FCF" w:rsidP="00E55FCF">
      <w:pPr>
        <w:pStyle w:val="ListParagraph"/>
        <w:numPr>
          <w:ilvl w:val="0"/>
          <w:numId w:val="55"/>
        </w:numPr>
        <w:tabs>
          <w:tab w:val="left" w:pos="567"/>
        </w:tabs>
        <w:ind w:left="0" w:firstLine="0"/>
        <w:jc w:val="both"/>
        <w:rPr>
          <w:sz w:val="20"/>
          <w:szCs w:val="20"/>
          <w:lang w:val="es-ES"/>
        </w:rPr>
      </w:pPr>
      <w:r w:rsidRPr="00506895">
        <w:rPr>
          <w:sz w:val="20"/>
          <w:szCs w:val="20"/>
          <w:lang w:val="es-ES"/>
        </w:rPr>
        <w:t xml:space="preserve">La Comisión destaca que la cuestión del alcance del derecho a la información sobre la asistencia consular fue tratada en el caso “Vélez Loor Vs. Panamá”. En dicho caso, la Comisión indicó que </w:t>
      </w:r>
      <w:r w:rsidRPr="00506895">
        <w:rPr>
          <w:sz w:val="20"/>
          <w:szCs w:val="20"/>
          <w:lang w:val="es-AR"/>
        </w:rPr>
        <w:t xml:space="preserve"> “el derecho a la asistencia consular implica que la persona detenida o sometida a proceso sea informada de su derecho de contactarse con el consulado y le sean proporcionados los medios para ello, lo cual no ocurrió en el presente caso, pues el Estado panameño decidió unilateralmente informar al Estado ecuatoriano sobre la situación, sin disponer medio </w:t>
      </w:r>
      <w:r w:rsidRPr="00506895">
        <w:rPr>
          <w:sz w:val="20"/>
          <w:szCs w:val="20"/>
          <w:lang w:val="es-AR"/>
        </w:rPr>
        <w:lastRenderedPageBreak/>
        <w:t>alguno para que fuera la víctima quien entrara en contacto con su consulado y solicitara el apoyo que requería”</w:t>
      </w:r>
      <w:r w:rsidRPr="00506895">
        <w:rPr>
          <w:rStyle w:val="FootnoteReference"/>
          <w:sz w:val="20"/>
          <w:szCs w:val="20"/>
          <w:lang w:val="es-AR"/>
        </w:rPr>
        <w:footnoteReference w:id="45"/>
      </w:r>
      <w:r w:rsidRPr="00506895">
        <w:rPr>
          <w:sz w:val="20"/>
          <w:szCs w:val="20"/>
          <w:lang w:val="es-AR"/>
        </w:rPr>
        <w:t xml:space="preserve"> </w:t>
      </w:r>
    </w:p>
    <w:p w14:paraId="223A478E" w14:textId="77777777" w:rsidR="00E55FCF" w:rsidRPr="00506895" w:rsidRDefault="00E55FCF" w:rsidP="00E55FCF">
      <w:pPr>
        <w:pStyle w:val="ListParagraph"/>
        <w:tabs>
          <w:tab w:val="left" w:pos="567"/>
        </w:tabs>
        <w:ind w:left="0"/>
        <w:jc w:val="both"/>
        <w:rPr>
          <w:sz w:val="20"/>
          <w:szCs w:val="20"/>
          <w:lang w:val="es-ES"/>
        </w:rPr>
      </w:pPr>
    </w:p>
    <w:p w14:paraId="30D7D1D4" w14:textId="77777777" w:rsidR="00E55FCF" w:rsidRPr="00506895" w:rsidRDefault="00E55FCF" w:rsidP="00E55FCF">
      <w:pPr>
        <w:pStyle w:val="ListParagraph"/>
        <w:numPr>
          <w:ilvl w:val="0"/>
          <w:numId w:val="55"/>
        </w:numPr>
        <w:tabs>
          <w:tab w:val="left" w:pos="567"/>
        </w:tabs>
        <w:ind w:left="0" w:firstLine="0"/>
        <w:jc w:val="both"/>
        <w:rPr>
          <w:sz w:val="20"/>
          <w:szCs w:val="20"/>
          <w:lang w:val="es-ES"/>
        </w:rPr>
      </w:pPr>
      <w:r w:rsidRPr="00506895">
        <w:rPr>
          <w:sz w:val="20"/>
          <w:szCs w:val="20"/>
          <w:lang w:val="es-ES"/>
        </w:rPr>
        <w:t xml:space="preserve">Por su parte, la Corte Interamericana </w:t>
      </w:r>
      <w:r w:rsidR="00DC5CC2" w:rsidRPr="00506895">
        <w:rPr>
          <w:sz w:val="20"/>
          <w:szCs w:val="20"/>
          <w:lang w:val="es-ES"/>
        </w:rPr>
        <w:t>en el referido caso concluyó</w:t>
      </w:r>
      <w:r w:rsidRPr="00506895">
        <w:rPr>
          <w:sz w:val="20"/>
          <w:szCs w:val="20"/>
          <w:lang w:val="es-ES"/>
        </w:rPr>
        <w:t xml:space="preserve"> que del “</w:t>
      </w:r>
      <w:r w:rsidRPr="00506895">
        <w:rPr>
          <w:sz w:val="20"/>
          <w:szCs w:val="20"/>
          <w:lang w:val="es-AR"/>
        </w:rPr>
        <w:t>expediente obrante ante la Corte no se desprende elemento probatorio alguno que demuestre que el Estado haya notificado al señor Vélez Loor, como detenido extranjero, su derecho a comunicarse con un funcionario consular de su país, a fin de procurar la asistencia reconocida en el artículo 36.1.b de la Convención de Viena sobre Relaciones Consulares. La Corte considera que correspondía al Estado demostrar que en el presente caso cumplió con la obligación de notificar al señor Vélez Loor el derecho a la asistencia consular que asiste a todo extranjero detenido y no sólo a la Embajada de Ecuador”</w:t>
      </w:r>
      <w:r w:rsidRPr="00506895">
        <w:rPr>
          <w:rStyle w:val="FootnoteReference"/>
          <w:sz w:val="20"/>
          <w:szCs w:val="20"/>
          <w:lang w:val="es-AR"/>
        </w:rPr>
        <w:footnoteReference w:id="46"/>
      </w:r>
      <w:r w:rsidR="00DC5CC2" w:rsidRPr="00506895">
        <w:rPr>
          <w:sz w:val="20"/>
          <w:szCs w:val="20"/>
          <w:lang w:val="es-AR"/>
        </w:rPr>
        <w:t>. E</w:t>
      </w:r>
      <w:r w:rsidRPr="00506895">
        <w:rPr>
          <w:sz w:val="20"/>
          <w:szCs w:val="20"/>
          <w:lang w:val="es-AR"/>
        </w:rPr>
        <w:t xml:space="preserve">n </w:t>
      </w:r>
      <w:r w:rsidR="00DC5CC2" w:rsidRPr="00506895">
        <w:rPr>
          <w:sz w:val="20"/>
          <w:szCs w:val="20"/>
          <w:lang w:val="es-AR"/>
        </w:rPr>
        <w:t>vista de lo anterior</w:t>
      </w:r>
      <w:r w:rsidRPr="00506895">
        <w:rPr>
          <w:sz w:val="20"/>
          <w:szCs w:val="20"/>
          <w:lang w:val="es-AR"/>
        </w:rPr>
        <w:t xml:space="preserve">, </w:t>
      </w:r>
      <w:r w:rsidR="00DC5CC2" w:rsidRPr="00506895">
        <w:rPr>
          <w:sz w:val="20"/>
          <w:szCs w:val="20"/>
          <w:lang w:val="es-AR"/>
        </w:rPr>
        <w:t xml:space="preserve">la Corte </w:t>
      </w:r>
      <w:r w:rsidRPr="00506895">
        <w:rPr>
          <w:sz w:val="20"/>
          <w:szCs w:val="20"/>
          <w:lang w:val="es-AR"/>
        </w:rPr>
        <w:t>declaró la violación de los derechos a la defensa y al debido proceso en perjuicio de la víctima del caso</w:t>
      </w:r>
      <w:r w:rsidRPr="00506895">
        <w:rPr>
          <w:rStyle w:val="FootnoteReference"/>
          <w:sz w:val="20"/>
          <w:szCs w:val="20"/>
          <w:lang w:val="es-AR"/>
        </w:rPr>
        <w:footnoteReference w:id="47"/>
      </w:r>
      <w:r w:rsidRPr="00506895">
        <w:rPr>
          <w:sz w:val="20"/>
          <w:szCs w:val="20"/>
          <w:lang w:val="es-AR"/>
        </w:rPr>
        <w:t xml:space="preserve">. </w:t>
      </w:r>
    </w:p>
    <w:p w14:paraId="6299712E" w14:textId="77777777" w:rsidR="00E55FCF" w:rsidRPr="00506895" w:rsidRDefault="00E55FCF" w:rsidP="00DC5CC2">
      <w:pPr>
        <w:pStyle w:val="ListParagraph"/>
        <w:tabs>
          <w:tab w:val="left" w:pos="567"/>
        </w:tabs>
        <w:ind w:left="0"/>
        <w:jc w:val="both"/>
        <w:rPr>
          <w:sz w:val="20"/>
          <w:szCs w:val="20"/>
          <w:lang w:val="es-ES"/>
        </w:rPr>
      </w:pPr>
    </w:p>
    <w:p w14:paraId="3397D046" w14:textId="77777777" w:rsidR="005E5134" w:rsidRPr="00407A7B" w:rsidRDefault="0090515E" w:rsidP="005E5134">
      <w:pPr>
        <w:pStyle w:val="ListParagraph"/>
        <w:numPr>
          <w:ilvl w:val="0"/>
          <w:numId w:val="55"/>
        </w:numPr>
        <w:tabs>
          <w:tab w:val="left" w:pos="567"/>
        </w:tabs>
        <w:ind w:left="0" w:firstLine="0"/>
        <w:jc w:val="both"/>
        <w:rPr>
          <w:sz w:val="20"/>
          <w:szCs w:val="20"/>
          <w:lang w:val="es-ES"/>
        </w:rPr>
      </w:pPr>
      <w:r w:rsidRPr="00506895">
        <w:rPr>
          <w:sz w:val="20"/>
          <w:szCs w:val="20"/>
          <w:lang w:val="es-ES"/>
        </w:rPr>
        <w:t xml:space="preserve"> En </w:t>
      </w:r>
      <w:r w:rsidR="00506895" w:rsidRPr="00506895">
        <w:rPr>
          <w:sz w:val="20"/>
          <w:szCs w:val="20"/>
          <w:lang w:val="es-ES"/>
        </w:rPr>
        <w:t>consecuencia, teniendo</w:t>
      </w:r>
      <w:r w:rsidR="00AE7E44" w:rsidRPr="00506895">
        <w:rPr>
          <w:sz w:val="20"/>
          <w:szCs w:val="20"/>
          <w:lang w:val="es-ES"/>
        </w:rPr>
        <w:t xml:space="preserve"> presente la sentencia de la Corte IDH en el caso “</w:t>
      </w:r>
      <w:r w:rsidR="00222ABD" w:rsidRPr="00506895">
        <w:rPr>
          <w:sz w:val="20"/>
          <w:szCs w:val="20"/>
          <w:lang w:val="es-ES"/>
        </w:rPr>
        <w:t>Vélez</w:t>
      </w:r>
      <w:r w:rsidR="00AE7E44" w:rsidRPr="00506895">
        <w:rPr>
          <w:sz w:val="20"/>
          <w:szCs w:val="20"/>
          <w:lang w:val="es-ES"/>
        </w:rPr>
        <w:t xml:space="preserve"> Loor Vs. </w:t>
      </w:r>
      <w:r w:rsidR="00222ABD" w:rsidRPr="00506895">
        <w:rPr>
          <w:sz w:val="20"/>
          <w:szCs w:val="20"/>
          <w:lang w:val="es-ES"/>
        </w:rPr>
        <w:t>Panamá</w:t>
      </w:r>
      <w:r w:rsidR="00AE7E44" w:rsidRPr="00506895">
        <w:rPr>
          <w:sz w:val="20"/>
          <w:szCs w:val="20"/>
          <w:lang w:val="es-ES"/>
        </w:rPr>
        <w:t>”</w:t>
      </w:r>
      <w:r w:rsidR="00DC5CC2" w:rsidRPr="00506895">
        <w:rPr>
          <w:sz w:val="20"/>
          <w:szCs w:val="20"/>
          <w:lang w:val="es-ES"/>
        </w:rPr>
        <w:t xml:space="preserve"> y el hecho de que no se ha acreditado que la presunta víctima hubiere sido </w:t>
      </w:r>
      <w:r w:rsidR="00506895" w:rsidRPr="00506895">
        <w:rPr>
          <w:sz w:val="20"/>
          <w:szCs w:val="20"/>
          <w:lang w:val="es-ES"/>
        </w:rPr>
        <w:t>notificada</w:t>
      </w:r>
      <w:r w:rsidR="00DC5CC2" w:rsidRPr="00506895">
        <w:rPr>
          <w:sz w:val="20"/>
          <w:szCs w:val="20"/>
          <w:lang w:val="es-ES"/>
        </w:rPr>
        <w:t xml:space="preserve"> de su derecho a comunicarse con un funcionario consultar</w:t>
      </w:r>
      <w:r w:rsidR="00222ABD" w:rsidRPr="00506895">
        <w:rPr>
          <w:sz w:val="20"/>
          <w:szCs w:val="20"/>
          <w:lang w:val="es-ES"/>
        </w:rPr>
        <w:t>, la</w:t>
      </w:r>
      <w:r w:rsidR="00DC5CC2" w:rsidRPr="00506895">
        <w:rPr>
          <w:sz w:val="20"/>
          <w:szCs w:val="20"/>
          <w:lang w:val="es-ES"/>
        </w:rPr>
        <w:t xml:space="preserve"> CIDH concluye</w:t>
      </w:r>
      <w:r w:rsidRPr="00506895">
        <w:rPr>
          <w:sz w:val="20"/>
          <w:szCs w:val="20"/>
          <w:lang w:val="es-ES"/>
        </w:rPr>
        <w:t xml:space="preserve"> que el Estado resulta responsable por la violación </w:t>
      </w:r>
      <w:r w:rsidR="00094D13" w:rsidRPr="00506895">
        <w:rPr>
          <w:sz w:val="20"/>
          <w:szCs w:val="20"/>
          <w:lang w:val="es-ES"/>
        </w:rPr>
        <w:t>de los artículos 7.4 y 8.2 de la Convención Americana en relación con el artículo 1.1 del mismo tratado</w:t>
      </w:r>
      <w:r w:rsidR="00094D13" w:rsidRPr="00407A7B">
        <w:rPr>
          <w:sz w:val="20"/>
          <w:szCs w:val="20"/>
          <w:lang w:val="es-ES"/>
        </w:rPr>
        <w:t xml:space="preserve">. </w:t>
      </w:r>
    </w:p>
    <w:p w14:paraId="621DC9BF" w14:textId="77777777" w:rsidR="005E5134" w:rsidRPr="00407A7B" w:rsidRDefault="005E5134" w:rsidP="005E5134">
      <w:pPr>
        <w:pStyle w:val="ListParagraph"/>
        <w:ind w:left="0"/>
        <w:rPr>
          <w:sz w:val="20"/>
          <w:szCs w:val="20"/>
          <w:lang w:val="es-ES"/>
        </w:rPr>
      </w:pPr>
    </w:p>
    <w:p w14:paraId="2BD186B2" w14:textId="77777777" w:rsidR="00A6037E" w:rsidRPr="00407A7B" w:rsidRDefault="00F92BE7" w:rsidP="00A6037E">
      <w:pPr>
        <w:pStyle w:val="Heading2"/>
        <w:numPr>
          <w:ilvl w:val="0"/>
          <w:numId w:val="62"/>
        </w:numPr>
      </w:pPr>
      <w:bookmarkStart w:id="36" w:name="_Toc54369877"/>
      <w:r w:rsidRPr="00407A7B">
        <w:t xml:space="preserve">Derecho a </w:t>
      </w:r>
      <w:r w:rsidR="00B01835" w:rsidRPr="00407A7B">
        <w:t>la libertad personal, a la integridad personal y derecho a la salud (</w:t>
      </w:r>
      <w:r w:rsidR="00B00AA7" w:rsidRPr="00407A7B">
        <w:t>arts.</w:t>
      </w:r>
      <w:r w:rsidR="00B01835" w:rsidRPr="00407A7B">
        <w:t xml:space="preserve"> 7, 5 y 26 de la Convención Americana de Derechos Humanos en relación con su artículo 1.1)</w:t>
      </w:r>
      <w:bookmarkEnd w:id="36"/>
      <w:r w:rsidR="00B01835" w:rsidRPr="00407A7B">
        <w:t xml:space="preserve"> </w:t>
      </w:r>
    </w:p>
    <w:p w14:paraId="20291A21" w14:textId="77777777" w:rsidR="00EE23F5" w:rsidRPr="00407A7B" w:rsidRDefault="00EE23F5" w:rsidP="00EE23F5">
      <w:pPr>
        <w:rPr>
          <w:rFonts w:ascii="Cambria" w:hAnsi="Cambria"/>
          <w:sz w:val="20"/>
          <w:szCs w:val="20"/>
          <w:lang w:val="es-ES" w:eastAsia="es-ES"/>
        </w:rPr>
      </w:pPr>
    </w:p>
    <w:p w14:paraId="63DC380E" w14:textId="77777777" w:rsidR="00A6037E" w:rsidRPr="00407A7B" w:rsidRDefault="00B01835" w:rsidP="0097352B">
      <w:pPr>
        <w:pStyle w:val="Heading3"/>
        <w:numPr>
          <w:ilvl w:val="0"/>
          <w:numId w:val="71"/>
        </w:numPr>
        <w:spacing w:before="0" w:after="0"/>
      </w:pPr>
      <w:bookmarkStart w:id="37" w:name="_Toc54369878"/>
      <w:r w:rsidRPr="00407A7B">
        <w:t xml:space="preserve">Estándares generales sobre </w:t>
      </w:r>
      <w:r w:rsidR="00B00AA7" w:rsidRPr="00407A7B">
        <w:t>el derecho a la libertad, a la integridad personal y a la salud con respecto a personas sujetas a una medida de detención preventiva</w:t>
      </w:r>
      <w:bookmarkEnd w:id="37"/>
    </w:p>
    <w:p w14:paraId="125F69A6" w14:textId="77777777" w:rsidR="00A6037E" w:rsidRPr="00407A7B" w:rsidRDefault="00A6037E" w:rsidP="00A6037E">
      <w:pPr>
        <w:rPr>
          <w:rFonts w:ascii="Cambria" w:hAnsi="Cambria"/>
          <w:sz w:val="20"/>
          <w:szCs w:val="20"/>
          <w:lang w:val="es-ES_tradnl"/>
        </w:rPr>
      </w:pPr>
    </w:p>
    <w:p w14:paraId="7164C2BE" w14:textId="77777777" w:rsidR="00790411" w:rsidRPr="00407A7B" w:rsidRDefault="00790411" w:rsidP="00790411">
      <w:pPr>
        <w:pStyle w:val="ListParagraph"/>
        <w:numPr>
          <w:ilvl w:val="0"/>
          <w:numId w:val="55"/>
        </w:numPr>
        <w:tabs>
          <w:tab w:val="left" w:pos="567"/>
        </w:tabs>
        <w:ind w:left="0" w:firstLine="0"/>
        <w:jc w:val="both"/>
        <w:rPr>
          <w:sz w:val="20"/>
          <w:szCs w:val="20"/>
          <w:lang w:val="es-AR"/>
        </w:rPr>
      </w:pPr>
      <w:r w:rsidRPr="00407A7B">
        <w:rPr>
          <w:rFonts w:cs="Arial"/>
          <w:sz w:val="20"/>
          <w:lang w:val="es-MX"/>
        </w:rPr>
        <w:t xml:space="preserve">La Corte ha señalado que </w:t>
      </w:r>
      <w:r w:rsidR="000749E0" w:rsidRPr="00407A7B">
        <w:rPr>
          <w:rFonts w:cs="Arial"/>
          <w:sz w:val="20"/>
          <w:lang w:val="es-MX"/>
        </w:rPr>
        <w:t>la prisión preventiva</w:t>
      </w:r>
      <w:r w:rsidRPr="00407A7B">
        <w:rPr>
          <w:rFonts w:cs="Arial"/>
          <w:sz w:val="20"/>
          <w:lang w:val="es-MX"/>
        </w:rPr>
        <w:t xml:space="preserve"> se encuentra limitada </w:t>
      </w:r>
      <w:r w:rsidRPr="00407A7B">
        <w:rPr>
          <w:sz w:val="20"/>
          <w:lang w:val="es-ES"/>
        </w:rPr>
        <w:t>por los principios de legalidad, presunción de inocencia, necesidad y proporcionalidad, indispensables en una sociedad democrática</w:t>
      </w:r>
      <w:r w:rsidRPr="00407A7B">
        <w:rPr>
          <w:rStyle w:val="FootnoteReference"/>
          <w:sz w:val="20"/>
        </w:rPr>
        <w:footnoteReference w:id="48"/>
      </w:r>
      <w:r w:rsidRPr="00407A7B">
        <w:rPr>
          <w:sz w:val="20"/>
          <w:lang w:val="es-ES"/>
        </w:rPr>
        <w:t>. Asimismo, ha indicado que se trata de una medida cautelar y no punitiva</w:t>
      </w:r>
      <w:r w:rsidRPr="00407A7B">
        <w:rPr>
          <w:rStyle w:val="FootnoteReference"/>
          <w:sz w:val="20"/>
        </w:rPr>
        <w:footnoteReference w:id="49"/>
      </w:r>
      <w:r w:rsidRPr="00407A7B">
        <w:rPr>
          <w:sz w:val="20"/>
          <w:lang w:val="es-ES"/>
        </w:rPr>
        <w:t xml:space="preserve"> y que es la más severa que se puede imponer al imputado por lo que debe aplicarse excepcionalmente. En consideración de ese Tribunal, la regla debe ser la libertad del procesado mientras se resuelve acerca de su responsabilidad penal</w:t>
      </w:r>
      <w:r w:rsidRPr="00407A7B">
        <w:rPr>
          <w:rStyle w:val="FootnoteReference"/>
          <w:sz w:val="20"/>
        </w:rPr>
        <w:footnoteReference w:id="50"/>
      </w:r>
      <w:r w:rsidRPr="00407A7B">
        <w:rPr>
          <w:sz w:val="20"/>
          <w:lang w:val="es-ES"/>
        </w:rPr>
        <w:t>. La Corte ha resaltado que las características personales del supuesto autor y la gravedad del delito que se le imputa no son, por sí mismos, justificación suficiente de la prisión preventiva</w:t>
      </w:r>
      <w:r w:rsidRPr="00407A7B">
        <w:rPr>
          <w:rStyle w:val="FootnoteReference"/>
          <w:sz w:val="20"/>
        </w:rPr>
        <w:footnoteReference w:id="51"/>
      </w:r>
      <w:r w:rsidRPr="00407A7B">
        <w:rPr>
          <w:sz w:val="20"/>
          <w:lang w:val="es-ES"/>
        </w:rPr>
        <w:t>.</w:t>
      </w:r>
      <w:r w:rsidRPr="00407A7B">
        <w:rPr>
          <w:rFonts w:cs="Univers"/>
          <w:sz w:val="20"/>
          <w:lang w:val="es-ES"/>
        </w:rPr>
        <w:t xml:space="preserve"> </w:t>
      </w:r>
    </w:p>
    <w:p w14:paraId="418FF121" w14:textId="77777777" w:rsidR="00531240" w:rsidRPr="00407A7B" w:rsidRDefault="00531240" w:rsidP="00531240">
      <w:pPr>
        <w:pStyle w:val="ListParagraph"/>
        <w:tabs>
          <w:tab w:val="left" w:pos="567"/>
        </w:tabs>
        <w:ind w:left="0"/>
        <w:jc w:val="both"/>
        <w:rPr>
          <w:sz w:val="20"/>
          <w:szCs w:val="20"/>
          <w:lang w:val="es-AR"/>
        </w:rPr>
      </w:pPr>
    </w:p>
    <w:p w14:paraId="4A224D70" w14:textId="77777777" w:rsidR="00790411" w:rsidRPr="00407A7B" w:rsidRDefault="00790411" w:rsidP="00790411">
      <w:pPr>
        <w:pStyle w:val="ListParagraph"/>
        <w:numPr>
          <w:ilvl w:val="0"/>
          <w:numId w:val="55"/>
        </w:numPr>
        <w:tabs>
          <w:tab w:val="left" w:pos="567"/>
        </w:tabs>
        <w:ind w:left="0" w:firstLine="0"/>
        <w:jc w:val="both"/>
        <w:rPr>
          <w:sz w:val="20"/>
          <w:szCs w:val="20"/>
          <w:lang w:val="es-AR"/>
        </w:rPr>
      </w:pPr>
      <w:r w:rsidRPr="00407A7B">
        <w:rPr>
          <w:sz w:val="20"/>
          <w:lang w:val="es-ES"/>
        </w:rPr>
        <w:t xml:space="preserve">Respecto de las razones que pueden justificar la detención preventiva, los órganos del sistema han </w:t>
      </w:r>
      <w:r w:rsidRPr="00407A7B">
        <w:rPr>
          <w:rFonts w:cs="Arial"/>
          <w:sz w:val="20"/>
          <w:lang w:val="es-MX"/>
        </w:rPr>
        <w:t>interpretado</w:t>
      </w:r>
      <w:r w:rsidRPr="00407A7B">
        <w:rPr>
          <w:sz w:val="20"/>
          <w:lang w:val="es-ES"/>
        </w:rPr>
        <w:t xml:space="preserve"> el artículo 7.3 de la Convención Americana en el sentido de que los indicios de responsabilidad son condición necesaria pero no suficiente para imponer tal medida. </w:t>
      </w:r>
      <w:r w:rsidRPr="00407A7B">
        <w:rPr>
          <w:sz w:val="20"/>
          <w:lang w:val="es-US"/>
        </w:rPr>
        <w:t>En palabras de la Corte</w:t>
      </w:r>
      <w:r w:rsidR="00531240" w:rsidRPr="00407A7B">
        <w:rPr>
          <w:sz w:val="20"/>
          <w:lang w:val="es-US"/>
        </w:rPr>
        <w:t xml:space="preserve">: </w:t>
      </w:r>
    </w:p>
    <w:p w14:paraId="2101A259" w14:textId="77777777" w:rsidR="00790411" w:rsidRPr="00407A7B" w:rsidRDefault="00790411" w:rsidP="00790411">
      <w:pPr>
        <w:ind w:left="720" w:right="720"/>
        <w:jc w:val="both"/>
        <w:rPr>
          <w:rFonts w:ascii="Cambria" w:hAnsi="Cambria"/>
          <w:sz w:val="20"/>
          <w:lang w:val="es-US"/>
        </w:rPr>
      </w:pPr>
    </w:p>
    <w:p w14:paraId="56BDEFF2" w14:textId="77777777" w:rsidR="00790411" w:rsidRPr="00407A7B" w:rsidRDefault="00790411" w:rsidP="00790411">
      <w:pPr>
        <w:ind w:left="720" w:right="720"/>
        <w:jc w:val="both"/>
        <w:rPr>
          <w:rFonts w:ascii="Cambria" w:hAnsi="Cambria"/>
          <w:sz w:val="20"/>
          <w:lang w:val="es-ES"/>
        </w:rPr>
      </w:pPr>
      <w:r w:rsidRPr="00407A7B">
        <w:rPr>
          <w:rFonts w:ascii="Cambria" w:hAnsi="Cambria"/>
          <w:sz w:val="20"/>
          <w:lang w:val="es-ES"/>
        </w:rPr>
        <w:lastRenderedPageBreak/>
        <w:t>deben existir indicios suficientes que permitan suponer razonablemente que la persona sometida a proceso ha participado en el ilícito que se investiga</w:t>
      </w:r>
      <w:r w:rsidRPr="00407A7B">
        <w:rPr>
          <w:rStyle w:val="FootnoteReference"/>
          <w:rFonts w:ascii="Cambria" w:hAnsi="Cambria"/>
          <w:sz w:val="20"/>
        </w:rPr>
        <w:footnoteReference w:id="52"/>
      </w:r>
      <w:r w:rsidRPr="00407A7B">
        <w:rPr>
          <w:rFonts w:ascii="Cambria" w:hAnsi="Cambria"/>
          <w:sz w:val="20"/>
          <w:lang w:val="es-ES"/>
        </w:rPr>
        <w:t>. Sin embargo, “aún verificado este extremo, la privación de libertad del imputado no puede residir en fines preventivo-generales o preventivo-especiales atribuibles a la pena, sino que sólo se puede fundamentar […] en un fin legítimo, a saber: asegurar que el acusado no impedirá el desarrollo del procedimiento ni eludirá la acción de la justicia”</w:t>
      </w:r>
      <w:r w:rsidRPr="00407A7B">
        <w:rPr>
          <w:rStyle w:val="FootnoteReference"/>
          <w:rFonts w:ascii="Cambria" w:hAnsi="Cambria"/>
          <w:sz w:val="20"/>
        </w:rPr>
        <w:footnoteReference w:id="53"/>
      </w:r>
      <w:r w:rsidRPr="00407A7B">
        <w:rPr>
          <w:rFonts w:ascii="Cambria" w:hAnsi="Cambria"/>
          <w:sz w:val="20"/>
          <w:lang w:val="es-ES"/>
        </w:rPr>
        <w:t>.</w:t>
      </w:r>
    </w:p>
    <w:p w14:paraId="4FAAF8EB" w14:textId="77777777" w:rsidR="00790411" w:rsidRPr="00407A7B" w:rsidRDefault="00790411" w:rsidP="00790411">
      <w:pPr>
        <w:jc w:val="both"/>
        <w:rPr>
          <w:rFonts w:ascii="Cambria" w:hAnsi="Cambria"/>
          <w:sz w:val="20"/>
          <w:lang w:val="es-UY"/>
        </w:rPr>
      </w:pPr>
    </w:p>
    <w:p w14:paraId="6D1C3FB0" w14:textId="77777777" w:rsidR="00790411" w:rsidRPr="00407A7B" w:rsidRDefault="00790411" w:rsidP="00790411">
      <w:pPr>
        <w:pStyle w:val="ListParagraph"/>
        <w:numPr>
          <w:ilvl w:val="0"/>
          <w:numId w:val="55"/>
        </w:numPr>
        <w:tabs>
          <w:tab w:val="left" w:pos="567"/>
        </w:tabs>
        <w:ind w:left="0" w:firstLine="0"/>
        <w:jc w:val="both"/>
        <w:rPr>
          <w:sz w:val="20"/>
          <w:lang w:val="es-UY"/>
        </w:rPr>
      </w:pPr>
      <w:r w:rsidRPr="00407A7B">
        <w:rPr>
          <w:sz w:val="20"/>
          <w:lang w:val="es-ES"/>
        </w:rPr>
        <w:t xml:space="preserve">Además, esto implica una obligación de motivar de manera suficiente la consecución de un fin legítimo </w:t>
      </w:r>
      <w:r w:rsidRPr="00407A7B">
        <w:rPr>
          <w:rFonts w:cs="Arial"/>
          <w:sz w:val="20"/>
          <w:lang w:val="es-MX"/>
        </w:rPr>
        <w:t>compatible</w:t>
      </w:r>
      <w:r w:rsidRPr="00407A7B">
        <w:rPr>
          <w:sz w:val="20"/>
          <w:lang w:val="es-ES"/>
        </w:rPr>
        <w:t xml:space="preserve"> con estos estándares al momento de decretar la detención preventiva. </w:t>
      </w:r>
      <w:r w:rsidRPr="00407A7B">
        <w:rPr>
          <w:sz w:val="20"/>
        </w:rPr>
        <w:t xml:space="preserve">De lo </w:t>
      </w:r>
      <w:r w:rsidRPr="00407A7B">
        <w:rPr>
          <w:sz w:val="20"/>
          <w:lang w:val="es-ES"/>
        </w:rPr>
        <w:t>contrario, la misma debe considerarse arbitraria</w:t>
      </w:r>
      <w:r w:rsidRPr="00407A7B">
        <w:rPr>
          <w:rStyle w:val="FootnoteReference"/>
          <w:sz w:val="20"/>
          <w:lang w:val="es-ES"/>
        </w:rPr>
        <w:footnoteReference w:id="54"/>
      </w:r>
      <w:r w:rsidRPr="00407A7B">
        <w:rPr>
          <w:sz w:val="20"/>
          <w:lang w:val="es-ES"/>
        </w:rPr>
        <w:t xml:space="preserve">.  </w:t>
      </w:r>
    </w:p>
    <w:p w14:paraId="6FC4277D" w14:textId="77777777" w:rsidR="00A21B6F" w:rsidRPr="00407A7B" w:rsidRDefault="00A21B6F" w:rsidP="00790411">
      <w:pPr>
        <w:tabs>
          <w:tab w:val="left" w:pos="567"/>
        </w:tabs>
        <w:rPr>
          <w:sz w:val="20"/>
          <w:szCs w:val="20"/>
          <w:lang w:val="es-ES_tradnl"/>
        </w:rPr>
      </w:pPr>
    </w:p>
    <w:p w14:paraId="532BDD9F" w14:textId="77777777" w:rsidR="00662052" w:rsidRPr="00407A7B" w:rsidRDefault="00A21B6F" w:rsidP="00211EEF">
      <w:pPr>
        <w:pStyle w:val="ListParagraph"/>
        <w:numPr>
          <w:ilvl w:val="0"/>
          <w:numId w:val="55"/>
        </w:numPr>
        <w:tabs>
          <w:tab w:val="left" w:pos="567"/>
        </w:tabs>
        <w:ind w:left="0" w:firstLine="0"/>
        <w:jc w:val="both"/>
        <w:rPr>
          <w:sz w:val="20"/>
          <w:szCs w:val="20"/>
          <w:lang w:val="es-ES"/>
        </w:rPr>
      </w:pPr>
      <w:r w:rsidRPr="00407A7B">
        <w:rPr>
          <w:sz w:val="20"/>
          <w:szCs w:val="20"/>
          <w:lang w:val="es-ES"/>
        </w:rPr>
        <w:t>Por otra parte, cuando un Estado priva de la libertad a una persona, adquiere la obligación de garantizar el pleno goce y ejercicio de todos sus derechos humanos, con las únicas limitaciones derivadas razonablemente de la reclusión en condiciones de dignidad. Esta posición de especial garante se explica por el hecho de que las autoridades penitenciarias ejercen un fuerte control o dominio sobre quienes están sujetos a su custodia</w:t>
      </w:r>
      <w:r w:rsidRPr="00407A7B">
        <w:rPr>
          <w:rStyle w:val="FootnoteReference"/>
          <w:bCs/>
          <w:sz w:val="20"/>
          <w:szCs w:val="20"/>
          <w:lang w:val="es-ES"/>
        </w:rPr>
        <w:footnoteReference w:id="55"/>
      </w:r>
      <w:r w:rsidRPr="00407A7B">
        <w:rPr>
          <w:sz w:val="20"/>
          <w:szCs w:val="20"/>
          <w:lang w:val="es-ES"/>
        </w:rPr>
        <w:t xml:space="preserve">, e implica para el Estado la responsabilidad especial de garantizar que la privación de libertad permita al recluso desarrollar una vida digna y </w:t>
      </w:r>
      <w:r w:rsidRPr="00407A7B">
        <w:rPr>
          <w:iCs/>
          <w:sz w:val="20"/>
          <w:szCs w:val="20"/>
          <w:lang w:val="es-ES"/>
        </w:rPr>
        <w:t>“contribuir al goce efectivo de aquellos derechos que bajo ninguna circunstancia pueden restringirse o de aquéllos cuya restricción no deriva necesariamente de la privación de libertad y que, por tanto, no es permisible”</w:t>
      </w:r>
      <w:r w:rsidRPr="00407A7B">
        <w:rPr>
          <w:rStyle w:val="FootnoteReference"/>
          <w:bCs/>
          <w:sz w:val="20"/>
          <w:szCs w:val="20"/>
          <w:lang w:val="es-ES"/>
        </w:rPr>
        <w:footnoteReference w:id="56"/>
      </w:r>
    </w:p>
    <w:p w14:paraId="54E1F64D" w14:textId="77777777" w:rsidR="00662052" w:rsidRPr="00407A7B" w:rsidRDefault="00662052" w:rsidP="00211EEF">
      <w:pPr>
        <w:pStyle w:val="ListParagraph"/>
        <w:tabs>
          <w:tab w:val="left" w:pos="567"/>
        </w:tabs>
        <w:rPr>
          <w:sz w:val="20"/>
          <w:szCs w:val="20"/>
          <w:lang w:val="es-ES"/>
        </w:rPr>
      </w:pPr>
    </w:p>
    <w:p w14:paraId="7BB2C422" w14:textId="77777777" w:rsidR="00790411" w:rsidRPr="00407A7B" w:rsidRDefault="00790411" w:rsidP="00790411">
      <w:pPr>
        <w:pStyle w:val="ListParagraph"/>
        <w:numPr>
          <w:ilvl w:val="0"/>
          <w:numId w:val="55"/>
        </w:numPr>
        <w:tabs>
          <w:tab w:val="left" w:pos="567"/>
        </w:tabs>
        <w:ind w:left="0" w:firstLine="0"/>
        <w:jc w:val="both"/>
        <w:rPr>
          <w:sz w:val="20"/>
          <w:szCs w:val="20"/>
          <w:lang w:val="es-ES"/>
        </w:rPr>
      </w:pPr>
      <w:r w:rsidRPr="00407A7B">
        <w:rPr>
          <w:sz w:val="20"/>
          <w:szCs w:val="20"/>
          <w:lang w:val="es-ES"/>
        </w:rPr>
        <w:t>En ese sentido, en el sistema interamericano se ha reconocido que el derecho a la integridad personal se halla directa e inmediatamente vinculado con la atención a la salud humana, y que la falta de atención médica adecuada puede conllevar la vulneración del artículo 5.1 de la Convención</w:t>
      </w:r>
      <w:r w:rsidRPr="00407A7B">
        <w:rPr>
          <w:rStyle w:val="FootnoteReference"/>
          <w:sz w:val="20"/>
          <w:szCs w:val="20"/>
          <w:lang w:val="es-ES"/>
        </w:rPr>
        <w:footnoteReference w:id="57"/>
      </w:r>
      <w:r w:rsidRPr="00407A7B">
        <w:rPr>
          <w:sz w:val="20"/>
          <w:szCs w:val="20"/>
          <w:lang w:val="es-ES"/>
        </w:rPr>
        <w:t>.</w:t>
      </w:r>
      <w:r w:rsidRPr="00407A7B">
        <w:rPr>
          <w:sz w:val="20"/>
          <w:szCs w:val="20"/>
          <w:lang w:val="es-US"/>
        </w:rPr>
        <w:t xml:space="preserve"> Asimismo, los órganos del sistema interamericano se han referido a la plena justiciabilidad </w:t>
      </w:r>
      <w:r w:rsidR="006B4CE2" w:rsidRPr="00407A7B">
        <w:rPr>
          <w:sz w:val="20"/>
          <w:szCs w:val="20"/>
          <w:lang w:val="es-US"/>
        </w:rPr>
        <w:t xml:space="preserve">y autonomía </w:t>
      </w:r>
      <w:r w:rsidRPr="00407A7B">
        <w:rPr>
          <w:sz w:val="20"/>
          <w:szCs w:val="20"/>
          <w:lang w:val="es-US"/>
        </w:rPr>
        <w:t>del derecho a la salud a través del artículo 26 de la Convención Americana</w:t>
      </w:r>
      <w:r w:rsidR="006B4CE2" w:rsidRPr="00407A7B">
        <w:rPr>
          <w:sz w:val="20"/>
          <w:szCs w:val="20"/>
          <w:lang w:val="es-US"/>
        </w:rPr>
        <w:t xml:space="preserve"> </w:t>
      </w:r>
      <w:r w:rsidRPr="00407A7B">
        <w:rPr>
          <w:sz w:val="20"/>
          <w:szCs w:val="20"/>
          <w:lang w:val="es-US"/>
        </w:rPr>
        <w:t>y las obligaciones que derivan del mismo</w:t>
      </w:r>
      <w:r w:rsidR="006B4CE2" w:rsidRPr="00407A7B">
        <w:rPr>
          <w:rStyle w:val="FootnoteReference"/>
          <w:sz w:val="20"/>
          <w:szCs w:val="20"/>
          <w:lang w:val="es-US"/>
        </w:rPr>
        <w:footnoteReference w:id="58"/>
      </w:r>
      <w:r w:rsidRPr="00407A7B">
        <w:rPr>
          <w:sz w:val="20"/>
          <w:szCs w:val="20"/>
          <w:lang w:val="es-US"/>
        </w:rPr>
        <w:t>.</w:t>
      </w:r>
    </w:p>
    <w:p w14:paraId="141B363A" w14:textId="77777777" w:rsidR="00790411" w:rsidRPr="00407A7B" w:rsidRDefault="00790411" w:rsidP="00790411">
      <w:pPr>
        <w:pStyle w:val="ListParagraph"/>
        <w:tabs>
          <w:tab w:val="left" w:pos="567"/>
        </w:tabs>
        <w:ind w:left="0"/>
        <w:jc w:val="both"/>
        <w:rPr>
          <w:sz w:val="20"/>
          <w:szCs w:val="20"/>
          <w:lang w:val="es-ES"/>
        </w:rPr>
      </w:pPr>
    </w:p>
    <w:p w14:paraId="72FC1BDE" w14:textId="77777777" w:rsidR="00EA3CFF" w:rsidRPr="00407A7B" w:rsidRDefault="00A21B6F" w:rsidP="00EA3CFF">
      <w:pPr>
        <w:pStyle w:val="ListParagraph"/>
        <w:numPr>
          <w:ilvl w:val="0"/>
          <w:numId w:val="55"/>
        </w:numPr>
        <w:tabs>
          <w:tab w:val="left" w:pos="567"/>
        </w:tabs>
        <w:ind w:left="0" w:firstLine="0"/>
        <w:jc w:val="both"/>
        <w:rPr>
          <w:sz w:val="20"/>
          <w:szCs w:val="20"/>
          <w:lang w:val="es-ES"/>
        </w:rPr>
      </w:pPr>
      <w:r w:rsidRPr="00407A7B">
        <w:rPr>
          <w:sz w:val="20"/>
          <w:szCs w:val="20"/>
          <w:lang w:val="es-ES"/>
        </w:rPr>
        <w:t xml:space="preserve">En lo que respecta de manera </w:t>
      </w:r>
      <w:r w:rsidR="000749E0" w:rsidRPr="00407A7B">
        <w:rPr>
          <w:sz w:val="20"/>
          <w:szCs w:val="20"/>
          <w:lang w:val="es-ES"/>
        </w:rPr>
        <w:t>específica</w:t>
      </w:r>
      <w:r w:rsidRPr="00407A7B">
        <w:rPr>
          <w:sz w:val="20"/>
          <w:szCs w:val="20"/>
          <w:lang w:val="es-ES"/>
        </w:rPr>
        <w:t xml:space="preserve"> a</w:t>
      </w:r>
      <w:r w:rsidR="00662052" w:rsidRPr="00407A7B">
        <w:rPr>
          <w:sz w:val="20"/>
          <w:szCs w:val="20"/>
          <w:lang w:val="es-ES"/>
        </w:rPr>
        <w:t xml:space="preserve">l derecho a la salud </w:t>
      </w:r>
      <w:r w:rsidRPr="00407A7B">
        <w:rPr>
          <w:sz w:val="20"/>
          <w:szCs w:val="20"/>
          <w:lang w:val="es-ES"/>
        </w:rPr>
        <w:t xml:space="preserve">de </w:t>
      </w:r>
      <w:r w:rsidR="00662052" w:rsidRPr="00407A7B">
        <w:rPr>
          <w:sz w:val="20"/>
          <w:szCs w:val="20"/>
          <w:lang w:val="es-ES"/>
        </w:rPr>
        <w:t xml:space="preserve">las </w:t>
      </w:r>
      <w:r w:rsidRPr="00407A7B">
        <w:rPr>
          <w:sz w:val="20"/>
          <w:szCs w:val="20"/>
          <w:lang w:val="es-ES"/>
        </w:rPr>
        <w:t>personas privadas de su libertad</w:t>
      </w:r>
      <w:r w:rsidR="00662052" w:rsidRPr="00407A7B">
        <w:rPr>
          <w:sz w:val="20"/>
          <w:szCs w:val="20"/>
          <w:lang w:val="es-ES"/>
        </w:rPr>
        <w:t xml:space="preserve"> que se encuentren cursando alguna clase de enfermedad, la Comisión, con cita de diversos precedentes del Tribunal Europeo de Derechos Humanos</w:t>
      </w:r>
      <w:r w:rsidR="006B4CE2" w:rsidRPr="00407A7B">
        <w:rPr>
          <w:rStyle w:val="FootnoteReference"/>
          <w:sz w:val="20"/>
          <w:szCs w:val="20"/>
          <w:lang w:val="es-ES"/>
        </w:rPr>
        <w:footnoteReference w:id="59"/>
      </w:r>
      <w:r w:rsidR="00662052" w:rsidRPr="00407A7B">
        <w:rPr>
          <w:sz w:val="20"/>
          <w:szCs w:val="20"/>
          <w:lang w:val="es-ES"/>
        </w:rPr>
        <w:t xml:space="preserve">, ha afirmado que se debe respetar el principio de equivalencia. Dicho principio consiste en que, dentro de los recintos de privación de libertad, </w:t>
      </w:r>
      <w:r w:rsidR="00E34196" w:rsidRPr="00407A7B">
        <w:rPr>
          <w:sz w:val="20"/>
          <w:szCs w:val="20"/>
          <w:lang w:val="es-ES"/>
        </w:rPr>
        <w:t>los servicios</w:t>
      </w:r>
      <w:r w:rsidR="00662052" w:rsidRPr="00407A7B">
        <w:rPr>
          <w:sz w:val="20"/>
          <w:szCs w:val="20"/>
          <w:lang w:val="es-ES"/>
        </w:rPr>
        <w:t xml:space="preserve"> de salud</w:t>
      </w:r>
      <w:r w:rsidR="00E34196" w:rsidRPr="00407A7B">
        <w:rPr>
          <w:sz w:val="20"/>
          <w:szCs w:val="20"/>
          <w:lang w:val="es-ES"/>
        </w:rPr>
        <w:t xml:space="preserve"> organizados en las prisiones </w:t>
      </w:r>
      <w:r w:rsidR="00662052" w:rsidRPr="00407A7B">
        <w:rPr>
          <w:sz w:val="20"/>
          <w:szCs w:val="20"/>
          <w:lang w:val="es-ES"/>
        </w:rPr>
        <w:t>debe</w:t>
      </w:r>
      <w:r w:rsidR="00E34196" w:rsidRPr="00407A7B">
        <w:rPr>
          <w:sz w:val="20"/>
          <w:szCs w:val="20"/>
          <w:lang w:val="es-ES"/>
        </w:rPr>
        <w:t>n</w:t>
      </w:r>
      <w:r w:rsidR="00662052" w:rsidRPr="00407A7B">
        <w:rPr>
          <w:sz w:val="20"/>
          <w:szCs w:val="20"/>
          <w:lang w:val="es-ES"/>
        </w:rPr>
        <w:t xml:space="preserve"> poder proveer tratamiento médico y de enfermería en condiciones comparables con </w:t>
      </w:r>
      <w:r w:rsidR="00662052" w:rsidRPr="00407A7B">
        <w:rPr>
          <w:sz w:val="20"/>
          <w:szCs w:val="20"/>
          <w:lang w:val="es-ES"/>
        </w:rPr>
        <w:lastRenderedPageBreak/>
        <w:t>aquellas disfrutadas por pacientes en la comunidad exterior”</w:t>
      </w:r>
      <w:r w:rsidR="00662052" w:rsidRPr="00407A7B">
        <w:rPr>
          <w:rStyle w:val="FootnoteReference"/>
          <w:sz w:val="20"/>
          <w:szCs w:val="20"/>
          <w:lang w:val="es-ES"/>
        </w:rPr>
        <w:footnoteReference w:id="60"/>
      </w:r>
      <w:r w:rsidR="00662052" w:rsidRPr="00407A7B">
        <w:rPr>
          <w:sz w:val="20"/>
          <w:szCs w:val="20"/>
          <w:lang w:val="es-ES"/>
        </w:rPr>
        <w:t xml:space="preserve"> </w:t>
      </w:r>
      <w:r w:rsidR="006B4CE2" w:rsidRPr="00407A7B">
        <w:rPr>
          <w:sz w:val="20"/>
          <w:szCs w:val="20"/>
          <w:lang w:val="es-ES"/>
        </w:rPr>
        <w:t xml:space="preserve"> Este principio igualmente ha sido reconocido por la Corte Interamericana</w:t>
      </w:r>
      <w:r w:rsidR="006B4CE2" w:rsidRPr="00407A7B">
        <w:rPr>
          <w:rStyle w:val="FootnoteReference"/>
          <w:sz w:val="20"/>
          <w:szCs w:val="20"/>
          <w:lang w:val="es-ES"/>
        </w:rPr>
        <w:footnoteReference w:id="61"/>
      </w:r>
      <w:r w:rsidR="006B4CE2" w:rsidRPr="00407A7B">
        <w:rPr>
          <w:sz w:val="20"/>
          <w:szCs w:val="20"/>
          <w:lang w:val="es-ES"/>
        </w:rPr>
        <w:t xml:space="preserve">. </w:t>
      </w:r>
    </w:p>
    <w:p w14:paraId="4CC61AD2" w14:textId="77777777" w:rsidR="00EA3CFF" w:rsidRPr="00407A7B" w:rsidRDefault="00EA3CFF" w:rsidP="00EA3CFF">
      <w:pPr>
        <w:pStyle w:val="ListParagraph"/>
        <w:jc w:val="both"/>
        <w:rPr>
          <w:sz w:val="20"/>
          <w:szCs w:val="20"/>
          <w:lang w:val="es-ES"/>
        </w:rPr>
      </w:pPr>
    </w:p>
    <w:p w14:paraId="66FFB7D6" w14:textId="77777777" w:rsidR="007D0D74" w:rsidRPr="00407A7B" w:rsidRDefault="003C14C0" w:rsidP="00EA3CFF">
      <w:pPr>
        <w:pStyle w:val="ListParagraph"/>
        <w:numPr>
          <w:ilvl w:val="0"/>
          <w:numId w:val="55"/>
        </w:numPr>
        <w:tabs>
          <w:tab w:val="left" w:pos="567"/>
        </w:tabs>
        <w:ind w:left="0" w:firstLine="0"/>
        <w:jc w:val="both"/>
        <w:rPr>
          <w:sz w:val="20"/>
          <w:szCs w:val="20"/>
          <w:lang w:val="es-ES"/>
        </w:rPr>
      </w:pPr>
      <w:r w:rsidRPr="00407A7B">
        <w:rPr>
          <w:sz w:val="20"/>
          <w:szCs w:val="20"/>
          <w:lang w:val="es-ES"/>
        </w:rPr>
        <w:t xml:space="preserve">Finalmente, en lo que se refiere a las personas portadoras del VIH/SIDA, la Corte IDH ha establecido que </w:t>
      </w:r>
      <w:r w:rsidR="00C97DC5" w:rsidRPr="00407A7B">
        <w:rPr>
          <w:sz w:val="20"/>
          <w:szCs w:val="20"/>
          <w:lang w:val="es-ES"/>
        </w:rPr>
        <w:t xml:space="preserve">garantizar el derecho a su salud requiere que </w:t>
      </w:r>
      <w:r w:rsidRPr="00407A7B">
        <w:rPr>
          <w:sz w:val="20"/>
          <w:szCs w:val="20"/>
          <w:lang w:val="es-ES"/>
        </w:rPr>
        <w:t xml:space="preserve">ellas </w:t>
      </w:r>
      <w:r w:rsidR="00C97DC5" w:rsidRPr="00407A7B">
        <w:rPr>
          <w:sz w:val="20"/>
          <w:szCs w:val="20"/>
          <w:lang w:val="es-ES"/>
        </w:rPr>
        <w:t>sean objeto de</w:t>
      </w:r>
      <w:r w:rsidRPr="00407A7B">
        <w:rPr>
          <w:sz w:val="20"/>
          <w:szCs w:val="20"/>
          <w:lang w:val="es-ES"/>
        </w:rPr>
        <w:t xml:space="preserve"> “un enfoque integral que comprende una secuencia continua de prevención, tratamiento, atención y apoyo”</w:t>
      </w:r>
      <w:r w:rsidR="00EA3CFF" w:rsidRPr="00407A7B">
        <w:rPr>
          <w:sz w:val="20"/>
          <w:szCs w:val="20"/>
          <w:lang w:val="es-ES"/>
        </w:rPr>
        <w:t xml:space="preserve"> y que el acceso a los fármacos antirreovíricos es solo uno de los elem</w:t>
      </w:r>
      <w:r w:rsidR="000749E0" w:rsidRPr="00407A7B">
        <w:rPr>
          <w:sz w:val="20"/>
          <w:szCs w:val="20"/>
          <w:lang w:val="es-ES"/>
        </w:rPr>
        <w:t>entos de una respuesta integral</w:t>
      </w:r>
      <w:r w:rsidR="000749E0" w:rsidRPr="00407A7B">
        <w:rPr>
          <w:rStyle w:val="FootnoteReference"/>
          <w:sz w:val="20"/>
          <w:szCs w:val="20"/>
          <w:lang w:val="es-US"/>
        </w:rPr>
        <w:footnoteReference w:id="62"/>
      </w:r>
      <w:r w:rsidR="000749E0" w:rsidRPr="00407A7B">
        <w:rPr>
          <w:sz w:val="20"/>
          <w:szCs w:val="20"/>
          <w:lang w:val="es-ES"/>
        </w:rPr>
        <w:t>.</w:t>
      </w:r>
      <w:r w:rsidR="00EA3CFF" w:rsidRPr="00407A7B">
        <w:rPr>
          <w:sz w:val="20"/>
          <w:szCs w:val="20"/>
          <w:lang w:val="es-ES"/>
        </w:rPr>
        <w:t>De forma similar, el Consejo de Derechos Humanos de las Naciones Unidas ha reconocido que “el acceso a la medicación en el contexto de pandemias como las de VIH/SIDA, tuberculosis, y paludismo es uno de los elementos fundamentales para alcanzar gradualmente el ejercicio pleno del derecho de toda persona al disfrute del más alto nivel posible de salud física y mental”</w:t>
      </w:r>
      <w:r w:rsidR="00EA3CFF" w:rsidRPr="00407A7B">
        <w:rPr>
          <w:rStyle w:val="FootnoteReference"/>
          <w:sz w:val="20"/>
          <w:szCs w:val="20"/>
          <w:lang w:val="es-ES"/>
        </w:rPr>
        <w:footnoteReference w:id="63"/>
      </w:r>
      <w:r w:rsidR="00EA3CFF" w:rsidRPr="00407A7B">
        <w:rPr>
          <w:sz w:val="20"/>
          <w:szCs w:val="20"/>
          <w:lang w:val="es-ES"/>
        </w:rPr>
        <w:t xml:space="preserve"> </w:t>
      </w:r>
    </w:p>
    <w:p w14:paraId="7B3C8CDE" w14:textId="77777777" w:rsidR="00E34196" w:rsidRPr="00407A7B" w:rsidRDefault="00E34196" w:rsidP="00E34196">
      <w:pPr>
        <w:pStyle w:val="ListParagraph"/>
        <w:tabs>
          <w:tab w:val="left" w:pos="567"/>
        </w:tabs>
        <w:ind w:left="0"/>
        <w:jc w:val="both"/>
        <w:rPr>
          <w:sz w:val="20"/>
          <w:szCs w:val="20"/>
          <w:lang w:val="es-ES"/>
        </w:rPr>
      </w:pPr>
    </w:p>
    <w:p w14:paraId="5CF511B7" w14:textId="77777777" w:rsidR="00451989" w:rsidRPr="00407A7B" w:rsidRDefault="002F22D4" w:rsidP="0097352B">
      <w:pPr>
        <w:pStyle w:val="Heading3"/>
        <w:numPr>
          <w:ilvl w:val="0"/>
          <w:numId w:val="71"/>
        </w:numPr>
        <w:spacing w:before="0" w:after="0"/>
        <w:ind w:left="714" w:hanging="357"/>
      </w:pPr>
      <w:bookmarkStart w:id="38" w:name="_Toc54369879"/>
      <w:r w:rsidRPr="00407A7B">
        <w:t>Análisis</w:t>
      </w:r>
      <w:r w:rsidR="00E34196" w:rsidRPr="00407A7B">
        <w:t xml:space="preserve"> del caso</w:t>
      </w:r>
      <w:bookmarkEnd w:id="38"/>
      <w:r w:rsidR="00E34196" w:rsidRPr="00407A7B">
        <w:t xml:space="preserve"> </w:t>
      </w:r>
    </w:p>
    <w:p w14:paraId="40B57711" w14:textId="77777777" w:rsidR="00E34196" w:rsidRPr="00407A7B" w:rsidRDefault="00E34196" w:rsidP="00E34196">
      <w:pPr>
        <w:rPr>
          <w:lang w:val="es-ES_tradnl"/>
        </w:rPr>
      </w:pPr>
    </w:p>
    <w:p w14:paraId="0CA59C00" w14:textId="77777777" w:rsidR="00E34196" w:rsidRPr="00407A7B" w:rsidRDefault="00E34196" w:rsidP="00222DA4">
      <w:pPr>
        <w:pStyle w:val="ListParagraph"/>
        <w:numPr>
          <w:ilvl w:val="0"/>
          <w:numId w:val="55"/>
        </w:numPr>
        <w:ind w:left="0" w:firstLine="0"/>
        <w:jc w:val="both"/>
        <w:rPr>
          <w:sz w:val="20"/>
          <w:szCs w:val="20"/>
          <w:lang w:val="es-ES"/>
        </w:rPr>
      </w:pPr>
      <w:r w:rsidRPr="00407A7B">
        <w:rPr>
          <w:sz w:val="20"/>
          <w:szCs w:val="20"/>
          <w:lang w:val="es-ES"/>
        </w:rPr>
        <w:t xml:space="preserve">De acuerdo con la información disponible en el expediente, </w:t>
      </w:r>
      <w:r w:rsidR="00F44795" w:rsidRPr="00407A7B">
        <w:rPr>
          <w:sz w:val="20"/>
          <w:szCs w:val="20"/>
          <w:lang w:val="es-ES"/>
        </w:rPr>
        <w:t xml:space="preserve">el Sr. Cochran fue arrestado en su domicilio ubicado en Rohrmoser, San </w:t>
      </w:r>
      <w:r w:rsidR="00222DA4" w:rsidRPr="00407A7B">
        <w:rPr>
          <w:sz w:val="20"/>
          <w:szCs w:val="20"/>
          <w:lang w:val="es-ES"/>
        </w:rPr>
        <w:t>José</w:t>
      </w:r>
      <w:r w:rsidR="00F44795" w:rsidRPr="00407A7B">
        <w:rPr>
          <w:sz w:val="20"/>
          <w:szCs w:val="20"/>
          <w:lang w:val="es-ES"/>
        </w:rPr>
        <w:t xml:space="preserve">, el </w:t>
      </w:r>
      <w:r w:rsidR="00222DA4" w:rsidRPr="00407A7B">
        <w:rPr>
          <w:sz w:val="20"/>
          <w:szCs w:val="20"/>
          <w:lang w:val="es-ES"/>
        </w:rPr>
        <w:t>día</w:t>
      </w:r>
      <w:r w:rsidR="00F44795" w:rsidRPr="00407A7B">
        <w:rPr>
          <w:sz w:val="20"/>
          <w:szCs w:val="20"/>
          <w:lang w:val="es-ES"/>
        </w:rPr>
        <w:t xml:space="preserve"> 19 de enero de 2003</w:t>
      </w:r>
      <w:r w:rsidR="00F44795" w:rsidRPr="00407A7B">
        <w:rPr>
          <w:rStyle w:val="FootnoteReference"/>
          <w:sz w:val="20"/>
          <w:szCs w:val="20"/>
          <w:lang w:val="es-ES"/>
        </w:rPr>
        <w:footnoteReference w:id="64"/>
      </w:r>
      <w:r w:rsidR="00F44795" w:rsidRPr="00407A7B">
        <w:rPr>
          <w:sz w:val="20"/>
          <w:szCs w:val="20"/>
          <w:lang w:val="es-ES"/>
        </w:rPr>
        <w:t xml:space="preserve">. </w:t>
      </w:r>
      <w:r w:rsidR="00222DA4" w:rsidRPr="00407A7B">
        <w:rPr>
          <w:sz w:val="20"/>
          <w:szCs w:val="20"/>
          <w:lang w:val="es-ES"/>
        </w:rPr>
        <w:t>Al día siguiente, el Juez Penal de turno de San José decretó una medida cautelar de prisión preventiva</w:t>
      </w:r>
      <w:r w:rsidR="00222DA4" w:rsidRPr="00407A7B">
        <w:rPr>
          <w:rStyle w:val="FootnoteReference"/>
          <w:sz w:val="20"/>
          <w:szCs w:val="20"/>
          <w:lang w:val="es-ES"/>
        </w:rPr>
        <w:footnoteReference w:id="65"/>
      </w:r>
      <w:r w:rsidR="00222DA4" w:rsidRPr="00407A7B">
        <w:rPr>
          <w:sz w:val="20"/>
          <w:szCs w:val="20"/>
          <w:lang w:val="es-ES"/>
        </w:rPr>
        <w:t>.</w:t>
      </w:r>
    </w:p>
    <w:p w14:paraId="485E50CA" w14:textId="77777777" w:rsidR="00036C22" w:rsidRPr="00407A7B" w:rsidRDefault="00036C22" w:rsidP="00036C22">
      <w:pPr>
        <w:pStyle w:val="ListParagraph"/>
        <w:ind w:left="0"/>
        <w:jc w:val="both"/>
        <w:rPr>
          <w:sz w:val="20"/>
          <w:szCs w:val="20"/>
          <w:lang w:val="es-ES"/>
        </w:rPr>
      </w:pPr>
    </w:p>
    <w:p w14:paraId="654E3657" w14:textId="77777777" w:rsidR="001C5895" w:rsidRPr="00407A7B" w:rsidRDefault="00222DA4" w:rsidP="00222DA4">
      <w:pPr>
        <w:pStyle w:val="ListParagraph"/>
        <w:numPr>
          <w:ilvl w:val="0"/>
          <w:numId w:val="55"/>
        </w:numPr>
        <w:ind w:left="0" w:firstLine="0"/>
        <w:jc w:val="both"/>
        <w:rPr>
          <w:sz w:val="20"/>
          <w:szCs w:val="20"/>
          <w:lang w:val="es-ES"/>
        </w:rPr>
      </w:pPr>
      <w:r w:rsidRPr="00407A7B">
        <w:rPr>
          <w:sz w:val="20"/>
          <w:szCs w:val="20"/>
          <w:lang w:val="es-ES"/>
        </w:rPr>
        <w:t xml:space="preserve">Con respecto a la cuestión de la convencionalidad de la prisión </w:t>
      </w:r>
      <w:r w:rsidR="009F3567" w:rsidRPr="00407A7B">
        <w:rPr>
          <w:sz w:val="20"/>
          <w:szCs w:val="20"/>
          <w:lang w:val="es-ES"/>
        </w:rPr>
        <w:t>preventiva</w:t>
      </w:r>
      <w:r w:rsidRPr="00407A7B">
        <w:rPr>
          <w:sz w:val="20"/>
          <w:szCs w:val="20"/>
          <w:lang w:val="es-ES"/>
        </w:rPr>
        <w:t xml:space="preserve"> </w:t>
      </w:r>
      <w:r w:rsidR="009F3567" w:rsidRPr="00407A7B">
        <w:rPr>
          <w:sz w:val="20"/>
          <w:szCs w:val="20"/>
          <w:lang w:val="es-ES"/>
        </w:rPr>
        <w:t xml:space="preserve">impuesta </w:t>
      </w:r>
      <w:r w:rsidRPr="00407A7B">
        <w:rPr>
          <w:sz w:val="20"/>
          <w:szCs w:val="20"/>
          <w:lang w:val="es-ES"/>
        </w:rPr>
        <w:t xml:space="preserve">al Sr. Cochran, la </w:t>
      </w:r>
      <w:r w:rsidR="009F3567" w:rsidRPr="00407A7B">
        <w:rPr>
          <w:sz w:val="20"/>
          <w:szCs w:val="20"/>
          <w:lang w:val="es-ES"/>
        </w:rPr>
        <w:t>Comisión</w:t>
      </w:r>
      <w:r w:rsidRPr="00407A7B">
        <w:rPr>
          <w:sz w:val="20"/>
          <w:szCs w:val="20"/>
          <w:lang w:val="es-ES"/>
        </w:rPr>
        <w:t xml:space="preserve"> observa que</w:t>
      </w:r>
      <w:r w:rsidR="00E02825" w:rsidRPr="00407A7B">
        <w:rPr>
          <w:sz w:val="20"/>
          <w:szCs w:val="20"/>
          <w:lang w:val="es-ES"/>
        </w:rPr>
        <w:t xml:space="preserve">, </w:t>
      </w:r>
      <w:r w:rsidRPr="00407A7B">
        <w:rPr>
          <w:sz w:val="20"/>
          <w:szCs w:val="20"/>
          <w:lang w:val="es-ES"/>
        </w:rPr>
        <w:t xml:space="preserve">tanto la primera orden de fecha 20 de enero de 2003 como sus sucesivas </w:t>
      </w:r>
      <w:r w:rsidR="00E52EA9" w:rsidRPr="00407A7B">
        <w:rPr>
          <w:sz w:val="20"/>
          <w:szCs w:val="20"/>
          <w:lang w:val="es-ES"/>
        </w:rPr>
        <w:t>prórrogas, contienen</w:t>
      </w:r>
      <w:r w:rsidRPr="00407A7B">
        <w:rPr>
          <w:sz w:val="20"/>
          <w:szCs w:val="20"/>
          <w:lang w:val="es-ES"/>
        </w:rPr>
        <w:t xml:space="preserve"> un fundamento jurídico razonado y objetivo respecto de </w:t>
      </w:r>
      <w:r w:rsidR="009F3567" w:rsidRPr="00407A7B">
        <w:rPr>
          <w:sz w:val="20"/>
          <w:szCs w:val="20"/>
          <w:lang w:val="es-ES"/>
        </w:rPr>
        <w:t>su</w:t>
      </w:r>
      <w:r w:rsidRPr="00407A7B">
        <w:rPr>
          <w:sz w:val="20"/>
          <w:szCs w:val="20"/>
          <w:lang w:val="es-ES"/>
        </w:rPr>
        <w:t xml:space="preserve"> procedencia</w:t>
      </w:r>
      <w:r w:rsidR="00036C22" w:rsidRPr="00407A7B">
        <w:rPr>
          <w:sz w:val="20"/>
          <w:szCs w:val="20"/>
          <w:lang w:val="es-ES"/>
        </w:rPr>
        <w:t xml:space="preserve"> que acreditan su necesidad de acuerdo con la ley procesal nacional y los estándares interamericanos</w:t>
      </w:r>
      <w:r w:rsidR="009F3567" w:rsidRPr="00407A7B">
        <w:rPr>
          <w:sz w:val="20"/>
          <w:szCs w:val="20"/>
          <w:lang w:val="es-ES"/>
        </w:rPr>
        <w:t xml:space="preserve">. </w:t>
      </w:r>
      <w:r w:rsidR="00036C22" w:rsidRPr="00407A7B">
        <w:rPr>
          <w:sz w:val="20"/>
          <w:szCs w:val="20"/>
          <w:lang w:val="es-ES"/>
        </w:rPr>
        <w:t xml:space="preserve">En efecto, </w:t>
      </w:r>
      <w:r w:rsidR="00E02825" w:rsidRPr="00407A7B">
        <w:rPr>
          <w:sz w:val="20"/>
          <w:szCs w:val="20"/>
          <w:lang w:val="es-ES"/>
        </w:rPr>
        <w:t>la CIDH considera necesario</w:t>
      </w:r>
      <w:r w:rsidR="00036C22" w:rsidRPr="00407A7B">
        <w:rPr>
          <w:sz w:val="20"/>
          <w:szCs w:val="20"/>
          <w:lang w:val="es-ES"/>
        </w:rPr>
        <w:t xml:space="preserve"> destacar que el juez no solo analizó los elementos probatorios existentes hasta ese momento y la pena en expectativa aplicable para los delitos por los cuales se acusó al peticionario, sino que también fundamentó la existencia de los peligros procesales de fuga y entorpecimiento del proceso.</w:t>
      </w:r>
    </w:p>
    <w:p w14:paraId="04878319" w14:textId="77777777" w:rsidR="001C5895" w:rsidRPr="00407A7B" w:rsidRDefault="001C5895" w:rsidP="001C5895">
      <w:pPr>
        <w:pStyle w:val="ListParagraph"/>
        <w:rPr>
          <w:sz w:val="20"/>
          <w:szCs w:val="20"/>
          <w:lang w:val="es-ES"/>
        </w:rPr>
      </w:pPr>
    </w:p>
    <w:p w14:paraId="5DBD013D" w14:textId="77777777" w:rsidR="00B14D2A" w:rsidRPr="00407A7B" w:rsidRDefault="001C5895" w:rsidP="00222DA4">
      <w:pPr>
        <w:pStyle w:val="ListParagraph"/>
        <w:numPr>
          <w:ilvl w:val="0"/>
          <w:numId w:val="55"/>
        </w:numPr>
        <w:ind w:left="0" w:firstLine="0"/>
        <w:jc w:val="both"/>
        <w:rPr>
          <w:sz w:val="20"/>
          <w:szCs w:val="20"/>
          <w:lang w:val="es-ES"/>
        </w:rPr>
      </w:pPr>
      <w:r w:rsidRPr="00407A7B">
        <w:rPr>
          <w:sz w:val="20"/>
          <w:szCs w:val="20"/>
          <w:lang w:val="es-ES"/>
        </w:rPr>
        <w:t xml:space="preserve">Por otra parte, el peticionario alegó que su encarcelamiento preventivo resultó violatorio del </w:t>
      </w:r>
      <w:r w:rsidR="000749E0" w:rsidRPr="00407A7B">
        <w:rPr>
          <w:sz w:val="20"/>
          <w:szCs w:val="20"/>
          <w:lang w:val="es-ES"/>
        </w:rPr>
        <w:t>artículo</w:t>
      </w:r>
      <w:r w:rsidRPr="00407A7B">
        <w:rPr>
          <w:sz w:val="20"/>
          <w:szCs w:val="20"/>
          <w:lang w:val="es-ES"/>
        </w:rPr>
        <w:t xml:space="preserve"> 260 del Código Procesal Penal que dispone que “no se decretara la prisión preventiva (…) en relación con personas afectadas por una enfermedad grave y terminal”. La </w:t>
      </w:r>
      <w:r w:rsidR="008C61D7" w:rsidRPr="00407A7B">
        <w:rPr>
          <w:sz w:val="20"/>
          <w:szCs w:val="20"/>
          <w:lang w:val="es-ES"/>
        </w:rPr>
        <w:t>Comisión</w:t>
      </w:r>
      <w:r w:rsidRPr="00407A7B">
        <w:rPr>
          <w:sz w:val="20"/>
          <w:szCs w:val="20"/>
          <w:lang w:val="es-ES"/>
        </w:rPr>
        <w:t xml:space="preserve"> toma nota de </w:t>
      </w:r>
      <w:r w:rsidR="00776FB7" w:rsidRPr="00407A7B">
        <w:rPr>
          <w:sz w:val="20"/>
          <w:szCs w:val="20"/>
          <w:lang w:val="es-ES"/>
        </w:rPr>
        <w:t>los argumentos presentados por el</w:t>
      </w:r>
      <w:r w:rsidRPr="00407A7B">
        <w:rPr>
          <w:sz w:val="20"/>
          <w:szCs w:val="20"/>
          <w:lang w:val="es-ES"/>
        </w:rPr>
        <w:t xml:space="preserve"> Estado </w:t>
      </w:r>
      <w:r w:rsidR="008C61D7" w:rsidRPr="00407A7B">
        <w:rPr>
          <w:sz w:val="20"/>
          <w:szCs w:val="20"/>
          <w:lang w:val="es-ES"/>
        </w:rPr>
        <w:t xml:space="preserve">costarricense </w:t>
      </w:r>
      <w:r w:rsidRPr="00407A7B">
        <w:rPr>
          <w:sz w:val="20"/>
          <w:szCs w:val="20"/>
          <w:lang w:val="es-ES"/>
        </w:rPr>
        <w:t>que</w:t>
      </w:r>
      <w:r w:rsidR="008C61D7" w:rsidRPr="00407A7B">
        <w:rPr>
          <w:sz w:val="20"/>
          <w:szCs w:val="20"/>
          <w:lang w:val="es-ES"/>
        </w:rPr>
        <w:t>, al igual que</w:t>
      </w:r>
      <w:r w:rsidRPr="00407A7B">
        <w:rPr>
          <w:sz w:val="20"/>
          <w:szCs w:val="20"/>
          <w:lang w:val="es-ES"/>
        </w:rPr>
        <w:t xml:space="preserve"> diversos órganos judiciales nacionales, </w:t>
      </w:r>
      <w:r w:rsidR="008C61D7" w:rsidRPr="00407A7B">
        <w:rPr>
          <w:sz w:val="20"/>
          <w:szCs w:val="20"/>
          <w:lang w:val="es-ES"/>
        </w:rPr>
        <w:t xml:space="preserve">sostiene que </w:t>
      </w:r>
      <w:r w:rsidRPr="00407A7B">
        <w:rPr>
          <w:sz w:val="20"/>
          <w:szCs w:val="20"/>
          <w:lang w:val="es-ES"/>
        </w:rPr>
        <w:t xml:space="preserve">este </w:t>
      </w:r>
      <w:r w:rsidR="000749E0" w:rsidRPr="00407A7B">
        <w:rPr>
          <w:sz w:val="20"/>
          <w:szCs w:val="20"/>
          <w:lang w:val="es-ES"/>
        </w:rPr>
        <w:t>artículo</w:t>
      </w:r>
      <w:r w:rsidRPr="00407A7B">
        <w:rPr>
          <w:sz w:val="20"/>
          <w:szCs w:val="20"/>
          <w:lang w:val="es-ES"/>
        </w:rPr>
        <w:t xml:space="preserve"> no era aplicable a la situación del peticionario, ya que el Sr. Cochran no </w:t>
      </w:r>
      <w:r w:rsidR="00776FB7" w:rsidRPr="00407A7B">
        <w:rPr>
          <w:sz w:val="20"/>
          <w:szCs w:val="20"/>
          <w:lang w:val="es-ES"/>
        </w:rPr>
        <w:t>padecía</w:t>
      </w:r>
      <w:r w:rsidRPr="00407A7B">
        <w:rPr>
          <w:sz w:val="20"/>
          <w:szCs w:val="20"/>
          <w:lang w:val="es-ES"/>
        </w:rPr>
        <w:t xml:space="preserve"> una </w:t>
      </w:r>
      <w:r w:rsidR="008C61D7" w:rsidRPr="00407A7B">
        <w:rPr>
          <w:sz w:val="20"/>
          <w:szCs w:val="20"/>
          <w:lang w:val="es-ES"/>
        </w:rPr>
        <w:t>enfermedad</w:t>
      </w:r>
      <w:r w:rsidRPr="00407A7B">
        <w:rPr>
          <w:sz w:val="20"/>
          <w:szCs w:val="20"/>
          <w:lang w:val="es-ES"/>
        </w:rPr>
        <w:t xml:space="preserve"> terminal sino crónica. </w:t>
      </w:r>
      <w:r w:rsidR="00B14D2A" w:rsidRPr="00407A7B">
        <w:rPr>
          <w:sz w:val="20"/>
          <w:szCs w:val="20"/>
          <w:lang w:val="es-ES"/>
        </w:rPr>
        <w:t xml:space="preserve">A partir del análisis de la totalidad de los elementos disponibles en su poder, la Comisión no encuentra </w:t>
      </w:r>
      <w:r w:rsidR="00162C21" w:rsidRPr="00407A7B">
        <w:rPr>
          <w:sz w:val="20"/>
          <w:szCs w:val="20"/>
          <w:lang w:val="es-ES"/>
        </w:rPr>
        <w:t>elementos</w:t>
      </w:r>
      <w:r w:rsidR="00B14D2A" w:rsidRPr="00407A7B">
        <w:rPr>
          <w:sz w:val="20"/>
          <w:szCs w:val="20"/>
          <w:lang w:val="es-ES"/>
        </w:rPr>
        <w:t xml:space="preserve"> para sostener que el rechazo de los tribunales nacionales de la aplicación del </w:t>
      </w:r>
      <w:r w:rsidR="000749E0" w:rsidRPr="00407A7B">
        <w:rPr>
          <w:sz w:val="20"/>
          <w:szCs w:val="20"/>
          <w:lang w:val="es-ES"/>
        </w:rPr>
        <w:t>artículo</w:t>
      </w:r>
      <w:r w:rsidR="00B14D2A" w:rsidRPr="00407A7B">
        <w:rPr>
          <w:sz w:val="20"/>
          <w:szCs w:val="20"/>
          <w:lang w:val="es-ES"/>
        </w:rPr>
        <w:t xml:space="preserve"> 260 del Código Procesal Penal a la situación del Sr. Cochran haya sido arbitraria. Ello, toda vez que los jueces que intervinieron en la etapa de instrucción plasmaron en sus resoluciones de prisión preventiva los motivos por los cuales </w:t>
      </w:r>
      <w:r w:rsidR="00162C21" w:rsidRPr="00407A7B">
        <w:rPr>
          <w:sz w:val="20"/>
          <w:szCs w:val="20"/>
          <w:lang w:val="es-ES"/>
        </w:rPr>
        <w:t xml:space="preserve">consideraron que la condición de salud del peticionario no cumplía con los requisitos consignados en el </w:t>
      </w:r>
      <w:r w:rsidR="006B4CE2" w:rsidRPr="00407A7B">
        <w:rPr>
          <w:sz w:val="20"/>
          <w:szCs w:val="20"/>
          <w:lang w:val="es-ES"/>
        </w:rPr>
        <w:t>artículo</w:t>
      </w:r>
      <w:r w:rsidR="00162C21" w:rsidRPr="00407A7B">
        <w:rPr>
          <w:sz w:val="20"/>
          <w:szCs w:val="20"/>
          <w:lang w:val="es-ES"/>
        </w:rPr>
        <w:t xml:space="preserve"> 260</w:t>
      </w:r>
      <w:r w:rsidR="00FC4A3E" w:rsidRPr="00407A7B">
        <w:rPr>
          <w:rStyle w:val="FootnoteReference"/>
          <w:sz w:val="20"/>
          <w:szCs w:val="20"/>
          <w:lang w:val="es-ES"/>
        </w:rPr>
        <w:footnoteReference w:id="66"/>
      </w:r>
      <w:r w:rsidR="00162C21" w:rsidRPr="00407A7B">
        <w:rPr>
          <w:sz w:val="20"/>
          <w:szCs w:val="20"/>
          <w:lang w:val="es-ES"/>
        </w:rPr>
        <w:t xml:space="preserve">. </w:t>
      </w:r>
    </w:p>
    <w:p w14:paraId="36E572FA" w14:textId="77777777" w:rsidR="00B14D2A" w:rsidRPr="00407A7B" w:rsidRDefault="00B14D2A" w:rsidP="00B14D2A">
      <w:pPr>
        <w:pStyle w:val="ListParagraph"/>
        <w:rPr>
          <w:sz w:val="20"/>
          <w:szCs w:val="20"/>
          <w:lang w:val="es-ES"/>
        </w:rPr>
      </w:pPr>
    </w:p>
    <w:p w14:paraId="1B78B74A" w14:textId="77777777" w:rsidR="008C61D7" w:rsidRPr="00407A7B" w:rsidRDefault="001C5895" w:rsidP="00162C21">
      <w:pPr>
        <w:pStyle w:val="ListParagraph"/>
        <w:numPr>
          <w:ilvl w:val="0"/>
          <w:numId w:val="55"/>
        </w:numPr>
        <w:ind w:left="0" w:firstLine="0"/>
        <w:jc w:val="both"/>
        <w:rPr>
          <w:sz w:val="20"/>
          <w:szCs w:val="20"/>
          <w:lang w:val="es-ES"/>
        </w:rPr>
      </w:pPr>
      <w:r w:rsidRPr="00407A7B">
        <w:rPr>
          <w:sz w:val="20"/>
          <w:szCs w:val="20"/>
          <w:lang w:val="es-ES"/>
        </w:rPr>
        <w:t>Adicionalmente</w:t>
      </w:r>
      <w:r w:rsidR="008C61D7" w:rsidRPr="00407A7B">
        <w:rPr>
          <w:sz w:val="20"/>
          <w:szCs w:val="20"/>
          <w:lang w:val="es-ES"/>
        </w:rPr>
        <w:t xml:space="preserve">, constan en el expediente ante la Comisión una serie de documentos y </w:t>
      </w:r>
      <w:r w:rsidR="00E02825" w:rsidRPr="00407A7B">
        <w:rPr>
          <w:sz w:val="20"/>
          <w:szCs w:val="20"/>
          <w:lang w:val="es-ES"/>
        </w:rPr>
        <w:t>actuaciones</w:t>
      </w:r>
      <w:r w:rsidR="008C61D7" w:rsidRPr="00407A7B">
        <w:rPr>
          <w:sz w:val="20"/>
          <w:szCs w:val="20"/>
          <w:lang w:val="es-ES"/>
        </w:rPr>
        <w:t xml:space="preserve"> donde se deja constancia del suministro al Sr. Cochran de diversos medicamentos por parte de las autoridades </w:t>
      </w:r>
      <w:r w:rsidR="008C61D7" w:rsidRPr="00407A7B">
        <w:rPr>
          <w:sz w:val="20"/>
          <w:szCs w:val="20"/>
          <w:lang w:val="es-ES"/>
        </w:rPr>
        <w:lastRenderedPageBreak/>
        <w:t xml:space="preserve">sanitarias de la prisión y de la realización de </w:t>
      </w:r>
      <w:r w:rsidR="00E02825" w:rsidRPr="00407A7B">
        <w:rPr>
          <w:sz w:val="20"/>
          <w:szCs w:val="20"/>
          <w:lang w:val="es-ES"/>
        </w:rPr>
        <w:t xml:space="preserve">entrevistas y consultas </w:t>
      </w:r>
      <w:r w:rsidR="009A597B" w:rsidRPr="00407A7B">
        <w:rPr>
          <w:sz w:val="20"/>
          <w:szCs w:val="20"/>
          <w:lang w:val="es-ES"/>
        </w:rPr>
        <w:t>médicas</w:t>
      </w:r>
      <w:r w:rsidR="00162C21" w:rsidRPr="00407A7B">
        <w:rPr>
          <w:rStyle w:val="FootnoteReference"/>
          <w:sz w:val="20"/>
          <w:szCs w:val="20"/>
          <w:lang w:val="es-ES"/>
        </w:rPr>
        <w:footnoteReference w:id="67"/>
      </w:r>
      <w:r w:rsidR="00E02825" w:rsidRPr="00407A7B">
        <w:rPr>
          <w:sz w:val="20"/>
          <w:szCs w:val="20"/>
          <w:lang w:val="es-ES"/>
        </w:rPr>
        <w:t xml:space="preserve">. </w:t>
      </w:r>
      <w:r w:rsidR="00162C21" w:rsidRPr="00407A7B">
        <w:rPr>
          <w:sz w:val="20"/>
          <w:szCs w:val="20"/>
          <w:lang w:val="es-ES"/>
        </w:rPr>
        <w:t xml:space="preserve">Con respecto a este punto, </w:t>
      </w:r>
      <w:r w:rsidR="008C61D7" w:rsidRPr="00407A7B">
        <w:rPr>
          <w:sz w:val="20"/>
          <w:szCs w:val="20"/>
          <w:lang w:val="es-ES"/>
        </w:rPr>
        <w:t xml:space="preserve">la CIDH </w:t>
      </w:r>
      <w:r w:rsidR="00162C21" w:rsidRPr="00407A7B">
        <w:rPr>
          <w:sz w:val="20"/>
          <w:szCs w:val="20"/>
          <w:lang w:val="es-ES"/>
        </w:rPr>
        <w:t>carece de</w:t>
      </w:r>
      <w:r w:rsidR="008C61D7" w:rsidRPr="00407A7B">
        <w:rPr>
          <w:sz w:val="20"/>
          <w:szCs w:val="20"/>
          <w:lang w:val="es-ES"/>
        </w:rPr>
        <w:t xml:space="preserve"> </w:t>
      </w:r>
      <w:r w:rsidR="000749E0" w:rsidRPr="00407A7B">
        <w:rPr>
          <w:sz w:val="20"/>
          <w:szCs w:val="20"/>
          <w:lang w:val="es-ES"/>
        </w:rPr>
        <w:t xml:space="preserve">suficiente </w:t>
      </w:r>
      <w:r w:rsidR="008C61D7" w:rsidRPr="00407A7B">
        <w:rPr>
          <w:sz w:val="20"/>
          <w:szCs w:val="20"/>
          <w:lang w:val="es-ES"/>
        </w:rPr>
        <w:t>información que le permita concluir que el tratamiento de salud</w:t>
      </w:r>
      <w:r w:rsidR="00162C21" w:rsidRPr="00407A7B">
        <w:rPr>
          <w:sz w:val="20"/>
          <w:szCs w:val="20"/>
          <w:lang w:val="es-ES"/>
        </w:rPr>
        <w:t xml:space="preserve"> que el Sr. Cochran ha venido siguiendo en el establecimiento penitenciario en el que se halla alojado</w:t>
      </w:r>
      <w:r w:rsidR="008C61D7" w:rsidRPr="00407A7B">
        <w:rPr>
          <w:sz w:val="20"/>
          <w:szCs w:val="20"/>
          <w:lang w:val="es-ES"/>
        </w:rPr>
        <w:t xml:space="preserve"> </w:t>
      </w:r>
      <w:r w:rsidR="00E02825" w:rsidRPr="00407A7B">
        <w:rPr>
          <w:sz w:val="20"/>
          <w:szCs w:val="20"/>
          <w:lang w:val="es-ES"/>
        </w:rPr>
        <w:t xml:space="preserve">por su condición de VIH positivo </w:t>
      </w:r>
      <w:r w:rsidR="008C61D7" w:rsidRPr="00407A7B">
        <w:rPr>
          <w:sz w:val="20"/>
          <w:szCs w:val="20"/>
          <w:lang w:val="es-ES"/>
        </w:rPr>
        <w:t xml:space="preserve">no </w:t>
      </w:r>
      <w:r w:rsidR="000749E0" w:rsidRPr="00407A7B">
        <w:rPr>
          <w:sz w:val="20"/>
          <w:szCs w:val="20"/>
          <w:lang w:val="es-ES"/>
        </w:rPr>
        <w:t>cumpliera con los requisitos que impone la Convención Americana.</w:t>
      </w:r>
      <w:r w:rsidR="00162C21" w:rsidRPr="00407A7B">
        <w:rPr>
          <w:sz w:val="20"/>
          <w:szCs w:val="20"/>
          <w:lang w:val="es-ES"/>
        </w:rPr>
        <w:t xml:space="preserve"> </w:t>
      </w:r>
      <w:r w:rsidR="008C61D7" w:rsidRPr="00407A7B">
        <w:rPr>
          <w:sz w:val="20"/>
          <w:szCs w:val="20"/>
          <w:lang w:val="es-ES"/>
        </w:rPr>
        <w:t xml:space="preserve"> </w:t>
      </w:r>
    </w:p>
    <w:p w14:paraId="011C5CE4" w14:textId="77777777" w:rsidR="001C5895" w:rsidRPr="00407A7B" w:rsidRDefault="001C5895" w:rsidP="00162C21">
      <w:pPr>
        <w:pStyle w:val="ListParagraph"/>
        <w:rPr>
          <w:sz w:val="20"/>
          <w:szCs w:val="20"/>
          <w:lang w:val="es-ES"/>
        </w:rPr>
      </w:pPr>
    </w:p>
    <w:p w14:paraId="3824437C" w14:textId="77777777" w:rsidR="001C5895" w:rsidRPr="00407A7B" w:rsidRDefault="00036C22" w:rsidP="00222DA4">
      <w:pPr>
        <w:pStyle w:val="ListParagraph"/>
        <w:numPr>
          <w:ilvl w:val="0"/>
          <w:numId w:val="55"/>
        </w:numPr>
        <w:ind w:left="0" w:firstLine="0"/>
        <w:jc w:val="both"/>
        <w:rPr>
          <w:sz w:val="20"/>
          <w:szCs w:val="20"/>
          <w:lang w:val="es-ES"/>
        </w:rPr>
      </w:pPr>
      <w:r w:rsidRPr="00407A7B">
        <w:rPr>
          <w:sz w:val="20"/>
          <w:szCs w:val="20"/>
          <w:lang w:val="es-ES"/>
        </w:rPr>
        <w:t xml:space="preserve"> Por consiguiente, la </w:t>
      </w:r>
      <w:r w:rsidR="001C5895" w:rsidRPr="00407A7B">
        <w:rPr>
          <w:sz w:val="20"/>
          <w:szCs w:val="20"/>
          <w:lang w:val="es-ES"/>
        </w:rPr>
        <w:t>Comisión</w:t>
      </w:r>
      <w:r w:rsidRPr="00407A7B">
        <w:rPr>
          <w:sz w:val="20"/>
          <w:szCs w:val="20"/>
          <w:lang w:val="es-ES"/>
        </w:rPr>
        <w:t xml:space="preserve"> concluye que no se encuentra acreditado en este caso que el dictado de la medida de prisión preventiva haya </w:t>
      </w:r>
      <w:r w:rsidR="001C5895" w:rsidRPr="00407A7B">
        <w:rPr>
          <w:sz w:val="20"/>
          <w:szCs w:val="20"/>
          <w:lang w:val="es-ES"/>
        </w:rPr>
        <w:t xml:space="preserve">sido arbitrario. Asimismo, la </w:t>
      </w:r>
      <w:r w:rsidR="00E02825" w:rsidRPr="00407A7B">
        <w:rPr>
          <w:sz w:val="20"/>
          <w:szCs w:val="20"/>
          <w:lang w:val="es-ES"/>
        </w:rPr>
        <w:t>Comisión</w:t>
      </w:r>
      <w:r w:rsidR="001C5895" w:rsidRPr="00407A7B">
        <w:rPr>
          <w:sz w:val="20"/>
          <w:szCs w:val="20"/>
          <w:lang w:val="es-ES"/>
        </w:rPr>
        <w:t xml:space="preserve"> no encuentra elementos para sostener que el encarcelamiento</w:t>
      </w:r>
      <w:r w:rsidR="00FC4A3E" w:rsidRPr="00407A7B">
        <w:rPr>
          <w:sz w:val="20"/>
          <w:szCs w:val="20"/>
          <w:lang w:val="es-ES"/>
        </w:rPr>
        <w:t xml:space="preserve"> </w:t>
      </w:r>
      <w:r w:rsidR="001C5895" w:rsidRPr="00407A7B">
        <w:rPr>
          <w:sz w:val="20"/>
          <w:szCs w:val="20"/>
          <w:lang w:val="es-ES"/>
        </w:rPr>
        <w:t xml:space="preserve">del Sr. Cochran haya afectado su derecho a la salud y a la integridad personal, conforme los estándares mencionados en los párrafos precedentes. </w:t>
      </w:r>
    </w:p>
    <w:p w14:paraId="623DCFC7" w14:textId="77777777" w:rsidR="00E34196" w:rsidRPr="00407A7B" w:rsidRDefault="00E34196" w:rsidP="000749E0">
      <w:pPr>
        <w:rPr>
          <w:lang w:val="es-ES"/>
        </w:rPr>
      </w:pPr>
    </w:p>
    <w:p w14:paraId="7858E187" w14:textId="77777777" w:rsidR="00D3137D" w:rsidRPr="00407A7B" w:rsidRDefault="00D66281" w:rsidP="00B00AA7">
      <w:pPr>
        <w:pStyle w:val="Heading2"/>
        <w:numPr>
          <w:ilvl w:val="0"/>
          <w:numId w:val="62"/>
        </w:numPr>
      </w:pPr>
      <w:bookmarkStart w:id="39" w:name="_Toc54369880"/>
      <w:r w:rsidRPr="00407A7B">
        <w:t xml:space="preserve">Derecho a ser odio por un juez imparcial (art 8.1 de la Convención Americana de Derechos Humanos en relación con su </w:t>
      </w:r>
      <w:r w:rsidR="00A9284B" w:rsidRPr="00407A7B">
        <w:t>artículo</w:t>
      </w:r>
      <w:r w:rsidRPr="00407A7B">
        <w:t xml:space="preserve"> 1.1)</w:t>
      </w:r>
      <w:bookmarkEnd w:id="39"/>
    </w:p>
    <w:p w14:paraId="04D0E8E4" w14:textId="77777777" w:rsidR="00266720" w:rsidRPr="00407A7B" w:rsidRDefault="00266720" w:rsidP="00266720">
      <w:pPr>
        <w:rPr>
          <w:rFonts w:ascii="Cambria" w:hAnsi="Cambria"/>
          <w:sz w:val="20"/>
          <w:szCs w:val="20"/>
          <w:lang w:val="es-ES"/>
        </w:rPr>
      </w:pPr>
    </w:p>
    <w:p w14:paraId="5D831538" w14:textId="77777777" w:rsidR="00FB1760" w:rsidRPr="00407A7B" w:rsidRDefault="00D3137D" w:rsidP="0097352B">
      <w:pPr>
        <w:pStyle w:val="Heading3"/>
        <w:numPr>
          <w:ilvl w:val="0"/>
          <w:numId w:val="67"/>
        </w:numPr>
        <w:spacing w:before="0" w:after="0"/>
      </w:pPr>
      <w:bookmarkStart w:id="40" w:name="_Toc54369881"/>
      <w:r w:rsidRPr="00407A7B">
        <w:t>Consideraciones generales</w:t>
      </w:r>
      <w:r w:rsidR="00A42343" w:rsidRPr="00407A7B">
        <w:t xml:space="preserve"> sobre el derecho a ser oído por un </w:t>
      </w:r>
      <w:r w:rsidR="003403A5" w:rsidRPr="00407A7B">
        <w:t>juez o tribunal imparcial</w:t>
      </w:r>
      <w:bookmarkEnd w:id="40"/>
    </w:p>
    <w:p w14:paraId="08D1ED7F" w14:textId="77777777" w:rsidR="00F755C5" w:rsidRPr="00407A7B" w:rsidRDefault="00F755C5" w:rsidP="00F755C5">
      <w:pPr>
        <w:rPr>
          <w:sz w:val="20"/>
          <w:szCs w:val="20"/>
          <w:lang w:val="es-ES_tradnl"/>
        </w:rPr>
      </w:pPr>
    </w:p>
    <w:p w14:paraId="7890E70B" w14:textId="77777777" w:rsidR="00D3137D" w:rsidRPr="00407A7B" w:rsidRDefault="00D3137D" w:rsidP="001979D6">
      <w:pPr>
        <w:pStyle w:val="parrafos"/>
        <w:numPr>
          <w:ilvl w:val="0"/>
          <w:numId w:val="55"/>
        </w:numPr>
        <w:tabs>
          <w:tab w:val="clear" w:pos="360"/>
          <w:tab w:val="left" w:pos="567"/>
        </w:tabs>
        <w:ind w:left="0" w:firstLine="0"/>
      </w:pPr>
      <w:r w:rsidRPr="00407A7B">
        <w:rPr>
          <w:lang w:val="es-CL"/>
        </w:rPr>
        <w:t>La</w:t>
      </w:r>
      <w:r w:rsidRPr="00407A7B">
        <w:rPr>
          <w:lang w:val="es-ES_tradnl"/>
        </w:rPr>
        <w:t xml:space="preserve"> Corte ha considerado que el derecho a ser juzgado por un juez o tribunal imparcial es una garantía fundamental del debido proceso. </w:t>
      </w:r>
      <w:r w:rsidR="001979D6" w:rsidRPr="00407A7B">
        <w:rPr>
          <w:lang w:val="es-ES_tradnl"/>
        </w:rPr>
        <w:t>Esto significa que</w:t>
      </w:r>
      <w:r w:rsidRPr="00407A7B">
        <w:rPr>
          <w:lang w:val="es-ES_tradnl"/>
        </w:rPr>
        <w:t xml:space="preserve"> se debe garantizar que el juez o tribunal en el ejercicio de su función como juzgador cuente con la mayor objetividad para enfrentar </w:t>
      </w:r>
      <w:r w:rsidR="006A5971" w:rsidRPr="00407A7B">
        <w:rPr>
          <w:lang w:val="es-ES_tradnl"/>
        </w:rPr>
        <w:t>el litigio que debe resolver</w:t>
      </w:r>
      <w:r w:rsidRPr="00407A7B">
        <w:rPr>
          <w:lang w:val="es-ES_tradnl"/>
        </w:rPr>
        <w:t xml:space="preserve">.  </w:t>
      </w:r>
      <w:r w:rsidR="006A5971" w:rsidRPr="00407A7B">
        <w:rPr>
          <w:lang w:val="es-ES_tradnl"/>
        </w:rPr>
        <w:t xml:space="preserve">A su vez, ello </w:t>
      </w:r>
      <w:r w:rsidRPr="00407A7B">
        <w:rPr>
          <w:lang w:val="es-ES_tradnl"/>
        </w:rPr>
        <w:t>permite</w:t>
      </w:r>
      <w:r w:rsidR="006A5971" w:rsidRPr="00407A7B">
        <w:rPr>
          <w:lang w:val="es-ES_tradnl"/>
        </w:rPr>
        <w:t xml:space="preserve"> </w:t>
      </w:r>
      <w:r w:rsidRPr="00407A7B">
        <w:rPr>
          <w:lang w:val="es-ES_tradnl"/>
        </w:rPr>
        <w:t>que los tribunales inspiren la confianza necesaria a las partes en el caso</w:t>
      </w:r>
      <w:r w:rsidRPr="00407A7B">
        <w:rPr>
          <w:rStyle w:val="FootnoteReference"/>
          <w:lang w:val="es-ES_tradnl"/>
        </w:rPr>
        <w:footnoteReference w:id="68"/>
      </w:r>
      <w:r w:rsidRPr="00407A7B">
        <w:rPr>
          <w:lang w:val="es-ES_tradnl"/>
        </w:rPr>
        <w:t xml:space="preserve">. Asimismo, la CIDH ha sostenido que </w:t>
      </w:r>
      <w:r w:rsidRPr="00407A7B">
        <w:t>la imparcialidad del tribunal implica que sus integrantes no tengan un interés directo, una posición tomada, una preferencia por alguna de las partes y que no se encuentren involucrados en la controversia</w:t>
      </w:r>
      <w:r w:rsidRPr="00407A7B">
        <w:rPr>
          <w:rStyle w:val="FootnoteReference"/>
          <w:lang w:eastAsia="es-ES"/>
        </w:rPr>
        <w:footnoteReference w:id="69"/>
      </w:r>
      <w:r w:rsidRPr="00407A7B">
        <w:t>.</w:t>
      </w:r>
    </w:p>
    <w:p w14:paraId="69FC7CE4" w14:textId="77777777" w:rsidR="00143C3F" w:rsidRPr="00407A7B" w:rsidRDefault="00143C3F" w:rsidP="00143C3F">
      <w:pPr>
        <w:pStyle w:val="parrafos"/>
        <w:numPr>
          <w:ilvl w:val="0"/>
          <w:numId w:val="0"/>
        </w:numPr>
        <w:tabs>
          <w:tab w:val="clear" w:pos="360"/>
          <w:tab w:val="left" w:pos="567"/>
        </w:tabs>
      </w:pPr>
    </w:p>
    <w:p w14:paraId="16502640" w14:textId="77777777" w:rsidR="00143C3F" w:rsidRPr="00407A7B" w:rsidRDefault="00143C3F" w:rsidP="00143C3F">
      <w:pPr>
        <w:pStyle w:val="parrafos"/>
        <w:numPr>
          <w:ilvl w:val="0"/>
          <w:numId w:val="55"/>
        </w:numPr>
        <w:tabs>
          <w:tab w:val="clear" w:pos="360"/>
          <w:tab w:val="left" w:pos="567"/>
        </w:tabs>
        <w:ind w:left="0" w:firstLine="0"/>
        <w:rPr>
          <w:lang w:val="es-ES"/>
        </w:rPr>
      </w:pPr>
      <w:r w:rsidRPr="00407A7B">
        <w:rPr>
          <w:lang w:val="es-ES"/>
        </w:rPr>
        <w:t>De igual manera resulta necesario remarcar que los Principios de Bangalore sobre la Conducta Judicial establecen que la imparcialidad es esencial para el desempeño correcto de las funciones jurisdiccionales y que no se debe considerar que abarca exclusivamente a la decisión en sí misma, sino también al proceso mediante el cual se toma esa decisión. En este sentido, el punto 2.5 de dicho documento consagra que un juez “se descalificara de participar en cualquier proceso en el que no pueda decidir el asunto en cuestión de forma imparcial o en el que le pueda parecer a un observador razonable que el juez es incapaz de decidir el asunto imparcialmente”</w:t>
      </w:r>
      <w:r w:rsidRPr="00407A7B">
        <w:rPr>
          <w:rStyle w:val="FootnoteReference"/>
          <w:lang w:val="es-ES"/>
        </w:rPr>
        <w:footnoteReference w:id="70"/>
      </w:r>
      <w:r w:rsidRPr="00407A7B">
        <w:rPr>
          <w:lang w:val="es-ES"/>
        </w:rPr>
        <w:t xml:space="preserve">. </w:t>
      </w:r>
    </w:p>
    <w:p w14:paraId="1BD81C8D" w14:textId="77777777" w:rsidR="006A5971" w:rsidRPr="00407A7B" w:rsidRDefault="006A5971" w:rsidP="006A5971">
      <w:pPr>
        <w:pStyle w:val="parrafos"/>
        <w:numPr>
          <w:ilvl w:val="0"/>
          <w:numId w:val="0"/>
        </w:numPr>
        <w:tabs>
          <w:tab w:val="clear" w:pos="360"/>
          <w:tab w:val="left" w:pos="567"/>
        </w:tabs>
        <w:rPr>
          <w:lang w:val="es-ES"/>
        </w:rPr>
      </w:pPr>
    </w:p>
    <w:p w14:paraId="4CCC02A5" w14:textId="77777777" w:rsidR="00CA3637" w:rsidRPr="00407A7B" w:rsidRDefault="006A5971" w:rsidP="00CA3637">
      <w:pPr>
        <w:pStyle w:val="parrafos"/>
        <w:numPr>
          <w:ilvl w:val="0"/>
          <w:numId w:val="55"/>
        </w:numPr>
        <w:tabs>
          <w:tab w:val="clear" w:pos="360"/>
          <w:tab w:val="left" w:pos="567"/>
        </w:tabs>
        <w:ind w:left="0" w:firstLine="0"/>
        <w:rPr>
          <w:lang w:val="es-ES"/>
        </w:rPr>
      </w:pPr>
      <w:r w:rsidRPr="00407A7B">
        <w:t xml:space="preserve">Según </w:t>
      </w:r>
      <w:r w:rsidR="00845885" w:rsidRPr="00407A7B">
        <w:t xml:space="preserve">la </w:t>
      </w:r>
      <w:r w:rsidRPr="00407A7B">
        <w:t xml:space="preserve">extendida jurisprudencia de los tribunales regionales en materia de derechos humanos, la imparcialidad del juzgador no se presume, sino que debe ser </w:t>
      </w:r>
      <w:r w:rsidR="00A9284B" w:rsidRPr="00407A7B">
        <w:t>analizada</w:t>
      </w:r>
      <w:r w:rsidRPr="00407A7B">
        <w:t xml:space="preserve"> caso por caso. De igual manera, </w:t>
      </w:r>
      <w:r w:rsidR="000779C4" w:rsidRPr="00407A7B">
        <w:t>la Corte IDH ha afirmado que la imparcialidad del juzgador debe analizarse tanto desde una perspectiva subj</w:t>
      </w:r>
      <w:r w:rsidR="00CA0F28" w:rsidRPr="00407A7B">
        <w:t>e</w:t>
      </w:r>
      <w:r w:rsidR="000779C4" w:rsidRPr="00407A7B">
        <w:t xml:space="preserve">tiva </w:t>
      </w:r>
      <w:r w:rsidR="000779C4" w:rsidRPr="00407A7B">
        <w:rPr>
          <w:lang w:val="es-ES"/>
        </w:rPr>
        <w:t>como objetiva</w:t>
      </w:r>
      <w:r w:rsidR="000779C4" w:rsidRPr="00407A7B">
        <w:rPr>
          <w:rStyle w:val="FootnoteReference"/>
          <w:lang w:val="es-ES"/>
        </w:rPr>
        <w:footnoteReference w:id="71"/>
      </w:r>
      <w:r w:rsidR="000779C4" w:rsidRPr="00407A7B">
        <w:rPr>
          <w:lang w:val="es-ES"/>
        </w:rPr>
        <w:t>.</w:t>
      </w:r>
    </w:p>
    <w:p w14:paraId="498E6156" w14:textId="77777777" w:rsidR="00CA3637" w:rsidRPr="00407A7B" w:rsidRDefault="00CA3637" w:rsidP="00CA3637">
      <w:pPr>
        <w:pStyle w:val="ListParagraph"/>
        <w:rPr>
          <w:sz w:val="20"/>
          <w:szCs w:val="20"/>
          <w:lang w:val="es-ES"/>
        </w:rPr>
      </w:pPr>
    </w:p>
    <w:p w14:paraId="76390192" w14:textId="77777777" w:rsidR="00422269" w:rsidRPr="00407A7B" w:rsidRDefault="00CA3637" w:rsidP="00422269">
      <w:pPr>
        <w:pStyle w:val="parrafos"/>
        <w:numPr>
          <w:ilvl w:val="0"/>
          <w:numId w:val="55"/>
        </w:numPr>
        <w:tabs>
          <w:tab w:val="clear" w:pos="360"/>
          <w:tab w:val="left" w:pos="567"/>
        </w:tabs>
        <w:ind w:left="0" w:firstLine="0"/>
        <w:rPr>
          <w:lang w:val="es-ES"/>
        </w:rPr>
      </w:pPr>
      <w:r w:rsidRPr="00407A7B">
        <w:rPr>
          <w:lang w:val="es-ES"/>
        </w:rPr>
        <w:t>La imparcialidad personal o subjetiva supone que el juez se debe aproximar a los hechos de la causa “careciendo de todo prejuicio personal”</w:t>
      </w:r>
      <w:r w:rsidRPr="00407A7B">
        <w:rPr>
          <w:rStyle w:val="FootnoteReference"/>
          <w:lang w:val="es-ES"/>
        </w:rPr>
        <w:footnoteReference w:id="72"/>
      </w:r>
      <w:r w:rsidRPr="00407A7B">
        <w:rPr>
          <w:lang w:val="es-ES"/>
        </w:rPr>
        <w:t>. Dich</w:t>
      </w:r>
      <w:r w:rsidR="004F01D5" w:rsidRPr="00407A7B">
        <w:rPr>
          <w:lang w:val="es-ES"/>
        </w:rPr>
        <w:t>o estado de</w:t>
      </w:r>
      <w:r w:rsidRPr="00407A7B">
        <w:rPr>
          <w:lang w:val="es-ES"/>
        </w:rPr>
        <w:t xml:space="preserve"> imparcialidad</w:t>
      </w:r>
      <w:r w:rsidR="008C5A4F">
        <w:rPr>
          <w:lang w:val="es-ES"/>
        </w:rPr>
        <w:t xml:space="preserve"> </w:t>
      </w:r>
      <w:r w:rsidRPr="00407A7B">
        <w:rPr>
          <w:lang w:val="es-ES"/>
        </w:rPr>
        <w:t xml:space="preserve">se presume a menos que exista prueba en contrario, consistente por ejemplo en la </w:t>
      </w:r>
      <w:r w:rsidR="00CA0F28" w:rsidRPr="00407A7B">
        <w:rPr>
          <w:lang w:val="es-ES"/>
        </w:rPr>
        <w:t>demostración</w:t>
      </w:r>
      <w:r w:rsidRPr="00407A7B">
        <w:rPr>
          <w:lang w:val="es-ES"/>
        </w:rPr>
        <w:t xml:space="preserve"> de que </w:t>
      </w:r>
      <w:r w:rsidR="00266720" w:rsidRPr="00407A7B">
        <w:rPr>
          <w:lang w:val="es-ES"/>
        </w:rPr>
        <w:t>algún</w:t>
      </w:r>
      <w:r w:rsidRPr="00407A7B">
        <w:rPr>
          <w:lang w:val="es-ES"/>
        </w:rPr>
        <w:t xml:space="preserve"> miembro de un tribunal o juez guarda prejuicios o parcialidades de </w:t>
      </w:r>
      <w:r w:rsidR="00266720" w:rsidRPr="00407A7B">
        <w:rPr>
          <w:lang w:val="es-ES"/>
        </w:rPr>
        <w:t>índole</w:t>
      </w:r>
      <w:r w:rsidRPr="00407A7B">
        <w:rPr>
          <w:lang w:val="es-ES"/>
        </w:rPr>
        <w:t xml:space="preserve"> personal contra los litigantes</w:t>
      </w:r>
      <w:r w:rsidR="008C5A4F">
        <w:rPr>
          <w:lang w:val="es-ES"/>
        </w:rPr>
        <w:t xml:space="preserve"> </w:t>
      </w:r>
      <w:r w:rsidRPr="00407A7B">
        <w:rPr>
          <w:rStyle w:val="FootnoteReference"/>
          <w:lang w:val="es-ES"/>
        </w:rPr>
        <w:footnoteReference w:id="73"/>
      </w:r>
      <w:r w:rsidR="00422269" w:rsidRPr="00407A7B">
        <w:rPr>
          <w:lang w:val="es-ES"/>
        </w:rPr>
        <w:t xml:space="preserve">. </w:t>
      </w:r>
    </w:p>
    <w:p w14:paraId="03FE3C5F" w14:textId="77777777" w:rsidR="00422269" w:rsidRPr="00407A7B" w:rsidRDefault="00422269" w:rsidP="00422269">
      <w:pPr>
        <w:pStyle w:val="ListParagraph"/>
        <w:rPr>
          <w:rFonts w:eastAsiaTheme="minorHAnsi" w:cstheme="minorBidi"/>
          <w:sz w:val="20"/>
          <w:szCs w:val="20"/>
          <w:bdr w:val="none" w:sz="0" w:space="0" w:color="auto"/>
          <w:lang w:val="es-AR"/>
        </w:rPr>
      </w:pPr>
    </w:p>
    <w:p w14:paraId="4B5EC594" w14:textId="77777777" w:rsidR="0028235D" w:rsidRPr="00407A7B" w:rsidRDefault="00CA0F28" w:rsidP="00422269">
      <w:pPr>
        <w:pStyle w:val="parrafos"/>
        <w:numPr>
          <w:ilvl w:val="0"/>
          <w:numId w:val="55"/>
        </w:numPr>
        <w:tabs>
          <w:tab w:val="clear" w:pos="360"/>
          <w:tab w:val="left" w:pos="567"/>
        </w:tabs>
        <w:ind w:left="0" w:firstLine="0"/>
        <w:rPr>
          <w:lang w:val="es-ES"/>
        </w:rPr>
      </w:pPr>
      <w:r w:rsidRPr="00407A7B">
        <w:rPr>
          <w:rFonts w:eastAsiaTheme="minorHAnsi" w:cstheme="minorBidi"/>
          <w:lang w:val="es-AR"/>
        </w:rPr>
        <w:t>La imparcialidad objetiva, en tanto, exige que el Estado ofrezca “</w:t>
      </w:r>
      <w:r w:rsidRPr="00722674">
        <w:rPr>
          <w:rFonts w:eastAsiaTheme="minorHAnsi" w:cstheme="minorBidi"/>
          <w:lang w:val="es-AR"/>
        </w:rPr>
        <w:t>garantías suficientes de índole objetiva que permitan desterrar toda duda que el justiciable o la comunidad puedan albergar respecto de la ausencia de imparcialidad</w:t>
      </w:r>
      <w:r w:rsidRPr="00407A7B">
        <w:rPr>
          <w:rFonts w:eastAsiaTheme="minorHAnsi" w:cstheme="minorBidi"/>
          <w:lang w:val="es-AR"/>
        </w:rPr>
        <w:t>”</w:t>
      </w:r>
      <w:r w:rsidRPr="00407A7B">
        <w:rPr>
          <w:vertAlign w:val="superscript"/>
        </w:rPr>
        <w:footnoteReference w:id="74"/>
      </w:r>
      <w:r w:rsidRPr="00407A7B">
        <w:rPr>
          <w:rFonts w:eastAsiaTheme="minorHAnsi" w:cstheme="minorBidi"/>
          <w:lang w:val="es-AR"/>
        </w:rPr>
        <w:t>.</w:t>
      </w:r>
      <w:r w:rsidR="008C5A4F">
        <w:rPr>
          <w:rFonts w:eastAsiaTheme="minorHAnsi" w:cstheme="minorBidi"/>
          <w:lang w:val="es-AR"/>
        </w:rPr>
        <w:t xml:space="preserve"> </w:t>
      </w:r>
      <w:r w:rsidR="00BB42C0" w:rsidRPr="00407A7B">
        <w:rPr>
          <w:rFonts w:eastAsiaTheme="minorHAnsi" w:cstheme="minorBidi"/>
          <w:lang w:val="es-AR"/>
        </w:rPr>
        <w:t xml:space="preserve">La </w:t>
      </w:r>
      <w:r w:rsidR="00A9284B" w:rsidRPr="00407A7B">
        <w:rPr>
          <w:rFonts w:eastAsiaTheme="minorHAnsi" w:cstheme="minorBidi"/>
          <w:lang w:val="es-AR"/>
        </w:rPr>
        <w:t>Comisión</w:t>
      </w:r>
      <w:r w:rsidR="00BB42C0" w:rsidRPr="00407A7B">
        <w:rPr>
          <w:rFonts w:eastAsiaTheme="minorHAnsi" w:cstheme="minorBidi"/>
          <w:lang w:val="es-AR"/>
        </w:rPr>
        <w:t xml:space="preserve"> resalta que el aspecto objetivo de la </w:t>
      </w:r>
      <w:r w:rsidR="00A9284B" w:rsidRPr="00407A7B">
        <w:rPr>
          <w:rFonts w:eastAsiaTheme="minorHAnsi" w:cstheme="minorBidi"/>
          <w:lang w:val="es-AR"/>
        </w:rPr>
        <w:t>garantía</w:t>
      </w:r>
      <w:r w:rsidR="00BB42C0" w:rsidRPr="00407A7B">
        <w:rPr>
          <w:rFonts w:eastAsiaTheme="minorHAnsi" w:cstheme="minorBidi"/>
          <w:lang w:val="es-AR"/>
        </w:rPr>
        <w:t xml:space="preserve"> del juez imparcial ampara al justiciable en supuestos en los que puedan emerger temores fundados de la perdida de neutralidad del juzgador </w:t>
      </w:r>
      <w:r w:rsidR="0028235D" w:rsidRPr="00407A7B">
        <w:rPr>
          <w:rFonts w:eastAsiaTheme="minorHAnsi" w:cstheme="minorBidi"/>
          <w:lang w:val="es-AR"/>
        </w:rPr>
        <w:t>por</w:t>
      </w:r>
      <w:r w:rsidR="00BB42C0" w:rsidRPr="00407A7B">
        <w:rPr>
          <w:rFonts w:eastAsiaTheme="minorHAnsi" w:cstheme="minorBidi"/>
          <w:lang w:val="es-AR"/>
        </w:rPr>
        <w:t xml:space="preserve"> hechos objetivos del procedimiento</w:t>
      </w:r>
      <w:r w:rsidR="0028235D" w:rsidRPr="00407A7B">
        <w:rPr>
          <w:rFonts w:eastAsiaTheme="minorHAnsi" w:cstheme="minorBidi"/>
          <w:lang w:val="es-AR"/>
        </w:rPr>
        <w:t>,</w:t>
      </w:r>
      <w:r w:rsidR="00BB42C0" w:rsidRPr="00407A7B">
        <w:rPr>
          <w:rFonts w:eastAsiaTheme="minorHAnsi" w:cstheme="minorBidi"/>
          <w:lang w:val="es-AR"/>
        </w:rPr>
        <w:t xml:space="preserve"> sin que se encuentre en tela de juicio la honorabilidad ni la labor especifica del magistrado. </w:t>
      </w:r>
    </w:p>
    <w:p w14:paraId="0DCE9A08" w14:textId="77777777" w:rsidR="0028235D" w:rsidRPr="00407A7B" w:rsidRDefault="0028235D" w:rsidP="0028235D">
      <w:pPr>
        <w:pStyle w:val="ListParagraph"/>
        <w:rPr>
          <w:rFonts w:eastAsiaTheme="minorHAnsi" w:cstheme="minorBidi"/>
          <w:sz w:val="20"/>
          <w:szCs w:val="20"/>
          <w:lang w:val="es-AR"/>
        </w:rPr>
      </w:pPr>
    </w:p>
    <w:p w14:paraId="49F7E186" w14:textId="77777777" w:rsidR="00CA0F28" w:rsidRPr="00407A7B" w:rsidRDefault="0028235D" w:rsidP="00422269">
      <w:pPr>
        <w:pStyle w:val="parrafos"/>
        <w:numPr>
          <w:ilvl w:val="0"/>
          <w:numId w:val="55"/>
        </w:numPr>
        <w:tabs>
          <w:tab w:val="clear" w:pos="360"/>
          <w:tab w:val="left" w:pos="567"/>
        </w:tabs>
        <w:ind w:left="0" w:firstLine="0"/>
        <w:rPr>
          <w:lang w:val="es-ES"/>
        </w:rPr>
      </w:pPr>
      <w:r w:rsidRPr="00407A7B">
        <w:rPr>
          <w:rFonts w:eastAsiaTheme="minorHAnsi" w:cstheme="minorBidi"/>
          <w:lang w:val="es-AR"/>
        </w:rPr>
        <w:t>Con respecto a este segundo aspecto,</w:t>
      </w:r>
      <w:r w:rsidR="00BB42C0" w:rsidRPr="00407A7B">
        <w:rPr>
          <w:rFonts w:eastAsiaTheme="minorHAnsi" w:cstheme="minorBidi"/>
          <w:lang w:val="es-AR"/>
        </w:rPr>
        <w:t xml:space="preserve"> y d</w:t>
      </w:r>
      <w:r w:rsidR="00CA0F28" w:rsidRPr="00407A7B">
        <w:rPr>
          <w:rFonts w:eastAsiaTheme="minorHAnsi" w:cstheme="minorBidi"/>
          <w:lang w:val="es-AR"/>
        </w:rPr>
        <w:t xml:space="preserve">e acuerdo con la </w:t>
      </w:r>
      <w:r w:rsidR="00A9284B" w:rsidRPr="00407A7B">
        <w:rPr>
          <w:rFonts w:eastAsiaTheme="minorHAnsi" w:cstheme="minorBidi"/>
          <w:lang w:val="es-AR"/>
        </w:rPr>
        <w:t>jurisprudencia</w:t>
      </w:r>
      <w:r w:rsidR="00CA0F28" w:rsidRPr="00407A7B">
        <w:rPr>
          <w:rFonts w:eastAsiaTheme="minorHAnsi" w:cstheme="minorBidi"/>
          <w:lang w:val="es-AR"/>
        </w:rPr>
        <w:t xml:space="preserve"> de Tribunal Europeo de Derechos Humanos</w:t>
      </w:r>
      <w:r w:rsidRPr="00407A7B">
        <w:rPr>
          <w:rFonts w:eastAsiaTheme="minorHAnsi" w:cstheme="minorBidi"/>
          <w:lang w:val="es-AR"/>
        </w:rPr>
        <w:t xml:space="preserve"> (TEDH)</w:t>
      </w:r>
      <w:r w:rsidR="00CA0F28" w:rsidRPr="00407A7B">
        <w:rPr>
          <w:rFonts w:eastAsiaTheme="minorHAnsi" w:cstheme="minorBidi"/>
          <w:lang w:val="es-AR"/>
        </w:rPr>
        <w:t xml:space="preserve">, ante un alegato de falta de imparcialidad del juez interviniente, “se debe determinar si, aparte del comportamiento personal de los jueces, hay hechos averiguables que </w:t>
      </w:r>
      <w:r w:rsidR="00A9284B" w:rsidRPr="00407A7B">
        <w:rPr>
          <w:rFonts w:eastAsiaTheme="minorHAnsi" w:cstheme="minorBidi"/>
          <w:lang w:val="es-AR"/>
        </w:rPr>
        <w:t>podrán</w:t>
      </w:r>
      <w:r w:rsidR="00CA0F28" w:rsidRPr="00407A7B">
        <w:rPr>
          <w:rFonts w:eastAsiaTheme="minorHAnsi" w:cstheme="minorBidi"/>
          <w:lang w:val="es-AR"/>
        </w:rPr>
        <w:t xml:space="preserve"> suscitar dudas respecto de su imparcialidad”</w:t>
      </w:r>
      <w:r w:rsidR="00CA0F28" w:rsidRPr="00407A7B">
        <w:rPr>
          <w:rStyle w:val="FootnoteReference"/>
          <w:rFonts w:eastAsiaTheme="minorHAnsi" w:cstheme="minorBidi"/>
          <w:lang w:val="es-AR"/>
        </w:rPr>
        <w:footnoteReference w:id="75"/>
      </w:r>
      <w:r w:rsidR="00CA0F28" w:rsidRPr="00407A7B">
        <w:rPr>
          <w:rFonts w:eastAsiaTheme="minorHAnsi" w:cstheme="minorBidi"/>
          <w:lang w:val="es-AR"/>
        </w:rPr>
        <w:t xml:space="preserve"> </w:t>
      </w:r>
      <w:r w:rsidR="00A42343" w:rsidRPr="00407A7B">
        <w:rPr>
          <w:rFonts w:eastAsiaTheme="minorHAnsi" w:cstheme="minorBidi"/>
          <w:lang w:val="es-AR"/>
        </w:rPr>
        <w:t xml:space="preserve">. </w:t>
      </w:r>
      <w:r w:rsidR="00A166F0" w:rsidRPr="00407A7B">
        <w:rPr>
          <w:rFonts w:eastAsiaTheme="minorHAnsi" w:cstheme="minorBidi"/>
          <w:lang w:val="es-AR"/>
        </w:rPr>
        <w:t>Asimismo</w:t>
      </w:r>
      <w:r w:rsidRPr="00407A7B">
        <w:rPr>
          <w:rFonts w:eastAsiaTheme="minorHAnsi" w:cstheme="minorBidi"/>
          <w:lang w:val="es-AR"/>
        </w:rPr>
        <w:t>, el TEDH ha establecido que</w:t>
      </w:r>
      <w:r w:rsidR="00BE43FB" w:rsidRPr="00407A7B">
        <w:rPr>
          <w:rFonts w:eastAsiaTheme="minorHAnsi" w:cstheme="minorBidi"/>
          <w:lang w:val="es-AR"/>
        </w:rPr>
        <w:t xml:space="preserve">, </w:t>
      </w:r>
      <w:r w:rsidR="00430166" w:rsidRPr="00407A7B">
        <w:rPr>
          <w:rFonts w:eastAsiaTheme="minorHAnsi" w:cstheme="minorBidi"/>
          <w:lang w:val="es-AR"/>
        </w:rPr>
        <w:t xml:space="preserve">a la hora de </w:t>
      </w:r>
      <w:r w:rsidR="00A166F0" w:rsidRPr="00407A7B">
        <w:rPr>
          <w:rFonts w:eastAsiaTheme="minorHAnsi" w:cstheme="minorBidi"/>
          <w:lang w:val="es-AR"/>
        </w:rPr>
        <w:t>decidir</w:t>
      </w:r>
      <w:r w:rsidR="00430166" w:rsidRPr="00407A7B">
        <w:rPr>
          <w:rFonts w:eastAsiaTheme="minorHAnsi" w:cstheme="minorBidi"/>
          <w:lang w:val="es-AR"/>
        </w:rPr>
        <w:t xml:space="preserve"> sobre este punto</w:t>
      </w:r>
      <w:r w:rsidR="00BE43FB" w:rsidRPr="00407A7B">
        <w:rPr>
          <w:rFonts w:eastAsiaTheme="minorHAnsi" w:cstheme="minorBidi"/>
          <w:lang w:val="es-AR"/>
        </w:rPr>
        <w:t>,</w:t>
      </w:r>
      <w:r w:rsidR="00430166" w:rsidRPr="00407A7B">
        <w:rPr>
          <w:rFonts w:eastAsiaTheme="minorHAnsi" w:cstheme="minorBidi"/>
          <w:lang w:val="es-AR"/>
        </w:rPr>
        <w:t xml:space="preserve"> “la perspectiva de la persona afectada se tiene en </w:t>
      </w:r>
      <w:r w:rsidR="00E52EA9" w:rsidRPr="00407A7B">
        <w:rPr>
          <w:rFonts w:eastAsiaTheme="minorHAnsi" w:cstheme="minorBidi"/>
          <w:lang w:val="es-AR"/>
        </w:rPr>
        <w:t>cuenta,</w:t>
      </w:r>
      <w:r w:rsidR="00430166" w:rsidRPr="00407A7B">
        <w:rPr>
          <w:rFonts w:eastAsiaTheme="minorHAnsi" w:cstheme="minorBidi"/>
          <w:lang w:val="es-AR"/>
        </w:rPr>
        <w:t xml:space="preserve"> pero no juega un papel decisivo. El elemento determinante consiste en saber si las aprensiones del interesado se pueden considerar como objetivamente justificadas”</w:t>
      </w:r>
      <w:r w:rsidR="00430166" w:rsidRPr="00407A7B">
        <w:rPr>
          <w:rStyle w:val="FootnoteReference"/>
          <w:rFonts w:eastAsiaTheme="minorHAnsi" w:cstheme="minorBidi"/>
          <w:lang w:val="es-AR"/>
        </w:rPr>
        <w:footnoteReference w:id="76"/>
      </w:r>
    </w:p>
    <w:p w14:paraId="4593A97F" w14:textId="77777777" w:rsidR="00143C3F" w:rsidRPr="00407A7B" w:rsidRDefault="00143C3F" w:rsidP="00143C3F">
      <w:pPr>
        <w:pStyle w:val="ListParagraph"/>
        <w:rPr>
          <w:sz w:val="18"/>
          <w:szCs w:val="18"/>
          <w:lang w:val="es-ES"/>
        </w:rPr>
      </w:pPr>
    </w:p>
    <w:p w14:paraId="4CDA427B" w14:textId="77777777" w:rsidR="0028235D" w:rsidRPr="00407A7B" w:rsidRDefault="00143C3F" w:rsidP="008779C3">
      <w:pPr>
        <w:pStyle w:val="parrafos"/>
        <w:numPr>
          <w:ilvl w:val="0"/>
          <w:numId w:val="55"/>
        </w:numPr>
        <w:tabs>
          <w:tab w:val="clear" w:pos="360"/>
          <w:tab w:val="left" w:pos="567"/>
        </w:tabs>
        <w:ind w:left="0" w:firstLine="0"/>
        <w:rPr>
          <w:lang w:val="es-ES"/>
        </w:rPr>
      </w:pPr>
      <w:r w:rsidRPr="00407A7B">
        <w:rPr>
          <w:lang w:val="es-ES"/>
        </w:rPr>
        <w:t>En lo que tiene que ver con la situación planteada por el ejercicio por parte de un mismo magistrado de diferentes funciones judiciales en distintas etapas de un mismo proceso y su impacto en la imparcialidad objetiva, el TEDH ha puntualizado que, como regla general, es necesario evaluar caso por caso la actuación del juez, teniendo en cuenta las circunstancias del litigio</w:t>
      </w:r>
      <w:r w:rsidRPr="00407A7B">
        <w:rPr>
          <w:rStyle w:val="FootnoteReference"/>
          <w:lang w:val="es-ES"/>
        </w:rPr>
        <w:footnoteReference w:id="77"/>
      </w:r>
      <w:r w:rsidRPr="00407A7B">
        <w:rPr>
          <w:lang w:val="es-ES"/>
        </w:rPr>
        <w:t xml:space="preserve">. </w:t>
      </w:r>
      <w:r w:rsidR="008779C3" w:rsidRPr="00407A7B">
        <w:rPr>
          <w:lang w:val="es-ES"/>
        </w:rPr>
        <w:t>Adicionalmente, y a</w:t>
      </w:r>
      <w:r w:rsidR="00EB31DB" w:rsidRPr="00407A7B">
        <w:rPr>
          <w:lang w:val="es-ES"/>
        </w:rPr>
        <w:t xml:space="preserve"> efectos de dilucidar si ex</w:t>
      </w:r>
      <w:r w:rsidR="008779C3" w:rsidRPr="00407A7B">
        <w:rPr>
          <w:lang w:val="es-ES"/>
        </w:rPr>
        <w:t>isten dudas razonables sobre la imparcialidad del juez, “es necesario considerar si la relación entre los asuntos sustantivos decididos en las distintas etapas del procedimiento es tan cercana como para levantar dudas respecto de la imparcialidad del juez que participa en el proceso de decisión en esas etapas”</w:t>
      </w:r>
      <w:r w:rsidR="008779C3" w:rsidRPr="00407A7B">
        <w:rPr>
          <w:rStyle w:val="FootnoteReference"/>
          <w:lang w:val="es-ES"/>
        </w:rPr>
        <w:footnoteReference w:id="78"/>
      </w:r>
    </w:p>
    <w:p w14:paraId="6C353E40" w14:textId="77777777" w:rsidR="00895E49" w:rsidRPr="00407A7B" w:rsidRDefault="00895E49" w:rsidP="00895E49">
      <w:pPr>
        <w:pStyle w:val="ListParagraph"/>
        <w:rPr>
          <w:lang w:val="es-ES"/>
        </w:rPr>
      </w:pPr>
    </w:p>
    <w:p w14:paraId="51A207B9" w14:textId="77777777" w:rsidR="00FE0DD0" w:rsidRPr="00407A7B" w:rsidRDefault="004D593D" w:rsidP="008779C3">
      <w:pPr>
        <w:pStyle w:val="parrafos"/>
        <w:numPr>
          <w:ilvl w:val="0"/>
          <w:numId w:val="55"/>
        </w:numPr>
        <w:tabs>
          <w:tab w:val="clear" w:pos="360"/>
          <w:tab w:val="left" w:pos="567"/>
        </w:tabs>
        <w:ind w:left="0" w:firstLine="0"/>
        <w:rPr>
          <w:lang w:val="es-ES"/>
        </w:rPr>
      </w:pPr>
      <w:r w:rsidRPr="00407A7B">
        <w:rPr>
          <w:lang w:val="es-ES"/>
        </w:rPr>
        <w:t xml:space="preserve">Finalmente, la </w:t>
      </w:r>
      <w:r w:rsidR="00FE0DD0" w:rsidRPr="00407A7B">
        <w:rPr>
          <w:lang w:val="es-ES"/>
        </w:rPr>
        <w:t>Comisión</w:t>
      </w:r>
      <w:r w:rsidRPr="00407A7B">
        <w:rPr>
          <w:lang w:val="es-ES"/>
        </w:rPr>
        <w:t xml:space="preserve"> destaca que el TEDH </w:t>
      </w:r>
      <w:r w:rsidR="00FE0DD0" w:rsidRPr="00407A7B">
        <w:rPr>
          <w:lang w:val="es-ES"/>
        </w:rPr>
        <w:t xml:space="preserve">en el caso </w:t>
      </w:r>
      <w:r w:rsidR="00FE0DD0" w:rsidRPr="009024C0">
        <w:rPr>
          <w:i/>
          <w:lang w:val="es-ES"/>
        </w:rPr>
        <w:t>Hauschildt v. Denmark</w:t>
      </w:r>
      <w:r w:rsidR="00FE0DD0" w:rsidRPr="00407A7B">
        <w:rPr>
          <w:lang w:val="es-ES"/>
        </w:rPr>
        <w:t xml:space="preserve"> </w:t>
      </w:r>
      <w:r w:rsidRPr="00407A7B">
        <w:rPr>
          <w:lang w:val="es-ES"/>
        </w:rPr>
        <w:t>declar</w:t>
      </w:r>
      <w:r w:rsidR="00FE0DD0" w:rsidRPr="00407A7B">
        <w:rPr>
          <w:lang w:val="es-ES"/>
        </w:rPr>
        <w:t>ó</w:t>
      </w:r>
      <w:r w:rsidRPr="00407A7B">
        <w:rPr>
          <w:lang w:val="es-ES"/>
        </w:rPr>
        <w:t xml:space="preserve"> la violación del derecho a ser juzgado por un tribunal imparcial (art 6.1 Convenio Europeo de Derechos Humanos) </w:t>
      </w:r>
      <w:r w:rsidR="00FE0DD0" w:rsidRPr="00407A7B">
        <w:rPr>
          <w:lang w:val="es-ES"/>
        </w:rPr>
        <w:t xml:space="preserve">a raíz </w:t>
      </w:r>
      <w:r w:rsidRPr="00407A7B">
        <w:rPr>
          <w:lang w:val="es-ES"/>
        </w:rPr>
        <w:t xml:space="preserve">de la actuación sucesiva de un mismo magistrado en el control judicial de la detención preventiva y en la etapa de debate. Para decidir de ese modo, el TEDH </w:t>
      </w:r>
      <w:r w:rsidR="00FE0DD0" w:rsidRPr="00407A7B">
        <w:rPr>
          <w:lang w:val="es-ES"/>
        </w:rPr>
        <w:t xml:space="preserve">debió analizar el </w:t>
      </w:r>
      <w:r w:rsidR="00E52EA9" w:rsidRPr="00407A7B">
        <w:rPr>
          <w:lang w:val="es-ES"/>
        </w:rPr>
        <w:t>art 762.2</w:t>
      </w:r>
      <w:r w:rsidR="00FE0DD0" w:rsidRPr="00407A7B">
        <w:rPr>
          <w:lang w:val="es-ES"/>
        </w:rPr>
        <w:t xml:space="preserve"> de la legislación nacional que requería para el dictado y el mantenimiento de una medida de prisión preventiva la presencia de “sospechas confirmadas” de que el acusado había cometido el delito que se le imputa. El TEDH manifestó que “la diferencia entre la cuestión que hay que resolver para aplicar dicho </w:t>
      </w:r>
      <w:r w:rsidR="009A597B" w:rsidRPr="00407A7B">
        <w:rPr>
          <w:lang w:val="es-ES"/>
        </w:rPr>
        <w:t>artículo</w:t>
      </w:r>
      <w:r w:rsidR="00FE0DD0" w:rsidRPr="00407A7B">
        <w:rPr>
          <w:lang w:val="es-ES"/>
        </w:rPr>
        <w:t xml:space="preserve"> y la que es objeto del juicio se convierte, en tal supuesto, en muy pequeña” y concluyó que “en las circunstancias que concurren en este caso, la imparcialidad de los tribunales competentes suscitaba dudas y que los temores del señor Hauschildt, a este respecto, pueden considerarse objetivamente justificados”</w:t>
      </w:r>
      <w:r w:rsidR="00FE0DD0" w:rsidRPr="00407A7B">
        <w:rPr>
          <w:rStyle w:val="FootnoteReference"/>
          <w:lang w:val="es-ES"/>
        </w:rPr>
        <w:footnoteReference w:id="79"/>
      </w:r>
      <w:r w:rsidR="00FE0DD0" w:rsidRPr="00407A7B">
        <w:rPr>
          <w:lang w:val="es-ES"/>
        </w:rPr>
        <w:t>.</w:t>
      </w:r>
    </w:p>
    <w:p w14:paraId="500F2264" w14:textId="77777777" w:rsidR="00CA3637" w:rsidRPr="00407A7B" w:rsidRDefault="00CA3637" w:rsidP="00CA0F28">
      <w:pPr>
        <w:pStyle w:val="parrafos"/>
        <w:numPr>
          <w:ilvl w:val="0"/>
          <w:numId w:val="0"/>
        </w:numPr>
        <w:tabs>
          <w:tab w:val="clear" w:pos="360"/>
          <w:tab w:val="left" w:pos="567"/>
        </w:tabs>
      </w:pPr>
    </w:p>
    <w:p w14:paraId="6FA73C87" w14:textId="77777777" w:rsidR="001979D6" w:rsidRPr="00407A7B" w:rsidRDefault="00A42343" w:rsidP="0097352B">
      <w:pPr>
        <w:pStyle w:val="Heading3"/>
        <w:numPr>
          <w:ilvl w:val="0"/>
          <w:numId w:val="67"/>
        </w:numPr>
        <w:spacing w:before="0" w:after="0"/>
        <w:ind w:left="714" w:hanging="357"/>
      </w:pPr>
      <w:bookmarkStart w:id="41" w:name="_Toc54369882"/>
      <w:r w:rsidRPr="00407A7B">
        <w:t>Análisis</w:t>
      </w:r>
      <w:r w:rsidR="00266720" w:rsidRPr="00407A7B">
        <w:t xml:space="preserve"> del caso</w:t>
      </w:r>
      <w:bookmarkEnd w:id="41"/>
      <w:r w:rsidR="00266720" w:rsidRPr="00407A7B">
        <w:t xml:space="preserve"> </w:t>
      </w:r>
    </w:p>
    <w:p w14:paraId="7DC9FDF3" w14:textId="77777777" w:rsidR="00D3137D" w:rsidRPr="00407A7B" w:rsidRDefault="00D3137D" w:rsidP="004116D8">
      <w:pPr>
        <w:rPr>
          <w:rFonts w:ascii="Cambria" w:hAnsi="Cambria"/>
          <w:sz w:val="20"/>
          <w:szCs w:val="20"/>
        </w:rPr>
      </w:pPr>
    </w:p>
    <w:p w14:paraId="49205DAB" w14:textId="77777777" w:rsidR="00AD3EE5" w:rsidRPr="00407A7B" w:rsidRDefault="001E674B" w:rsidP="004116D8">
      <w:pPr>
        <w:pStyle w:val="ListParagraph"/>
        <w:numPr>
          <w:ilvl w:val="0"/>
          <w:numId w:val="55"/>
        </w:numPr>
        <w:tabs>
          <w:tab w:val="left" w:pos="567"/>
        </w:tabs>
        <w:ind w:left="0" w:firstLine="0"/>
        <w:jc w:val="both"/>
        <w:rPr>
          <w:sz w:val="20"/>
          <w:szCs w:val="20"/>
          <w:lang w:val="es-ES"/>
        </w:rPr>
      </w:pPr>
      <w:r w:rsidRPr="00407A7B">
        <w:rPr>
          <w:sz w:val="20"/>
          <w:szCs w:val="20"/>
          <w:lang w:val="es-ES"/>
        </w:rPr>
        <w:t xml:space="preserve">En primer </w:t>
      </w:r>
      <w:r w:rsidR="00CA7CC0" w:rsidRPr="00407A7B">
        <w:rPr>
          <w:sz w:val="20"/>
          <w:szCs w:val="20"/>
          <w:lang w:val="es-ES"/>
        </w:rPr>
        <w:t>término</w:t>
      </w:r>
      <w:r w:rsidRPr="00407A7B">
        <w:rPr>
          <w:sz w:val="20"/>
          <w:szCs w:val="20"/>
          <w:lang w:val="es-ES"/>
        </w:rPr>
        <w:t xml:space="preserve">, la </w:t>
      </w:r>
      <w:r w:rsidR="00EC122B" w:rsidRPr="00407A7B">
        <w:rPr>
          <w:sz w:val="20"/>
          <w:szCs w:val="20"/>
          <w:lang w:val="es-ES"/>
        </w:rPr>
        <w:t>Comisión</w:t>
      </w:r>
      <w:r w:rsidRPr="00407A7B">
        <w:rPr>
          <w:sz w:val="20"/>
          <w:szCs w:val="20"/>
          <w:lang w:val="es-ES"/>
        </w:rPr>
        <w:t xml:space="preserve"> entiende que la controversia sobre este tema se circunscribe al hecho de la </w:t>
      </w:r>
      <w:r w:rsidR="00AD3EE5" w:rsidRPr="00407A7B">
        <w:rPr>
          <w:sz w:val="20"/>
          <w:szCs w:val="20"/>
          <w:lang w:val="es-ES"/>
        </w:rPr>
        <w:t xml:space="preserve">intervención </w:t>
      </w:r>
      <w:r w:rsidR="00EC122B" w:rsidRPr="00407A7B">
        <w:rPr>
          <w:sz w:val="20"/>
          <w:szCs w:val="20"/>
          <w:lang w:val="es-ES"/>
        </w:rPr>
        <w:t>en la etapa de instrucción de uno de los magistrados que posteriormente integr</w:t>
      </w:r>
      <w:r w:rsidR="00AD3EE5" w:rsidRPr="00407A7B">
        <w:rPr>
          <w:sz w:val="20"/>
          <w:szCs w:val="20"/>
          <w:lang w:val="es-ES"/>
        </w:rPr>
        <w:t>ó</w:t>
      </w:r>
      <w:r w:rsidR="00EC122B" w:rsidRPr="00407A7B">
        <w:rPr>
          <w:sz w:val="20"/>
          <w:szCs w:val="20"/>
          <w:lang w:val="es-ES"/>
        </w:rPr>
        <w:t xml:space="preserve"> el tribunal de juicio que encontró al peticionario penalmente responsable de una serie de delitos y le impuso una pena de prisión, así como los efectos que </w:t>
      </w:r>
      <w:r w:rsidR="00AD3EE5" w:rsidRPr="00407A7B">
        <w:rPr>
          <w:sz w:val="20"/>
          <w:szCs w:val="20"/>
          <w:lang w:val="es-ES"/>
        </w:rPr>
        <w:t xml:space="preserve">habrían generado </w:t>
      </w:r>
      <w:r w:rsidR="00EC122B" w:rsidRPr="00407A7B">
        <w:rPr>
          <w:sz w:val="20"/>
          <w:szCs w:val="20"/>
          <w:lang w:val="es-ES"/>
        </w:rPr>
        <w:t xml:space="preserve">esa eventual múltiple participación </w:t>
      </w:r>
      <w:r w:rsidR="00AD3EE5" w:rsidRPr="00407A7B">
        <w:rPr>
          <w:sz w:val="20"/>
          <w:szCs w:val="20"/>
          <w:lang w:val="es-ES"/>
        </w:rPr>
        <w:t>en distintas etapas del procedimiento penal en el</w:t>
      </w:r>
      <w:r w:rsidR="00EC122B" w:rsidRPr="00407A7B">
        <w:rPr>
          <w:sz w:val="20"/>
          <w:szCs w:val="20"/>
          <w:lang w:val="es-ES"/>
        </w:rPr>
        <w:t xml:space="preserve"> derecho </w:t>
      </w:r>
      <w:r w:rsidR="00AD3EE5" w:rsidRPr="00407A7B">
        <w:rPr>
          <w:sz w:val="20"/>
          <w:szCs w:val="20"/>
          <w:lang w:val="es-ES"/>
        </w:rPr>
        <w:t xml:space="preserve">del Sr. Cochran </w:t>
      </w:r>
      <w:r w:rsidR="00EC122B" w:rsidRPr="00407A7B">
        <w:rPr>
          <w:sz w:val="20"/>
          <w:szCs w:val="20"/>
          <w:lang w:val="es-ES"/>
        </w:rPr>
        <w:t xml:space="preserve">a ser juzgado por un tribunal imparcial. </w:t>
      </w:r>
    </w:p>
    <w:p w14:paraId="79B655D7" w14:textId="77777777" w:rsidR="00AD3EE5" w:rsidRPr="00407A7B" w:rsidRDefault="00AD3EE5" w:rsidP="00AD3EE5">
      <w:pPr>
        <w:rPr>
          <w:rFonts w:ascii="Cambria" w:hAnsi="Cambria"/>
          <w:sz w:val="20"/>
          <w:szCs w:val="20"/>
          <w:lang w:val="es-ES_tradnl" w:eastAsia="es-ES"/>
        </w:rPr>
      </w:pPr>
    </w:p>
    <w:p w14:paraId="63080872" w14:textId="77777777" w:rsidR="002A3805" w:rsidRPr="00407A7B" w:rsidRDefault="00AD3EE5" w:rsidP="004116D8">
      <w:pPr>
        <w:pStyle w:val="ListParagraph"/>
        <w:numPr>
          <w:ilvl w:val="0"/>
          <w:numId w:val="55"/>
        </w:numPr>
        <w:tabs>
          <w:tab w:val="left" w:pos="567"/>
        </w:tabs>
        <w:ind w:left="0" w:firstLine="0"/>
        <w:jc w:val="both"/>
        <w:rPr>
          <w:sz w:val="20"/>
          <w:szCs w:val="20"/>
          <w:lang w:val="es-AR"/>
        </w:rPr>
      </w:pPr>
      <w:r w:rsidRPr="00407A7B">
        <w:rPr>
          <w:sz w:val="20"/>
          <w:szCs w:val="20"/>
          <w:lang w:val="es-AR"/>
        </w:rPr>
        <w:t xml:space="preserve">A partir de la lectura de las diversas actuaciones existentes en el expediente, la Comisión constata, en primer </w:t>
      </w:r>
      <w:r w:rsidR="00CA7CC0" w:rsidRPr="00407A7B">
        <w:rPr>
          <w:sz w:val="20"/>
          <w:szCs w:val="20"/>
          <w:lang w:val="es-AR"/>
        </w:rPr>
        <w:t>término</w:t>
      </w:r>
      <w:r w:rsidRPr="00407A7B">
        <w:rPr>
          <w:sz w:val="20"/>
          <w:szCs w:val="20"/>
          <w:lang w:val="es-AR"/>
        </w:rPr>
        <w:t xml:space="preserve">, que </w:t>
      </w:r>
      <w:r w:rsidR="00E33E08" w:rsidRPr="00407A7B">
        <w:rPr>
          <w:sz w:val="20"/>
          <w:szCs w:val="20"/>
          <w:lang w:val="es-AR"/>
        </w:rPr>
        <w:t>mediante resolución de fecha 11 de agosto de 2003 el</w:t>
      </w:r>
      <w:r w:rsidRPr="00407A7B">
        <w:rPr>
          <w:sz w:val="20"/>
          <w:szCs w:val="20"/>
          <w:lang w:val="es-AR"/>
        </w:rPr>
        <w:t xml:space="preserve"> Tribunal Penal de Juicio del Primer </w:t>
      </w:r>
      <w:r w:rsidRPr="00407A7B">
        <w:rPr>
          <w:sz w:val="20"/>
          <w:szCs w:val="20"/>
          <w:lang w:val="es-AR"/>
        </w:rPr>
        <w:lastRenderedPageBreak/>
        <w:t xml:space="preserve">Circuito Judicial de San José </w:t>
      </w:r>
      <w:r w:rsidR="00E33E08" w:rsidRPr="00407A7B">
        <w:rPr>
          <w:sz w:val="20"/>
          <w:szCs w:val="20"/>
          <w:lang w:val="es-AR"/>
        </w:rPr>
        <w:t xml:space="preserve">decidió rechazar el recurso de apelación interpuesto por los abogados del Sr. Cochran y, por consiguiente, confirmó la decisión del Juez Penal de San José de prorrogar la prisión preventiva impuesta al peticionario. </w:t>
      </w:r>
      <w:r w:rsidR="002A3805" w:rsidRPr="00407A7B">
        <w:rPr>
          <w:sz w:val="20"/>
          <w:szCs w:val="20"/>
          <w:lang w:val="es-AR"/>
        </w:rPr>
        <w:t>Esta resolución fue suscripta por el magistrado Lic. Luis Gerardo Bolaños González</w:t>
      </w:r>
      <w:r w:rsidR="002A3805" w:rsidRPr="00407A7B">
        <w:rPr>
          <w:sz w:val="16"/>
          <w:szCs w:val="16"/>
          <w:vertAlign w:val="superscript"/>
          <w:lang w:val="fr-CH"/>
        </w:rPr>
        <w:footnoteReference w:id="80"/>
      </w:r>
      <w:r w:rsidR="002A3805" w:rsidRPr="00407A7B">
        <w:rPr>
          <w:sz w:val="16"/>
          <w:szCs w:val="16"/>
          <w:vertAlign w:val="superscript"/>
          <w:lang w:val="es-AR"/>
        </w:rPr>
        <w:t>.</w:t>
      </w:r>
      <w:r w:rsidR="002A3805" w:rsidRPr="00407A7B">
        <w:rPr>
          <w:sz w:val="20"/>
          <w:szCs w:val="20"/>
          <w:lang w:val="es-AR"/>
        </w:rPr>
        <w:t xml:space="preserve"> Asimismo, la Comisión ha constatado que el juez Bolaños González también integró el Tribunal Penal de Juicio que condujo el debate oral contra el peticionario y que</w:t>
      </w:r>
      <w:r w:rsidR="00660A1B" w:rsidRPr="00407A7B">
        <w:rPr>
          <w:sz w:val="20"/>
          <w:szCs w:val="20"/>
          <w:lang w:val="es-AR"/>
        </w:rPr>
        <w:t xml:space="preserve">, </w:t>
      </w:r>
      <w:r w:rsidR="002A3805" w:rsidRPr="00407A7B">
        <w:rPr>
          <w:sz w:val="20"/>
          <w:szCs w:val="20"/>
          <w:lang w:val="es-AR"/>
        </w:rPr>
        <w:t>por unanimidad, halló al Sr. Cochran  penalmente responsable de una serie de delitos y emitió sentencia condenatoria de primera instancia en su contra, imponiéndole como consecuencia la pena de 45 años de prisión</w:t>
      </w:r>
      <w:r w:rsidR="002A3805" w:rsidRPr="00407A7B">
        <w:rPr>
          <w:sz w:val="20"/>
          <w:szCs w:val="20"/>
          <w:vertAlign w:val="superscript"/>
          <w:lang w:val="fr-CH"/>
        </w:rPr>
        <w:footnoteReference w:id="81"/>
      </w:r>
      <w:r w:rsidR="002A3805" w:rsidRPr="00407A7B">
        <w:rPr>
          <w:sz w:val="20"/>
          <w:szCs w:val="20"/>
          <w:vertAlign w:val="superscript"/>
          <w:lang w:val="es-AR"/>
        </w:rPr>
        <w:t>.</w:t>
      </w:r>
      <w:r w:rsidR="002A3805" w:rsidRPr="00407A7B">
        <w:rPr>
          <w:sz w:val="20"/>
          <w:szCs w:val="20"/>
          <w:lang w:val="es-AR"/>
        </w:rPr>
        <w:t xml:space="preserve"> </w:t>
      </w:r>
    </w:p>
    <w:p w14:paraId="4638FA9F" w14:textId="77777777" w:rsidR="002A3805" w:rsidRPr="00407A7B" w:rsidRDefault="002A3805" w:rsidP="002A3805">
      <w:pPr>
        <w:pStyle w:val="parrafos"/>
        <w:numPr>
          <w:ilvl w:val="0"/>
          <w:numId w:val="0"/>
        </w:numPr>
        <w:rPr>
          <w:lang w:eastAsia="es-ES"/>
        </w:rPr>
      </w:pPr>
    </w:p>
    <w:p w14:paraId="12F36D3F" w14:textId="77777777" w:rsidR="00EB31DB" w:rsidRPr="00407A7B" w:rsidRDefault="0053193A" w:rsidP="00A411C6">
      <w:pPr>
        <w:pStyle w:val="parrafos"/>
        <w:numPr>
          <w:ilvl w:val="0"/>
          <w:numId w:val="55"/>
        </w:numPr>
        <w:tabs>
          <w:tab w:val="clear" w:pos="360"/>
          <w:tab w:val="left" w:pos="567"/>
        </w:tabs>
        <w:ind w:left="0" w:firstLine="0"/>
        <w:rPr>
          <w:lang w:val="es-AR" w:eastAsia="es-ES"/>
        </w:rPr>
      </w:pPr>
      <w:r w:rsidRPr="00407A7B">
        <w:rPr>
          <w:lang w:eastAsia="es-ES"/>
        </w:rPr>
        <w:t xml:space="preserve">La CIDH recuerda que resulta consustancial al debido proceso la necesidad de que los jueces inspiren en los justiciables la certeza de que no se aproximaran al pleito portando prejuicios o preconceptos de cualquier </w:t>
      </w:r>
      <w:r w:rsidR="00CA7CC0" w:rsidRPr="00407A7B">
        <w:rPr>
          <w:lang w:eastAsia="es-ES"/>
        </w:rPr>
        <w:t>índole</w:t>
      </w:r>
      <w:r w:rsidRPr="00407A7B">
        <w:rPr>
          <w:lang w:eastAsia="es-ES"/>
        </w:rPr>
        <w:t xml:space="preserve">. En este sentido, la </w:t>
      </w:r>
      <w:r w:rsidR="00CA7CC0" w:rsidRPr="00407A7B">
        <w:rPr>
          <w:lang w:eastAsia="es-ES"/>
        </w:rPr>
        <w:t>Comisión</w:t>
      </w:r>
      <w:r w:rsidRPr="00407A7B">
        <w:rPr>
          <w:lang w:eastAsia="es-ES"/>
        </w:rPr>
        <w:t xml:space="preserve"> resalta que la imparcialidad objetiva implica que los Estados deben garantizar que no exista </w:t>
      </w:r>
      <w:r w:rsidR="00430166" w:rsidRPr="00407A7B">
        <w:rPr>
          <w:lang w:eastAsia="es-ES"/>
        </w:rPr>
        <w:t xml:space="preserve">en los justiciables duda </w:t>
      </w:r>
      <w:r w:rsidRPr="00407A7B">
        <w:rPr>
          <w:lang w:eastAsia="es-ES"/>
        </w:rPr>
        <w:t xml:space="preserve">razonable alguna que pueda conducir a </w:t>
      </w:r>
      <w:r w:rsidR="00430166" w:rsidRPr="00407A7B">
        <w:rPr>
          <w:lang w:eastAsia="es-ES"/>
        </w:rPr>
        <w:t xml:space="preserve">temer una </w:t>
      </w:r>
      <w:r w:rsidR="009A597B" w:rsidRPr="00407A7B">
        <w:rPr>
          <w:lang w:eastAsia="es-ES"/>
        </w:rPr>
        <w:t>actuación</w:t>
      </w:r>
      <w:r w:rsidR="00430166" w:rsidRPr="00407A7B">
        <w:rPr>
          <w:lang w:eastAsia="es-ES"/>
        </w:rPr>
        <w:t xml:space="preserve"> parcial de los magistrados </w:t>
      </w:r>
      <w:r w:rsidRPr="00407A7B">
        <w:rPr>
          <w:lang w:eastAsia="es-ES"/>
        </w:rPr>
        <w:t xml:space="preserve">del caso. </w:t>
      </w:r>
      <w:r w:rsidR="00EB31DB" w:rsidRPr="00407A7B">
        <w:rPr>
          <w:lang w:eastAsia="es-ES"/>
        </w:rPr>
        <w:t xml:space="preserve">Estos principios cobran especial relevancia en el marco de un proceso penal, donde la </w:t>
      </w:r>
      <w:r w:rsidR="00A166F0" w:rsidRPr="00407A7B">
        <w:rPr>
          <w:lang w:eastAsia="es-ES"/>
        </w:rPr>
        <w:t>actuación</w:t>
      </w:r>
      <w:r w:rsidR="00EB31DB" w:rsidRPr="00407A7B">
        <w:rPr>
          <w:lang w:eastAsia="es-ES"/>
        </w:rPr>
        <w:t xml:space="preserve"> del poder punitivo puede afectar de manera </w:t>
      </w:r>
      <w:r w:rsidR="00A166F0" w:rsidRPr="00407A7B">
        <w:rPr>
          <w:lang w:eastAsia="es-ES"/>
        </w:rPr>
        <w:t>determinante</w:t>
      </w:r>
      <w:r w:rsidR="00EB31DB" w:rsidRPr="00407A7B">
        <w:rPr>
          <w:lang w:eastAsia="es-ES"/>
        </w:rPr>
        <w:t xml:space="preserve"> la libertad de los acusados </w:t>
      </w:r>
      <w:r w:rsidR="002A18B1" w:rsidRPr="00407A7B">
        <w:rPr>
          <w:lang w:eastAsia="es-ES"/>
        </w:rPr>
        <w:t>y</w:t>
      </w:r>
      <w:r w:rsidR="00EB31DB" w:rsidRPr="00407A7B">
        <w:rPr>
          <w:lang w:eastAsia="es-ES"/>
        </w:rPr>
        <w:t xml:space="preserve"> otros bienes </w:t>
      </w:r>
      <w:r w:rsidR="00A166F0" w:rsidRPr="00407A7B">
        <w:rPr>
          <w:lang w:eastAsia="es-ES"/>
        </w:rPr>
        <w:t>jurídicos</w:t>
      </w:r>
      <w:r w:rsidR="002A18B1" w:rsidRPr="00407A7B">
        <w:rPr>
          <w:lang w:eastAsia="es-ES"/>
        </w:rPr>
        <w:t xml:space="preserve"> especialmente valiosos. </w:t>
      </w:r>
    </w:p>
    <w:p w14:paraId="1FB2C84E" w14:textId="77777777" w:rsidR="00EB31DB" w:rsidRPr="00407A7B" w:rsidRDefault="00EB31DB" w:rsidP="00EB31DB">
      <w:pPr>
        <w:pStyle w:val="ListParagraph"/>
        <w:rPr>
          <w:lang w:val="es-AR"/>
        </w:rPr>
      </w:pPr>
    </w:p>
    <w:p w14:paraId="28BB1794" w14:textId="77777777" w:rsidR="009024C0" w:rsidRDefault="00B26222" w:rsidP="00A411C6">
      <w:pPr>
        <w:pStyle w:val="parrafos"/>
        <w:numPr>
          <w:ilvl w:val="0"/>
          <w:numId w:val="55"/>
        </w:numPr>
        <w:tabs>
          <w:tab w:val="clear" w:pos="360"/>
          <w:tab w:val="left" w:pos="567"/>
        </w:tabs>
        <w:ind w:left="0" w:firstLine="0"/>
        <w:rPr>
          <w:lang w:val="es-ES" w:eastAsia="es-ES"/>
        </w:rPr>
      </w:pPr>
      <w:r w:rsidRPr="00407A7B">
        <w:rPr>
          <w:lang w:val="es-ES" w:eastAsia="es-ES"/>
        </w:rPr>
        <w:t>Como una consecuencia derivada de estos conceptos, l</w:t>
      </w:r>
      <w:r w:rsidR="00660A1B" w:rsidRPr="00407A7B">
        <w:rPr>
          <w:lang w:val="es-ES" w:eastAsia="es-ES"/>
        </w:rPr>
        <w:t>a CIDH entiende</w:t>
      </w:r>
      <w:r w:rsidRPr="00407A7B">
        <w:rPr>
          <w:lang w:val="es-ES" w:eastAsia="es-ES"/>
        </w:rPr>
        <w:t xml:space="preserve">, de manera general, </w:t>
      </w:r>
      <w:r w:rsidR="00660A1B" w:rsidRPr="00407A7B">
        <w:rPr>
          <w:lang w:val="es-ES" w:eastAsia="es-ES"/>
        </w:rPr>
        <w:t xml:space="preserve">que la </w:t>
      </w:r>
      <w:r w:rsidR="00CA7CC0" w:rsidRPr="00407A7B">
        <w:rPr>
          <w:lang w:val="es-ES" w:eastAsia="es-ES"/>
        </w:rPr>
        <w:t>integración</w:t>
      </w:r>
      <w:r w:rsidR="00660A1B" w:rsidRPr="00407A7B">
        <w:rPr>
          <w:lang w:val="es-ES" w:eastAsia="es-ES"/>
        </w:rPr>
        <w:t xml:space="preserve"> de un tribunal de juicio con magistrados que ya </w:t>
      </w:r>
      <w:r w:rsidR="0053193A" w:rsidRPr="00407A7B">
        <w:rPr>
          <w:lang w:val="es-ES" w:eastAsia="es-ES"/>
        </w:rPr>
        <w:t>intervinieron en el</w:t>
      </w:r>
      <w:r w:rsidR="00851434" w:rsidRPr="00407A7B">
        <w:rPr>
          <w:lang w:val="es-ES" w:eastAsia="es-ES"/>
        </w:rPr>
        <w:t xml:space="preserve"> proceso </w:t>
      </w:r>
      <w:r w:rsidR="0053193A" w:rsidRPr="00407A7B">
        <w:rPr>
          <w:lang w:val="es-ES" w:eastAsia="es-ES"/>
        </w:rPr>
        <w:t xml:space="preserve">penal </w:t>
      </w:r>
      <w:r w:rsidR="00660A1B" w:rsidRPr="00407A7B">
        <w:rPr>
          <w:lang w:val="es-ES" w:eastAsia="es-ES"/>
        </w:rPr>
        <w:t>durante la etap</w:t>
      </w:r>
      <w:r w:rsidR="009024C0">
        <w:rPr>
          <w:lang w:val="es-ES" w:eastAsia="es-ES"/>
        </w:rPr>
        <w:t xml:space="preserve">a de instrucción es un aspecto que </w:t>
      </w:r>
      <w:r w:rsidR="00567AA0">
        <w:rPr>
          <w:lang w:val="es-ES" w:eastAsia="es-ES"/>
        </w:rPr>
        <w:t xml:space="preserve">puede </w:t>
      </w:r>
      <w:r w:rsidR="009024C0">
        <w:rPr>
          <w:lang w:val="es-ES" w:eastAsia="es-ES"/>
        </w:rPr>
        <w:t>ofrece</w:t>
      </w:r>
      <w:r w:rsidR="00567AA0">
        <w:rPr>
          <w:lang w:val="es-ES" w:eastAsia="es-ES"/>
        </w:rPr>
        <w:t>r</w:t>
      </w:r>
      <w:r w:rsidR="009024C0">
        <w:rPr>
          <w:lang w:val="es-ES" w:eastAsia="es-ES"/>
        </w:rPr>
        <w:t xml:space="preserve"> algunas problemáticas</w:t>
      </w:r>
      <w:r w:rsidR="00660A1B" w:rsidRPr="00407A7B">
        <w:rPr>
          <w:lang w:val="es-ES" w:eastAsia="es-ES"/>
        </w:rPr>
        <w:t xml:space="preserve"> </w:t>
      </w:r>
      <w:r w:rsidR="009024C0">
        <w:rPr>
          <w:lang w:val="es-ES" w:eastAsia="es-ES"/>
        </w:rPr>
        <w:t>en el ámbito de</w:t>
      </w:r>
      <w:r w:rsidR="00660A1B" w:rsidRPr="00407A7B">
        <w:rPr>
          <w:lang w:val="es-ES" w:eastAsia="es-ES"/>
        </w:rPr>
        <w:t xml:space="preserve"> la organización judicial </w:t>
      </w:r>
      <w:r w:rsidR="003A11D2" w:rsidRPr="00407A7B">
        <w:rPr>
          <w:lang w:val="es-ES" w:eastAsia="es-ES"/>
        </w:rPr>
        <w:t>de</w:t>
      </w:r>
      <w:r w:rsidR="00660A1B" w:rsidRPr="00407A7B">
        <w:rPr>
          <w:lang w:val="es-ES" w:eastAsia="es-ES"/>
        </w:rPr>
        <w:t xml:space="preserve"> varios </w:t>
      </w:r>
      <w:r w:rsidR="00CA7CC0" w:rsidRPr="00407A7B">
        <w:rPr>
          <w:lang w:val="es-ES" w:eastAsia="es-ES"/>
        </w:rPr>
        <w:t>países</w:t>
      </w:r>
      <w:r w:rsidR="00660A1B" w:rsidRPr="00407A7B">
        <w:rPr>
          <w:lang w:val="es-ES" w:eastAsia="es-ES"/>
        </w:rPr>
        <w:t xml:space="preserve"> de la </w:t>
      </w:r>
      <w:r w:rsidR="00CA7CC0" w:rsidRPr="00407A7B">
        <w:rPr>
          <w:lang w:val="es-ES" w:eastAsia="es-ES"/>
        </w:rPr>
        <w:t>región</w:t>
      </w:r>
      <w:r w:rsidR="00660A1B" w:rsidRPr="00407A7B">
        <w:rPr>
          <w:lang w:val="es-ES" w:eastAsia="es-ES"/>
        </w:rPr>
        <w:t xml:space="preserve"> a la </w:t>
      </w:r>
      <w:r w:rsidR="009024C0">
        <w:rPr>
          <w:lang w:val="es-ES" w:eastAsia="es-ES"/>
        </w:rPr>
        <w:t xml:space="preserve">luz de la </w:t>
      </w:r>
      <w:r w:rsidR="00CA7CC0" w:rsidRPr="00407A7B">
        <w:rPr>
          <w:lang w:val="es-ES" w:eastAsia="es-ES"/>
        </w:rPr>
        <w:t>garantía</w:t>
      </w:r>
      <w:r w:rsidR="00660A1B" w:rsidRPr="00407A7B">
        <w:rPr>
          <w:lang w:val="es-ES" w:eastAsia="es-ES"/>
        </w:rPr>
        <w:t xml:space="preserve"> del juez imparcial en su faz objetiva</w:t>
      </w:r>
      <w:r w:rsidR="00AE76D3" w:rsidRPr="00407A7B">
        <w:rPr>
          <w:lang w:val="es-ES" w:eastAsia="es-ES"/>
        </w:rPr>
        <w:t xml:space="preserve">. </w:t>
      </w:r>
      <w:r w:rsidR="00567AA0">
        <w:rPr>
          <w:lang w:val="es-ES" w:eastAsia="es-ES"/>
        </w:rPr>
        <w:t>L</w:t>
      </w:r>
      <w:r w:rsidRPr="00407A7B">
        <w:rPr>
          <w:lang w:val="es-ES" w:eastAsia="es-ES"/>
        </w:rPr>
        <w:t xml:space="preserve">a CIDH </w:t>
      </w:r>
      <w:r w:rsidR="00567AA0">
        <w:rPr>
          <w:lang w:val="es-ES" w:eastAsia="es-ES"/>
        </w:rPr>
        <w:t xml:space="preserve"> </w:t>
      </w:r>
      <w:r w:rsidR="009024C0">
        <w:rPr>
          <w:lang w:val="es-ES" w:eastAsia="es-ES"/>
        </w:rPr>
        <w:t>reconoce que el análisis que es realizado en el ámbito de la determinación de una prisión preventiva, es distinto de aquel requerido para condenar a una persona, de tal manera que</w:t>
      </w:r>
      <w:r w:rsidR="00567AA0">
        <w:rPr>
          <w:lang w:val="es-ES" w:eastAsia="es-ES"/>
        </w:rPr>
        <w:t xml:space="preserve"> a efectos de verificar si la garantía de imparcialidad resulta afectada, </w:t>
      </w:r>
      <w:r w:rsidR="009024C0">
        <w:rPr>
          <w:lang w:val="es-ES" w:eastAsia="es-ES"/>
        </w:rPr>
        <w:t>es necesario analizar si en la determinación de la imposición de la medida</w:t>
      </w:r>
      <w:r w:rsidR="00567AA0">
        <w:rPr>
          <w:lang w:val="es-ES" w:eastAsia="es-ES"/>
        </w:rPr>
        <w:t xml:space="preserve"> cautelar la autoridad adelantó</w:t>
      </w:r>
      <w:r w:rsidR="009024C0">
        <w:rPr>
          <w:lang w:val="es-ES" w:eastAsia="es-ES"/>
        </w:rPr>
        <w:t xml:space="preserve"> una posición respecto de la responsabilidad penal más allá de la constatación de indicios</w:t>
      </w:r>
      <w:r w:rsidR="00567AA0">
        <w:rPr>
          <w:lang w:val="es-ES" w:eastAsia="es-ES"/>
        </w:rPr>
        <w:t xml:space="preserve"> de posible participación que hubiera asimismo afectado</w:t>
      </w:r>
      <w:r w:rsidR="009024C0">
        <w:rPr>
          <w:lang w:val="es-ES" w:eastAsia="es-ES"/>
        </w:rPr>
        <w:t xml:space="preserve"> la imparcialidad del órgano que impone la condena. Lo anterior, debe ser analizado</w:t>
      </w:r>
      <w:r w:rsidR="00567AA0">
        <w:rPr>
          <w:lang w:val="es-ES" w:eastAsia="es-ES"/>
        </w:rPr>
        <w:t xml:space="preserve"> de manera riguroso a la luz del caso en concreto.</w:t>
      </w:r>
    </w:p>
    <w:p w14:paraId="2C8447EF" w14:textId="77777777" w:rsidR="0053193A" w:rsidRPr="009024C0" w:rsidRDefault="00B26222" w:rsidP="0053193A">
      <w:pPr>
        <w:pStyle w:val="parrafos"/>
        <w:numPr>
          <w:ilvl w:val="0"/>
          <w:numId w:val="0"/>
        </w:numPr>
        <w:tabs>
          <w:tab w:val="clear" w:pos="360"/>
          <w:tab w:val="left" w:pos="567"/>
        </w:tabs>
        <w:rPr>
          <w:lang w:val="es-ES" w:eastAsia="es-ES"/>
        </w:rPr>
      </w:pPr>
      <w:r w:rsidRPr="00407A7B">
        <w:rPr>
          <w:lang w:val="es-ES" w:eastAsia="es-ES"/>
        </w:rPr>
        <w:t xml:space="preserve"> </w:t>
      </w:r>
    </w:p>
    <w:p w14:paraId="69C85405" w14:textId="77777777" w:rsidR="00D56213" w:rsidRPr="00D56213" w:rsidRDefault="00D56213" w:rsidP="00D56213">
      <w:pPr>
        <w:pStyle w:val="parrafos"/>
        <w:numPr>
          <w:ilvl w:val="0"/>
          <w:numId w:val="55"/>
        </w:numPr>
        <w:tabs>
          <w:tab w:val="clear" w:pos="360"/>
          <w:tab w:val="left" w:pos="567"/>
        </w:tabs>
        <w:ind w:left="0" w:firstLine="0"/>
        <w:rPr>
          <w:lang w:eastAsia="es-ES"/>
        </w:rPr>
      </w:pPr>
      <w:r>
        <w:rPr>
          <w:lang w:eastAsia="es-ES"/>
        </w:rPr>
        <w:t>La Comisión recuerda que de conformidad con los estándares interamericanos aplicables a efectos de la determinación de la prisión preventiva además de los riesgos procesales debe constarse que existan “</w:t>
      </w:r>
      <w:r w:rsidRPr="00D56213">
        <w:rPr>
          <w:lang w:val="es-US" w:eastAsia="es-ES"/>
        </w:rPr>
        <w:t>indicios suficientes que</w:t>
      </w:r>
      <w:r>
        <w:rPr>
          <w:lang w:eastAsia="es-ES"/>
        </w:rPr>
        <w:t xml:space="preserve"> </w:t>
      </w:r>
      <w:r w:rsidRPr="00D56213">
        <w:rPr>
          <w:lang w:val="es-US" w:eastAsia="es-ES"/>
        </w:rPr>
        <w:t>permitan suponer razonablemente que un hecho ilícito ocurrió y que la persona sometida al</w:t>
      </w:r>
      <w:r>
        <w:rPr>
          <w:lang w:eastAsia="es-ES"/>
        </w:rPr>
        <w:t xml:space="preserve"> </w:t>
      </w:r>
      <w:r w:rsidRPr="00D56213">
        <w:rPr>
          <w:lang w:val="es-US" w:eastAsia="es-ES"/>
        </w:rPr>
        <w:t>proceso pudo haber participado en el mism</w:t>
      </w:r>
      <w:r>
        <w:rPr>
          <w:lang w:val="es-US" w:eastAsia="es-ES"/>
        </w:rPr>
        <w:t>o”</w:t>
      </w:r>
      <w:r>
        <w:rPr>
          <w:rStyle w:val="FootnoteReference"/>
          <w:lang w:val="es-US" w:eastAsia="es-ES"/>
        </w:rPr>
        <w:footnoteReference w:id="82"/>
      </w:r>
      <w:r>
        <w:rPr>
          <w:lang w:val="es-US" w:eastAsia="es-ES"/>
        </w:rPr>
        <w:t xml:space="preserve">. </w:t>
      </w:r>
      <w:r>
        <w:rPr>
          <w:lang w:eastAsia="es-ES"/>
        </w:rPr>
        <w:t xml:space="preserve"> Según ha sido enfatizado por la Corte “[l]a sospecha tiene que estar fundada en hechos específicos y articulados con palabras, esto es, no en meras conjeturas o intuiciones abstractas. De allí se deduce que el Estado no debe detener para luego investigar, por el contrario, sólo está autorizado a privar de la libertad a una persona cuando alcance el conocimiento suficiente para poder llevarla a juicio”</w:t>
      </w:r>
      <w:r>
        <w:rPr>
          <w:rStyle w:val="FootnoteReference"/>
          <w:lang w:eastAsia="es-ES"/>
        </w:rPr>
        <w:footnoteReference w:id="83"/>
      </w:r>
      <w:r>
        <w:rPr>
          <w:lang w:eastAsia="es-ES"/>
        </w:rPr>
        <w:t>.</w:t>
      </w:r>
    </w:p>
    <w:p w14:paraId="454C267F" w14:textId="77777777" w:rsidR="00D56213" w:rsidRPr="00D56213" w:rsidRDefault="00D56213" w:rsidP="00D56213">
      <w:pPr>
        <w:pStyle w:val="parrafos"/>
        <w:numPr>
          <w:ilvl w:val="0"/>
          <w:numId w:val="0"/>
        </w:numPr>
        <w:tabs>
          <w:tab w:val="clear" w:pos="360"/>
          <w:tab w:val="left" w:pos="567"/>
        </w:tabs>
        <w:rPr>
          <w:lang w:eastAsia="es-ES"/>
        </w:rPr>
      </w:pPr>
    </w:p>
    <w:p w14:paraId="156DB872" w14:textId="77777777" w:rsidR="00660A1B" w:rsidRPr="00407A7B" w:rsidRDefault="009024C0" w:rsidP="002A3805">
      <w:pPr>
        <w:pStyle w:val="parrafos"/>
        <w:numPr>
          <w:ilvl w:val="0"/>
          <w:numId w:val="55"/>
        </w:numPr>
        <w:tabs>
          <w:tab w:val="clear" w:pos="360"/>
          <w:tab w:val="left" w:pos="567"/>
        </w:tabs>
        <w:ind w:left="0" w:firstLine="0"/>
        <w:rPr>
          <w:lang w:eastAsia="es-ES"/>
        </w:rPr>
      </w:pPr>
      <w:r>
        <w:rPr>
          <w:lang w:eastAsia="es-ES"/>
        </w:rPr>
        <w:t>En el presente caso, d</w:t>
      </w:r>
      <w:r w:rsidR="00851434" w:rsidRPr="00407A7B">
        <w:rPr>
          <w:lang w:eastAsia="es-ES"/>
        </w:rPr>
        <w:t>e</w:t>
      </w:r>
      <w:r w:rsidR="00660A1B" w:rsidRPr="00407A7B">
        <w:rPr>
          <w:lang w:eastAsia="es-ES"/>
        </w:rPr>
        <w:t xml:space="preserve"> la lectura de la </w:t>
      </w:r>
      <w:r w:rsidR="00CA7CC0" w:rsidRPr="00407A7B">
        <w:rPr>
          <w:lang w:eastAsia="es-ES"/>
        </w:rPr>
        <w:t>resolución</w:t>
      </w:r>
      <w:r w:rsidR="00660A1B" w:rsidRPr="00407A7B">
        <w:rPr>
          <w:lang w:eastAsia="es-ES"/>
        </w:rPr>
        <w:t xml:space="preserve"> </w:t>
      </w:r>
      <w:r w:rsidR="00851434" w:rsidRPr="00407A7B">
        <w:rPr>
          <w:lang w:eastAsia="es-ES"/>
        </w:rPr>
        <w:t>del 11 de agosto de 2003 que deneg</w:t>
      </w:r>
      <w:r w:rsidR="00AE76D3" w:rsidRPr="00407A7B">
        <w:rPr>
          <w:lang w:eastAsia="es-ES"/>
        </w:rPr>
        <w:t xml:space="preserve">ó </w:t>
      </w:r>
      <w:r w:rsidR="00851434" w:rsidRPr="00407A7B">
        <w:rPr>
          <w:lang w:eastAsia="es-ES"/>
        </w:rPr>
        <w:t xml:space="preserve">el recurso de </w:t>
      </w:r>
      <w:r w:rsidR="00CA7CC0" w:rsidRPr="00407A7B">
        <w:rPr>
          <w:lang w:eastAsia="es-ES"/>
        </w:rPr>
        <w:t>apelación</w:t>
      </w:r>
      <w:r w:rsidR="00851434" w:rsidRPr="00407A7B">
        <w:rPr>
          <w:lang w:eastAsia="es-ES"/>
        </w:rPr>
        <w:t xml:space="preserve"> interpuesto por el </w:t>
      </w:r>
      <w:r w:rsidR="00AE76D3" w:rsidRPr="00407A7B">
        <w:rPr>
          <w:lang w:eastAsia="es-ES"/>
        </w:rPr>
        <w:t>peticionario</w:t>
      </w:r>
      <w:r w:rsidR="00851434" w:rsidRPr="00407A7B">
        <w:rPr>
          <w:lang w:eastAsia="es-ES"/>
        </w:rPr>
        <w:t>, la</w:t>
      </w:r>
      <w:r w:rsidR="00AE76D3" w:rsidRPr="00407A7B">
        <w:rPr>
          <w:lang w:eastAsia="es-ES"/>
        </w:rPr>
        <w:t xml:space="preserve"> </w:t>
      </w:r>
      <w:r w:rsidR="00CA7CC0" w:rsidRPr="00407A7B">
        <w:rPr>
          <w:lang w:eastAsia="es-ES"/>
        </w:rPr>
        <w:t>Comisión</w:t>
      </w:r>
      <w:r w:rsidR="00851434" w:rsidRPr="00407A7B">
        <w:rPr>
          <w:lang w:eastAsia="es-ES"/>
        </w:rPr>
        <w:t xml:space="preserve"> aprecia que el juez Bolaños Gonzalez realiz</w:t>
      </w:r>
      <w:r w:rsidR="00AE76D3" w:rsidRPr="00407A7B">
        <w:rPr>
          <w:lang w:eastAsia="es-ES"/>
        </w:rPr>
        <w:t>ó</w:t>
      </w:r>
      <w:r w:rsidR="00851434" w:rsidRPr="00407A7B">
        <w:rPr>
          <w:lang w:eastAsia="es-ES"/>
        </w:rPr>
        <w:t xml:space="preserve"> diversas consideraciones </w:t>
      </w:r>
      <w:r w:rsidR="00AE76D3" w:rsidRPr="00407A7B">
        <w:rPr>
          <w:lang w:eastAsia="es-ES"/>
        </w:rPr>
        <w:t>relacionadas</w:t>
      </w:r>
      <w:r w:rsidR="00851434" w:rsidRPr="00407A7B">
        <w:rPr>
          <w:lang w:eastAsia="es-ES"/>
        </w:rPr>
        <w:t xml:space="preserve"> con </w:t>
      </w:r>
      <w:r w:rsidR="00AE76D3" w:rsidRPr="00407A7B">
        <w:rPr>
          <w:lang w:eastAsia="es-ES"/>
        </w:rPr>
        <w:t xml:space="preserve">el grado de </w:t>
      </w:r>
      <w:r w:rsidR="00CA7CC0" w:rsidRPr="00407A7B">
        <w:rPr>
          <w:lang w:eastAsia="es-ES"/>
        </w:rPr>
        <w:t>vinculación</w:t>
      </w:r>
      <w:r w:rsidR="00AE76D3" w:rsidRPr="00407A7B">
        <w:rPr>
          <w:lang w:eastAsia="es-ES"/>
        </w:rPr>
        <w:t xml:space="preserve"> del Sr. Cochran con el delito por el cual se lo estaba investigando. En efecto, en la mencionada </w:t>
      </w:r>
      <w:r w:rsidR="00CA7CC0" w:rsidRPr="00407A7B">
        <w:rPr>
          <w:lang w:eastAsia="es-ES"/>
        </w:rPr>
        <w:t>resolución</w:t>
      </w:r>
      <w:r w:rsidR="00AE76D3" w:rsidRPr="00407A7B">
        <w:rPr>
          <w:lang w:eastAsia="es-ES"/>
        </w:rPr>
        <w:t xml:space="preserve"> se plasma que</w:t>
      </w:r>
      <w:r w:rsidR="003A11D2" w:rsidRPr="00407A7B">
        <w:rPr>
          <w:lang w:eastAsia="es-ES"/>
        </w:rPr>
        <w:t>:</w:t>
      </w:r>
      <w:r w:rsidR="00D56213">
        <w:rPr>
          <w:lang w:eastAsia="es-ES"/>
        </w:rPr>
        <w:t xml:space="preserve"> “[e]</w:t>
      </w:r>
      <w:r w:rsidR="00AE76D3" w:rsidRPr="00407A7B">
        <w:rPr>
          <w:lang w:eastAsia="es-ES"/>
        </w:rPr>
        <w:t xml:space="preserve">n el caso que aquí nos ocupa no cabe la menor duda de que se han logrado recabar elementos probatorios que eventualmente </w:t>
      </w:r>
      <w:r w:rsidR="00CA7CC0" w:rsidRPr="00407A7B">
        <w:rPr>
          <w:lang w:eastAsia="es-ES"/>
        </w:rPr>
        <w:t>podrían</w:t>
      </w:r>
      <w:r w:rsidR="00AE76D3" w:rsidRPr="00407A7B">
        <w:rPr>
          <w:lang w:eastAsia="es-ES"/>
        </w:rPr>
        <w:t xml:space="preserve"> comprometer la </w:t>
      </w:r>
      <w:r w:rsidR="00CA7CC0" w:rsidRPr="00407A7B">
        <w:rPr>
          <w:lang w:eastAsia="es-ES"/>
        </w:rPr>
        <w:t>situación</w:t>
      </w:r>
      <w:r w:rsidR="00AE76D3" w:rsidRPr="00407A7B">
        <w:rPr>
          <w:lang w:eastAsia="es-ES"/>
        </w:rPr>
        <w:t xml:space="preserve"> penal del encartado (…) Es decir que en cuanto a elementos probatorios de cargo esta causa cuenta con suficiente prueba que al menos viene a dar una fuerte probabilidad de </w:t>
      </w:r>
      <w:r w:rsidR="00CA7CC0" w:rsidRPr="00407A7B">
        <w:rPr>
          <w:lang w:eastAsia="es-ES"/>
        </w:rPr>
        <w:t>participación</w:t>
      </w:r>
      <w:r w:rsidR="00AE76D3" w:rsidRPr="00407A7B">
        <w:rPr>
          <w:lang w:eastAsia="es-ES"/>
        </w:rPr>
        <w:t xml:space="preserve"> del encartado Scott Cochran en estos hechos”</w:t>
      </w:r>
      <w:r w:rsidR="00AE76D3" w:rsidRPr="00407A7B">
        <w:rPr>
          <w:rStyle w:val="FootnoteReference"/>
          <w:lang w:eastAsia="es-ES"/>
        </w:rPr>
        <w:footnoteReference w:id="84"/>
      </w:r>
      <w:r w:rsidR="00AE76D3" w:rsidRPr="00407A7B">
        <w:rPr>
          <w:lang w:eastAsia="es-ES"/>
        </w:rPr>
        <w:t>.</w:t>
      </w:r>
    </w:p>
    <w:p w14:paraId="2D49ACE1" w14:textId="77777777" w:rsidR="00AE76D3" w:rsidRPr="00407A7B" w:rsidRDefault="00AE76D3" w:rsidP="00AE76D3">
      <w:pPr>
        <w:pStyle w:val="ListParagraph"/>
        <w:rPr>
          <w:sz w:val="20"/>
          <w:szCs w:val="20"/>
          <w:lang w:val="es-AR"/>
        </w:rPr>
      </w:pPr>
    </w:p>
    <w:p w14:paraId="7E7A07CE" w14:textId="77777777" w:rsidR="00DE69D8" w:rsidRPr="00407A7B" w:rsidRDefault="00AE76D3" w:rsidP="002A3805">
      <w:pPr>
        <w:pStyle w:val="parrafos"/>
        <w:numPr>
          <w:ilvl w:val="0"/>
          <w:numId w:val="55"/>
        </w:numPr>
        <w:tabs>
          <w:tab w:val="clear" w:pos="360"/>
          <w:tab w:val="left" w:pos="567"/>
        </w:tabs>
        <w:ind w:left="0" w:firstLine="0"/>
        <w:rPr>
          <w:lang w:eastAsia="es-ES"/>
        </w:rPr>
      </w:pPr>
      <w:r w:rsidRPr="00407A7B">
        <w:rPr>
          <w:lang w:eastAsia="es-ES"/>
        </w:rPr>
        <w:lastRenderedPageBreak/>
        <w:t xml:space="preserve">La </w:t>
      </w:r>
      <w:r w:rsidR="00CA7CC0" w:rsidRPr="00407A7B">
        <w:rPr>
          <w:lang w:eastAsia="es-ES"/>
        </w:rPr>
        <w:t>Comisión</w:t>
      </w:r>
      <w:r w:rsidRPr="00407A7B">
        <w:rPr>
          <w:lang w:eastAsia="es-ES"/>
        </w:rPr>
        <w:t xml:space="preserve"> no desconoce que las aseveraciones anteriormente transcriptas fueron realizadas en el marco de la </w:t>
      </w:r>
      <w:r w:rsidR="00CA7CC0" w:rsidRPr="00407A7B">
        <w:rPr>
          <w:lang w:eastAsia="es-ES"/>
        </w:rPr>
        <w:t>comprobación</w:t>
      </w:r>
      <w:r w:rsidRPr="00407A7B">
        <w:rPr>
          <w:lang w:eastAsia="es-ES"/>
        </w:rPr>
        <w:t xml:space="preserve"> del requisito exigido por el </w:t>
      </w:r>
      <w:r w:rsidR="00CA7CC0" w:rsidRPr="00407A7B">
        <w:rPr>
          <w:lang w:eastAsia="es-ES"/>
        </w:rPr>
        <w:t>artículo</w:t>
      </w:r>
      <w:r w:rsidRPr="00407A7B">
        <w:rPr>
          <w:lang w:eastAsia="es-ES"/>
        </w:rPr>
        <w:t xml:space="preserve"> 239.a del </w:t>
      </w:r>
      <w:r w:rsidR="00CA7CC0" w:rsidRPr="00407A7B">
        <w:rPr>
          <w:lang w:eastAsia="es-ES"/>
        </w:rPr>
        <w:t>Código</w:t>
      </w:r>
      <w:r w:rsidRPr="00407A7B">
        <w:rPr>
          <w:lang w:eastAsia="es-ES"/>
        </w:rPr>
        <w:t xml:space="preserve"> Procesal Penal</w:t>
      </w:r>
      <w:r w:rsidR="00DE69D8" w:rsidRPr="00407A7B">
        <w:rPr>
          <w:lang w:eastAsia="es-ES"/>
        </w:rPr>
        <w:t xml:space="preserve">, el cual </w:t>
      </w:r>
      <w:r w:rsidR="00FE510A" w:rsidRPr="00407A7B">
        <w:rPr>
          <w:lang w:eastAsia="es-ES"/>
        </w:rPr>
        <w:t xml:space="preserve">demanda </w:t>
      </w:r>
      <w:r w:rsidR="00DE69D8" w:rsidRPr="00407A7B">
        <w:rPr>
          <w:lang w:eastAsia="es-ES"/>
        </w:rPr>
        <w:t xml:space="preserve">que la </w:t>
      </w:r>
      <w:r w:rsidR="00CA7CC0" w:rsidRPr="00407A7B">
        <w:rPr>
          <w:lang w:eastAsia="es-ES"/>
        </w:rPr>
        <w:t>prisión</w:t>
      </w:r>
      <w:r w:rsidR="00DE69D8" w:rsidRPr="00407A7B">
        <w:rPr>
          <w:lang w:eastAsia="es-ES"/>
        </w:rPr>
        <w:t xml:space="preserve"> preventiva solo sea impuesta si existen “elementos de </w:t>
      </w:r>
      <w:r w:rsidR="00CA7CC0" w:rsidRPr="00407A7B">
        <w:rPr>
          <w:lang w:eastAsia="es-ES"/>
        </w:rPr>
        <w:t>convicción</w:t>
      </w:r>
      <w:r w:rsidR="00DE69D8" w:rsidRPr="00407A7B">
        <w:rPr>
          <w:lang w:eastAsia="es-ES"/>
        </w:rPr>
        <w:t xml:space="preserve"> suficientes para sostener, razonablemente, que el imputado es, con probabilidad, autor de un hecho punible o participe en él”. </w:t>
      </w:r>
      <w:r w:rsidR="00CA7CC0" w:rsidRPr="00407A7B">
        <w:rPr>
          <w:lang w:eastAsia="es-ES"/>
        </w:rPr>
        <w:t>Asimismo</w:t>
      </w:r>
      <w:r w:rsidR="00DE69D8" w:rsidRPr="00407A7B">
        <w:rPr>
          <w:lang w:eastAsia="es-ES"/>
        </w:rPr>
        <w:t xml:space="preserve">, la CIDH tiene presente que en la </w:t>
      </w:r>
      <w:r w:rsidR="00CA7CC0" w:rsidRPr="00407A7B">
        <w:rPr>
          <w:lang w:eastAsia="es-ES"/>
        </w:rPr>
        <w:t>decisión</w:t>
      </w:r>
      <w:r w:rsidR="00DE69D8" w:rsidRPr="00407A7B">
        <w:rPr>
          <w:lang w:eastAsia="es-ES"/>
        </w:rPr>
        <w:t xml:space="preserve"> del 11 de agosto de 2003 el juez Bolaños Gonzale</w:t>
      </w:r>
      <w:r w:rsidR="003A11D2" w:rsidRPr="00407A7B">
        <w:rPr>
          <w:lang w:eastAsia="es-ES"/>
        </w:rPr>
        <w:t>z</w:t>
      </w:r>
      <w:r w:rsidR="00DE69D8" w:rsidRPr="00407A7B">
        <w:rPr>
          <w:lang w:eastAsia="es-ES"/>
        </w:rPr>
        <w:t xml:space="preserve"> se limitó a dar por acreditado que, conforme el grado de avance de la </w:t>
      </w:r>
      <w:r w:rsidR="00CA7CC0" w:rsidRPr="00407A7B">
        <w:rPr>
          <w:lang w:eastAsia="es-ES"/>
        </w:rPr>
        <w:t>investigación</w:t>
      </w:r>
      <w:r w:rsidR="00DE69D8" w:rsidRPr="00407A7B">
        <w:rPr>
          <w:lang w:eastAsia="es-ES"/>
        </w:rPr>
        <w:t xml:space="preserve"> penal a esa fecha, </w:t>
      </w:r>
      <w:r w:rsidR="00CA7CC0" w:rsidRPr="00407A7B">
        <w:rPr>
          <w:lang w:eastAsia="es-ES"/>
        </w:rPr>
        <w:t>exista</w:t>
      </w:r>
      <w:r w:rsidR="00DE69D8" w:rsidRPr="00407A7B">
        <w:rPr>
          <w:lang w:eastAsia="es-ES"/>
        </w:rPr>
        <w:t xml:space="preserve"> </w:t>
      </w:r>
      <w:r w:rsidR="0019140B" w:rsidRPr="00407A7B">
        <w:rPr>
          <w:lang w:eastAsia="es-ES"/>
        </w:rPr>
        <w:t xml:space="preserve">la </w:t>
      </w:r>
      <w:r w:rsidR="00DE69D8" w:rsidRPr="00407A7B">
        <w:rPr>
          <w:lang w:eastAsia="es-ES"/>
        </w:rPr>
        <w:t xml:space="preserve">probabilidad </w:t>
      </w:r>
      <w:r w:rsidR="00CA7CC0" w:rsidRPr="00407A7B">
        <w:rPr>
          <w:lang w:eastAsia="es-ES"/>
        </w:rPr>
        <w:t>positiva -</w:t>
      </w:r>
      <w:r w:rsidR="0019140B" w:rsidRPr="00407A7B">
        <w:rPr>
          <w:lang w:eastAsia="es-ES"/>
        </w:rPr>
        <w:t xml:space="preserve"> y no la certeza - </w:t>
      </w:r>
      <w:r w:rsidR="00DE69D8" w:rsidRPr="00407A7B">
        <w:rPr>
          <w:lang w:eastAsia="es-ES"/>
        </w:rPr>
        <w:t xml:space="preserve"> de que el Sr. Cochran fuera responsable de los delitos por los que era acusado.</w:t>
      </w:r>
    </w:p>
    <w:p w14:paraId="2A8A6266" w14:textId="77777777" w:rsidR="00653213" w:rsidRPr="00653213" w:rsidRDefault="00653213" w:rsidP="00653213">
      <w:pPr>
        <w:pStyle w:val="parrafos"/>
        <w:numPr>
          <w:ilvl w:val="0"/>
          <w:numId w:val="0"/>
        </w:numPr>
        <w:tabs>
          <w:tab w:val="clear" w:pos="360"/>
          <w:tab w:val="left" w:pos="567"/>
        </w:tabs>
        <w:rPr>
          <w:rFonts w:asciiTheme="majorHAnsi" w:hAnsiTheme="majorHAnsi"/>
          <w:b/>
          <w:lang w:eastAsia="es-ES"/>
        </w:rPr>
      </w:pPr>
    </w:p>
    <w:p w14:paraId="19EDA093" w14:textId="77777777" w:rsidR="00653213" w:rsidRPr="00653213" w:rsidRDefault="00653213" w:rsidP="00653213">
      <w:pPr>
        <w:pStyle w:val="parrafos"/>
        <w:numPr>
          <w:ilvl w:val="0"/>
          <w:numId w:val="55"/>
        </w:numPr>
        <w:tabs>
          <w:tab w:val="clear" w:pos="360"/>
          <w:tab w:val="left" w:pos="567"/>
        </w:tabs>
        <w:ind w:left="0" w:firstLine="0"/>
        <w:rPr>
          <w:lang w:eastAsia="es-ES"/>
        </w:rPr>
      </w:pPr>
      <w:r>
        <w:rPr>
          <w:lang w:eastAsia="es-ES"/>
        </w:rPr>
        <w:t>Por otra parte, l</w:t>
      </w:r>
      <w:r w:rsidRPr="00653213">
        <w:rPr>
          <w:lang w:eastAsia="es-ES"/>
        </w:rPr>
        <w:t xml:space="preserve">a Comisión constata que la sentencia condenatoria de fecha 17 de agosto de 2004 fue dictada de manera unánime por los tres miembros del Tribunal Penal de Juicio del Primer Circuito Judicial de San José. Esta circunstancia determina que, en efecto, tanto la celebración del juicio oral como la privación de la libertad sufrida por el peticionario como consecuencia del mismo no obedecen de manera exclusiva a la actuación del magistrado cuya imparcialidad objetiva se cuestiona. Por el contrario, el desarrollo del debate oral y la sentencia condenatoria dependieron de la actuación de tres jueces, dos de los cuales no tuvieron participación previa alguna en el proceso penal contra el Sr. Cochran y cuya imparcialidad no ha sido cuestionada por el peticionario tanto durante el proceso penal en sede interna como durante el </w:t>
      </w:r>
      <w:r w:rsidR="00C03649" w:rsidRPr="00653213">
        <w:rPr>
          <w:lang w:eastAsia="es-ES"/>
        </w:rPr>
        <w:t>trámite</w:t>
      </w:r>
      <w:r w:rsidRPr="00653213">
        <w:rPr>
          <w:lang w:eastAsia="es-ES"/>
        </w:rPr>
        <w:t xml:space="preserve"> ante la Comisión. </w:t>
      </w:r>
    </w:p>
    <w:p w14:paraId="4C35DFBF" w14:textId="77777777" w:rsidR="00653213" w:rsidRPr="00653213" w:rsidRDefault="00653213" w:rsidP="00653213">
      <w:pPr>
        <w:pStyle w:val="parrafos"/>
        <w:numPr>
          <w:ilvl w:val="0"/>
          <w:numId w:val="0"/>
        </w:numPr>
        <w:tabs>
          <w:tab w:val="clear" w:pos="360"/>
          <w:tab w:val="left" w:pos="567"/>
        </w:tabs>
        <w:rPr>
          <w:lang w:eastAsia="es-ES"/>
        </w:rPr>
      </w:pPr>
    </w:p>
    <w:p w14:paraId="49D59301" w14:textId="77777777" w:rsidR="00653213" w:rsidRPr="00653213" w:rsidRDefault="00653213" w:rsidP="00653213">
      <w:pPr>
        <w:pStyle w:val="parrafos"/>
        <w:numPr>
          <w:ilvl w:val="0"/>
          <w:numId w:val="55"/>
        </w:numPr>
        <w:tabs>
          <w:tab w:val="clear" w:pos="360"/>
          <w:tab w:val="left" w:pos="567"/>
        </w:tabs>
        <w:ind w:left="0" w:firstLine="0"/>
        <w:rPr>
          <w:lang w:eastAsia="es-ES"/>
        </w:rPr>
      </w:pPr>
      <w:r w:rsidRPr="00653213">
        <w:rPr>
          <w:lang w:eastAsia="es-ES"/>
        </w:rPr>
        <w:t xml:space="preserve">Adicionalmente, la Comisión </w:t>
      </w:r>
      <w:r w:rsidR="00C03649">
        <w:rPr>
          <w:lang w:eastAsia="es-ES"/>
        </w:rPr>
        <w:t>observa que, pese a alegar una afectación a la imparcialidad, el peticionario no acreditó haber utilizado</w:t>
      </w:r>
      <w:r w:rsidRPr="00653213">
        <w:rPr>
          <w:lang w:eastAsia="es-ES"/>
        </w:rPr>
        <w:t xml:space="preserve"> la herramienta procesal de la recusación de magistrados prevista en los artículos 57 a 61 del Código Procesal Penal de Costa Rica. Al respecto, la Corte IDH ha establecido que “la institución de la recusación tiene un doble fin: por un </w:t>
      </w:r>
      <w:r w:rsidR="009A597B" w:rsidRPr="00653213">
        <w:rPr>
          <w:lang w:eastAsia="es-ES"/>
        </w:rPr>
        <w:t>la</w:t>
      </w:r>
      <w:r w:rsidR="009A597B">
        <w:rPr>
          <w:lang w:eastAsia="es-ES"/>
        </w:rPr>
        <w:t>do,</w:t>
      </w:r>
      <w:r w:rsidRPr="00653213">
        <w:rPr>
          <w:lang w:eastAsia="es-ES"/>
        </w:rPr>
        <w:t xml:space="preserve"> actúa como una garantía para las partes en el proceso, y por el otro, busca otorgar credibilidad a la función que desarrolla la Jurisdicción. En efecto, la recusación otorga el derecho a las partes de instar a la separación de un juez cuando, más allá de la conducta personal del juez cuestionado, existen hechos demostrables o elementos convincentes que produzcan temores fundados o sospechas legítimas de parcialidad sobre su persona”</w:t>
      </w:r>
      <w:r w:rsidR="00C03649">
        <w:rPr>
          <w:rStyle w:val="FootnoteReference"/>
          <w:lang w:eastAsia="es-ES"/>
        </w:rPr>
        <w:footnoteReference w:id="85"/>
      </w:r>
      <w:r w:rsidRPr="00653213">
        <w:rPr>
          <w:lang w:eastAsia="es-ES"/>
        </w:rPr>
        <w:t xml:space="preserve">. Asimismo, la Comisión no constató que la recusación de los magistrados se hallara de alguna manera vedada al peticionario por vía normativa, circunstancia que, conforme la jurisprudencia interamericana, de haberse configurado si habría afectado la garantía de la imparcialidad del juzgador. </w:t>
      </w:r>
    </w:p>
    <w:p w14:paraId="2175676E" w14:textId="77777777" w:rsidR="00653213" w:rsidRPr="00653213" w:rsidRDefault="00653213" w:rsidP="00C03649">
      <w:pPr>
        <w:pStyle w:val="parrafos"/>
        <w:numPr>
          <w:ilvl w:val="0"/>
          <w:numId w:val="0"/>
        </w:numPr>
        <w:tabs>
          <w:tab w:val="clear" w:pos="360"/>
          <w:tab w:val="left" w:pos="567"/>
        </w:tabs>
        <w:rPr>
          <w:lang w:eastAsia="es-ES"/>
        </w:rPr>
      </w:pPr>
    </w:p>
    <w:p w14:paraId="300DA72D" w14:textId="77777777" w:rsidR="00C03649" w:rsidRDefault="00653213" w:rsidP="00C03649">
      <w:pPr>
        <w:pStyle w:val="parrafos"/>
        <w:numPr>
          <w:ilvl w:val="0"/>
          <w:numId w:val="55"/>
        </w:numPr>
        <w:tabs>
          <w:tab w:val="clear" w:pos="360"/>
          <w:tab w:val="left" w:pos="567"/>
        </w:tabs>
        <w:ind w:left="0" w:firstLine="0"/>
        <w:rPr>
          <w:lang w:eastAsia="es-ES"/>
        </w:rPr>
      </w:pPr>
      <w:r w:rsidRPr="00653213">
        <w:rPr>
          <w:lang w:eastAsia="es-ES"/>
        </w:rPr>
        <w:t xml:space="preserve">Por consiguiente, la Comisión determinara que no cuenta con elementos que permitan asegurar que se infringió el derecho del peticionario a ser </w:t>
      </w:r>
      <w:r w:rsidR="00C03649" w:rsidRPr="00653213">
        <w:rPr>
          <w:lang w:eastAsia="es-ES"/>
        </w:rPr>
        <w:t>oído</w:t>
      </w:r>
      <w:r w:rsidRPr="00653213">
        <w:rPr>
          <w:lang w:eastAsia="es-ES"/>
        </w:rPr>
        <w:t xml:space="preserve"> por un juez imparcial</w:t>
      </w:r>
      <w:r w:rsidR="00C03649">
        <w:rPr>
          <w:lang w:eastAsia="es-ES"/>
        </w:rPr>
        <w:t xml:space="preserve"> </w:t>
      </w:r>
      <w:r w:rsidR="00C03649" w:rsidRPr="00407A7B">
        <w:rPr>
          <w:lang w:eastAsia="es-ES"/>
        </w:rPr>
        <w:t xml:space="preserve">consagrado en el artículo 8.1 de la Convención Americana sobre Derechos Humanos en perjuicio de Thomas Scot Cochran. </w:t>
      </w:r>
    </w:p>
    <w:p w14:paraId="16D33660" w14:textId="77777777" w:rsidR="001E674B" w:rsidRPr="00653213" w:rsidRDefault="001E674B" w:rsidP="001E674B">
      <w:pPr>
        <w:rPr>
          <w:rFonts w:asciiTheme="majorHAnsi" w:hAnsiTheme="majorHAnsi"/>
          <w:sz w:val="20"/>
          <w:szCs w:val="20"/>
          <w:lang w:val="es-ES_tradnl" w:eastAsia="es-ES"/>
        </w:rPr>
      </w:pPr>
    </w:p>
    <w:p w14:paraId="3FD9D039" w14:textId="77777777" w:rsidR="00D66281" w:rsidRPr="00407A7B" w:rsidRDefault="00D66281" w:rsidP="00CC268F">
      <w:pPr>
        <w:pStyle w:val="Heading2"/>
        <w:numPr>
          <w:ilvl w:val="0"/>
          <w:numId w:val="62"/>
        </w:numPr>
      </w:pPr>
      <w:bookmarkStart w:id="42" w:name="_Toc54369883"/>
      <w:r w:rsidRPr="00407A7B">
        <w:t>Derecho a recurrir el fallo ante juez o tribunal superior (art 8.2.h de la Convención Americana de Derechos Humanos en relación con sus artículos 1.1 y 2)</w:t>
      </w:r>
      <w:bookmarkEnd w:id="42"/>
      <w:r w:rsidRPr="00407A7B">
        <w:t xml:space="preserve"> </w:t>
      </w:r>
    </w:p>
    <w:p w14:paraId="22160243" w14:textId="77777777" w:rsidR="004116D8" w:rsidRPr="00407A7B" w:rsidRDefault="004116D8" w:rsidP="004116D8">
      <w:pPr>
        <w:rPr>
          <w:rFonts w:ascii="Cambria" w:hAnsi="Cambria"/>
          <w:sz w:val="20"/>
          <w:szCs w:val="20"/>
          <w:lang w:val="es-ES_tradnl" w:eastAsia="es-ES"/>
        </w:rPr>
      </w:pPr>
    </w:p>
    <w:p w14:paraId="416178DD" w14:textId="77777777" w:rsidR="00F7628E" w:rsidRPr="00407A7B" w:rsidRDefault="00F7628E" w:rsidP="004116D8">
      <w:pPr>
        <w:pStyle w:val="Heading3"/>
        <w:spacing w:before="0" w:after="0"/>
      </w:pPr>
      <w:bookmarkStart w:id="43" w:name="_Toc54369884"/>
      <w:r w:rsidRPr="00407A7B">
        <w:t>1.</w:t>
      </w:r>
      <w:r w:rsidRPr="00407A7B">
        <w:tab/>
        <w:t>Consideraciones generales</w:t>
      </w:r>
      <w:bookmarkEnd w:id="43"/>
      <w:r w:rsidRPr="00407A7B">
        <w:t xml:space="preserve"> </w:t>
      </w:r>
    </w:p>
    <w:p w14:paraId="53669CC9" w14:textId="77777777" w:rsidR="00F7628E" w:rsidRPr="00407A7B" w:rsidRDefault="00F7628E" w:rsidP="004116D8">
      <w:pPr>
        <w:pStyle w:val="ListParagraph"/>
        <w:rPr>
          <w:sz w:val="20"/>
          <w:szCs w:val="20"/>
          <w:lang w:val="es-ES_tradnl"/>
        </w:rPr>
      </w:pPr>
    </w:p>
    <w:p w14:paraId="2299B771" w14:textId="77777777" w:rsidR="00FB1760" w:rsidRPr="006843AA" w:rsidRDefault="00F7628E" w:rsidP="004116D8">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El derecho a recurrir el fallo ante un juez o tribunal distinto y de superior jerarquía es una de las garantías mínimas que tiene toda persona sometida a una investigación y proceso penal. Su finalidad es asegurar la revisión de una sentencia adversa de manera tal de que se tenga la posibilidad de corregir decisiones judiciales contrarias al derecho y evitar que una decisión injusta adquiera calidad de cosa juzgada</w:t>
      </w:r>
      <w:r w:rsidR="003A6852" w:rsidRPr="006843AA">
        <w:rPr>
          <w:rStyle w:val="FootnoteReference"/>
          <w:sz w:val="20"/>
          <w:szCs w:val="20"/>
          <w:lang w:val="es-ES_tradnl"/>
        </w:rPr>
        <w:footnoteReference w:id="86"/>
      </w:r>
      <w:r w:rsidR="00FB1760" w:rsidRPr="006843AA">
        <w:rPr>
          <w:sz w:val="20"/>
          <w:szCs w:val="20"/>
          <w:lang w:val="es-ES_tradnl"/>
        </w:rPr>
        <w:t xml:space="preserve">. </w:t>
      </w:r>
    </w:p>
    <w:p w14:paraId="7E1F3D84" w14:textId="77777777" w:rsidR="00FB1760" w:rsidRPr="006843AA" w:rsidRDefault="00FB1760" w:rsidP="00845885">
      <w:pPr>
        <w:pStyle w:val="ListParagraph"/>
        <w:tabs>
          <w:tab w:val="left" w:pos="567"/>
        </w:tabs>
        <w:ind w:left="0"/>
        <w:jc w:val="both"/>
        <w:rPr>
          <w:sz w:val="20"/>
          <w:szCs w:val="20"/>
          <w:lang w:val="es-ES_tradnl"/>
        </w:rPr>
      </w:pPr>
    </w:p>
    <w:p w14:paraId="0F87FE7F" w14:textId="77777777" w:rsidR="00FB1760" w:rsidRPr="006843AA" w:rsidRDefault="00F7628E" w:rsidP="00845885">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 xml:space="preserve">En este sentido, la Comisión resalta que el derecho a recurrir el fallo debe ser interpretado de manera conjunta con otras garantías procesales, si las características del caso así lo requieren. A modo de ejemplo, cabe mencionar la estrecha relación que existe, por un lado, entre el derecho a recurrir el fallo y, por el otro, el deber de motivación de las sentencias que se halla en cabeza de los magistrados. Asimismo, de especial relevancia </w:t>
      </w:r>
      <w:r w:rsidRPr="006843AA">
        <w:rPr>
          <w:sz w:val="20"/>
          <w:szCs w:val="20"/>
          <w:lang w:val="es-ES_tradnl"/>
        </w:rPr>
        <w:lastRenderedPageBreak/>
        <w:t>resulta la relación entre el derecho al recurso y a la defensa en juicio, también consagrado en el artículo 8 de la Convención</w:t>
      </w:r>
      <w:r w:rsidR="003A6852" w:rsidRPr="006843AA">
        <w:rPr>
          <w:rStyle w:val="FootnoteReference"/>
          <w:sz w:val="20"/>
          <w:szCs w:val="20"/>
          <w:lang w:val="es-ES_tradnl"/>
        </w:rPr>
        <w:footnoteReference w:id="87"/>
      </w:r>
      <w:r w:rsidRPr="006843AA">
        <w:rPr>
          <w:sz w:val="20"/>
          <w:szCs w:val="20"/>
          <w:lang w:val="es-ES_tradnl"/>
        </w:rPr>
        <w:t xml:space="preserve">. </w:t>
      </w:r>
    </w:p>
    <w:p w14:paraId="6F3B0641" w14:textId="77777777" w:rsidR="00FB1760" w:rsidRPr="006843AA" w:rsidRDefault="00FB1760" w:rsidP="00845885">
      <w:pPr>
        <w:pStyle w:val="ListParagraph"/>
        <w:tabs>
          <w:tab w:val="left" w:pos="567"/>
        </w:tabs>
        <w:ind w:left="0"/>
        <w:jc w:val="both"/>
        <w:rPr>
          <w:sz w:val="20"/>
          <w:szCs w:val="20"/>
          <w:lang w:val="es-ES_tradnl"/>
        </w:rPr>
      </w:pPr>
    </w:p>
    <w:p w14:paraId="466BEDB0" w14:textId="77777777" w:rsidR="00FB1760" w:rsidRPr="006843AA" w:rsidRDefault="00F7628E" w:rsidP="00845885">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La  Corte IDH ha establecido que “la falta de garantía del derecho a recurrir del fallo impide el ejercicio del derecho de defensa que se protege a través de este medio y trae implícita la ausencia de protección de otras garantías mínimas del debido proceso que deben asegurarse al recurrente”</w:t>
      </w:r>
      <w:r w:rsidR="003A6852" w:rsidRPr="006843AA">
        <w:rPr>
          <w:rStyle w:val="FootnoteReference"/>
          <w:sz w:val="20"/>
          <w:szCs w:val="20"/>
          <w:lang w:val="es-ES_tradnl"/>
        </w:rPr>
        <w:footnoteReference w:id="88"/>
      </w:r>
      <w:r w:rsidRPr="006843AA">
        <w:rPr>
          <w:sz w:val="20"/>
          <w:szCs w:val="20"/>
          <w:lang w:val="es-ES_tradnl"/>
        </w:rPr>
        <w:t>. De este modo, el debido proceso legal no sería posible a menos que el Estado garantice un adecuado ejercicio del derecho a la defensa en juicio y, en particular, asegure a la persona vinculada a proceso penal la oportunidad de contrarrestar una sentencia condenatoria mediante la iniciación de un procedimiento de impugnación</w:t>
      </w:r>
      <w:r w:rsidR="003A6852" w:rsidRPr="006843AA">
        <w:rPr>
          <w:rStyle w:val="FootnoteReference"/>
          <w:sz w:val="20"/>
          <w:szCs w:val="20"/>
          <w:lang w:val="es-ES_tradnl"/>
        </w:rPr>
        <w:footnoteReference w:id="89"/>
      </w:r>
      <w:r w:rsidRPr="006843AA">
        <w:rPr>
          <w:sz w:val="20"/>
          <w:szCs w:val="20"/>
          <w:lang w:val="es-ES_tradnl"/>
        </w:rPr>
        <w:t xml:space="preserve"> . </w:t>
      </w:r>
    </w:p>
    <w:p w14:paraId="358A5F5E" w14:textId="77777777" w:rsidR="00FB1760" w:rsidRPr="006843AA" w:rsidRDefault="00FB1760" w:rsidP="00845885">
      <w:pPr>
        <w:pStyle w:val="ListParagraph"/>
        <w:tabs>
          <w:tab w:val="left" w:pos="567"/>
        </w:tabs>
        <w:ind w:left="0"/>
        <w:jc w:val="both"/>
        <w:rPr>
          <w:sz w:val="20"/>
          <w:szCs w:val="20"/>
          <w:lang w:val="es-ES_tradnl"/>
        </w:rPr>
      </w:pPr>
    </w:p>
    <w:p w14:paraId="1879583E" w14:textId="77777777" w:rsidR="00FB1760" w:rsidRPr="006843AA" w:rsidRDefault="00F7628E" w:rsidP="00845885">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 xml:space="preserve"> La Corte IDH también ha sostenido que “la doble conformidad judicial, expresada mediante el acceso a un recurso que otorgue la posibilidad de una revisión íntegra del fallo condenatorio, conforma el fundamento y otorga mayor credibilidad al acto jurisdiccional del Estado, y al mismo tiempo brinda mayor seguridad y tutela a los derechos del condenado”</w:t>
      </w:r>
      <w:r w:rsidR="003A6852" w:rsidRPr="006843AA">
        <w:rPr>
          <w:rStyle w:val="FootnoteReference"/>
          <w:sz w:val="20"/>
          <w:szCs w:val="20"/>
          <w:lang w:val="es-ES_tradnl"/>
        </w:rPr>
        <w:footnoteReference w:id="90"/>
      </w:r>
    </w:p>
    <w:p w14:paraId="023AF3C1" w14:textId="77777777" w:rsidR="00FB1760" w:rsidRPr="006843AA" w:rsidRDefault="00FB1760" w:rsidP="00845885">
      <w:pPr>
        <w:pStyle w:val="ListParagraph"/>
        <w:tabs>
          <w:tab w:val="left" w:pos="567"/>
        </w:tabs>
        <w:ind w:left="0"/>
        <w:jc w:val="both"/>
        <w:rPr>
          <w:sz w:val="20"/>
          <w:szCs w:val="20"/>
          <w:lang w:val="es-ES_tradnl"/>
        </w:rPr>
      </w:pPr>
    </w:p>
    <w:p w14:paraId="2AA5F38E" w14:textId="77777777" w:rsidR="00FB1760" w:rsidRPr="006843AA" w:rsidRDefault="00F7628E" w:rsidP="00845885">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Resulta irrelevante para el derecho internacional de los derechos humanos la denominación o el nombre con el que se designe este recurso</w:t>
      </w:r>
      <w:r w:rsidR="003A6852" w:rsidRPr="006843AA">
        <w:rPr>
          <w:rStyle w:val="FootnoteReference"/>
          <w:sz w:val="20"/>
          <w:szCs w:val="20"/>
          <w:lang w:val="es-ES_tradnl"/>
        </w:rPr>
        <w:footnoteReference w:id="91"/>
      </w:r>
      <w:r w:rsidRPr="006843AA">
        <w:rPr>
          <w:sz w:val="20"/>
          <w:szCs w:val="20"/>
          <w:lang w:val="es-ES_tradnl"/>
        </w:rPr>
        <w:t>. Lo importante es que el recurso contemplado en la normativa interna satisfaga una serie de estándares. En primer término, el recurso debe ser oportuno, lo que significa que debe poder ser interpuesto antes que la sentencia adquiera calidad de cosa juzgada y, asimismo, que debe ser resuelto en un plazo razonable</w:t>
      </w:r>
      <w:r w:rsidR="003A6852" w:rsidRPr="006843AA">
        <w:rPr>
          <w:rStyle w:val="FootnoteReference"/>
          <w:sz w:val="20"/>
          <w:szCs w:val="20"/>
          <w:lang w:val="es-ES_tradnl"/>
        </w:rPr>
        <w:footnoteReference w:id="92"/>
      </w:r>
      <w:r w:rsidR="00FB1760" w:rsidRPr="006843AA">
        <w:rPr>
          <w:sz w:val="20"/>
          <w:szCs w:val="20"/>
          <w:lang w:val="es-ES_tradnl"/>
        </w:rPr>
        <w:t xml:space="preserve">. </w:t>
      </w:r>
    </w:p>
    <w:p w14:paraId="3B7D4A28" w14:textId="77777777" w:rsidR="00FB1760" w:rsidRPr="006843AA" w:rsidRDefault="00FB1760" w:rsidP="00845885">
      <w:pPr>
        <w:pStyle w:val="ListParagraph"/>
        <w:tabs>
          <w:tab w:val="left" w:pos="567"/>
        </w:tabs>
        <w:ind w:left="0"/>
        <w:jc w:val="both"/>
        <w:rPr>
          <w:sz w:val="20"/>
          <w:szCs w:val="20"/>
          <w:lang w:val="es-ES_tradnl"/>
        </w:rPr>
      </w:pPr>
    </w:p>
    <w:p w14:paraId="5092BA85" w14:textId="77777777" w:rsidR="00FB1760" w:rsidRPr="006843AA" w:rsidRDefault="00F7628E" w:rsidP="00845885">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En segundo lugar, el recurso debe ser accesible, lo que significa que su interposición no debe “requerir mayores complejidades que tornen ilusorio este derecho”</w:t>
      </w:r>
      <w:r w:rsidR="003A6852" w:rsidRPr="006843AA">
        <w:rPr>
          <w:rStyle w:val="FootnoteReference"/>
          <w:sz w:val="20"/>
          <w:szCs w:val="20"/>
          <w:lang w:val="es-ES_tradnl"/>
        </w:rPr>
        <w:footnoteReference w:id="93"/>
      </w:r>
      <w:r w:rsidRPr="006843AA">
        <w:rPr>
          <w:sz w:val="20"/>
          <w:szCs w:val="20"/>
          <w:lang w:val="es-ES_tradnl"/>
        </w:rPr>
        <w:t>. En este sentido, la Corte IDH ha establecido que los Estados deben abstenerse de incluir en sus legislaciones procesales “restricciones o requisitos que infrinjan la esencia misma del derecho a recurrir del fallo”</w:t>
      </w:r>
      <w:r w:rsidR="003A6852" w:rsidRPr="006843AA">
        <w:rPr>
          <w:rStyle w:val="FootnoteReference"/>
          <w:sz w:val="20"/>
          <w:szCs w:val="20"/>
          <w:lang w:val="es-ES_tradnl"/>
        </w:rPr>
        <w:footnoteReference w:id="94"/>
      </w:r>
      <w:r w:rsidR="00FB1760" w:rsidRPr="006843AA">
        <w:rPr>
          <w:sz w:val="20"/>
          <w:szCs w:val="20"/>
          <w:lang w:val="es-ES_tradnl"/>
        </w:rPr>
        <w:t xml:space="preserve"> </w:t>
      </w:r>
      <w:r w:rsidRPr="006843AA">
        <w:rPr>
          <w:sz w:val="20"/>
          <w:szCs w:val="20"/>
          <w:lang w:val="es-ES_tradnl"/>
        </w:rPr>
        <w:t xml:space="preserve">y que las formalidades exigidas para su admisión a estudio “deben ser mínimas y no deben constituir un obstáculo para que el recurso cumpla con su fin de examinar y resolver los agravios sustentados por el recurrente” </w:t>
      </w:r>
      <w:r w:rsidR="003A6852" w:rsidRPr="006843AA">
        <w:rPr>
          <w:rStyle w:val="FootnoteReference"/>
          <w:sz w:val="20"/>
          <w:szCs w:val="20"/>
          <w:lang w:val="es-ES_tradnl"/>
        </w:rPr>
        <w:footnoteReference w:id="95"/>
      </w:r>
      <w:r w:rsidRPr="006843AA">
        <w:rPr>
          <w:sz w:val="20"/>
          <w:szCs w:val="20"/>
          <w:lang w:val="es-ES_tradnl"/>
        </w:rPr>
        <w:t xml:space="preserve">. </w:t>
      </w:r>
    </w:p>
    <w:p w14:paraId="280A5FED" w14:textId="77777777" w:rsidR="00FB1760" w:rsidRPr="006843AA" w:rsidRDefault="00FB1760" w:rsidP="00845885">
      <w:pPr>
        <w:pStyle w:val="ListParagraph"/>
        <w:tabs>
          <w:tab w:val="left" w:pos="567"/>
        </w:tabs>
        <w:ind w:left="0"/>
        <w:jc w:val="both"/>
        <w:rPr>
          <w:sz w:val="20"/>
          <w:szCs w:val="20"/>
          <w:lang w:val="es-ES_tradnl"/>
        </w:rPr>
      </w:pPr>
    </w:p>
    <w:p w14:paraId="310ED83F" w14:textId="77777777" w:rsidR="00FB1760" w:rsidRPr="006843AA" w:rsidRDefault="00F7628E" w:rsidP="00845885">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 xml:space="preserve">En este sentido, la Comisión considera que, en principio, la regulación de algunas exigencias mínimas para la procedencia del recurso no es incompatible con el derecho contenido en el artículo 8.2.h de la Convención. Algunas de esas exigencias mínimas son, a modo de ejemplo, la presentación del recurso como tal – dado que el artículo 8.2.h no exige una revisión automática – o la regulación de un plazo razonable dentro del cual debe interponerse. A pesar de ello, en ciertas circunstancias, el rechazo de los recursos sobre la base del </w:t>
      </w:r>
      <w:r w:rsidRPr="006843AA">
        <w:rPr>
          <w:sz w:val="20"/>
          <w:szCs w:val="20"/>
          <w:lang w:val="es-ES_tradnl"/>
        </w:rPr>
        <w:lastRenderedPageBreak/>
        <w:t>incumplimiento de requisitos formales establecidos legalmente o definidos mediante la práctica judicial puede resultar en una violación del derecho a recurrir el fallo</w:t>
      </w:r>
      <w:r w:rsidR="003A6852" w:rsidRPr="006843AA">
        <w:rPr>
          <w:rStyle w:val="FootnoteReference"/>
          <w:sz w:val="20"/>
          <w:szCs w:val="20"/>
          <w:lang w:val="es-ES_tradnl"/>
        </w:rPr>
        <w:footnoteReference w:id="96"/>
      </w:r>
      <w:r w:rsidRPr="006843AA">
        <w:rPr>
          <w:sz w:val="20"/>
          <w:szCs w:val="20"/>
          <w:lang w:val="es-ES_tradnl"/>
        </w:rPr>
        <w:t xml:space="preserve">. </w:t>
      </w:r>
    </w:p>
    <w:p w14:paraId="218AB7DD" w14:textId="77777777" w:rsidR="00FB1760" w:rsidRPr="006843AA" w:rsidRDefault="00FB1760" w:rsidP="00FB1760">
      <w:pPr>
        <w:pStyle w:val="ListParagraph"/>
        <w:tabs>
          <w:tab w:val="left" w:pos="567"/>
        </w:tabs>
        <w:ind w:left="0"/>
        <w:jc w:val="both"/>
        <w:rPr>
          <w:sz w:val="20"/>
          <w:szCs w:val="20"/>
          <w:lang w:val="es-ES_tradnl"/>
        </w:rPr>
      </w:pPr>
    </w:p>
    <w:p w14:paraId="61BC5DFE" w14:textId="77777777" w:rsidR="00FB1760" w:rsidRPr="006843AA" w:rsidRDefault="00F7628E" w:rsidP="00FB1760">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Por otro lado, el recurso a disposición deber ser eficaz, lo cual significa que no basta con que se encuentre formalmente previsto en la legislación procesal, sino que “debe constituir un medio adecuado para procurar la corrección de una condena errónea”</w:t>
      </w:r>
      <w:r w:rsidR="003A6852" w:rsidRPr="006843AA">
        <w:rPr>
          <w:rStyle w:val="FootnoteReference"/>
          <w:sz w:val="20"/>
          <w:szCs w:val="20"/>
          <w:lang w:val="es-ES_tradnl"/>
        </w:rPr>
        <w:footnoteReference w:id="97"/>
      </w:r>
      <w:r w:rsidRPr="006843AA">
        <w:rPr>
          <w:sz w:val="20"/>
          <w:szCs w:val="20"/>
          <w:lang w:val="es-ES_tradnl"/>
        </w:rPr>
        <w:t xml:space="preserve">,independientemente del régimen o sistema recursivo adoptado por los Estados. </w:t>
      </w:r>
    </w:p>
    <w:p w14:paraId="126EC8C5" w14:textId="77777777" w:rsidR="00FB1760" w:rsidRPr="006843AA" w:rsidRDefault="00FB1760" w:rsidP="00FB1760">
      <w:pPr>
        <w:pStyle w:val="ListParagraph"/>
        <w:rPr>
          <w:sz w:val="20"/>
          <w:szCs w:val="20"/>
          <w:lang w:val="es-ES_tradnl"/>
        </w:rPr>
      </w:pPr>
    </w:p>
    <w:p w14:paraId="3F18EBD5" w14:textId="77777777" w:rsidR="00FB1760" w:rsidRPr="006843AA" w:rsidRDefault="00F7628E" w:rsidP="00FB1760">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Por último, el recurso debe permitir un examen o revisión integral del fallo cuestionado. Al respecto, la Corte IDH ha enfatizado que se debe permitir que se analicen las “cuestiones fácticas, probatorias y jurídicas en que se basa la sentencia impugnada, puesto que en la actividad jurisdiccional existe una interdependencia entre las determinaciones fácticas y la aplicación del derecho, de forma al que una errónea determinación de los hechos implica una errada o indebida aplicación del derecho</w:t>
      </w:r>
      <w:r w:rsidR="003A6852" w:rsidRPr="006843AA">
        <w:rPr>
          <w:rStyle w:val="FootnoteReference"/>
          <w:sz w:val="20"/>
          <w:szCs w:val="20"/>
          <w:lang w:val="es-ES_tradnl"/>
        </w:rPr>
        <w:footnoteReference w:id="98"/>
      </w:r>
      <w:r w:rsidRPr="006843AA">
        <w:rPr>
          <w:sz w:val="20"/>
          <w:szCs w:val="20"/>
          <w:lang w:val="es-ES_tradnl"/>
        </w:rPr>
        <w:t xml:space="preserve">”. </w:t>
      </w:r>
    </w:p>
    <w:p w14:paraId="3A1C220C" w14:textId="77777777" w:rsidR="00FB1760" w:rsidRPr="006843AA" w:rsidRDefault="00FB1760" w:rsidP="00FB1760">
      <w:pPr>
        <w:pStyle w:val="ListParagraph"/>
        <w:jc w:val="both"/>
        <w:rPr>
          <w:sz w:val="20"/>
          <w:szCs w:val="20"/>
          <w:lang w:val="es-ES_tradnl"/>
        </w:rPr>
      </w:pPr>
    </w:p>
    <w:p w14:paraId="6452EDC4" w14:textId="77777777" w:rsidR="00F7628E" w:rsidRPr="006843AA" w:rsidRDefault="00F7628E" w:rsidP="00FB1760">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 xml:space="preserve">En torno a este punto, la Comisión Interamericana indicó en el caso Abella respecto de Argentina: </w:t>
      </w:r>
    </w:p>
    <w:p w14:paraId="5C785603" w14:textId="77777777" w:rsidR="00F7628E" w:rsidRPr="006843AA" w:rsidRDefault="00F7628E" w:rsidP="00FB1760">
      <w:pPr>
        <w:pStyle w:val="ListParagraph"/>
        <w:rPr>
          <w:sz w:val="20"/>
          <w:szCs w:val="20"/>
          <w:lang w:val="es-ES_tradnl"/>
        </w:rPr>
      </w:pPr>
    </w:p>
    <w:p w14:paraId="0F889AD1" w14:textId="77777777" w:rsidR="00F7628E" w:rsidRPr="006843AA" w:rsidRDefault="00F7628E" w:rsidP="00FB1760">
      <w:pPr>
        <w:pStyle w:val="ListParagraph"/>
        <w:ind w:left="851" w:right="855"/>
        <w:jc w:val="both"/>
        <w:rPr>
          <w:sz w:val="20"/>
          <w:szCs w:val="20"/>
          <w:lang w:val="es-ES_tradnl"/>
        </w:rPr>
      </w:pPr>
      <w:r w:rsidRPr="006843AA">
        <w:rPr>
          <w:sz w:val="20"/>
          <w:szCs w:val="20"/>
          <w:lang w:val="es-ES_tradnl"/>
        </w:rPr>
        <w:t>[E]l artículo 8.2.h se refiere a las características mínimas de un recurso que controle la corrección del fallo tanto material como formal. En este sentido, desde un punto de vista formal, el derecho de recurrir el fallo ante un juez o tribunal superior, a que se refiere la Convención Americana, debe en primer lugar proceder [...] con la finalidad de examinar la aplicación indebida, la falta de aplicación o errónea interpretación, de normas de Derecho que determinen la parte resolutiva de la sentencia. La Comisión considera, además, que para garantizar el pleno derecho de defensa, dicho recurso debe incluir una revisión material en relación a la interpretación de las normas procesales que hubieran influido en la decisión de la causa, cuando hayan producido nulidad insanable o provocado indefensión, así́ como la interpretación de las normas referentes a la valoración de las pruebas, siempre que hayan conducido a una equivocada aplicación o a la no aplicación de las mismas</w:t>
      </w:r>
      <w:r w:rsidR="003A6852" w:rsidRPr="006843AA">
        <w:rPr>
          <w:rStyle w:val="FootnoteReference"/>
          <w:sz w:val="20"/>
          <w:szCs w:val="20"/>
          <w:lang w:val="es-ES_tradnl"/>
        </w:rPr>
        <w:footnoteReference w:id="99"/>
      </w:r>
      <w:r w:rsidRPr="006843AA">
        <w:rPr>
          <w:sz w:val="20"/>
          <w:szCs w:val="20"/>
          <w:lang w:val="es-ES_tradnl"/>
        </w:rPr>
        <w:t xml:space="preserve">. </w:t>
      </w:r>
    </w:p>
    <w:p w14:paraId="06A802B8" w14:textId="77777777" w:rsidR="00F7628E" w:rsidRPr="006843AA" w:rsidRDefault="00F7628E" w:rsidP="00FB1760">
      <w:pPr>
        <w:pStyle w:val="ListParagraph"/>
        <w:rPr>
          <w:sz w:val="20"/>
          <w:szCs w:val="20"/>
          <w:lang w:val="es-ES_tradnl"/>
        </w:rPr>
      </w:pPr>
    </w:p>
    <w:p w14:paraId="767D088F" w14:textId="77777777" w:rsidR="00F7628E" w:rsidRPr="006843AA" w:rsidRDefault="00F7628E" w:rsidP="003A6852">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En el mismo sentido, el Comité de Derechos Humanos de las Naciones Unidas, órgano encargado de supervisar el cumplimiento del Pacto Internacional de Derechos Civiles y Políticos por parte de los Estados que lo han ratificado</w:t>
      </w:r>
      <w:r w:rsidR="003A6852" w:rsidRPr="006843AA">
        <w:rPr>
          <w:rStyle w:val="FootnoteReference"/>
          <w:sz w:val="20"/>
          <w:szCs w:val="20"/>
          <w:lang w:val="es-ES_tradnl"/>
        </w:rPr>
        <w:footnoteReference w:id="100"/>
      </w:r>
      <w:r w:rsidRPr="006843AA">
        <w:rPr>
          <w:sz w:val="20"/>
          <w:szCs w:val="20"/>
          <w:lang w:val="es-ES_tradnl"/>
        </w:rPr>
        <w:t xml:space="preserve">, ha establecido en reiteradas oportunidades que: </w:t>
      </w:r>
    </w:p>
    <w:p w14:paraId="35BE4D3C" w14:textId="77777777" w:rsidR="00F7628E" w:rsidRPr="006843AA" w:rsidRDefault="00F7628E" w:rsidP="00FB1760">
      <w:pPr>
        <w:pStyle w:val="ListParagraph"/>
        <w:rPr>
          <w:sz w:val="20"/>
          <w:szCs w:val="20"/>
          <w:lang w:val="es-ES_tradnl"/>
        </w:rPr>
      </w:pPr>
    </w:p>
    <w:p w14:paraId="60A5D73A" w14:textId="77777777" w:rsidR="00F7628E" w:rsidRPr="006843AA" w:rsidRDefault="00F7628E" w:rsidP="003A6852">
      <w:pPr>
        <w:pStyle w:val="ListParagraph"/>
        <w:ind w:left="851" w:right="855"/>
        <w:jc w:val="both"/>
        <w:rPr>
          <w:sz w:val="20"/>
          <w:szCs w:val="20"/>
          <w:lang w:val="es-ES_tradnl"/>
        </w:rPr>
      </w:pPr>
      <w:r w:rsidRPr="006843AA">
        <w:rPr>
          <w:sz w:val="20"/>
          <w:szCs w:val="20"/>
          <w:lang w:val="es-ES_tradnl"/>
        </w:rPr>
        <w:t>“el derecho de toda persona a que el fallo condenatorio y la pena impuesta se sometan a un tribunal superior [...] impone al Estado Parte la obligación de revisar sustancialmente el fallo condenatorio y la pena, en lo relativo a la suficiencia tanto de las pruebas como de la legislación, de modo que el procedimiento permita tomar deliberadamente en consideración la naturaleza de la causa. Una revisión que se limite a los aspectos formales o jurídicos de la condena solamente no es suficiente al tenor del Pacto</w:t>
      </w:r>
      <w:r w:rsidR="003A6852" w:rsidRPr="006843AA">
        <w:rPr>
          <w:rStyle w:val="FootnoteReference"/>
          <w:sz w:val="20"/>
          <w:szCs w:val="20"/>
          <w:lang w:val="es-ES_tradnl"/>
        </w:rPr>
        <w:footnoteReference w:id="101"/>
      </w:r>
      <w:r w:rsidRPr="006843AA">
        <w:rPr>
          <w:sz w:val="20"/>
          <w:szCs w:val="20"/>
          <w:lang w:val="es-ES_tradnl"/>
        </w:rPr>
        <w:t>.</w:t>
      </w:r>
    </w:p>
    <w:p w14:paraId="553EC381" w14:textId="77777777" w:rsidR="00F7628E" w:rsidRPr="006843AA" w:rsidRDefault="00F7628E" w:rsidP="00FB1760">
      <w:pPr>
        <w:pStyle w:val="ListParagraph"/>
        <w:rPr>
          <w:sz w:val="20"/>
          <w:szCs w:val="20"/>
          <w:lang w:val="es-ES_tradnl"/>
        </w:rPr>
      </w:pPr>
    </w:p>
    <w:p w14:paraId="63DF1A3B" w14:textId="77777777" w:rsidR="003A6852" w:rsidRPr="006843AA" w:rsidRDefault="00F7628E" w:rsidP="00834752">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 xml:space="preserve">Asimismo, la CIDH ha destacado que el derecho a recurrir no implica necesariamente un nuevo juicio o una nueva audiencia, siempre que el tribunal que realiza la revisión no esté impedido de estudiar los hechos de la causa. Lo que resulta necesario a la luz del artículo 8.2.h de la Convención es que exista la posibilidad de señalar y obtener respuesta sobre errores que hubiera podido cometer el juez o tribunal de la instancia inferior. </w:t>
      </w:r>
      <w:r w:rsidRPr="006843AA">
        <w:rPr>
          <w:sz w:val="20"/>
          <w:szCs w:val="20"/>
          <w:lang w:val="es-ES_tradnl"/>
        </w:rPr>
        <w:lastRenderedPageBreak/>
        <w:t>Ello significa que no resulta posible excluir del ámbito del recurso ciertas categorías como las cuestiones de índole fácticas, la manera en que se incorporaron de las pruebas al proceso y la valoración los magistrados de la instancia inferior hicieron de ellas. La forma y los medios a través de los cuales se realice la revisión dependerán de la naturaleza de las cuestiones en debate, así como de las particularidades del sistema procesal penal de los respectivos Estados</w:t>
      </w:r>
      <w:r w:rsidR="00463AD4" w:rsidRPr="006843AA">
        <w:rPr>
          <w:rStyle w:val="FootnoteReference"/>
          <w:sz w:val="20"/>
          <w:szCs w:val="20"/>
          <w:lang w:val="es-ES_tradnl"/>
        </w:rPr>
        <w:footnoteReference w:id="102"/>
      </w:r>
      <w:r w:rsidRPr="006843AA">
        <w:rPr>
          <w:sz w:val="20"/>
          <w:szCs w:val="20"/>
          <w:lang w:val="es-ES_tradnl"/>
        </w:rPr>
        <w:t xml:space="preserve">. </w:t>
      </w:r>
    </w:p>
    <w:p w14:paraId="00FE38A2" w14:textId="77777777" w:rsidR="003A6852" w:rsidRPr="006843AA" w:rsidRDefault="003A6852" w:rsidP="003A6852">
      <w:pPr>
        <w:pStyle w:val="ListParagraph"/>
        <w:ind w:left="0"/>
        <w:jc w:val="both"/>
        <w:rPr>
          <w:sz w:val="20"/>
          <w:szCs w:val="20"/>
          <w:lang w:val="es-ES_tradnl"/>
        </w:rPr>
      </w:pPr>
    </w:p>
    <w:p w14:paraId="33CF413F" w14:textId="77777777" w:rsidR="00F7628E" w:rsidRPr="006843AA" w:rsidRDefault="00F7628E" w:rsidP="008D74BF">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 xml:space="preserve">Por último, la Comisión ha entendido constantemente que la determinación de si se ha producido una vulneración del derecho a recurrir el fallo requiere de un análisis caso por caso a través del cual se evalúen las circunstancias concretas de la situación puesta en su conocimiento, tomando como parámetro los estándares generales esbozados en los párrafos precedentes. </w:t>
      </w:r>
    </w:p>
    <w:p w14:paraId="3106CFAD" w14:textId="77777777" w:rsidR="008D74BF" w:rsidRPr="006843AA" w:rsidRDefault="008D74BF" w:rsidP="008D74BF">
      <w:pPr>
        <w:pStyle w:val="ListParagraph"/>
        <w:ind w:left="0"/>
        <w:jc w:val="both"/>
        <w:rPr>
          <w:sz w:val="20"/>
          <w:szCs w:val="20"/>
          <w:lang w:val="es-ES_tradnl"/>
        </w:rPr>
      </w:pPr>
    </w:p>
    <w:p w14:paraId="6D59F141" w14:textId="77777777" w:rsidR="00F7628E" w:rsidRPr="006843AA" w:rsidRDefault="00F7628E" w:rsidP="00834752">
      <w:pPr>
        <w:pStyle w:val="Heading3"/>
        <w:tabs>
          <w:tab w:val="left" w:pos="0"/>
          <w:tab w:val="left" w:pos="567"/>
        </w:tabs>
        <w:spacing w:before="0" w:after="0"/>
        <w:jc w:val="both"/>
      </w:pPr>
      <w:bookmarkStart w:id="44" w:name="_Toc54369885"/>
      <w:r w:rsidRPr="006843AA">
        <w:t>2.</w:t>
      </w:r>
      <w:r w:rsidRPr="006843AA">
        <w:tab/>
        <w:t>Análisis del régimen recursivo penal costarricense aplicable al caso a la luz de los estándares fijados por los órganos del Sistema Interamericano de Derechos Humanos</w:t>
      </w:r>
      <w:bookmarkEnd w:id="44"/>
    </w:p>
    <w:p w14:paraId="2E894529" w14:textId="77777777" w:rsidR="00F7628E" w:rsidRPr="006843AA" w:rsidRDefault="00F7628E" w:rsidP="00FB1760">
      <w:pPr>
        <w:pStyle w:val="ListParagraph"/>
        <w:rPr>
          <w:sz w:val="20"/>
          <w:szCs w:val="20"/>
          <w:lang w:val="es-ES_tradnl"/>
        </w:rPr>
      </w:pPr>
    </w:p>
    <w:p w14:paraId="632EFF66" w14:textId="77777777" w:rsidR="008D74BF" w:rsidRPr="006843AA" w:rsidRDefault="00F7628E" w:rsidP="00834752">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En ocasiones previas tanto la CIDH como la Corte IDH han debido analizar el régimen recursivo en materia penal costarricense a efectos de determinar su compatibilidad con los estándares de derechos humanos contenidos en la Convención Americana y, en particular, con el derecho a recurrir el fallo consagrado en el artículo 8.2.h del mismo.</w:t>
      </w:r>
    </w:p>
    <w:p w14:paraId="1D08CD2A" w14:textId="77777777" w:rsidR="008D74BF" w:rsidRPr="006843AA" w:rsidRDefault="008D74BF" w:rsidP="008D74BF">
      <w:pPr>
        <w:pStyle w:val="ListParagraph"/>
        <w:tabs>
          <w:tab w:val="left" w:pos="567"/>
        </w:tabs>
        <w:ind w:left="0"/>
        <w:jc w:val="both"/>
        <w:rPr>
          <w:sz w:val="20"/>
          <w:szCs w:val="20"/>
          <w:lang w:val="es-ES_tradnl"/>
        </w:rPr>
      </w:pPr>
    </w:p>
    <w:p w14:paraId="75B38751" w14:textId="77777777" w:rsidR="00DF0F65" w:rsidRPr="006843AA" w:rsidRDefault="00F7628E" w:rsidP="008D74BF">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 xml:space="preserve"> La CIDH aprecia en primer término, que, en su sentencia del 2 de julio de 2004 en el caso Herrera Ulloa Vs. Costa Rica, la Corte IDH concluyó que los recursos de casación presentados por la presunta víctima contra una sentencia condenatoria dictada en noviembre de 1999 “no satisficieron el requisito de ser un recurso amplio de manera tal que permitiera que el tribunal superior realizara un análisis o examen comprensivo e integral de todas las cuestiones debatidas y analizadas en el tribunal inferior”</w:t>
      </w:r>
      <w:r w:rsidR="008D74BF" w:rsidRPr="006843AA">
        <w:rPr>
          <w:rStyle w:val="FootnoteReference"/>
          <w:sz w:val="20"/>
          <w:szCs w:val="20"/>
          <w:lang w:val="es-ES_tradnl"/>
        </w:rPr>
        <w:footnoteReference w:id="103"/>
      </w:r>
      <w:r w:rsidRPr="006843AA">
        <w:rPr>
          <w:sz w:val="20"/>
          <w:szCs w:val="20"/>
          <w:lang w:val="es-ES_tradnl"/>
        </w:rPr>
        <w:t>.</w:t>
      </w:r>
      <w:r w:rsidR="008D74BF" w:rsidRPr="006843AA">
        <w:rPr>
          <w:sz w:val="20"/>
          <w:szCs w:val="20"/>
          <w:lang w:val="es-ES_tradnl"/>
        </w:rPr>
        <w:t xml:space="preserve"> </w:t>
      </w:r>
      <w:r w:rsidRPr="006843AA">
        <w:rPr>
          <w:sz w:val="20"/>
          <w:szCs w:val="20"/>
          <w:lang w:val="es-ES_tradnl"/>
        </w:rPr>
        <w:t xml:space="preserve">En consecuencia, la Corte IDH encontró que el Estado costarricense había violado el artículo 8.2.h de la Convención Americana en relación con los artículos 1.1 y 2 de dicho tratado, en perjuicio del señor Mauricio Herrera Ulloa.  </w:t>
      </w:r>
    </w:p>
    <w:p w14:paraId="035B1E13" w14:textId="77777777" w:rsidR="00DF0F65" w:rsidRPr="006843AA" w:rsidRDefault="00DF0F65" w:rsidP="00DF0F65">
      <w:pPr>
        <w:pStyle w:val="ListParagraph"/>
        <w:rPr>
          <w:sz w:val="20"/>
          <w:szCs w:val="20"/>
          <w:lang w:val="es-ES_tradnl"/>
        </w:rPr>
      </w:pPr>
    </w:p>
    <w:p w14:paraId="599D64E4" w14:textId="77777777" w:rsidR="00DF0F65" w:rsidRPr="006843AA" w:rsidRDefault="00F7628E" w:rsidP="008D74BF">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En este mismo sentido, la Comisión ratifica su criterio respecto de la incompatibilidad del recurso de casación regulado en los artículos 443 a 451 del texto original del Código Procesal Penal con el derecho reconocido en el artículo 8.2.h de la Convención Americana, toda vez que dicha herramienta procesal no resultaba ser “ni eficaz ni accesible para lograr la finalidad de garantizar el derecho a recurrir el fallo en tanto su procedencia estaba limitada a priori a determinados supuestos relacionados con la aplicación de la norma, excluyendo cuestiones fácticas y probatorias”</w:t>
      </w:r>
      <w:r w:rsidR="008D74BF" w:rsidRPr="006843AA">
        <w:rPr>
          <w:rStyle w:val="FootnoteReference"/>
          <w:sz w:val="20"/>
          <w:szCs w:val="20"/>
          <w:lang w:val="es-ES_tradnl"/>
        </w:rPr>
        <w:footnoteReference w:id="104"/>
      </w:r>
      <w:r w:rsidRPr="006843AA">
        <w:rPr>
          <w:sz w:val="20"/>
          <w:szCs w:val="20"/>
          <w:lang w:val="es-ES_tradnl"/>
        </w:rPr>
        <w:t xml:space="preserve">. </w:t>
      </w:r>
    </w:p>
    <w:p w14:paraId="06345C31" w14:textId="77777777" w:rsidR="00DF0F65" w:rsidRPr="006843AA" w:rsidRDefault="00DF0F65" w:rsidP="00DF0F65">
      <w:pPr>
        <w:pStyle w:val="ListParagraph"/>
        <w:rPr>
          <w:sz w:val="20"/>
          <w:szCs w:val="20"/>
          <w:lang w:val="es-ES_tradnl"/>
        </w:rPr>
      </w:pPr>
    </w:p>
    <w:p w14:paraId="21C183B7" w14:textId="77777777" w:rsidR="00DF0F65" w:rsidRPr="006843AA" w:rsidRDefault="00F7628E" w:rsidP="008D74BF">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 xml:space="preserve">Con posterioridad a la sentencia en el caso Herrera Ulloa, el sistema recursivo en materia penal costarricense experimentó una serie de reformas. En abril de 2006 la Asamblea Legislativa de Costa Rica sancionó la ley 8503 de Apertura de la Casación Penal. Adicionalmente, en junio de 2010 se aprobó la ley 8837 de creación del recurso de apelación de la sentencia.  </w:t>
      </w:r>
    </w:p>
    <w:p w14:paraId="17E6DB00" w14:textId="77777777" w:rsidR="00DF0F65" w:rsidRPr="006843AA" w:rsidRDefault="00DF0F65" w:rsidP="00DF0F65">
      <w:pPr>
        <w:pStyle w:val="ListParagraph"/>
        <w:rPr>
          <w:sz w:val="20"/>
          <w:szCs w:val="20"/>
          <w:lang w:val="es-ES_tradnl"/>
        </w:rPr>
      </w:pPr>
    </w:p>
    <w:p w14:paraId="0E6C4879" w14:textId="77777777" w:rsidR="00DF0F65" w:rsidRPr="006843AA" w:rsidRDefault="00F7628E" w:rsidP="008D74BF">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 xml:space="preserve">Ambas normas reconocieron a aquellos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“el agravio y los aspectos de hecho y derecho que no fueron posibles de conocer en casación”. Por su parte, el Transitorio III de la ley 8837 demandaba para la procedencia del procedimiento de revisión que el condenado “haya alegado con anterioridad la vulneración del artículo 8.2.h de la Convención”.   </w:t>
      </w:r>
    </w:p>
    <w:p w14:paraId="6B2509A5" w14:textId="77777777" w:rsidR="00DF0F65" w:rsidRPr="006843AA" w:rsidRDefault="00DF0F65" w:rsidP="00DF0F65">
      <w:pPr>
        <w:pStyle w:val="ListParagraph"/>
        <w:rPr>
          <w:sz w:val="20"/>
          <w:szCs w:val="20"/>
          <w:lang w:val="es-ES_tradnl"/>
        </w:rPr>
      </w:pPr>
    </w:p>
    <w:p w14:paraId="06EFE7EB" w14:textId="77777777" w:rsidR="00DF0F65" w:rsidRPr="006843AA" w:rsidRDefault="00F7628E" w:rsidP="008D74BF">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 xml:space="preserve">La Comisión reafirma que la manera en que se encontraba regulado el procedimiento de revisión establecido por el Transitorio I de la ley 8503 podía generar limitaciones en términos de la accesibilidad del recurso y, en consecuencia, no garantiza en </w:t>
      </w:r>
      <w:r w:rsidR="00CA7CC0" w:rsidRPr="006843AA">
        <w:rPr>
          <w:sz w:val="20"/>
          <w:szCs w:val="20"/>
          <w:lang w:val="es-ES_tradnl"/>
        </w:rPr>
        <w:t>sí</w:t>
      </w:r>
      <w:r w:rsidRPr="006843AA">
        <w:rPr>
          <w:sz w:val="20"/>
          <w:szCs w:val="20"/>
          <w:lang w:val="es-ES_tradnl"/>
        </w:rPr>
        <w:t xml:space="preserve"> mismo el derecho a la revisión integral del fallo condenatorio a </w:t>
      </w:r>
      <w:r w:rsidRPr="006843AA">
        <w:rPr>
          <w:sz w:val="20"/>
          <w:szCs w:val="20"/>
          <w:lang w:val="es-ES_tradnl"/>
        </w:rPr>
        <w:lastRenderedPageBreak/>
        <w:t xml:space="preserve">todos aquellos que fueron condenados durante la vigencia del texto originario del Código Procesal Penal </w:t>
      </w:r>
      <w:r w:rsidR="008D74BF" w:rsidRPr="006843AA">
        <w:rPr>
          <w:rStyle w:val="FootnoteReference"/>
          <w:sz w:val="20"/>
          <w:szCs w:val="20"/>
          <w:lang w:val="es-ES_tradnl"/>
        </w:rPr>
        <w:footnoteReference w:id="105"/>
      </w:r>
      <w:r w:rsidRPr="006843AA">
        <w:rPr>
          <w:sz w:val="20"/>
          <w:szCs w:val="20"/>
          <w:lang w:val="es-ES_tradnl"/>
        </w:rPr>
        <w:t xml:space="preserve">. Idéntica conclusión cabe realizar respecto del recurso de revisión consagrado en el Transitorio III de la ley 8837, toda vez que la norma incluía la exigencia de haber alegado previamente la vulneración del derecho al recurso como un requisito de procedibilidad del recurso de revisión. </w:t>
      </w:r>
    </w:p>
    <w:p w14:paraId="3CA0E848" w14:textId="77777777" w:rsidR="00DF0F65" w:rsidRPr="006843AA" w:rsidRDefault="00DF0F65" w:rsidP="00DF0F65">
      <w:pPr>
        <w:pStyle w:val="ListParagraph"/>
        <w:rPr>
          <w:sz w:val="20"/>
          <w:szCs w:val="20"/>
          <w:lang w:val="es-ES_tradnl"/>
        </w:rPr>
      </w:pPr>
    </w:p>
    <w:p w14:paraId="03FBD7B2" w14:textId="77777777" w:rsidR="00DF0F65" w:rsidRPr="006843AA" w:rsidRDefault="00F7628E" w:rsidP="008D74BF">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No obstante ello, la Comisión reconoce, en primer término, que la Sala Constitucional de la Corte Suprema de Justicia de Costa Rica se refirió en reiterados pronunciamientos a la necesidad de “asegurar el derecho al recurso, excluyendo formalismos que impidieran la revisión de las sentencias de condena, a fin de satisfacer lo dispuesto por el artículo 8.2.h de la Convención”</w:t>
      </w:r>
      <w:r w:rsidR="008D74BF" w:rsidRPr="006843AA">
        <w:rPr>
          <w:rStyle w:val="FootnoteReference"/>
          <w:sz w:val="20"/>
          <w:szCs w:val="20"/>
          <w:lang w:val="es-ES_tradnl"/>
        </w:rPr>
        <w:footnoteReference w:id="106"/>
      </w:r>
      <w:r w:rsidRPr="006843AA">
        <w:rPr>
          <w:sz w:val="20"/>
          <w:szCs w:val="20"/>
          <w:lang w:val="es-ES_tradnl"/>
        </w:rPr>
        <w:t>.</w:t>
      </w:r>
    </w:p>
    <w:p w14:paraId="6F8E6A5A" w14:textId="77777777" w:rsidR="00DF0F65" w:rsidRPr="006843AA" w:rsidRDefault="00DF0F65" w:rsidP="00DF0F65">
      <w:pPr>
        <w:pStyle w:val="ListParagraph"/>
        <w:rPr>
          <w:sz w:val="20"/>
          <w:szCs w:val="20"/>
          <w:lang w:val="es-ES_tradnl"/>
        </w:rPr>
      </w:pPr>
    </w:p>
    <w:p w14:paraId="459302B8" w14:textId="77777777" w:rsidR="00DF0F65" w:rsidRPr="006843AA" w:rsidRDefault="00F7628E" w:rsidP="008D74BF">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 xml:space="preserve">En segundo lugar, la CIDH considera que, a pesar de los obstáculos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“Herrera Ulloa”. </w:t>
      </w:r>
    </w:p>
    <w:p w14:paraId="33DC28C8" w14:textId="77777777" w:rsidR="00DF0F65" w:rsidRPr="006843AA" w:rsidRDefault="00DF0F65" w:rsidP="00DF0F65">
      <w:pPr>
        <w:pStyle w:val="ListParagraph"/>
        <w:rPr>
          <w:sz w:val="20"/>
          <w:szCs w:val="20"/>
          <w:lang w:val="es-ES_tradnl"/>
        </w:rPr>
      </w:pPr>
    </w:p>
    <w:p w14:paraId="201555A1" w14:textId="77777777" w:rsidR="00DF0F65" w:rsidRPr="006843AA" w:rsidRDefault="00F7628E" w:rsidP="008D74BF">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resulta razonable como causal de admisibilidad del recurso que los interesados deban invocar los posibles errores que hubiera podido cometer el juez o tribunal de la instancia inferior.</w:t>
      </w:r>
    </w:p>
    <w:p w14:paraId="6D82B436" w14:textId="77777777" w:rsidR="00DF0F65" w:rsidRPr="006843AA" w:rsidRDefault="00DF0F65" w:rsidP="00DF0F65">
      <w:pPr>
        <w:pStyle w:val="ListParagraph"/>
        <w:rPr>
          <w:sz w:val="20"/>
          <w:szCs w:val="20"/>
          <w:lang w:val="es-ES_tradnl"/>
        </w:rPr>
      </w:pPr>
    </w:p>
    <w:p w14:paraId="4A487AB2" w14:textId="77777777" w:rsidR="00DF0F65" w:rsidRPr="006843AA" w:rsidRDefault="00F7628E" w:rsidP="008B24F1">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La Comisión recuerda que, independientemente del nombre que se le asigne a los recursos judiciales, o de su carácter de ordinarios o extraordinarios, lo crucial en estos casos es determinar si ellos posibilitaron una revisión integral del fallo condenatorio que abarque tanto cuestiones de hecho y prueba como de aplicación de la ley sustantiva</w:t>
      </w:r>
      <w:r w:rsidR="008D74BF" w:rsidRPr="006843AA">
        <w:rPr>
          <w:rStyle w:val="FootnoteReference"/>
          <w:sz w:val="20"/>
          <w:szCs w:val="20"/>
          <w:lang w:val="es-ES_tradnl"/>
        </w:rPr>
        <w:footnoteReference w:id="107"/>
      </w:r>
      <w:r w:rsidRPr="006843AA">
        <w:rPr>
          <w:sz w:val="20"/>
          <w:szCs w:val="20"/>
          <w:lang w:val="es-ES_tradnl"/>
        </w:rPr>
        <w:t xml:space="preserve">. </w:t>
      </w:r>
    </w:p>
    <w:p w14:paraId="5997DAE6" w14:textId="77777777" w:rsidR="00DF0F65" w:rsidRPr="006843AA" w:rsidRDefault="00DF0F65" w:rsidP="00DF0F65">
      <w:pPr>
        <w:pStyle w:val="ListParagraph"/>
        <w:rPr>
          <w:sz w:val="20"/>
          <w:szCs w:val="20"/>
          <w:lang w:val="es-ES_tradnl"/>
        </w:rPr>
      </w:pPr>
    </w:p>
    <w:p w14:paraId="31B59A66" w14:textId="77777777" w:rsidR="00F7628E" w:rsidRPr="006843AA" w:rsidRDefault="00F7628E" w:rsidP="008B24F1">
      <w:pPr>
        <w:pStyle w:val="ListParagraph"/>
        <w:numPr>
          <w:ilvl w:val="0"/>
          <w:numId w:val="55"/>
        </w:numPr>
        <w:tabs>
          <w:tab w:val="left" w:pos="567"/>
        </w:tabs>
        <w:ind w:left="0" w:firstLine="0"/>
        <w:jc w:val="both"/>
        <w:rPr>
          <w:sz w:val="20"/>
          <w:szCs w:val="20"/>
          <w:lang w:val="es-ES_tradnl"/>
        </w:rPr>
      </w:pPr>
      <w:r w:rsidRPr="006843AA">
        <w:rPr>
          <w:sz w:val="20"/>
          <w:szCs w:val="20"/>
          <w:lang w:val="es-ES_tradnl"/>
        </w:rPr>
        <w:t>En consecuencia, teniendo en cuenta las especificidades existentes respecto de este tema en el sistema costarricense, como resultado de las sentencias dictadas por el sistema interamericano,  y coincidentemente con lo señalado por la Corte IDH en el caso “Amrhein”, la Comisión considera que no resulta apropiado realizar una evaluación en abstracto de cada uno de los recursos disponibles en la legislación procesal penal, sino que se debe efectuar “un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sentencias condenatorias</w:t>
      </w:r>
      <w:r w:rsidR="003D19C6" w:rsidRPr="006843AA">
        <w:rPr>
          <w:rStyle w:val="FootnoteReference"/>
          <w:sz w:val="20"/>
          <w:szCs w:val="20"/>
          <w:lang w:val="es-ES_tradnl"/>
        </w:rPr>
        <w:footnoteReference w:id="108"/>
      </w:r>
      <w:r w:rsidRPr="006843AA">
        <w:rPr>
          <w:sz w:val="20"/>
          <w:szCs w:val="20"/>
          <w:lang w:val="es-ES_tradnl"/>
        </w:rPr>
        <w:t xml:space="preserve">”. </w:t>
      </w:r>
    </w:p>
    <w:p w14:paraId="1EF103AA" w14:textId="77777777" w:rsidR="004116D8" w:rsidRPr="00407A7B" w:rsidRDefault="004116D8" w:rsidP="004116D8">
      <w:pPr>
        <w:pStyle w:val="ListParagraph"/>
        <w:tabs>
          <w:tab w:val="left" w:pos="567"/>
        </w:tabs>
        <w:ind w:left="0"/>
        <w:jc w:val="both"/>
        <w:rPr>
          <w:sz w:val="20"/>
          <w:szCs w:val="20"/>
          <w:lang w:val="es-ES_tradnl"/>
        </w:rPr>
      </w:pPr>
    </w:p>
    <w:p w14:paraId="1F26449C" w14:textId="77777777" w:rsidR="00845885" w:rsidRPr="00407A7B" w:rsidRDefault="00F7628E" w:rsidP="0097352B">
      <w:pPr>
        <w:pStyle w:val="Heading3"/>
        <w:numPr>
          <w:ilvl w:val="0"/>
          <w:numId w:val="67"/>
        </w:numPr>
        <w:spacing w:before="0" w:after="0"/>
      </w:pPr>
      <w:bookmarkStart w:id="45" w:name="_Toc54369886"/>
      <w:r w:rsidRPr="00407A7B">
        <w:t>Análisis del caso</w:t>
      </w:r>
      <w:bookmarkEnd w:id="45"/>
    </w:p>
    <w:p w14:paraId="1A22E2D3" w14:textId="77777777" w:rsidR="004116D8" w:rsidRPr="00407A7B" w:rsidRDefault="004116D8" w:rsidP="004116D8">
      <w:pPr>
        <w:rPr>
          <w:rFonts w:ascii="Cambria" w:hAnsi="Cambria"/>
          <w:sz w:val="20"/>
          <w:szCs w:val="20"/>
          <w:lang w:val="es-ES_tradnl"/>
        </w:rPr>
      </w:pPr>
    </w:p>
    <w:p w14:paraId="47647D70" w14:textId="77777777" w:rsidR="00DE51E0" w:rsidRPr="00407A7B" w:rsidRDefault="00DE51E0" w:rsidP="004116D8">
      <w:pPr>
        <w:pStyle w:val="ListParagraph"/>
        <w:numPr>
          <w:ilvl w:val="0"/>
          <w:numId w:val="55"/>
        </w:numPr>
        <w:tabs>
          <w:tab w:val="left" w:pos="567"/>
        </w:tabs>
        <w:ind w:left="0" w:firstLine="0"/>
        <w:jc w:val="both"/>
        <w:rPr>
          <w:sz w:val="20"/>
          <w:szCs w:val="20"/>
          <w:lang w:val="es-ES_tradnl"/>
        </w:rPr>
      </w:pPr>
      <w:r w:rsidRPr="00407A7B">
        <w:rPr>
          <w:sz w:val="20"/>
          <w:szCs w:val="20"/>
          <w:lang w:val="es-ES_tradnl"/>
        </w:rPr>
        <w:t xml:space="preserve">En primer lugar, la Comisión resalta que, conforme a la información existente en el expediente, el </w:t>
      </w:r>
      <w:r w:rsidR="00DF0F65" w:rsidRPr="00407A7B">
        <w:rPr>
          <w:sz w:val="20"/>
          <w:szCs w:val="20"/>
          <w:lang w:val="es-ES_tradnl"/>
        </w:rPr>
        <w:t>día</w:t>
      </w:r>
      <w:r w:rsidRPr="00407A7B">
        <w:rPr>
          <w:sz w:val="20"/>
          <w:szCs w:val="20"/>
          <w:lang w:val="es-ES_tradnl"/>
        </w:rPr>
        <w:t xml:space="preserve"> 17 de agosto de 2004 el Sr. Cochran fue condenado por el Tribunal Penal de Juicio del Primer Circuito Judicial de San José a la pena de 45 años de prisió</w:t>
      </w:r>
      <w:r w:rsidR="00CA7CC0" w:rsidRPr="00407A7B">
        <w:rPr>
          <w:sz w:val="20"/>
          <w:szCs w:val="20"/>
          <w:lang w:val="es-ES_tradnl"/>
        </w:rPr>
        <w:t>n por la comisión de una plurali</w:t>
      </w:r>
      <w:r w:rsidRPr="00407A7B">
        <w:rPr>
          <w:sz w:val="20"/>
          <w:szCs w:val="20"/>
          <w:lang w:val="es-ES_tradnl"/>
        </w:rPr>
        <w:t xml:space="preserve">dad de delitos contra la integridad sexual y en </w:t>
      </w:r>
      <w:r w:rsidR="00DF0F65" w:rsidRPr="00407A7B">
        <w:rPr>
          <w:sz w:val="20"/>
          <w:szCs w:val="20"/>
          <w:lang w:val="es-ES_tradnl"/>
        </w:rPr>
        <w:t>infracción</w:t>
      </w:r>
      <w:r w:rsidRPr="00407A7B">
        <w:rPr>
          <w:sz w:val="20"/>
          <w:szCs w:val="20"/>
          <w:lang w:val="es-ES_tradnl"/>
        </w:rPr>
        <w:t xml:space="preserve"> a la ley sobre estupefacientes. </w:t>
      </w:r>
    </w:p>
    <w:p w14:paraId="752D01C8" w14:textId="77777777" w:rsidR="00DF0F65" w:rsidRPr="00407A7B" w:rsidRDefault="00DF0F65" w:rsidP="00845885">
      <w:pPr>
        <w:pStyle w:val="ListParagraph"/>
        <w:tabs>
          <w:tab w:val="left" w:pos="567"/>
        </w:tabs>
        <w:ind w:left="0"/>
        <w:jc w:val="both"/>
        <w:rPr>
          <w:sz w:val="20"/>
          <w:szCs w:val="20"/>
          <w:lang w:val="es-ES_tradnl"/>
        </w:rPr>
      </w:pPr>
    </w:p>
    <w:p w14:paraId="5AAA5C87" w14:textId="77777777" w:rsidR="00DF0F65" w:rsidRPr="00407A7B" w:rsidRDefault="00DF0F65" w:rsidP="00845885">
      <w:pPr>
        <w:pStyle w:val="ListParagraph"/>
        <w:numPr>
          <w:ilvl w:val="0"/>
          <w:numId w:val="55"/>
        </w:numPr>
        <w:tabs>
          <w:tab w:val="left" w:pos="567"/>
        </w:tabs>
        <w:ind w:left="0" w:firstLine="0"/>
        <w:jc w:val="both"/>
        <w:rPr>
          <w:sz w:val="20"/>
          <w:szCs w:val="20"/>
          <w:lang w:val="es-ES_tradnl"/>
        </w:rPr>
      </w:pPr>
      <w:r w:rsidRPr="00407A7B">
        <w:rPr>
          <w:sz w:val="20"/>
          <w:szCs w:val="20"/>
          <w:lang w:val="es-ES_tradnl"/>
        </w:rPr>
        <w:t xml:space="preserve">Posteriormente, la </w:t>
      </w:r>
      <w:r w:rsidR="00C85D37" w:rsidRPr="00407A7B">
        <w:rPr>
          <w:sz w:val="20"/>
          <w:szCs w:val="20"/>
          <w:lang w:val="es-ES_tradnl"/>
        </w:rPr>
        <w:t>Comisión</w:t>
      </w:r>
      <w:r w:rsidRPr="00407A7B">
        <w:rPr>
          <w:sz w:val="20"/>
          <w:szCs w:val="20"/>
          <w:lang w:val="es-ES_tradnl"/>
        </w:rPr>
        <w:t xml:space="preserve"> ha constatado que el 28 de febrero de 2005 la Sala Tercera </w:t>
      </w:r>
      <w:r w:rsidR="00C85D37" w:rsidRPr="00407A7B">
        <w:rPr>
          <w:sz w:val="20"/>
          <w:szCs w:val="20"/>
          <w:lang w:val="es-ES_tradnl"/>
        </w:rPr>
        <w:t xml:space="preserve">de la Corte Suprema de Justicia </w:t>
      </w:r>
      <w:r w:rsidRPr="00407A7B">
        <w:rPr>
          <w:sz w:val="20"/>
          <w:szCs w:val="20"/>
          <w:lang w:val="es-ES_tradnl"/>
        </w:rPr>
        <w:t>declar</w:t>
      </w:r>
      <w:r w:rsidR="00C85D37" w:rsidRPr="00407A7B">
        <w:rPr>
          <w:sz w:val="20"/>
          <w:szCs w:val="20"/>
          <w:lang w:val="es-ES_tradnl"/>
        </w:rPr>
        <w:t>ó</w:t>
      </w:r>
      <w:r w:rsidRPr="00407A7B">
        <w:rPr>
          <w:sz w:val="20"/>
          <w:szCs w:val="20"/>
          <w:lang w:val="es-ES_tradnl"/>
        </w:rPr>
        <w:t xml:space="preserve"> “</w:t>
      </w:r>
      <w:r w:rsidR="00C85D37" w:rsidRPr="00407A7B">
        <w:rPr>
          <w:sz w:val="20"/>
          <w:szCs w:val="20"/>
          <w:lang w:val="es-ES_tradnl"/>
        </w:rPr>
        <w:t xml:space="preserve">sin lugar” el recurso de casación interpuesto por los defensores del peticionario. </w:t>
      </w:r>
      <w:r w:rsidR="00C85D37" w:rsidRPr="00407A7B">
        <w:rPr>
          <w:sz w:val="20"/>
          <w:szCs w:val="20"/>
          <w:lang w:val="es-ES_tradnl"/>
        </w:rPr>
        <w:lastRenderedPageBreak/>
        <w:t xml:space="preserve">Asimismo, la Comisión ha verificado que el Sr. Cochran interpuso tres procedimientos de revisión, los cuales también fueron declarados “sin lugar”. </w:t>
      </w:r>
    </w:p>
    <w:p w14:paraId="54AC7F15" w14:textId="77777777" w:rsidR="00C85D37" w:rsidRPr="00407A7B" w:rsidRDefault="00C85D37" w:rsidP="00845885">
      <w:pPr>
        <w:pStyle w:val="ListParagraph"/>
        <w:tabs>
          <w:tab w:val="left" w:pos="567"/>
        </w:tabs>
        <w:ind w:left="0"/>
        <w:jc w:val="both"/>
        <w:rPr>
          <w:sz w:val="20"/>
          <w:szCs w:val="20"/>
          <w:lang w:val="es-ES_tradnl"/>
        </w:rPr>
      </w:pPr>
    </w:p>
    <w:p w14:paraId="789432E0" w14:textId="77777777" w:rsidR="00C85D37" w:rsidRPr="00407A7B" w:rsidRDefault="00C85D37" w:rsidP="00845885">
      <w:pPr>
        <w:pStyle w:val="ListParagraph"/>
        <w:numPr>
          <w:ilvl w:val="0"/>
          <w:numId w:val="55"/>
        </w:numPr>
        <w:tabs>
          <w:tab w:val="left" w:pos="567"/>
        </w:tabs>
        <w:ind w:left="0" w:firstLine="0"/>
        <w:jc w:val="both"/>
        <w:rPr>
          <w:sz w:val="20"/>
          <w:szCs w:val="20"/>
          <w:lang w:val="es-ES_tradnl"/>
        </w:rPr>
      </w:pPr>
      <w:r w:rsidRPr="00407A7B">
        <w:rPr>
          <w:sz w:val="20"/>
          <w:szCs w:val="20"/>
          <w:lang w:val="es-ES_tradnl"/>
        </w:rPr>
        <w:t xml:space="preserve">La Comisión aprecia que, en su resolución de fecha 28 de febrero de 2005, la Sala Tercera reexaminó la manera en que el tribunal a quo valoró el plexo probatorio existente en la causa. </w:t>
      </w:r>
      <w:r w:rsidR="00A556A3" w:rsidRPr="00407A7B">
        <w:rPr>
          <w:sz w:val="20"/>
          <w:szCs w:val="20"/>
          <w:lang w:val="es-ES_tradnl"/>
        </w:rPr>
        <w:t>L</w:t>
      </w:r>
      <w:r w:rsidRPr="00407A7B">
        <w:rPr>
          <w:sz w:val="20"/>
          <w:szCs w:val="20"/>
          <w:lang w:val="es-ES_tradnl"/>
        </w:rPr>
        <w:t>a Comisión resalta que la Sala Tercera</w:t>
      </w:r>
      <w:r w:rsidR="00B24D84" w:rsidRPr="00407A7B">
        <w:rPr>
          <w:sz w:val="20"/>
          <w:szCs w:val="20"/>
          <w:lang w:val="es-ES_tradnl"/>
        </w:rPr>
        <w:t xml:space="preserve"> coincidió con el tribunal de juicio respecto de la certeza de la presencia del Sr. Cochran en el país al momento de los hechos y valoró la existencia de prueba documental y audiovisual que probaría la materialidad del hecho delictivo. </w:t>
      </w:r>
    </w:p>
    <w:p w14:paraId="6870AAF1" w14:textId="77777777" w:rsidR="00B24D84" w:rsidRPr="00407A7B" w:rsidRDefault="00B24D84" w:rsidP="00845885">
      <w:pPr>
        <w:pStyle w:val="ListParagraph"/>
        <w:tabs>
          <w:tab w:val="left" w:pos="567"/>
        </w:tabs>
        <w:ind w:left="0"/>
        <w:jc w:val="both"/>
        <w:rPr>
          <w:sz w:val="20"/>
          <w:szCs w:val="20"/>
          <w:lang w:val="es-ES_tradnl"/>
        </w:rPr>
      </w:pPr>
    </w:p>
    <w:p w14:paraId="455ACB39" w14:textId="77777777" w:rsidR="00B24D84" w:rsidRPr="00407A7B" w:rsidRDefault="00B24D84" w:rsidP="00845885">
      <w:pPr>
        <w:pStyle w:val="ListParagraph"/>
        <w:numPr>
          <w:ilvl w:val="0"/>
          <w:numId w:val="55"/>
        </w:numPr>
        <w:tabs>
          <w:tab w:val="left" w:pos="567"/>
        </w:tabs>
        <w:ind w:left="0" w:firstLine="0"/>
        <w:jc w:val="both"/>
        <w:rPr>
          <w:sz w:val="20"/>
          <w:szCs w:val="20"/>
          <w:lang w:val="es-ES_tradnl"/>
        </w:rPr>
      </w:pPr>
      <w:r w:rsidRPr="00407A7B">
        <w:rPr>
          <w:sz w:val="20"/>
          <w:szCs w:val="20"/>
          <w:lang w:val="es-ES_tradnl"/>
        </w:rPr>
        <w:t xml:space="preserve">De igual manera, y en respuesta a otros argumentos desarrollados por la defensa del Sr. Cochran, la Sala Tercera aseguró que la falta de realización de ciertos peritajes psicosociales y la alegada falta de comprobación de la edad de algunas de las </w:t>
      </w:r>
      <w:r w:rsidR="00CA7CC0" w:rsidRPr="00407A7B">
        <w:rPr>
          <w:sz w:val="20"/>
          <w:szCs w:val="20"/>
          <w:lang w:val="es-ES_tradnl"/>
        </w:rPr>
        <w:t>víctimas</w:t>
      </w:r>
      <w:r w:rsidRPr="00407A7B">
        <w:rPr>
          <w:sz w:val="20"/>
          <w:szCs w:val="20"/>
          <w:lang w:val="es-ES_tradnl"/>
        </w:rPr>
        <w:t xml:space="preserve"> no constituyó una irregularidad susceptible de anular la sentencia condenatoria, toda vez que</w:t>
      </w:r>
      <w:r w:rsidR="00B0383C" w:rsidRPr="00407A7B">
        <w:rPr>
          <w:sz w:val="20"/>
          <w:szCs w:val="20"/>
          <w:lang w:val="es-ES_tradnl"/>
        </w:rPr>
        <w:t>,</w:t>
      </w:r>
      <w:r w:rsidRPr="00407A7B">
        <w:rPr>
          <w:sz w:val="20"/>
          <w:szCs w:val="20"/>
          <w:lang w:val="es-ES_tradnl"/>
        </w:rPr>
        <w:t xml:space="preserve"> en virtud del principio de libertad probatoria, los hechos delictivos fueron acreditados mediante otros medios probatorios. </w:t>
      </w:r>
    </w:p>
    <w:p w14:paraId="47332438" w14:textId="77777777" w:rsidR="00B24D84" w:rsidRPr="00407A7B" w:rsidRDefault="00B24D84" w:rsidP="00845885">
      <w:pPr>
        <w:pStyle w:val="ListParagraph"/>
        <w:tabs>
          <w:tab w:val="left" w:pos="567"/>
        </w:tabs>
        <w:rPr>
          <w:sz w:val="20"/>
          <w:szCs w:val="20"/>
          <w:lang w:val="es-ES_tradnl"/>
        </w:rPr>
      </w:pPr>
    </w:p>
    <w:p w14:paraId="1001625F" w14:textId="77777777" w:rsidR="00B24D84" w:rsidRPr="00407A7B" w:rsidRDefault="00B24D84" w:rsidP="00845885">
      <w:pPr>
        <w:pStyle w:val="ListParagraph"/>
        <w:numPr>
          <w:ilvl w:val="0"/>
          <w:numId w:val="55"/>
        </w:numPr>
        <w:tabs>
          <w:tab w:val="left" w:pos="567"/>
        </w:tabs>
        <w:ind w:left="0" w:firstLine="0"/>
        <w:jc w:val="both"/>
        <w:rPr>
          <w:sz w:val="20"/>
          <w:szCs w:val="20"/>
          <w:lang w:val="es-ES_tradnl"/>
        </w:rPr>
      </w:pPr>
      <w:r w:rsidRPr="00407A7B">
        <w:rPr>
          <w:sz w:val="20"/>
          <w:szCs w:val="20"/>
          <w:lang w:val="es-ES_tradnl"/>
        </w:rPr>
        <w:t>La Comisión resalta, asimismo, que en su sentencia del 28 de febrero de 2005 la Sala Tercera también ejerció un control sobre la manera en la que el tribunal de juicio interpretó y aplicó la ley penal sustantiva. En concreto,</w:t>
      </w:r>
      <w:r w:rsidR="00B0383C" w:rsidRPr="00407A7B">
        <w:rPr>
          <w:sz w:val="20"/>
          <w:szCs w:val="20"/>
          <w:lang w:val="es-ES_tradnl"/>
        </w:rPr>
        <w:t xml:space="preserve"> y </w:t>
      </w:r>
      <w:r w:rsidRPr="00407A7B">
        <w:rPr>
          <w:sz w:val="20"/>
          <w:szCs w:val="20"/>
          <w:lang w:val="es-ES_tradnl"/>
        </w:rPr>
        <w:t xml:space="preserve">en respuesta a un planteo efectuado por la defensa, la Sala Tercera descartó que </w:t>
      </w:r>
      <w:r w:rsidR="00B0383C" w:rsidRPr="00407A7B">
        <w:rPr>
          <w:sz w:val="20"/>
          <w:szCs w:val="20"/>
          <w:lang w:val="es-ES_tradnl"/>
        </w:rPr>
        <w:t xml:space="preserve">en el caso del Sr. Cochran se diera un concurso ideal de todos los delitos cometidos. En efecto, el tribunal señaló que existe entre los hechos por los cuales fue condenado el peticionario una clara individualización temporal que los hace objetivamente diferentes. </w:t>
      </w:r>
    </w:p>
    <w:p w14:paraId="20278AD0" w14:textId="77777777" w:rsidR="00BA7EF0" w:rsidRPr="00407A7B" w:rsidRDefault="00BA7EF0" w:rsidP="00BA7EF0">
      <w:pPr>
        <w:pStyle w:val="ListParagraph"/>
        <w:rPr>
          <w:sz w:val="20"/>
          <w:szCs w:val="20"/>
          <w:lang w:val="es-ES_tradnl"/>
        </w:rPr>
      </w:pPr>
    </w:p>
    <w:p w14:paraId="28051F29" w14:textId="77777777" w:rsidR="00E27A7C" w:rsidRPr="00407A7B" w:rsidRDefault="00FB2738" w:rsidP="00845885">
      <w:pPr>
        <w:pStyle w:val="ListParagraph"/>
        <w:numPr>
          <w:ilvl w:val="0"/>
          <w:numId w:val="55"/>
        </w:numPr>
        <w:tabs>
          <w:tab w:val="left" w:pos="567"/>
        </w:tabs>
        <w:ind w:left="0" w:firstLine="0"/>
        <w:jc w:val="both"/>
        <w:rPr>
          <w:sz w:val="20"/>
          <w:szCs w:val="20"/>
          <w:lang w:val="es-ES_tradnl"/>
        </w:rPr>
      </w:pPr>
      <w:r w:rsidRPr="00407A7B">
        <w:rPr>
          <w:sz w:val="20"/>
          <w:szCs w:val="20"/>
          <w:lang w:val="es-ES_tradnl"/>
        </w:rPr>
        <w:t xml:space="preserve">Respecto </w:t>
      </w:r>
      <w:r w:rsidR="00E27A7C" w:rsidRPr="00407A7B">
        <w:rPr>
          <w:sz w:val="20"/>
          <w:szCs w:val="20"/>
          <w:lang w:val="es-ES_tradnl"/>
        </w:rPr>
        <w:t xml:space="preserve">de la condena de primera instancia y del rechazo del recurso de </w:t>
      </w:r>
      <w:r w:rsidR="00E52EA9" w:rsidRPr="00407A7B">
        <w:rPr>
          <w:sz w:val="20"/>
          <w:szCs w:val="20"/>
          <w:lang w:val="es-ES_tradnl"/>
        </w:rPr>
        <w:t>casación, la</w:t>
      </w:r>
      <w:r w:rsidR="00755F36" w:rsidRPr="00407A7B">
        <w:rPr>
          <w:sz w:val="20"/>
          <w:szCs w:val="20"/>
          <w:lang w:val="es-ES_tradnl"/>
        </w:rPr>
        <w:t xml:space="preserve"> </w:t>
      </w:r>
      <w:r w:rsidR="00C27B23" w:rsidRPr="00407A7B">
        <w:rPr>
          <w:sz w:val="20"/>
          <w:szCs w:val="20"/>
          <w:lang w:val="es-ES_tradnl"/>
        </w:rPr>
        <w:t>Comisión</w:t>
      </w:r>
      <w:r w:rsidR="00755F36" w:rsidRPr="00407A7B">
        <w:rPr>
          <w:sz w:val="20"/>
          <w:szCs w:val="20"/>
          <w:lang w:val="es-ES_tradnl"/>
        </w:rPr>
        <w:t xml:space="preserve"> nota que </w:t>
      </w:r>
      <w:r w:rsidR="00E27A7C" w:rsidRPr="00407A7B">
        <w:rPr>
          <w:sz w:val="20"/>
          <w:szCs w:val="20"/>
          <w:lang w:val="es-ES_tradnl"/>
        </w:rPr>
        <w:t>fueron dictadas c</w:t>
      </w:r>
      <w:r w:rsidR="00755F36" w:rsidRPr="00407A7B">
        <w:rPr>
          <w:sz w:val="20"/>
          <w:szCs w:val="20"/>
          <w:lang w:val="es-ES_tradnl"/>
        </w:rPr>
        <w:t xml:space="preserve">on posterioridad a la decisión de la Corte IDH en el caso </w:t>
      </w:r>
      <w:r w:rsidR="00755F36" w:rsidRPr="00407A7B">
        <w:rPr>
          <w:i/>
          <w:sz w:val="20"/>
          <w:szCs w:val="20"/>
          <w:lang w:val="es-ES_tradnl"/>
        </w:rPr>
        <w:t>Herrera Ulloa Vs. Costa Rica</w:t>
      </w:r>
      <w:r w:rsidR="00755F36" w:rsidRPr="00407A7B">
        <w:rPr>
          <w:sz w:val="20"/>
          <w:szCs w:val="20"/>
          <w:lang w:val="es-ES_tradnl"/>
        </w:rPr>
        <w:t xml:space="preserve"> y antes de </w:t>
      </w:r>
      <w:r w:rsidR="00C27B23" w:rsidRPr="00407A7B">
        <w:rPr>
          <w:sz w:val="20"/>
          <w:szCs w:val="20"/>
          <w:lang w:val="es-ES_tradnl"/>
        </w:rPr>
        <w:t>que se sancion</w:t>
      </w:r>
      <w:r w:rsidR="00A556A3" w:rsidRPr="00407A7B">
        <w:rPr>
          <w:sz w:val="20"/>
          <w:szCs w:val="20"/>
          <w:lang w:val="es-ES_tradnl"/>
        </w:rPr>
        <w:t xml:space="preserve">ara </w:t>
      </w:r>
      <w:r w:rsidR="00C27B23" w:rsidRPr="00407A7B">
        <w:rPr>
          <w:sz w:val="20"/>
          <w:szCs w:val="20"/>
          <w:lang w:val="es-ES_tradnl"/>
        </w:rPr>
        <w:t xml:space="preserve">la ley </w:t>
      </w:r>
      <w:r w:rsidR="002168CC" w:rsidRPr="00407A7B">
        <w:rPr>
          <w:sz w:val="20"/>
          <w:szCs w:val="20"/>
          <w:lang w:val="es-ES_tradnl"/>
        </w:rPr>
        <w:t>8837</w:t>
      </w:r>
      <w:r w:rsidR="00C27B23" w:rsidRPr="00407A7B">
        <w:rPr>
          <w:sz w:val="20"/>
          <w:szCs w:val="20"/>
          <w:lang w:val="es-ES_tradnl"/>
        </w:rPr>
        <w:t>.</w:t>
      </w:r>
      <w:r w:rsidRPr="00407A7B">
        <w:rPr>
          <w:sz w:val="20"/>
          <w:szCs w:val="20"/>
          <w:lang w:val="es-ES_tradnl"/>
        </w:rPr>
        <w:t xml:space="preserve"> </w:t>
      </w:r>
      <w:r w:rsidR="00E27A7C" w:rsidRPr="00407A7B">
        <w:rPr>
          <w:sz w:val="20"/>
          <w:szCs w:val="20"/>
          <w:lang w:val="es-ES_tradnl"/>
        </w:rPr>
        <w:t xml:space="preserve">En consecuencia, la Comisión entiende que el recurso de casación disponible en ese momento </w:t>
      </w:r>
      <w:r w:rsidR="00A556A3" w:rsidRPr="00407A7B">
        <w:rPr>
          <w:sz w:val="20"/>
          <w:szCs w:val="20"/>
          <w:lang w:val="es-ES_tradnl"/>
        </w:rPr>
        <w:t>no cumplía con</w:t>
      </w:r>
      <w:r w:rsidR="00E27A7C" w:rsidRPr="00407A7B">
        <w:rPr>
          <w:sz w:val="20"/>
          <w:szCs w:val="20"/>
          <w:lang w:val="es-ES_tradnl"/>
        </w:rPr>
        <w:t xml:space="preserve"> la finalidad de garantizar el derecho a recurrir el fallo, ya que su procedencia estaba </w:t>
      </w:r>
      <w:r w:rsidR="00E27A7C" w:rsidRPr="00407A7B">
        <w:rPr>
          <w:i/>
          <w:sz w:val="20"/>
          <w:szCs w:val="20"/>
          <w:lang w:val="es-ES_tradnl"/>
        </w:rPr>
        <w:t>a priori</w:t>
      </w:r>
      <w:r w:rsidR="00E27A7C" w:rsidRPr="00407A7B">
        <w:rPr>
          <w:sz w:val="20"/>
          <w:szCs w:val="20"/>
          <w:lang w:val="es-ES_tradnl"/>
        </w:rPr>
        <w:t xml:space="preserve"> limitada</w:t>
      </w:r>
      <w:r w:rsidR="000A6F41" w:rsidRPr="00407A7B">
        <w:rPr>
          <w:sz w:val="20"/>
          <w:szCs w:val="20"/>
          <w:lang w:val="es-ES_tradnl"/>
        </w:rPr>
        <w:t xml:space="preserve"> - </w:t>
      </w:r>
      <w:r w:rsidR="00E27A7C" w:rsidRPr="00407A7B">
        <w:rPr>
          <w:sz w:val="20"/>
          <w:szCs w:val="20"/>
          <w:lang w:val="es-ES_tradnl"/>
        </w:rPr>
        <w:t xml:space="preserve"> por el texto mismo de la ley</w:t>
      </w:r>
      <w:r w:rsidR="000A6F41" w:rsidRPr="00407A7B">
        <w:rPr>
          <w:sz w:val="20"/>
          <w:szCs w:val="20"/>
          <w:lang w:val="es-ES_tradnl"/>
        </w:rPr>
        <w:t xml:space="preserve"> -</w:t>
      </w:r>
      <w:r w:rsidR="00E27A7C" w:rsidRPr="00407A7B">
        <w:rPr>
          <w:sz w:val="20"/>
          <w:szCs w:val="20"/>
          <w:lang w:val="es-ES_tradnl"/>
        </w:rPr>
        <w:t xml:space="preserve"> a determinados supuestos relacionados</w:t>
      </w:r>
      <w:r w:rsidR="00A556A3" w:rsidRPr="00407A7B">
        <w:rPr>
          <w:sz w:val="20"/>
          <w:szCs w:val="20"/>
          <w:lang w:val="es-ES_tradnl"/>
        </w:rPr>
        <w:t xml:space="preserve"> con la aplicación de la norma, conforme el cual </w:t>
      </w:r>
      <w:r w:rsidR="002168CC" w:rsidRPr="00407A7B">
        <w:rPr>
          <w:sz w:val="20"/>
          <w:szCs w:val="20"/>
          <w:lang w:val="es-ES_tradnl"/>
        </w:rPr>
        <w:t xml:space="preserve">se </w:t>
      </w:r>
      <w:r w:rsidR="00E27A7C" w:rsidRPr="00407A7B">
        <w:rPr>
          <w:sz w:val="20"/>
          <w:szCs w:val="20"/>
          <w:lang w:val="es-ES_tradnl"/>
        </w:rPr>
        <w:t>excluía el análisis de cuestiones fácticas y probatorias. En este sentido, la Corte IDH ha puntualizado que “si bien existe una deferencia a los Estados para regular el ejercicio del recurso, mediante su normativa interna, no pueden establecerse restricciones o requisitos que infrinjan la esencia misma del derecho a recurrir el fallo”</w:t>
      </w:r>
      <w:r w:rsidR="002168CC" w:rsidRPr="00407A7B">
        <w:rPr>
          <w:rStyle w:val="FootnoteReference"/>
          <w:sz w:val="20"/>
          <w:szCs w:val="20"/>
          <w:lang w:val="es-ES_tradnl"/>
        </w:rPr>
        <w:footnoteReference w:id="109"/>
      </w:r>
      <w:r w:rsidR="00E27A7C" w:rsidRPr="00407A7B">
        <w:rPr>
          <w:sz w:val="20"/>
          <w:szCs w:val="20"/>
          <w:lang w:val="es-ES_tradnl"/>
        </w:rPr>
        <w:t>.</w:t>
      </w:r>
      <w:r w:rsidR="002168CC" w:rsidRPr="00407A7B">
        <w:rPr>
          <w:sz w:val="20"/>
          <w:szCs w:val="20"/>
          <w:lang w:val="es-ES_tradnl"/>
        </w:rPr>
        <w:t xml:space="preserve"> Por consiguiente, la Comisión entiende que el marco normativo nacional en materia de recursos vigente al momento de la condena del Sr. Cochran era inconvencional toda vez que afectó su derecho a obtener una revisión integral de la sentencia</w:t>
      </w:r>
      <w:r w:rsidR="002168CC" w:rsidRPr="00407A7B">
        <w:rPr>
          <w:rStyle w:val="FootnoteReference"/>
          <w:sz w:val="20"/>
          <w:szCs w:val="20"/>
          <w:lang w:val="es-ES_tradnl"/>
        </w:rPr>
        <w:footnoteReference w:id="110"/>
      </w:r>
      <w:r w:rsidR="002168CC" w:rsidRPr="00407A7B">
        <w:rPr>
          <w:sz w:val="20"/>
          <w:szCs w:val="20"/>
          <w:lang w:val="es-ES_tradnl"/>
        </w:rPr>
        <w:t xml:space="preserve">.  </w:t>
      </w:r>
    </w:p>
    <w:p w14:paraId="67893A50" w14:textId="77777777" w:rsidR="00B0383C" w:rsidRPr="00407A7B" w:rsidRDefault="00B0383C" w:rsidP="00845885">
      <w:pPr>
        <w:pStyle w:val="ListParagraph"/>
        <w:tabs>
          <w:tab w:val="left" w:pos="567"/>
        </w:tabs>
        <w:rPr>
          <w:sz w:val="20"/>
          <w:szCs w:val="20"/>
          <w:lang w:val="es-ES_tradnl"/>
        </w:rPr>
      </w:pPr>
    </w:p>
    <w:p w14:paraId="168F07C6" w14:textId="77777777" w:rsidR="00B0383C" w:rsidRPr="00407A7B" w:rsidRDefault="00755F36" w:rsidP="00755F36">
      <w:pPr>
        <w:pStyle w:val="ListParagraph"/>
        <w:numPr>
          <w:ilvl w:val="0"/>
          <w:numId w:val="55"/>
        </w:numPr>
        <w:tabs>
          <w:tab w:val="left" w:pos="567"/>
        </w:tabs>
        <w:ind w:left="0" w:firstLine="0"/>
        <w:jc w:val="both"/>
        <w:rPr>
          <w:sz w:val="20"/>
          <w:szCs w:val="20"/>
          <w:lang w:val="es-ES_tradnl"/>
        </w:rPr>
      </w:pPr>
      <w:r w:rsidRPr="00407A7B">
        <w:rPr>
          <w:sz w:val="20"/>
          <w:szCs w:val="20"/>
          <w:lang w:val="es-ES_tradnl"/>
        </w:rPr>
        <w:t>Sin embargo</w:t>
      </w:r>
      <w:r w:rsidR="00B0383C" w:rsidRPr="00407A7B">
        <w:rPr>
          <w:sz w:val="20"/>
          <w:szCs w:val="20"/>
          <w:lang w:val="es-ES_tradnl"/>
        </w:rPr>
        <w:t xml:space="preserve">, la </w:t>
      </w:r>
      <w:r w:rsidR="00F576C4" w:rsidRPr="00407A7B">
        <w:rPr>
          <w:sz w:val="20"/>
          <w:szCs w:val="20"/>
          <w:lang w:val="es-ES_tradnl"/>
        </w:rPr>
        <w:t>Comisión</w:t>
      </w:r>
      <w:r w:rsidR="00B0383C" w:rsidRPr="00407A7B">
        <w:rPr>
          <w:sz w:val="20"/>
          <w:szCs w:val="20"/>
          <w:lang w:val="es-ES_tradnl"/>
        </w:rPr>
        <w:t xml:space="preserve"> </w:t>
      </w:r>
      <w:r w:rsidR="00A556A3" w:rsidRPr="00407A7B">
        <w:rPr>
          <w:sz w:val="20"/>
          <w:szCs w:val="20"/>
          <w:lang w:val="es-ES_tradnl"/>
        </w:rPr>
        <w:t>observa</w:t>
      </w:r>
      <w:r w:rsidRPr="00407A7B">
        <w:rPr>
          <w:sz w:val="20"/>
          <w:szCs w:val="20"/>
          <w:lang w:val="es-ES_tradnl"/>
        </w:rPr>
        <w:t xml:space="preserve"> </w:t>
      </w:r>
      <w:r w:rsidR="00B0383C" w:rsidRPr="00407A7B">
        <w:rPr>
          <w:sz w:val="20"/>
          <w:szCs w:val="20"/>
          <w:lang w:val="es-ES_tradnl"/>
        </w:rPr>
        <w:t>que</w:t>
      </w:r>
      <w:r w:rsidR="001D7DBF" w:rsidRPr="00407A7B">
        <w:rPr>
          <w:sz w:val="20"/>
          <w:szCs w:val="20"/>
          <w:lang w:val="es-ES_tradnl"/>
        </w:rPr>
        <w:t>,</w:t>
      </w:r>
      <w:r w:rsidR="00B0383C" w:rsidRPr="00407A7B">
        <w:rPr>
          <w:sz w:val="20"/>
          <w:szCs w:val="20"/>
          <w:lang w:val="es-ES_tradnl"/>
        </w:rPr>
        <w:t xml:space="preserve"> como resultado de la</w:t>
      </w:r>
      <w:r w:rsidR="00F576C4" w:rsidRPr="00407A7B">
        <w:rPr>
          <w:sz w:val="20"/>
          <w:szCs w:val="20"/>
          <w:lang w:val="es-ES_tradnl"/>
        </w:rPr>
        <w:t xml:space="preserve"> reforma al régimen recursivo costarricense dispuesta por medio de la ley 8837, se reconoció a las personas cuyas condenas habían </w:t>
      </w:r>
      <w:r w:rsidR="001D7DBF" w:rsidRPr="00407A7B">
        <w:rPr>
          <w:sz w:val="20"/>
          <w:szCs w:val="20"/>
          <w:lang w:val="es-ES_tradnl"/>
        </w:rPr>
        <w:t xml:space="preserve">quedado </w:t>
      </w:r>
      <w:r w:rsidR="00F576C4" w:rsidRPr="00407A7B">
        <w:rPr>
          <w:sz w:val="20"/>
          <w:szCs w:val="20"/>
          <w:lang w:val="es-ES_tradnl"/>
        </w:rPr>
        <w:t xml:space="preserve">bajo autoridad de cosa juzgada la posibilidad de interponer un recurso de revisión extraordinario. En el caso del Sr. Cochran, este recurso </w:t>
      </w:r>
      <w:r w:rsidR="00407A7B" w:rsidRPr="00407A7B">
        <w:rPr>
          <w:sz w:val="20"/>
          <w:szCs w:val="20"/>
          <w:lang w:val="es-ES_tradnl"/>
        </w:rPr>
        <w:t>constituyó una oportunidad para</w:t>
      </w:r>
      <w:r w:rsidR="00F576C4" w:rsidRPr="00407A7B">
        <w:rPr>
          <w:sz w:val="20"/>
          <w:szCs w:val="20"/>
          <w:lang w:val="es-ES_tradnl"/>
        </w:rPr>
        <w:t xml:space="preserve"> que el peticionario </w:t>
      </w:r>
      <w:r w:rsidR="00301FC6" w:rsidRPr="00407A7B">
        <w:rPr>
          <w:sz w:val="20"/>
          <w:szCs w:val="20"/>
          <w:lang w:val="es-ES_tradnl"/>
        </w:rPr>
        <w:t xml:space="preserve">planteara diversos agravios </w:t>
      </w:r>
      <w:r w:rsidR="00CA7CC0" w:rsidRPr="00407A7B">
        <w:rPr>
          <w:sz w:val="20"/>
          <w:szCs w:val="20"/>
          <w:lang w:val="es-ES_tradnl"/>
        </w:rPr>
        <w:t>vinculados tanto</w:t>
      </w:r>
      <w:r w:rsidR="00301FC6" w:rsidRPr="00407A7B">
        <w:rPr>
          <w:sz w:val="20"/>
          <w:szCs w:val="20"/>
          <w:lang w:val="es-ES_tradnl"/>
        </w:rPr>
        <w:t xml:space="preserve"> con cuestiones de hecho y prueba como de aplicación de la ley penal sustantiva. </w:t>
      </w:r>
    </w:p>
    <w:p w14:paraId="082A0250" w14:textId="77777777" w:rsidR="00301FC6" w:rsidRPr="00407A7B" w:rsidRDefault="00301FC6" w:rsidP="00845885">
      <w:pPr>
        <w:pStyle w:val="ListParagraph"/>
        <w:tabs>
          <w:tab w:val="left" w:pos="567"/>
        </w:tabs>
        <w:rPr>
          <w:sz w:val="20"/>
          <w:szCs w:val="20"/>
          <w:lang w:val="es-ES_tradnl"/>
        </w:rPr>
      </w:pPr>
    </w:p>
    <w:p w14:paraId="4EA76033" w14:textId="77777777" w:rsidR="00BD638B" w:rsidRPr="00407A7B" w:rsidRDefault="00301FC6" w:rsidP="00845885">
      <w:pPr>
        <w:pStyle w:val="ListParagraph"/>
        <w:numPr>
          <w:ilvl w:val="0"/>
          <w:numId w:val="55"/>
        </w:numPr>
        <w:tabs>
          <w:tab w:val="left" w:pos="567"/>
        </w:tabs>
        <w:ind w:left="0" w:firstLine="0"/>
        <w:jc w:val="both"/>
        <w:rPr>
          <w:sz w:val="20"/>
          <w:szCs w:val="20"/>
          <w:lang w:val="es-ES_tradnl"/>
        </w:rPr>
      </w:pPr>
      <w:r w:rsidRPr="00407A7B">
        <w:rPr>
          <w:sz w:val="20"/>
          <w:szCs w:val="20"/>
          <w:lang w:val="es-ES_tradnl"/>
        </w:rPr>
        <w:t xml:space="preserve">La </w:t>
      </w:r>
      <w:r w:rsidR="00E70137" w:rsidRPr="00407A7B">
        <w:rPr>
          <w:sz w:val="20"/>
          <w:szCs w:val="20"/>
          <w:lang w:val="es-ES_tradnl"/>
        </w:rPr>
        <w:t>Comisión</w:t>
      </w:r>
      <w:r w:rsidRPr="00407A7B">
        <w:rPr>
          <w:sz w:val="20"/>
          <w:szCs w:val="20"/>
          <w:lang w:val="es-ES_tradnl"/>
        </w:rPr>
        <w:t xml:space="preserve"> advierte que tanto en su resolución de fecha 28 de abril de 2009 como en la de 15 de febrero de 2013, la Sala Tercera de la Corte Suprema de Justicia dio respuesta a todos los motivos de impugnación planteados por el peticionario. En efecto, de la lectura de ambas resoluciones se desprende que la Sala Tercera realiz</w:t>
      </w:r>
      <w:r w:rsidR="00E70137" w:rsidRPr="00407A7B">
        <w:rPr>
          <w:sz w:val="20"/>
          <w:szCs w:val="20"/>
          <w:lang w:val="es-ES_tradnl"/>
        </w:rPr>
        <w:t>ó</w:t>
      </w:r>
      <w:r w:rsidRPr="00407A7B">
        <w:rPr>
          <w:sz w:val="20"/>
          <w:szCs w:val="20"/>
          <w:lang w:val="es-ES_tradnl"/>
        </w:rPr>
        <w:t xml:space="preserve"> en ambas oportunidades un análisis propio de la sentencia condenatoria y expuso sus motivos por los cuales no procedería su anulación. </w:t>
      </w:r>
      <w:r w:rsidR="00E70137" w:rsidRPr="00407A7B">
        <w:rPr>
          <w:sz w:val="20"/>
          <w:szCs w:val="20"/>
          <w:lang w:val="es-ES_tradnl"/>
        </w:rPr>
        <w:t>Para arribar a dicha conclusión el tribunal efectuó una nueva evaluación de la prueba obrante en el expediente y arribó a la misma conclusión que el tribunal de primer grado respecto de la culpabilidad del peticionario</w:t>
      </w:r>
      <w:r w:rsidR="00BD638B" w:rsidRPr="00407A7B">
        <w:rPr>
          <w:sz w:val="20"/>
          <w:szCs w:val="20"/>
          <w:lang w:val="es-ES_tradnl"/>
        </w:rPr>
        <w:t>.</w:t>
      </w:r>
    </w:p>
    <w:p w14:paraId="062253A8" w14:textId="77777777" w:rsidR="00BD638B" w:rsidRPr="00407A7B" w:rsidRDefault="00BD638B" w:rsidP="00BD638B">
      <w:pPr>
        <w:pStyle w:val="ListParagraph"/>
        <w:rPr>
          <w:sz w:val="20"/>
          <w:szCs w:val="20"/>
          <w:lang w:val="es-ES"/>
        </w:rPr>
      </w:pPr>
    </w:p>
    <w:p w14:paraId="6DF00050" w14:textId="77777777" w:rsidR="00BD638B" w:rsidRPr="00407A7B" w:rsidRDefault="00F576C4" w:rsidP="00845885">
      <w:pPr>
        <w:pStyle w:val="ListParagraph"/>
        <w:numPr>
          <w:ilvl w:val="0"/>
          <w:numId w:val="55"/>
        </w:numPr>
        <w:tabs>
          <w:tab w:val="left" w:pos="567"/>
        </w:tabs>
        <w:ind w:left="0" w:firstLine="0"/>
        <w:jc w:val="both"/>
        <w:rPr>
          <w:sz w:val="20"/>
          <w:szCs w:val="20"/>
          <w:lang w:val="es-ES_tradnl"/>
        </w:rPr>
      </w:pPr>
      <w:r w:rsidRPr="00407A7B">
        <w:rPr>
          <w:sz w:val="20"/>
          <w:szCs w:val="20"/>
          <w:lang w:val="es-ES"/>
        </w:rPr>
        <w:t xml:space="preserve">En </w:t>
      </w:r>
      <w:r w:rsidR="00E70137" w:rsidRPr="00407A7B">
        <w:rPr>
          <w:sz w:val="20"/>
          <w:szCs w:val="20"/>
          <w:lang w:val="es-ES"/>
        </w:rPr>
        <w:t>este sentido</w:t>
      </w:r>
      <w:r w:rsidRPr="00407A7B">
        <w:rPr>
          <w:sz w:val="20"/>
          <w:szCs w:val="20"/>
          <w:lang w:val="es-ES"/>
        </w:rPr>
        <w:t xml:space="preserve">, la Comisión </w:t>
      </w:r>
      <w:r w:rsidR="00E70137" w:rsidRPr="00407A7B">
        <w:rPr>
          <w:sz w:val="20"/>
          <w:szCs w:val="20"/>
          <w:lang w:val="es-ES"/>
        </w:rPr>
        <w:t>encuentra</w:t>
      </w:r>
      <w:r w:rsidRPr="00407A7B">
        <w:rPr>
          <w:sz w:val="20"/>
          <w:szCs w:val="20"/>
          <w:lang w:val="es-ES"/>
        </w:rPr>
        <w:t xml:space="preserve"> que la Sala III de la Corte Suprema no desestimó sin más trámite o </w:t>
      </w:r>
      <w:r w:rsidRPr="00407A7B">
        <w:rPr>
          <w:i/>
          <w:sz w:val="20"/>
          <w:szCs w:val="20"/>
          <w:lang w:val="es-ES"/>
        </w:rPr>
        <w:t>in limine</w:t>
      </w:r>
      <w:r w:rsidRPr="00407A7B">
        <w:rPr>
          <w:sz w:val="20"/>
          <w:szCs w:val="20"/>
          <w:lang w:val="es-ES"/>
        </w:rPr>
        <w:t xml:space="preserve"> los planteos del Sr. Cochran. Por el contrario, el tribunal de alzada ingresó al estudio de las principales cuestiones que se encontraban controvertidas en el proceso y realizó un examen propio de las </w:t>
      </w:r>
      <w:r w:rsidRPr="00407A7B">
        <w:rPr>
          <w:sz w:val="20"/>
          <w:szCs w:val="20"/>
          <w:lang w:val="es-ES"/>
        </w:rPr>
        <w:lastRenderedPageBreak/>
        <w:t xml:space="preserve">mismas, sin que se advirtiera que su análisis se hallare limitado a cuestiones de naturaleza formal o jurídica en detrimento de aquellas de índole fáctica o viceversa. </w:t>
      </w:r>
    </w:p>
    <w:p w14:paraId="2B48E451" w14:textId="77777777" w:rsidR="00BD638B" w:rsidRPr="00407A7B" w:rsidRDefault="00BD638B" w:rsidP="00BD638B">
      <w:pPr>
        <w:pStyle w:val="ListParagraph"/>
        <w:rPr>
          <w:sz w:val="20"/>
          <w:szCs w:val="20"/>
          <w:lang w:val="es-ES"/>
        </w:rPr>
      </w:pPr>
    </w:p>
    <w:p w14:paraId="266BB698" w14:textId="77777777" w:rsidR="00BD638B" w:rsidRPr="00407A7B" w:rsidRDefault="00F576C4" w:rsidP="00845885">
      <w:pPr>
        <w:pStyle w:val="ListParagraph"/>
        <w:numPr>
          <w:ilvl w:val="0"/>
          <w:numId w:val="55"/>
        </w:numPr>
        <w:tabs>
          <w:tab w:val="left" w:pos="567"/>
        </w:tabs>
        <w:ind w:left="0" w:firstLine="0"/>
        <w:jc w:val="both"/>
        <w:rPr>
          <w:sz w:val="20"/>
          <w:szCs w:val="20"/>
          <w:lang w:val="es-ES_tradnl"/>
        </w:rPr>
      </w:pPr>
      <w:r w:rsidRPr="00407A7B">
        <w:rPr>
          <w:sz w:val="20"/>
          <w:szCs w:val="20"/>
          <w:lang w:val="es-ES"/>
        </w:rPr>
        <w:t>Por consiguiente, y a la luz de la decisión de la Corte IDH en el caso Amrhein y otros Vs. Costa Rica, la CIDH concluye que el Estado de Costa Rica no resulta responsable por la violación del derecho a obtener una revisión integral del fallo condenatorio consagrado en el artículo 8.2.h de la Convención Americana sobre Derechos Humanos.</w:t>
      </w:r>
    </w:p>
    <w:p w14:paraId="0D489D6B" w14:textId="77777777" w:rsidR="007C4E9F" w:rsidRPr="00407A7B" w:rsidRDefault="007C4E9F" w:rsidP="00845885">
      <w:pPr>
        <w:tabs>
          <w:tab w:val="left" w:pos="567"/>
        </w:tabs>
        <w:jc w:val="both"/>
        <w:rPr>
          <w:rFonts w:ascii="Cambria" w:hAnsi="Cambria"/>
          <w:sz w:val="20"/>
          <w:szCs w:val="20"/>
          <w:lang w:val="es-ES"/>
        </w:rPr>
      </w:pPr>
    </w:p>
    <w:p w14:paraId="35CBCE30" w14:textId="77777777" w:rsidR="007C4E9F" w:rsidRPr="00407A7B" w:rsidRDefault="007C4E9F" w:rsidP="007C4E9F">
      <w:pPr>
        <w:pStyle w:val="Heading1"/>
      </w:pPr>
      <w:bookmarkStart w:id="46" w:name="_Toc54369887"/>
      <w:r w:rsidRPr="00407A7B">
        <w:t>CONCLUSIONES Y RECOMENDACIONES</w:t>
      </w:r>
      <w:bookmarkEnd w:id="46"/>
      <w:r w:rsidRPr="00407A7B">
        <w:t xml:space="preserve"> </w:t>
      </w:r>
    </w:p>
    <w:p w14:paraId="66B1E9BE" w14:textId="77777777" w:rsidR="007C4E9F" w:rsidRPr="00407A7B" w:rsidRDefault="007C4E9F" w:rsidP="007C4E9F">
      <w:pPr>
        <w:rPr>
          <w:lang w:val="es-ES_tradnl" w:eastAsia="es-ES"/>
        </w:rPr>
      </w:pPr>
    </w:p>
    <w:p w14:paraId="526103DA" w14:textId="77777777" w:rsidR="007C4E9F" w:rsidRPr="00407A7B" w:rsidRDefault="00BD638B" w:rsidP="00A411C6">
      <w:pPr>
        <w:pStyle w:val="ListParagraph"/>
        <w:numPr>
          <w:ilvl w:val="0"/>
          <w:numId w:val="55"/>
        </w:numPr>
        <w:ind w:left="0" w:firstLine="0"/>
        <w:jc w:val="both"/>
        <w:rPr>
          <w:sz w:val="20"/>
          <w:szCs w:val="20"/>
          <w:lang w:val="es-ES_tradnl"/>
        </w:rPr>
      </w:pPr>
      <w:r w:rsidRPr="00407A7B">
        <w:rPr>
          <w:rFonts w:eastAsia="Calibri"/>
          <w:sz w:val="20"/>
          <w:szCs w:val="20"/>
          <w:lang w:val="es-VE"/>
        </w:rPr>
        <w:t xml:space="preserve">En función de las consideraciones de hecho y de derecho expuestas a lo largo del presente informe, la </w:t>
      </w:r>
      <w:r w:rsidR="00CA7CC0" w:rsidRPr="00407A7B">
        <w:rPr>
          <w:rFonts w:eastAsia="Calibri"/>
          <w:sz w:val="20"/>
          <w:szCs w:val="20"/>
          <w:lang w:val="es-VE"/>
        </w:rPr>
        <w:t>Comisión</w:t>
      </w:r>
      <w:r w:rsidRPr="00407A7B">
        <w:rPr>
          <w:rFonts w:eastAsia="Calibri"/>
          <w:sz w:val="20"/>
          <w:szCs w:val="20"/>
          <w:lang w:val="es-VE"/>
        </w:rPr>
        <w:t xml:space="preserve"> concluye </w:t>
      </w:r>
      <w:r w:rsidRPr="00407A7B">
        <w:rPr>
          <w:rFonts w:eastAsia="Calibri"/>
          <w:sz w:val="20"/>
          <w:szCs w:val="20"/>
          <w:lang w:val="es-US"/>
        </w:rPr>
        <w:t xml:space="preserve">que el Estado de Costa Rica resulta responsable por la </w:t>
      </w:r>
      <w:r w:rsidR="00CA7CC0" w:rsidRPr="00407A7B">
        <w:rPr>
          <w:rFonts w:eastAsia="Calibri"/>
          <w:sz w:val="20"/>
          <w:szCs w:val="20"/>
          <w:lang w:val="es-US"/>
        </w:rPr>
        <w:t>violación</w:t>
      </w:r>
      <w:r w:rsidR="00EB1E16">
        <w:rPr>
          <w:rFonts w:eastAsia="Calibri"/>
          <w:sz w:val="20"/>
          <w:szCs w:val="20"/>
          <w:lang w:val="es-US"/>
        </w:rPr>
        <w:t xml:space="preserve"> del derecho</w:t>
      </w:r>
      <w:r w:rsidR="00A411C6" w:rsidRPr="00407A7B">
        <w:rPr>
          <w:rFonts w:eastAsia="Calibri"/>
          <w:sz w:val="20"/>
          <w:szCs w:val="20"/>
          <w:lang w:val="es-US"/>
        </w:rPr>
        <w:t xml:space="preserve"> a la </w:t>
      </w:r>
      <w:r w:rsidR="00CA7CC0" w:rsidRPr="00407A7B">
        <w:rPr>
          <w:rFonts w:eastAsia="Calibri"/>
          <w:sz w:val="20"/>
          <w:szCs w:val="20"/>
          <w:lang w:val="es-US"/>
        </w:rPr>
        <w:t>información</w:t>
      </w:r>
      <w:r w:rsidR="00A411C6" w:rsidRPr="00407A7B">
        <w:rPr>
          <w:rFonts w:eastAsia="Calibri"/>
          <w:sz w:val="20"/>
          <w:szCs w:val="20"/>
          <w:lang w:val="es-US"/>
        </w:rPr>
        <w:t xml:space="preserve"> sobre la asistencia consular </w:t>
      </w:r>
      <w:r w:rsidR="00860CC1">
        <w:rPr>
          <w:rFonts w:eastAsia="Calibri"/>
          <w:sz w:val="20"/>
          <w:szCs w:val="20"/>
          <w:lang w:val="es-US"/>
        </w:rPr>
        <w:t>consagrado en los</w:t>
      </w:r>
      <w:r w:rsidR="00EB1E16">
        <w:rPr>
          <w:rFonts w:eastAsia="Calibri"/>
          <w:sz w:val="20"/>
          <w:szCs w:val="20"/>
          <w:lang w:val="es-US"/>
        </w:rPr>
        <w:t xml:space="preserve"> artículo</w:t>
      </w:r>
      <w:r w:rsidR="00860CC1">
        <w:rPr>
          <w:rFonts w:eastAsia="Calibri"/>
          <w:sz w:val="20"/>
          <w:szCs w:val="20"/>
          <w:lang w:val="es-US"/>
        </w:rPr>
        <w:t>s</w:t>
      </w:r>
      <w:r w:rsidR="00EB1E16">
        <w:rPr>
          <w:rFonts w:eastAsia="Calibri"/>
          <w:sz w:val="20"/>
          <w:szCs w:val="20"/>
          <w:lang w:val="es-US"/>
        </w:rPr>
        <w:t xml:space="preserve"> </w:t>
      </w:r>
      <w:r w:rsidR="00EB1E16" w:rsidRPr="00407A7B">
        <w:rPr>
          <w:rFonts w:eastAsia="Calibri"/>
          <w:sz w:val="20"/>
          <w:szCs w:val="20"/>
          <w:lang w:val="es-US"/>
        </w:rPr>
        <w:t>7.4</w:t>
      </w:r>
      <w:r w:rsidR="00A411C6" w:rsidRPr="00407A7B">
        <w:rPr>
          <w:rFonts w:eastAsia="Calibri"/>
          <w:sz w:val="20"/>
          <w:szCs w:val="20"/>
          <w:lang w:val="es-US"/>
        </w:rPr>
        <w:t xml:space="preserve"> </w:t>
      </w:r>
      <w:r w:rsidR="00860CC1">
        <w:rPr>
          <w:rFonts w:eastAsia="Calibri"/>
          <w:sz w:val="20"/>
          <w:szCs w:val="20"/>
          <w:lang w:val="es-US"/>
        </w:rPr>
        <w:t xml:space="preserve">y 8.2 </w:t>
      </w:r>
      <w:r w:rsidR="00A411C6" w:rsidRPr="00407A7B">
        <w:rPr>
          <w:rFonts w:eastAsia="Calibri"/>
          <w:sz w:val="20"/>
          <w:szCs w:val="20"/>
          <w:lang w:val="es-US"/>
        </w:rPr>
        <w:t xml:space="preserve">de la </w:t>
      </w:r>
      <w:r w:rsidR="00CA7CC0" w:rsidRPr="00407A7B">
        <w:rPr>
          <w:rFonts w:eastAsia="Calibri"/>
          <w:sz w:val="20"/>
          <w:szCs w:val="20"/>
          <w:lang w:val="es-US"/>
        </w:rPr>
        <w:t>Convención</w:t>
      </w:r>
      <w:r w:rsidR="00A411C6" w:rsidRPr="00407A7B">
        <w:rPr>
          <w:rFonts w:eastAsia="Calibri"/>
          <w:sz w:val="20"/>
          <w:szCs w:val="20"/>
          <w:lang w:val="es-US"/>
        </w:rPr>
        <w:t xml:space="preserve"> Americana sobre Derechos Humanos en </w:t>
      </w:r>
      <w:r w:rsidR="00CA7CC0" w:rsidRPr="00407A7B">
        <w:rPr>
          <w:rFonts w:eastAsia="Calibri"/>
          <w:sz w:val="20"/>
          <w:szCs w:val="20"/>
          <w:lang w:val="es-US"/>
        </w:rPr>
        <w:t>relación</w:t>
      </w:r>
      <w:r w:rsidR="00A411C6" w:rsidRPr="00407A7B">
        <w:rPr>
          <w:rFonts w:eastAsia="Calibri"/>
          <w:sz w:val="20"/>
          <w:szCs w:val="20"/>
          <w:lang w:val="es-US"/>
        </w:rPr>
        <w:t xml:space="preserve"> con el </w:t>
      </w:r>
      <w:r w:rsidR="00CA7CC0" w:rsidRPr="00407A7B">
        <w:rPr>
          <w:rFonts w:eastAsia="Calibri"/>
          <w:sz w:val="20"/>
          <w:szCs w:val="20"/>
          <w:lang w:val="es-US"/>
        </w:rPr>
        <w:t>artículo</w:t>
      </w:r>
      <w:r w:rsidR="00A411C6" w:rsidRPr="00407A7B">
        <w:rPr>
          <w:rFonts w:eastAsia="Calibri"/>
          <w:sz w:val="20"/>
          <w:szCs w:val="20"/>
          <w:lang w:val="es-US"/>
        </w:rPr>
        <w:t xml:space="preserve"> 1.1 del mismo instrumento. </w:t>
      </w:r>
    </w:p>
    <w:p w14:paraId="6EDD9643" w14:textId="77777777" w:rsidR="00A411C6" w:rsidRPr="00407A7B" w:rsidRDefault="00A411C6" w:rsidP="00A411C6">
      <w:pPr>
        <w:pStyle w:val="ListParagraph"/>
        <w:ind w:left="0"/>
        <w:jc w:val="both"/>
        <w:rPr>
          <w:sz w:val="20"/>
          <w:szCs w:val="20"/>
          <w:lang w:val="es-ES_tradnl"/>
        </w:rPr>
      </w:pPr>
    </w:p>
    <w:p w14:paraId="45DA80E6" w14:textId="77777777" w:rsidR="00A411C6" w:rsidRPr="00407A7B" w:rsidRDefault="00A411C6" w:rsidP="00A411C6">
      <w:pPr>
        <w:pStyle w:val="ListParagraph"/>
        <w:numPr>
          <w:ilvl w:val="0"/>
          <w:numId w:val="55"/>
        </w:numPr>
        <w:ind w:left="0" w:firstLine="0"/>
        <w:jc w:val="both"/>
        <w:rPr>
          <w:sz w:val="20"/>
          <w:szCs w:val="20"/>
          <w:lang w:val="es-ES_tradnl"/>
        </w:rPr>
      </w:pPr>
      <w:r w:rsidRPr="00407A7B">
        <w:rPr>
          <w:sz w:val="20"/>
          <w:szCs w:val="20"/>
          <w:lang w:val="es-ES_tradnl"/>
        </w:rPr>
        <w:t xml:space="preserve">Con fundamento en el análisis y las conclusiones del presente informe: </w:t>
      </w:r>
    </w:p>
    <w:p w14:paraId="6A8FDB6F" w14:textId="77777777" w:rsidR="00A411C6" w:rsidRPr="00407A7B" w:rsidRDefault="00A411C6" w:rsidP="00A411C6">
      <w:pPr>
        <w:pStyle w:val="ListParagraph"/>
        <w:jc w:val="both"/>
        <w:rPr>
          <w:sz w:val="20"/>
          <w:szCs w:val="20"/>
          <w:lang w:val="es-ES_tradnl"/>
        </w:rPr>
      </w:pPr>
    </w:p>
    <w:p w14:paraId="2BE21009" w14:textId="77777777" w:rsidR="00A411C6" w:rsidRPr="00407A7B" w:rsidRDefault="00A411C6" w:rsidP="00A411C6">
      <w:pPr>
        <w:ind w:left="851"/>
        <w:contextualSpacing/>
        <w:jc w:val="both"/>
        <w:rPr>
          <w:rFonts w:ascii="Cambria" w:eastAsia="Calibri" w:hAnsi="Cambria"/>
          <w:b/>
          <w:sz w:val="20"/>
          <w:szCs w:val="20"/>
          <w:lang w:val="es-ES_tradnl"/>
        </w:rPr>
      </w:pPr>
      <w:r w:rsidRPr="00407A7B">
        <w:rPr>
          <w:rFonts w:ascii="Cambria" w:eastAsia="Calibri" w:hAnsi="Cambria"/>
          <w:b/>
          <w:sz w:val="20"/>
          <w:szCs w:val="20"/>
          <w:lang w:val="es-ES_tradnl"/>
        </w:rPr>
        <w:t xml:space="preserve">LA COMISIÓN INTERAMERICANA DE DERECHOS HUMANOS RECOMIENDA AL ESTADO DE COSTA RICA  </w:t>
      </w:r>
    </w:p>
    <w:p w14:paraId="1A8DF387" w14:textId="77777777" w:rsidR="0090515E" w:rsidRPr="00407A7B" w:rsidRDefault="0090515E" w:rsidP="00A411C6">
      <w:pPr>
        <w:ind w:left="851"/>
        <w:contextualSpacing/>
        <w:jc w:val="both"/>
        <w:rPr>
          <w:rFonts w:ascii="Cambria" w:eastAsia="Calibri" w:hAnsi="Cambria"/>
          <w:sz w:val="20"/>
          <w:szCs w:val="20"/>
          <w:lang w:val="es-VE"/>
        </w:rPr>
      </w:pPr>
    </w:p>
    <w:p w14:paraId="52C435BE" w14:textId="77777777" w:rsidR="0090515E" w:rsidRPr="00407A7B" w:rsidRDefault="0090515E" w:rsidP="0097352B">
      <w:pPr>
        <w:pStyle w:val="BodyText3"/>
        <w:numPr>
          <w:ilvl w:val="0"/>
          <w:numId w:val="69"/>
        </w:numPr>
        <w:tabs>
          <w:tab w:val="clear" w:pos="1860"/>
        </w:tabs>
        <w:spacing w:after="0"/>
        <w:ind w:left="0" w:firstLine="0"/>
        <w:jc w:val="both"/>
        <w:rPr>
          <w:rFonts w:ascii="Cambria" w:hAnsi="Cambria"/>
          <w:sz w:val="20"/>
          <w:szCs w:val="20"/>
          <w:lang w:val="es-VE"/>
        </w:rPr>
      </w:pPr>
      <w:r w:rsidRPr="00407A7B">
        <w:rPr>
          <w:rFonts w:ascii="Cambria" w:hAnsi="Cambria"/>
          <w:sz w:val="20"/>
          <w:szCs w:val="20"/>
          <w:lang w:val="es-VE"/>
        </w:rPr>
        <w:t xml:space="preserve">Reparar integralmente las violaciones de derechos declaradas en el presente informe incluyendo el aspecto material e inmaterial. </w:t>
      </w:r>
    </w:p>
    <w:p w14:paraId="4C4EA09A" w14:textId="77777777" w:rsidR="00AD4E74" w:rsidRPr="006843AA" w:rsidRDefault="00AD4E74" w:rsidP="006843AA">
      <w:pPr>
        <w:rPr>
          <w:sz w:val="20"/>
          <w:szCs w:val="20"/>
          <w:lang w:val="es-VE"/>
        </w:rPr>
      </w:pPr>
    </w:p>
    <w:p w14:paraId="7F7400F8" w14:textId="77777777" w:rsidR="00AD4E74" w:rsidRPr="00407A7B" w:rsidRDefault="00AD4E74" w:rsidP="0097352B">
      <w:pPr>
        <w:pStyle w:val="BodyText3"/>
        <w:numPr>
          <w:ilvl w:val="0"/>
          <w:numId w:val="69"/>
        </w:numPr>
        <w:tabs>
          <w:tab w:val="clear" w:pos="1860"/>
        </w:tabs>
        <w:spacing w:after="0"/>
        <w:ind w:left="0" w:firstLine="0"/>
        <w:jc w:val="both"/>
        <w:rPr>
          <w:rFonts w:ascii="Cambria" w:hAnsi="Cambria"/>
          <w:sz w:val="20"/>
          <w:szCs w:val="20"/>
          <w:lang w:val="es-VE"/>
        </w:rPr>
      </w:pPr>
      <w:r w:rsidRPr="00407A7B">
        <w:rPr>
          <w:rFonts w:ascii="Cambria" w:hAnsi="Cambria"/>
          <w:sz w:val="20"/>
          <w:szCs w:val="20"/>
          <w:lang w:val="es-VE"/>
        </w:rPr>
        <w:t xml:space="preserve">Adoptar como medida de no </w:t>
      </w:r>
      <w:r w:rsidR="00CA7CC0" w:rsidRPr="00407A7B">
        <w:rPr>
          <w:rFonts w:ascii="Cambria" w:hAnsi="Cambria"/>
          <w:sz w:val="20"/>
          <w:szCs w:val="20"/>
          <w:lang w:val="es-VE"/>
        </w:rPr>
        <w:t>repetición</w:t>
      </w:r>
      <w:r w:rsidRPr="00407A7B">
        <w:rPr>
          <w:rFonts w:ascii="Cambria" w:hAnsi="Cambria"/>
          <w:sz w:val="20"/>
          <w:szCs w:val="20"/>
          <w:lang w:val="es-VE"/>
        </w:rPr>
        <w:t xml:space="preserve"> los mecanismos legales y administrativos necesarios para garantizar el derecho de los extranjeros arrestado</w:t>
      </w:r>
      <w:r w:rsidR="00272388" w:rsidRPr="00407A7B">
        <w:rPr>
          <w:rFonts w:ascii="Cambria" w:hAnsi="Cambria"/>
          <w:sz w:val="20"/>
          <w:szCs w:val="20"/>
          <w:lang w:val="es-VE"/>
        </w:rPr>
        <w:t>s</w:t>
      </w:r>
      <w:r w:rsidRPr="00407A7B">
        <w:rPr>
          <w:rFonts w:ascii="Cambria" w:hAnsi="Cambria"/>
          <w:sz w:val="20"/>
          <w:szCs w:val="20"/>
          <w:lang w:val="es-VE"/>
        </w:rPr>
        <w:t xml:space="preserve"> en el territorio costarricense a contar con la </w:t>
      </w:r>
      <w:r w:rsidR="00CA7CC0" w:rsidRPr="00407A7B">
        <w:rPr>
          <w:rFonts w:ascii="Cambria" w:hAnsi="Cambria"/>
          <w:sz w:val="20"/>
          <w:szCs w:val="20"/>
          <w:lang w:val="es-VE"/>
        </w:rPr>
        <w:t>información</w:t>
      </w:r>
      <w:r w:rsidRPr="00407A7B">
        <w:rPr>
          <w:rFonts w:ascii="Cambria" w:hAnsi="Cambria"/>
          <w:sz w:val="20"/>
          <w:szCs w:val="20"/>
          <w:lang w:val="es-VE"/>
        </w:rPr>
        <w:t xml:space="preserve"> sobre la </w:t>
      </w:r>
      <w:r w:rsidR="00CA7CC0" w:rsidRPr="00407A7B">
        <w:rPr>
          <w:rFonts w:ascii="Cambria" w:hAnsi="Cambria"/>
          <w:sz w:val="20"/>
          <w:szCs w:val="20"/>
          <w:lang w:val="es-VE"/>
        </w:rPr>
        <w:t>asistencia</w:t>
      </w:r>
      <w:r w:rsidRPr="00407A7B">
        <w:rPr>
          <w:rFonts w:ascii="Cambria" w:hAnsi="Cambria"/>
          <w:sz w:val="20"/>
          <w:szCs w:val="20"/>
          <w:lang w:val="es-VE"/>
        </w:rPr>
        <w:t xml:space="preserve"> consular. Asimismo, </w:t>
      </w:r>
      <w:r w:rsidR="00F744E8" w:rsidRPr="00407A7B">
        <w:rPr>
          <w:rFonts w:ascii="Cambria" w:hAnsi="Cambria"/>
          <w:sz w:val="20"/>
          <w:szCs w:val="20"/>
          <w:lang w:val="es-VE"/>
        </w:rPr>
        <w:t>implementar un</w:t>
      </w:r>
      <w:r w:rsidRPr="00407A7B">
        <w:rPr>
          <w:rFonts w:ascii="Cambria" w:hAnsi="Cambria"/>
          <w:sz w:val="20"/>
          <w:szCs w:val="20"/>
          <w:lang w:val="es-VE"/>
        </w:rPr>
        <w:t xml:space="preserve"> programa de </w:t>
      </w:r>
      <w:r w:rsidR="00CA7CC0" w:rsidRPr="00407A7B">
        <w:rPr>
          <w:rFonts w:ascii="Cambria" w:hAnsi="Cambria"/>
          <w:sz w:val="20"/>
          <w:szCs w:val="20"/>
          <w:lang w:val="es-VE"/>
        </w:rPr>
        <w:t>capacitación</w:t>
      </w:r>
      <w:r w:rsidRPr="00407A7B">
        <w:rPr>
          <w:rFonts w:ascii="Cambria" w:hAnsi="Cambria"/>
          <w:sz w:val="20"/>
          <w:szCs w:val="20"/>
          <w:lang w:val="es-VE"/>
        </w:rPr>
        <w:t xml:space="preserve"> d</w:t>
      </w:r>
      <w:r w:rsidR="00F744E8" w:rsidRPr="00407A7B">
        <w:rPr>
          <w:rFonts w:ascii="Cambria" w:hAnsi="Cambria"/>
          <w:sz w:val="20"/>
          <w:szCs w:val="20"/>
          <w:lang w:val="es-VE"/>
        </w:rPr>
        <w:t>irigido a</w:t>
      </w:r>
      <w:r w:rsidRPr="00407A7B">
        <w:rPr>
          <w:rFonts w:ascii="Cambria" w:hAnsi="Cambria"/>
          <w:sz w:val="20"/>
          <w:szCs w:val="20"/>
          <w:lang w:val="es-VE"/>
        </w:rPr>
        <w:t xml:space="preserve"> </w:t>
      </w:r>
      <w:r w:rsidR="00F744E8" w:rsidRPr="00407A7B">
        <w:rPr>
          <w:rFonts w:ascii="Cambria" w:hAnsi="Cambria"/>
          <w:sz w:val="20"/>
          <w:szCs w:val="20"/>
          <w:lang w:val="es-VE"/>
        </w:rPr>
        <w:t>funcionarios</w:t>
      </w:r>
      <w:r w:rsidRPr="00407A7B">
        <w:rPr>
          <w:rFonts w:ascii="Cambria" w:hAnsi="Cambria"/>
          <w:sz w:val="20"/>
          <w:szCs w:val="20"/>
          <w:lang w:val="es-VE"/>
        </w:rPr>
        <w:t xml:space="preserve"> judiciales, del ministerio </w:t>
      </w:r>
      <w:r w:rsidR="00CA7CC0" w:rsidRPr="00407A7B">
        <w:rPr>
          <w:rFonts w:ascii="Cambria" w:hAnsi="Cambria"/>
          <w:sz w:val="20"/>
          <w:szCs w:val="20"/>
          <w:lang w:val="es-VE"/>
        </w:rPr>
        <w:t>público</w:t>
      </w:r>
      <w:r w:rsidRPr="00407A7B">
        <w:rPr>
          <w:rFonts w:ascii="Cambria" w:hAnsi="Cambria"/>
          <w:sz w:val="20"/>
          <w:szCs w:val="20"/>
          <w:lang w:val="es-VE"/>
        </w:rPr>
        <w:t xml:space="preserve"> y de los </w:t>
      </w:r>
      <w:r w:rsidR="00CA7CC0" w:rsidRPr="00407A7B">
        <w:rPr>
          <w:rFonts w:ascii="Cambria" w:hAnsi="Cambria"/>
          <w:sz w:val="20"/>
          <w:szCs w:val="20"/>
          <w:lang w:val="es-VE"/>
        </w:rPr>
        <w:t>órganos</w:t>
      </w:r>
      <w:r w:rsidRPr="00407A7B">
        <w:rPr>
          <w:rFonts w:ascii="Cambria" w:hAnsi="Cambria"/>
          <w:sz w:val="20"/>
          <w:szCs w:val="20"/>
          <w:lang w:val="es-VE"/>
        </w:rPr>
        <w:t xml:space="preserve"> de </w:t>
      </w:r>
      <w:r w:rsidR="00CA7CC0" w:rsidRPr="00407A7B">
        <w:rPr>
          <w:rFonts w:ascii="Cambria" w:hAnsi="Cambria"/>
          <w:sz w:val="20"/>
          <w:szCs w:val="20"/>
          <w:lang w:val="es-VE"/>
        </w:rPr>
        <w:t>investigación</w:t>
      </w:r>
      <w:r w:rsidRPr="00407A7B">
        <w:rPr>
          <w:rFonts w:ascii="Cambria" w:hAnsi="Cambria"/>
          <w:sz w:val="20"/>
          <w:szCs w:val="20"/>
          <w:lang w:val="es-VE"/>
        </w:rPr>
        <w:t xml:space="preserve"> penal</w:t>
      </w:r>
      <w:r w:rsidR="00272388" w:rsidRPr="00407A7B">
        <w:rPr>
          <w:rFonts w:ascii="Cambria" w:hAnsi="Cambria"/>
          <w:sz w:val="20"/>
          <w:szCs w:val="20"/>
          <w:lang w:val="es-VE"/>
        </w:rPr>
        <w:t xml:space="preserve"> </w:t>
      </w:r>
      <w:r w:rsidR="003D45A7" w:rsidRPr="00407A7B">
        <w:rPr>
          <w:rFonts w:ascii="Cambria" w:hAnsi="Cambria"/>
          <w:sz w:val="20"/>
          <w:szCs w:val="20"/>
          <w:lang w:val="es-VE"/>
        </w:rPr>
        <w:t xml:space="preserve">que permita difundir </w:t>
      </w:r>
      <w:r w:rsidR="00272388" w:rsidRPr="00407A7B">
        <w:rPr>
          <w:rFonts w:ascii="Cambria" w:hAnsi="Cambria"/>
          <w:sz w:val="20"/>
          <w:szCs w:val="20"/>
          <w:lang w:val="es-VE"/>
        </w:rPr>
        <w:t xml:space="preserve">los </w:t>
      </w:r>
      <w:r w:rsidR="00CA7CC0" w:rsidRPr="00407A7B">
        <w:rPr>
          <w:rFonts w:ascii="Cambria" w:hAnsi="Cambria"/>
          <w:sz w:val="20"/>
          <w:szCs w:val="20"/>
          <w:lang w:val="es-VE"/>
        </w:rPr>
        <w:t>estándares</w:t>
      </w:r>
      <w:r w:rsidR="00272388" w:rsidRPr="00407A7B">
        <w:rPr>
          <w:rFonts w:ascii="Cambria" w:hAnsi="Cambria"/>
          <w:sz w:val="20"/>
          <w:szCs w:val="20"/>
          <w:lang w:val="es-VE"/>
        </w:rPr>
        <w:t xml:space="preserve"> interamericanos sobre </w:t>
      </w:r>
      <w:r w:rsidR="003D45A7" w:rsidRPr="00407A7B">
        <w:rPr>
          <w:rFonts w:ascii="Cambria" w:hAnsi="Cambria"/>
          <w:sz w:val="20"/>
          <w:szCs w:val="20"/>
          <w:lang w:val="es-VE"/>
        </w:rPr>
        <w:t xml:space="preserve">el derecho a la asistencia consular. </w:t>
      </w:r>
    </w:p>
    <w:p w14:paraId="20561FCF" w14:textId="77777777" w:rsidR="003562AB" w:rsidRPr="00F6033E" w:rsidRDefault="003562AB" w:rsidP="0090515E">
      <w:pPr>
        <w:pStyle w:val="ListParagraph"/>
        <w:rPr>
          <w:sz w:val="20"/>
          <w:szCs w:val="20"/>
          <w:lang w:val="es-VE"/>
        </w:rPr>
      </w:pPr>
    </w:p>
    <w:p w14:paraId="230F0977" w14:textId="77777777" w:rsidR="003562AB" w:rsidRPr="003562AB" w:rsidRDefault="003562AB" w:rsidP="003562AB">
      <w:pPr>
        <w:suppressAutoHyphens/>
        <w:ind w:firstLine="567"/>
        <w:jc w:val="both"/>
        <w:rPr>
          <w:rFonts w:asciiTheme="majorHAnsi" w:eastAsia="Arial Unicode MS" w:hAnsiTheme="majorHAnsi"/>
          <w:sz w:val="20"/>
          <w:szCs w:val="20"/>
          <w:lang w:val="es-AR" w:eastAsia="en-GB"/>
        </w:rPr>
      </w:pPr>
      <w:r w:rsidRPr="003562AB">
        <w:rPr>
          <w:rFonts w:asciiTheme="majorHAnsi" w:eastAsia="Arial Unicode MS" w:hAnsiTheme="majorHAnsi"/>
          <w:sz w:val="20"/>
          <w:szCs w:val="20"/>
          <w:lang w:val="es-AR" w:eastAsia="en-GB"/>
        </w:rPr>
        <w:t>Aprobado por la Comisión Interame</w:t>
      </w:r>
      <w:r w:rsidR="00FD1ABD">
        <w:rPr>
          <w:rFonts w:asciiTheme="majorHAnsi" w:eastAsia="Arial Unicode MS" w:hAnsiTheme="majorHAnsi"/>
          <w:sz w:val="20"/>
          <w:szCs w:val="20"/>
          <w:lang w:val="es-AR" w:eastAsia="en-GB"/>
        </w:rPr>
        <w:t>ricana de Derechos Humanos el 15 de diciembre</w:t>
      </w:r>
      <w:r w:rsidRPr="003562AB">
        <w:rPr>
          <w:rFonts w:asciiTheme="majorHAnsi" w:eastAsia="Arial Unicode MS" w:hAnsiTheme="majorHAnsi"/>
          <w:sz w:val="20"/>
          <w:szCs w:val="20"/>
          <w:lang w:val="es-AR" w:eastAsia="en-GB"/>
        </w:rPr>
        <w:t xml:space="preserve"> de 2020. (Firmado) Joel Hernandez, Presidente; Antonia Urrejola, Primera Vicepresidenta; Flávia Piovesan, Segunda Vicepresidenta; Margarette May Macaulay; Esmeralda Arosemena de Troitiño, Edgar Stuardo Ralón Orellana y Julissa Mantilla Falcón, Miembros de la CIDH. </w:t>
      </w:r>
    </w:p>
    <w:p w14:paraId="12EAD5BA" w14:textId="77777777" w:rsidR="003562AB" w:rsidRPr="003562AB" w:rsidRDefault="003562AB" w:rsidP="003562AB">
      <w:pPr>
        <w:suppressAutoHyphens/>
        <w:jc w:val="both"/>
        <w:rPr>
          <w:rFonts w:asciiTheme="majorHAnsi" w:eastAsia="Arial Unicode MS" w:hAnsiTheme="majorHAnsi"/>
          <w:sz w:val="20"/>
          <w:szCs w:val="20"/>
          <w:lang w:val="es-AR" w:eastAsia="en-GB"/>
        </w:rPr>
      </w:pPr>
    </w:p>
    <w:p w14:paraId="5615FC96" w14:textId="77777777" w:rsidR="003562AB" w:rsidRPr="003562AB" w:rsidRDefault="003562AB" w:rsidP="003562AB">
      <w:pPr>
        <w:ind w:firstLine="720"/>
        <w:jc w:val="both"/>
        <w:rPr>
          <w:rFonts w:ascii="Cambria" w:eastAsia="Arial Unicode MS" w:hAnsi="Cambria"/>
          <w:sz w:val="20"/>
          <w:szCs w:val="20"/>
          <w:lang w:val="es-CL" w:eastAsia="en-GB"/>
        </w:rPr>
      </w:pPr>
      <w:r w:rsidRPr="003562AB">
        <w:rPr>
          <w:rFonts w:ascii="Cambria" w:eastAsia="Arial Unicode MS" w:hAnsi="Cambria"/>
          <w:sz w:val="20"/>
          <w:szCs w:val="20"/>
          <w:lang w:val="es-CL" w:eastAsia="en-GB"/>
        </w:rPr>
        <w:t xml:space="preserve">La que suscribe, </w:t>
      </w:r>
      <w:r w:rsidRPr="003562AB">
        <w:rPr>
          <w:rFonts w:ascii="Cambria" w:eastAsia="Arial Unicode MS" w:hAnsi="Cambria" w:cs="Arial"/>
          <w:sz w:val="20"/>
          <w:szCs w:val="20"/>
          <w:lang w:val="es-PE" w:eastAsia="en-GB"/>
        </w:rPr>
        <w:t>Marisol Blanchard</w:t>
      </w:r>
      <w:r w:rsidRPr="003562AB">
        <w:rPr>
          <w:rFonts w:ascii="Cambria" w:eastAsia="Arial Unicode MS" w:hAnsi="Cambria"/>
          <w:sz w:val="20"/>
          <w:szCs w:val="20"/>
          <w:lang w:val="es-CL" w:eastAsia="en-GB"/>
        </w:rPr>
        <w:t>, Secretaria Ejecutiva Adjunta, de conformidad con el artículo 49 del Reglamento de la Comisión, certifica que es copia fiel del original depositado en los archivos de la Secretaría de la CIDH.</w:t>
      </w:r>
    </w:p>
    <w:p w14:paraId="2487F34A" w14:textId="77777777" w:rsidR="003562AB" w:rsidRPr="003562AB" w:rsidRDefault="003562AB" w:rsidP="003562AB">
      <w:pPr>
        <w:jc w:val="center"/>
        <w:rPr>
          <w:rFonts w:ascii="Cambria" w:eastAsia="Arial Unicode MS" w:hAnsi="Cambria"/>
          <w:sz w:val="16"/>
          <w:szCs w:val="16"/>
          <w:lang w:val="en-GB" w:eastAsia="en-GB"/>
        </w:rPr>
      </w:pPr>
    </w:p>
    <w:p w14:paraId="0E8D2DD6" w14:textId="77777777" w:rsidR="003562AB" w:rsidRPr="003562AB" w:rsidRDefault="003562AB" w:rsidP="003562AB">
      <w:pPr>
        <w:tabs>
          <w:tab w:val="left" w:pos="-720"/>
        </w:tabs>
        <w:jc w:val="center"/>
        <w:rPr>
          <w:rFonts w:ascii="Cambria" w:eastAsia="Arial Unicode MS" w:hAnsi="Cambria" w:cs="Arial"/>
          <w:sz w:val="20"/>
          <w:szCs w:val="20"/>
          <w:lang w:val="es-US" w:eastAsia="en-GB"/>
        </w:rPr>
      </w:pPr>
      <w:r w:rsidRPr="003562AB">
        <w:rPr>
          <w:rFonts w:ascii="Cambria" w:eastAsia="Arial Unicode MS" w:hAnsi="Cambria" w:cs="Arial"/>
          <w:sz w:val="20"/>
          <w:szCs w:val="20"/>
          <w:lang w:val="es-US" w:eastAsia="en-GB"/>
        </w:rPr>
        <w:t>Marisol Blanchard</w:t>
      </w:r>
    </w:p>
    <w:p w14:paraId="592416F3" w14:textId="77777777" w:rsidR="003562AB" w:rsidRPr="003562AB" w:rsidRDefault="003562AB" w:rsidP="003562AB">
      <w:pPr>
        <w:tabs>
          <w:tab w:val="left" w:pos="-720"/>
          <w:tab w:val="left" w:pos="5760"/>
        </w:tabs>
        <w:jc w:val="center"/>
        <w:rPr>
          <w:rFonts w:ascii="Calibri Light" w:eastAsia="Arial Unicode MS" w:hAnsi="Calibri Light"/>
          <w:sz w:val="20"/>
          <w:szCs w:val="20"/>
          <w:lang w:val="es-ES_tradnl" w:eastAsia="en-GB"/>
        </w:rPr>
      </w:pPr>
      <w:r w:rsidRPr="003562AB">
        <w:rPr>
          <w:rFonts w:ascii="Cambria" w:eastAsia="Arial Unicode MS" w:hAnsi="Cambria" w:cs="Arial"/>
          <w:sz w:val="20"/>
          <w:szCs w:val="20"/>
          <w:lang w:val="es-US" w:eastAsia="en-GB"/>
        </w:rPr>
        <w:t>Secretaria Ejecutiva Adjunta</w:t>
      </w:r>
    </w:p>
    <w:sectPr w:rsidR="003562AB" w:rsidRPr="003562A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4EFA" w14:textId="77777777" w:rsidR="00D42427" w:rsidRDefault="00D42427">
      <w:r>
        <w:separator/>
      </w:r>
    </w:p>
  </w:endnote>
  <w:endnote w:type="continuationSeparator" w:id="0">
    <w:p w14:paraId="4A1EBFCC" w14:textId="77777777" w:rsidR="00D42427" w:rsidRDefault="00D4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31411008" w14:textId="77777777" w:rsidR="00D42427" w:rsidRPr="00934A2C" w:rsidRDefault="00D4242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60CC1">
          <w:rPr>
            <w:noProof/>
            <w:sz w:val="16"/>
            <w:szCs w:val="22"/>
          </w:rPr>
          <w:t>30</w:t>
        </w:r>
        <w:r w:rsidRPr="00934A2C">
          <w:rPr>
            <w:noProof/>
            <w:sz w:val="16"/>
            <w:szCs w:val="22"/>
          </w:rPr>
          <w:fldChar w:fldCharType="end"/>
        </w:r>
      </w:p>
    </w:sdtContent>
  </w:sdt>
  <w:p w14:paraId="2810DF12" w14:textId="77777777" w:rsidR="00D42427" w:rsidRDefault="00D42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B474" w14:textId="77777777" w:rsidR="00D42427" w:rsidRPr="00934A2C" w:rsidRDefault="00D42427">
    <w:pPr>
      <w:pStyle w:val="Footer"/>
      <w:jc w:val="center"/>
      <w:rPr>
        <w:sz w:val="16"/>
        <w:szCs w:val="22"/>
      </w:rPr>
    </w:pPr>
  </w:p>
  <w:p w14:paraId="16A1799F" w14:textId="77777777" w:rsidR="00D42427" w:rsidRDefault="00D42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0110" w14:textId="77777777" w:rsidR="00D42427" w:rsidRPr="000F35ED" w:rsidRDefault="00D4242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56A1BAE" w14:textId="77777777" w:rsidR="00D42427" w:rsidRPr="000F35ED" w:rsidRDefault="00D42427" w:rsidP="000F35ED">
      <w:pPr>
        <w:rPr>
          <w:rFonts w:asciiTheme="majorHAnsi" w:hAnsiTheme="majorHAnsi"/>
          <w:sz w:val="16"/>
          <w:szCs w:val="16"/>
        </w:rPr>
      </w:pPr>
      <w:r w:rsidRPr="000F35ED">
        <w:rPr>
          <w:rFonts w:asciiTheme="majorHAnsi" w:hAnsiTheme="majorHAnsi"/>
          <w:sz w:val="16"/>
          <w:szCs w:val="16"/>
        </w:rPr>
        <w:separator/>
      </w:r>
    </w:p>
    <w:p w14:paraId="22B48DAC" w14:textId="77777777" w:rsidR="00D42427" w:rsidRPr="000F35ED" w:rsidRDefault="00D4242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F02C1C2" w14:textId="77777777" w:rsidR="00D42427" w:rsidRPr="000F35ED" w:rsidRDefault="00D4242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B7E48AD" w14:textId="77777777" w:rsidR="00D42427" w:rsidRPr="00C03649" w:rsidRDefault="00D42427" w:rsidP="00D56213">
      <w:pPr>
        <w:jc w:val="both"/>
        <w:rPr>
          <w:rFonts w:asciiTheme="majorHAnsi" w:hAnsiTheme="majorHAnsi"/>
          <w:iCs/>
          <w:sz w:val="16"/>
          <w:szCs w:val="16"/>
          <w:lang w:val="es-ES"/>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CIDH, Informe Nº 15/15, Admisibilidad. Petición 374-05. Trabajadores del Sindicato de Trabajadores de la Federación Nacional de Cafeteros de Colombia</w:t>
      </w:r>
      <w:r w:rsidRPr="00C03649">
        <w:rPr>
          <w:rFonts w:asciiTheme="majorHAnsi" w:hAnsiTheme="majorHAnsi"/>
          <w:iCs/>
          <w:sz w:val="16"/>
          <w:szCs w:val="16"/>
          <w:lang w:val="es-ES"/>
        </w:rPr>
        <w:t xml:space="preserve">. Colombia. 24 de marzo de 2015, párr. 39. Asimismo, véase: </w:t>
      </w:r>
      <w:r w:rsidRPr="00C03649">
        <w:rPr>
          <w:rFonts w:asciiTheme="majorHAnsi" w:hAnsiTheme="majorHAnsi"/>
          <w:color w:val="000000"/>
          <w:sz w:val="16"/>
          <w:szCs w:val="16"/>
          <w:lang w:val="es-ES"/>
        </w:rPr>
        <w:t xml:space="preserve">Corte IDH. </w:t>
      </w:r>
      <w:r w:rsidRPr="00C03649">
        <w:rPr>
          <w:rFonts w:asciiTheme="majorHAnsi" w:hAnsiTheme="majorHAnsi"/>
          <w:i/>
          <w:iCs/>
          <w:sz w:val="16"/>
          <w:szCs w:val="16"/>
          <w:lang w:val="es-ES"/>
        </w:rPr>
        <w:t>Caso Wong Ho Wing Vs. Perú</w:t>
      </w:r>
      <w:r w:rsidRPr="00C03649">
        <w:rPr>
          <w:rFonts w:asciiTheme="majorHAnsi" w:hAnsiTheme="majorHAnsi"/>
          <w:iCs/>
          <w:sz w:val="16"/>
          <w:szCs w:val="16"/>
          <w:lang w:val="es-ES"/>
        </w:rPr>
        <w:t>. Excepción Preliminar, Fondo, Reparaciones y Costas. Sentencia de 30 de junio de 2015. Serie C No. 297, párr. 25.</w:t>
      </w:r>
    </w:p>
  </w:footnote>
  <w:footnote w:id="3">
    <w:p w14:paraId="26B6E95E" w14:textId="77777777" w:rsidR="00D42427" w:rsidRPr="009E1E3D" w:rsidRDefault="00D42427" w:rsidP="00D56213">
      <w:pPr>
        <w:pStyle w:val="FootnoteText"/>
        <w:jc w:val="both"/>
        <w:rPr>
          <w:rFonts w:asciiTheme="majorHAnsi" w:hAnsiTheme="majorHAnsi"/>
          <w:sz w:val="16"/>
          <w:szCs w:val="16"/>
          <w:lang w:val="es-ES"/>
        </w:rPr>
      </w:pPr>
      <w:r w:rsidRPr="009E1E3D">
        <w:rPr>
          <w:rStyle w:val="FootnoteReference"/>
          <w:rFonts w:asciiTheme="majorHAnsi" w:hAnsiTheme="majorHAnsi"/>
          <w:sz w:val="16"/>
          <w:szCs w:val="16"/>
          <w:lang w:val="es-ES"/>
        </w:rPr>
        <w:footnoteRef/>
      </w:r>
      <w:r w:rsidRPr="009E1E3D">
        <w:rPr>
          <w:rFonts w:asciiTheme="majorHAnsi" w:hAnsiTheme="majorHAnsi"/>
          <w:sz w:val="16"/>
          <w:szCs w:val="16"/>
          <w:lang w:val="es-ES"/>
        </w:rPr>
        <w:t xml:space="preserve"> ANEXO 1. Recurso de Casación interpuesto por los abogados de Thomas Scot Cochran de fecha 6 de septiembre de 2004. Anexo a la comunicación de la parte peticionaria de fecha 18 de julio de 2006. </w:t>
      </w:r>
    </w:p>
  </w:footnote>
  <w:footnote w:id="4">
    <w:p w14:paraId="522390CA" w14:textId="77777777" w:rsidR="00D42427" w:rsidRPr="009E1E3D" w:rsidRDefault="00D42427" w:rsidP="00D56213">
      <w:pPr>
        <w:pStyle w:val="FootnoteText"/>
        <w:jc w:val="both"/>
        <w:rPr>
          <w:rFonts w:asciiTheme="majorHAnsi" w:hAnsiTheme="majorHAnsi"/>
          <w:sz w:val="16"/>
          <w:szCs w:val="16"/>
          <w:lang w:val="es-ES"/>
        </w:rPr>
      </w:pPr>
      <w:r w:rsidRPr="009E1E3D">
        <w:rPr>
          <w:rStyle w:val="FootnoteReference"/>
          <w:rFonts w:asciiTheme="majorHAnsi" w:hAnsiTheme="majorHAnsi"/>
          <w:sz w:val="16"/>
          <w:szCs w:val="16"/>
          <w:lang w:val="es-ES"/>
        </w:rPr>
        <w:footnoteRef/>
      </w:r>
      <w:r w:rsidRPr="009E1E3D">
        <w:rPr>
          <w:rFonts w:asciiTheme="majorHAnsi" w:hAnsiTheme="majorHAnsi"/>
          <w:sz w:val="16"/>
          <w:szCs w:val="16"/>
          <w:lang w:val="es-ES"/>
        </w:rPr>
        <w:t xml:space="preserve"> ANEXO 2. Sentencia de la Sala Tercera de la Corte Suprema de Justicia de fecha 28 de febrero de 2005. Anexo a la comunicación de la parte peticionaria de fecha 18 de julio de 2006</w:t>
      </w:r>
    </w:p>
  </w:footnote>
  <w:footnote w:id="5">
    <w:p w14:paraId="397686D3" w14:textId="77777777" w:rsidR="00D42427" w:rsidRPr="009E1E3D" w:rsidRDefault="00D42427" w:rsidP="00D56213">
      <w:pPr>
        <w:pStyle w:val="FootnoteText"/>
        <w:jc w:val="both"/>
        <w:rPr>
          <w:rFonts w:asciiTheme="majorHAnsi" w:hAnsiTheme="majorHAnsi"/>
          <w:sz w:val="16"/>
          <w:szCs w:val="16"/>
          <w:lang w:val="es-ES"/>
        </w:rPr>
      </w:pPr>
      <w:r w:rsidRPr="009E1E3D">
        <w:rPr>
          <w:rStyle w:val="FootnoteReference"/>
          <w:rFonts w:asciiTheme="majorHAnsi" w:hAnsiTheme="majorHAnsi"/>
          <w:sz w:val="16"/>
          <w:szCs w:val="16"/>
          <w:lang w:val="es-ES"/>
        </w:rPr>
        <w:footnoteRef/>
      </w:r>
      <w:r w:rsidRPr="009E1E3D">
        <w:rPr>
          <w:rFonts w:asciiTheme="majorHAnsi" w:hAnsiTheme="majorHAnsi"/>
          <w:sz w:val="16"/>
          <w:szCs w:val="16"/>
          <w:lang w:val="es-ES"/>
        </w:rPr>
        <w:t xml:space="preserve"> ANEXO 3. Resolución de la Sala Tercera de la Corte Suprema de Justicia de fecha 12 de diciembre de 2007. Anexo a la comunicación del Estado costarricense de fecha 5 de junio de 2017. </w:t>
      </w:r>
    </w:p>
  </w:footnote>
  <w:footnote w:id="6">
    <w:p w14:paraId="131F26A5" w14:textId="77777777" w:rsidR="00D42427" w:rsidRPr="009E1E3D" w:rsidRDefault="00D42427" w:rsidP="00D56213">
      <w:pPr>
        <w:pStyle w:val="FootnoteText"/>
        <w:jc w:val="both"/>
        <w:rPr>
          <w:rFonts w:asciiTheme="majorHAnsi" w:hAnsiTheme="majorHAnsi"/>
          <w:sz w:val="16"/>
          <w:szCs w:val="16"/>
          <w:lang w:val="es-ES"/>
        </w:rPr>
      </w:pPr>
      <w:r w:rsidRPr="009E1E3D">
        <w:rPr>
          <w:rStyle w:val="FootnoteReference"/>
          <w:rFonts w:asciiTheme="majorHAnsi" w:hAnsiTheme="majorHAnsi"/>
          <w:sz w:val="16"/>
          <w:szCs w:val="16"/>
          <w:lang w:val="es-ES"/>
        </w:rPr>
        <w:footnoteRef/>
      </w:r>
      <w:r w:rsidRPr="009E1E3D">
        <w:rPr>
          <w:rFonts w:asciiTheme="majorHAnsi" w:hAnsiTheme="majorHAnsi"/>
          <w:sz w:val="16"/>
          <w:szCs w:val="16"/>
          <w:lang w:val="es-ES"/>
        </w:rPr>
        <w:t xml:space="preserve"> ANEXO 4. Resolución de la Sala Tercera de la Corte Suprema de Justicia de fecha 15 de febrero de 2013, Anexo a la comunicación de la parte peticionaria de fecha 4 de agosto de 2015. </w:t>
      </w:r>
    </w:p>
  </w:footnote>
  <w:footnote w:id="7">
    <w:p w14:paraId="2D1A4130" w14:textId="77777777" w:rsidR="00D42427" w:rsidRPr="009E1E3D" w:rsidRDefault="00D42427" w:rsidP="00D56213">
      <w:pPr>
        <w:pStyle w:val="FootnoteText"/>
        <w:jc w:val="both"/>
        <w:rPr>
          <w:rFonts w:asciiTheme="majorHAnsi" w:hAnsiTheme="majorHAnsi"/>
          <w:sz w:val="16"/>
          <w:szCs w:val="16"/>
          <w:lang w:val="es-ES"/>
        </w:rPr>
      </w:pPr>
      <w:r w:rsidRPr="009E1E3D">
        <w:rPr>
          <w:rStyle w:val="FootnoteReference"/>
          <w:rFonts w:asciiTheme="majorHAnsi" w:hAnsiTheme="majorHAnsi"/>
          <w:sz w:val="16"/>
          <w:szCs w:val="16"/>
          <w:lang w:val="es-ES"/>
        </w:rPr>
        <w:footnoteRef/>
      </w:r>
      <w:r w:rsidRPr="009E1E3D">
        <w:rPr>
          <w:rFonts w:asciiTheme="majorHAnsi" w:hAnsiTheme="majorHAnsi"/>
          <w:sz w:val="16"/>
          <w:szCs w:val="16"/>
          <w:lang w:val="es-ES"/>
        </w:rPr>
        <w:t xml:space="preserve"> CIDH, Informe No. 58/18. Admisibilidad. Rómulo Rubén Palma Rodríguez. Perú. 5 de mayo de 2018, párr. 15; CIDH, Informe No. 156/17. Admisibilidad. Carlos Alfonso Fonseca Murillo. Ecuador. 30 de noviembre de 2017, párr. 17. </w:t>
      </w:r>
    </w:p>
  </w:footnote>
  <w:footnote w:id="8">
    <w:p w14:paraId="63439F95" w14:textId="77777777" w:rsidR="00D42427" w:rsidRPr="00C03649" w:rsidRDefault="00D42427" w:rsidP="00D56213">
      <w:pPr>
        <w:pStyle w:val="FootnoteText"/>
        <w:jc w:val="both"/>
        <w:rPr>
          <w:rFonts w:asciiTheme="majorHAnsi" w:hAnsiTheme="majorHAnsi"/>
          <w:sz w:val="16"/>
          <w:szCs w:val="16"/>
          <w:lang w:val="es-AR"/>
        </w:rPr>
      </w:pPr>
      <w:r w:rsidRPr="009E1E3D">
        <w:rPr>
          <w:rStyle w:val="FootnoteReference"/>
          <w:rFonts w:asciiTheme="majorHAnsi" w:hAnsiTheme="majorHAnsi"/>
          <w:sz w:val="16"/>
          <w:szCs w:val="16"/>
        </w:rPr>
        <w:footnoteRef/>
      </w:r>
      <w:r w:rsidRPr="009E1E3D">
        <w:rPr>
          <w:rFonts w:asciiTheme="majorHAnsi" w:hAnsiTheme="majorHAnsi"/>
          <w:sz w:val="16"/>
          <w:szCs w:val="16"/>
          <w:lang w:val="es-AR"/>
        </w:rPr>
        <w:t xml:space="preserve"> </w:t>
      </w:r>
      <w:r w:rsidRPr="009E1E3D">
        <w:rPr>
          <w:rFonts w:asciiTheme="majorHAnsi" w:hAnsiTheme="majorHAnsi"/>
          <w:sz w:val="16"/>
          <w:szCs w:val="16"/>
          <w:lang w:val="es-ES"/>
        </w:rPr>
        <w:t>ANEXO 4. Resolución de la Sala Tercera de la Corte Suprema de Justicia de fecha 15 de febrero de 2013, Anexo a la comunicación de la parte peticionaria de fecha 4 de agosto de 2015.</w:t>
      </w:r>
    </w:p>
  </w:footnote>
  <w:footnote w:id="9">
    <w:p w14:paraId="344E0C78" w14:textId="77777777" w:rsidR="00D42427" w:rsidRPr="009E1E3D" w:rsidRDefault="00D42427" w:rsidP="00D56213">
      <w:pPr>
        <w:pStyle w:val="FootnoteText"/>
        <w:jc w:val="both"/>
        <w:rPr>
          <w:rFonts w:asciiTheme="majorHAnsi" w:hAnsiTheme="majorHAnsi"/>
          <w:sz w:val="16"/>
          <w:szCs w:val="16"/>
          <w:lang w:val="es-ES"/>
        </w:rPr>
      </w:pPr>
      <w:r w:rsidRPr="009E1E3D">
        <w:rPr>
          <w:rStyle w:val="FootnoteReference"/>
          <w:rFonts w:asciiTheme="majorHAnsi" w:hAnsiTheme="majorHAnsi"/>
          <w:sz w:val="16"/>
          <w:szCs w:val="16"/>
          <w:lang w:val="es-ES"/>
        </w:rPr>
        <w:footnoteRef/>
      </w:r>
      <w:r w:rsidRPr="009E1E3D">
        <w:rPr>
          <w:rFonts w:asciiTheme="majorHAnsi" w:hAnsiTheme="majorHAnsi"/>
          <w:sz w:val="16"/>
          <w:szCs w:val="16"/>
          <w:lang w:val="es-ES"/>
        </w:rPr>
        <w:t xml:space="preserve"> ANEXO 5. Resolución del Juzgado Penal de Turno Extraordinario de San José de fecha 20 de enero de 2003. Anexo a la comunicación de la parte peticionaria de fecha 18 de julio de 2006. </w:t>
      </w:r>
    </w:p>
  </w:footnote>
  <w:footnote w:id="10">
    <w:p w14:paraId="31411C4E" w14:textId="77777777" w:rsidR="00D42427" w:rsidRPr="009E1E3D" w:rsidRDefault="00D42427" w:rsidP="00D56213">
      <w:pPr>
        <w:pStyle w:val="FootnoteText"/>
        <w:jc w:val="both"/>
        <w:rPr>
          <w:rFonts w:asciiTheme="majorHAnsi" w:hAnsiTheme="majorHAnsi"/>
          <w:sz w:val="16"/>
          <w:szCs w:val="16"/>
          <w:lang w:val="es-AR"/>
        </w:rPr>
      </w:pPr>
      <w:r w:rsidRPr="009E1E3D">
        <w:rPr>
          <w:rStyle w:val="FootnoteReference"/>
          <w:rFonts w:asciiTheme="majorHAnsi" w:hAnsiTheme="majorHAnsi"/>
          <w:sz w:val="16"/>
          <w:szCs w:val="16"/>
        </w:rPr>
        <w:footnoteRef/>
      </w:r>
      <w:r w:rsidRPr="009E1E3D">
        <w:rPr>
          <w:rFonts w:asciiTheme="majorHAnsi" w:hAnsiTheme="majorHAnsi"/>
          <w:sz w:val="16"/>
          <w:szCs w:val="16"/>
          <w:lang w:val="es-AR"/>
        </w:rPr>
        <w:t xml:space="preserve"> </w:t>
      </w:r>
      <w:r w:rsidRPr="009E1E3D">
        <w:rPr>
          <w:rFonts w:asciiTheme="majorHAnsi" w:hAnsiTheme="majorHAnsi"/>
          <w:sz w:val="16"/>
          <w:szCs w:val="16"/>
          <w:lang w:val="es-ES"/>
        </w:rPr>
        <w:t>ANEXO 5. Resolución del Juzgado Penal de Turno Extraordinario de San José de fecha 20 de enero de 2003. Anexo a la comunicación de la parte peticionaria de fecha 18 de julio de 2006.</w:t>
      </w:r>
    </w:p>
  </w:footnote>
  <w:footnote w:id="11">
    <w:p w14:paraId="29E7A578" w14:textId="77777777" w:rsidR="00D42427" w:rsidRPr="009E1E3D" w:rsidRDefault="00D42427" w:rsidP="00D56213">
      <w:pPr>
        <w:pStyle w:val="FootnoteText"/>
        <w:jc w:val="both"/>
        <w:rPr>
          <w:rFonts w:asciiTheme="majorHAnsi" w:hAnsiTheme="majorHAnsi"/>
          <w:sz w:val="16"/>
          <w:szCs w:val="16"/>
          <w:lang w:val="es-ES"/>
        </w:rPr>
      </w:pPr>
      <w:r w:rsidRPr="009E1E3D">
        <w:rPr>
          <w:rStyle w:val="FootnoteReference"/>
          <w:rFonts w:asciiTheme="majorHAnsi" w:hAnsiTheme="majorHAnsi"/>
          <w:sz w:val="16"/>
          <w:szCs w:val="16"/>
        </w:rPr>
        <w:footnoteRef/>
      </w:r>
      <w:r w:rsidRPr="009E1E3D">
        <w:rPr>
          <w:rFonts w:asciiTheme="majorHAnsi" w:hAnsiTheme="majorHAnsi"/>
          <w:sz w:val="16"/>
          <w:szCs w:val="16"/>
          <w:lang w:val="es-ES"/>
        </w:rPr>
        <w:t xml:space="preserve"> ANEXO 6. Resolución del Juzgado Penal del Primer Circuito Judicial de San José de fecha 17 de julio de 2003. Anexo a la comunicación del peticionario de 18 de julio de 2006.</w:t>
      </w:r>
    </w:p>
  </w:footnote>
  <w:footnote w:id="12">
    <w:p w14:paraId="36C3AADC" w14:textId="77777777" w:rsidR="00D42427" w:rsidRPr="009E1E3D" w:rsidRDefault="00D42427" w:rsidP="00D56213">
      <w:pPr>
        <w:pStyle w:val="FootnoteText"/>
        <w:jc w:val="both"/>
        <w:rPr>
          <w:rFonts w:asciiTheme="majorHAnsi" w:hAnsiTheme="majorHAnsi"/>
          <w:sz w:val="16"/>
          <w:szCs w:val="16"/>
          <w:lang w:val="es-ES"/>
        </w:rPr>
      </w:pPr>
      <w:r w:rsidRPr="009E1E3D">
        <w:rPr>
          <w:rStyle w:val="FootnoteReference"/>
          <w:rFonts w:asciiTheme="majorHAnsi" w:hAnsiTheme="majorHAnsi"/>
          <w:sz w:val="16"/>
          <w:szCs w:val="16"/>
        </w:rPr>
        <w:footnoteRef/>
      </w:r>
      <w:r w:rsidRPr="009E1E3D">
        <w:rPr>
          <w:rFonts w:asciiTheme="majorHAnsi" w:hAnsiTheme="majorHAnsi"/>
          <w:sz w:val="16"/>
          <w:szCs w:val="16"/>
          <w:lang w:val="es-ES"/>
        </w:rPr>
        <w:t xml:space="preserve"> ANEXO 7. Voto No. 235-03 del Tribunal Penal de Juicio del Primer Circuito Judicial de San José de fecha 11 de agosto de 2003. Anexo a la comunicación del peticionario de 18 de julio de 2006.</w:t>
      </w:r>
    </w:p>
  </w:footnote>
  <w:footnote w:id="13">
    <w:p w14:paraId="0B7E9197" w14:textId="77777777" w:rsidR="00D42427" w:rsidRPr="009E1E3D" w:rsidRDefault="00D42427" w:rsidP="00D56213">
      <w:pPr>
        <w:pStyle w:val="FootnoteText"/>
        <w:jc w:val="both"/>
        <w:rPr>
          <w:rFonts w:asciiTheme="majorHAnsi" w:hAnsiTheme="majorHAnsi"/>
          <w:sz w:val="16"/>
          <w:szCs w:val="16"/>
          <w:lang w:val="es-ES"/>
        </w:rPr>
      </w:pPr>
      <w:r w:rsidRPr="009E1E3D">
        <w:rPr>
          <w:rStyle w:val="FootnoteReference"/>
          <w:rFonts w:asciiTheme="majorHAnsi" w:hAnsiTheme="majorHAnsi"/>
          <w:sz w:val="16"/>
          <w:szCs w:val="16"/>
          <w:lang w:val="es-ES"/>
        </w:rPr>
        <w:footnoteRef/>
      </w:r>
      <w:r w:rsidRPr="009E1E3D">
        <w:rPr>
          <w:rFonts w:asciiTheme="majorHAnsi" w:hAnsiTheme="majorHAnsi"/>
          <w:sz w:val="16"/>
          <w:szCs w:val="16"/>
          <w:lang w:val="es-ES"/>
        </w:rPr>
        <w:t xml:space="preserve"> ANEXO 8. Resolución de prórroga de la medida cautelar de prisión preventiva dictada por el Juzgado Penal de San José de fecha 20 de octubre de 2003. Anexo a la comunicación del peticionario de 18 de julio de 2006.</w:t>
      </w:r>
    </w:p>
  </w:footnote>
  <w:footnote w:id="14">
    <w:p w14:paraId="11A41544" w14:textId="77777777" w:rsidR="00D42427" w:rsidRPr="00C03649" w:rsidRDefault="00D42427" w:rsidP="00D56213">
      <w:pPr>
        <w:pStyle w:val="FootnoteText"/>
        <w:jc w:val="both"/>
        <w:rPr>
          <w:rFonts w:asciiTheme="majorHAnsi" w:hAnsiTheme="majorHAnsi"/>
          <w:sz w:val="16"/>
          <w:szCs w:val="16"/>
          <w:lang w:val="es-AR"/>
        </w:rPr>
      </w:pPr>
      <w:r w:rsidRPr="009E1E3D">
        <w:rPr>
          <w:rStyle w:val="FootnoteReference"/>
          <w:rFonts w:asciiTheme="majorHAnsi" w:hAnsiTheme="majorHAnsi"/>
          <w:sz w:val="16"/>
          <w:szCs w:val="16"/>
          <w:lang w:val="es-ES"/>
        </w:rPr>
        <w:footnoteRef/>
      </w:r>
      <w:r w:rsidRPr="009E1E3D">
        <w:rPr>
          <w:rFonts w:asciiTheme="majorHAnsi" w:hAnsiTheme="majorHAnsi"/>
          <w:sz w:val="16"/>
          <w:szCs w:val="16"/>
          <w:lang w:val="es-ES"/>
        </w:rPr>
        <w:t xml:space="preserve"> ANEXO 9. Voto 1048-03 del Tribunal Penal del Primer Circuito Judicial de San José de fecha 14 de noviembre de 2003. Anexo a la comunicación de la parte peticionaria de fecha 18 de julio de 2006.</w:t>
      </w:r>
      <w:r w:rsidRPr="00C03649">
        <w:rPr>
          <w:rFonts w:asciiTheme="majorHAnsi" w:hAnsiTheme="majorHAnsi"/>
          <w:sz w:val="16"/>
          <w:szCs w:val="16"/>
          <w:lang w:val="es-ES"/>
        </w:rPr>
        <w:t xml:space="preserve"> </w:t>
      </w:r>
    </w:p>
  </w:footnote>
  <w:footnote w:id="15">
    <w:p w14:paraId="5ED08926" w14:textId="77777777" w:rsidR="00D42427" w:rsidRPr="009E1E3D" w:rsidRDefault="00D42427" w:rsidP="00D56213">
      <w:pPr>
        <w:pStyle w:val="FootnoteText"/>
        <w:jc w:val="both"/>
        <w:rPr>
          <w:rFonts w:asciiTheme="majorHAnsi" w:hAnsiTheme="majorHAnsi"/>
          <w:sz w:val="16"/>
          <w:szCs w:val="16"/>
          <w:lang w:val="es-AR"/>
        </w:rPr>
      </w:pPr>
      <w:r w:rsidRPr="009E1E3D">
        <w:rPr>
          <w:rStyle w:val="FootnoteReference"/>
          <w:rFonts w:asciiTheme="majorHAnsi" w:hAnsiTheme="majorHAnsi"/>
          <w:sz w:val="16"/>
          <w:szCs w:val="16"/>
        </w:rPr>
        <w:footnoteRef/>
      </w:r>
      <w:r w:rsidRPr="009E1E3D">
        <w:rPr>
          <w:rFonts w:asciiTheme="majorHAnsi" w:hAnsiTheme="majorHAnsi"/>
          <w:sz w:val="16"/>
          <w:szCs w:val="16"/>
          <w:lang w:val="es-AR"/>
        </w:rPr>
        <w:t xml:space="preserve"> </w:t>
      </w:r>
      <w:r w:rsidRPr="009E1E3D">
        <w:rPr>
          <w:rFonts w:asciiTheme="majorHAnsi" w:hAnsiTheme="majorHAnsi"/>
          <w:sz w:val="16"/>
          <w:szCs w:val="16"/>
          <w:lang w:val="es-ES"/>
        </w:rPr>
        <w:t>ANEXO 9. Voto 1048-03 del Tribunal Penal del Primer Circuito Judicial de San José de fecha 14 de noviembre de 2003. Anexo a la comunicación de la parte peticionaria de fecha 18 de julio de 2006.</w:t>
      </w:r>
    </w:p>
  </w:footnote>
  <w:footnote w:id="16">
    <w:p w14:paraId="012A6088" w14:textId="77777777" w:rsidR="00D42427" w:rsidRPr="009E1E3D" w:rsidRDefault="00D42427" w:rsidP="00D56213">
      <w:pPr>
        <w:pStyle w:val="FootnoteText"/>
        <w:jc w:val="both"/>
        <w:rPr>
          <w:rFonts w:asciiTheme="majorHAnsi" w:hAnsiTheme="majorHAnsi"/>
          <w:sz w:val="16"/>
          <w:szCs w:val="16"/>
          <w:lang w:val="es-AR"/>
        </w:rPr>
      </w:pPr>
      <w:r w:rsidRPr="009E1E3D">
        <w:rPr>
          <w:rStyle w:val="FootnoteReference"/>
          <w:rFonts w:asciiTheme="majorHAnsi" w:hAnsiTheme="majorHAnsi"/>
          <w:sz w:val="16"/>
          <w:szCs w:val="16"/>
        </w:rPr>
        <w:footnoteRef/>
      </w:r>
      <w:r w:rsidRPr="009E1E3D">
        <w:rPr>
          <w:rFonts w:asciiTheme="majorHAnsi" w:hAnsiTheme="majorHAnsi"/>
          <w:sz w:val="16"/>
          <w:szCs w:val="16"/>
          <w:lang w:val="es-AR"/>
        </w:rPr>
        <w:t xml:space="preserve"> ANEXO 10. Resolución Nro. 2004-0018 del Tribunal de Casación Penal del Segundo Circuito Judicial de San Jose de fecha 19 de enero de 2004. </w:t>
      </w:r>
      <w:r w:rsidRPr="009E1E3D">
        <w:rPr>
          <w:rFonts w:asciiTheme="majorHAnsi" w:hAnsiTheme="majorHAnsi"/>
          <w:sz w:val="16"/>
          <w:szCs w:val="16"/>
          <w:lang w:val="es-ES"/>
        </w:rPr>
        <w:t>Anexo a la comunicación de la parte peticionaria de fecha 18 de julio de 2006.</w:t>
      </w:r>
    </w:p>
  </w:footnote>
  <w:footnote w:id="17">
    <w:p w14:paraId="51C60032" w14:textId="77777777" w:rsidR="00D42427" w:rsidRPr="009E1E3D" w:rsidRDefault="00D42427" w:rsidP="00D56213">
      <w:pPr>
        <w:pStyle w:val="FootnoteText"/>
        <w:jc w:val="both"/>
        <w:rPr>
          <w:rFonts w:asciiTheme="majorHAnsi" w:hAnsiTheme="majorHAnsi"/>
          <w:sz w:val="16"/>
          <w:szCs w:val="16"/>
          <w:lang w:val="es-AR"/>
        </w:rPr>
      </w:pPr>
      <w:r w:rsidRPr="009E1E3D">
        <w:rPr>
          <w:rStyle w:val="FootnoteReference"/>
          <w:rFonts w:asciiTheme="majorHAnsi" w:hAnsiTheme="majorHAnsi"/>
          <w:sz w:val="16"/>
          <w:szCs w:val="16"/>
        </w:rPr>
        <w:footnoteRef/>
      </w:r>
      <w:r w:rsidRPr="009E1E3D">
        <w:rPr>
          <w:rFonts w:asciiTheme="majorHAnsi" w:hAnsiTheme="majorHAnsi"/>
          <w:sz w:val="16"/>
          <w:szCs w:val="16"/>
          <w:lang w:val="es-AR"/>
        </w:rPr>
        <w:t xml:space="preserve"> ANEXO 11. Resolución Nro. 2004-0774 del Tribunal de Casación Penal del Segundo Circuito Judicial de San Jose de fecha 30 de julio de 2004. </w:t>
      </w:r>
      <w:r w:rsidRPr="009E1E3D">
        <w:rPr>
          <w:rFonts w:asciiTheme="majorHAnsi" w:hAnsiTheme="majorHAnsi"/>
          <w:sz w:val="16"/>
          <w:szCs w:val="16"/>
          <w:lang w:val="es-ES"/>
        </w:rPr>
        <w:t>Anexo a la comunicación de la parte peticionaria de fecha 18 de julio de 2006.</w:t>
      </w:r>
    </w:p>
  </w:footnote>
  <w:footnote w:id="18">
    <w:p w14:paraId="3402603F" w14:textId="77777777" w:rsidR="00D42427" w:rsidRPr="009E1E3D" w:rsidRDefault="00D42427" w:rsidP="00D56213">
      <w:pPr>
        <w:pStyle w:val="FootnoteText"/>
        <w:jc w:val="both"/>
        <w:rPr>
          <w:rFonts w:asciiTheme="majorHAnsi" w:hAnsiTheme="majorHAnsi"/>
          <w:sz w:val="16"/>
          <w:szCs w:val="16"/>
          <w:lang w:val="es-ES"/>
        </w:rPr>
      </w:pPr>
      <w:r w:rsidRPr="009E1E3D">
        <w:rPr>
          <w:rStyle w:val="FootnoteReference"/>
          <w:rFonts w:asciiTheme="majorHAnsi" w:hAnsiTheme="majorHAnsi"/>
          <w:sz w:val="16"/>
          <w:szCs w:val="16"/>
          <w:lang w:val="es-ES"/>
        </w:rPr>
        <w:footnoteRef/>
      </w:r>
      <w:r w:rsidRPr="009E1E3D">
        <w:rPr>
          <w:rFonts w:asciiTheme="majorHAnsi" w:hAnsiTheme="majorHAnsi"/>
          <w:sz w:val="16"/>
          <w:szCs w:val="16"/>
          <w:lang w:val="es-ES"/>
        </w:rPr>
        <w:t xml:space="preserve"> ANEXO 12. Sentencia Nro. 851-04 del Tribunal Penal de Juicio del Primer Circuito Judicial de San José de fecha 17 de agosto de 2004. Anexo a la comunicación del peticionario de 18 de julio de 2006. </w:t>
      </w:r>
    </w:p>
  </w:footnote>
  <w:footnote w:id="19">
    <w:p w14:paraId="5A332D46" w14:textId="77777777" w:rsidR="00D42427" w:rsidRPr="00C03649" w:rsidRDefault="00D42427" w:rsidP="00D56213">
      <w:pPr>
        <w:pStyle w:val="FootnoteText"/>
        <w:jc w:val="both"/>
        <w:rPr>
          <w:rFonts w:asciiTheme="majorHAnsi" w:hAnsiTheme="majorHAnsi"/>
          <w:sz w:val="16"/>
          <w:szCs w:val="16"/>
          <w:lang w:val="es-ES"/>
        </w:rPr>
      </w:pPr>
      <w:r w:rsidRPr="009E1E3D">
        <w:rPr>
          <w:rStyle w:val="FootnoteReference"/>
          <w:rFonts w:asciiTheme="majorHAnsi" w:hAnsiTheme="majorHAnsi"/>
          <w:sz w:val="16"/>
          <w:szCs w:val="16"/>
          <w:lang w:val="es-ES"/>
        </w:rPr>
        <w:footnoteRef/>
      </w:r>
      <w:r w:rsidRPr="009E1E3D">
        <w:rPr>
          <w:rFonts w:asciiTheme="majorHAnsi" w:hAnsiTheme="majorHAnsi"/>
          <w:sz w:val="16"/>
          <w:szCs w:val="16"/>
          <w:lang w:val="es-ES"/>
        </w:rPr>
        <w:t xml:space="preserve"> ANEXO 13 Recurso de Casación interpuesto por los abogados Mainor Castillo Zamora y Mario Gonzalo Soto Baltodano de fecha 6 de septiembre de 2004. Anexo a la comunicación de la parte peticionaria de fecha 18 de julio de 2006. ANEXO 14. Documento de Adhesión al recurso de casación suscripto por Thomas Scot Cochran de fecha 5 de octubre de 2004. Anexo a la comunicación de la parte peticionaria de fecha 18 de julio de 2006</w:t>
      </w:r>
    </w:p>
  </w:footnote>
  <w:footnote w:id="20">
    <w:p w14:paraId="785CAED8" w14:textId="77777777" w:rsidR="00D42427" w:rsidRPr="009E1E3D" w:rsidRDefault="00D42427" w:rsidP="00D56213">
      <w:pPr>
        <w:pStyle w:val="FootnoteText"/>
        <w:jc w:val="both"/>
        <w:rPr>
          <w:rFonts w:asciiTheme="majorHAnsi" w:hAnsiTheme="majorHAnsi"/>
          <w:sz w:val="16"/>
          <w:szCs w:val="16"/>
          <w:lang w:val="es-AR"/>
        </w:rPr>
      </w:pPr>
      <w:r w:rsidRPr="009E1E3D">
        <w:rPr>
          <w:rStyle w:val="FootnoteReference"/>
          <w:rFonts w:asciiTheme="majorHAnsi" w:hAnsiTheme="majorHAnsi"/>
          <w:sz w:val="16"/>
          <w:szCs w:val="16"/>
        </w:rPr>
        <w:footnoteRef/>
      </w:r>
      <w:r w:rsidRPr="009E1E3D">
        <w:rPr>
          <w:rFonts w:asciiTheme="majorHAnsi" w:hAnsiTheme="majorHAnsi"/>
          <w:sz w:val="16"/>
          <w:szCs w:val="16"/>
          <w:lang w:val="es-AR"/>
        </w:rPr>
        <w:t xml:space="preserve"> ANEXO 15. </w:t>
      </w:r>
      <w:r w:rsidRPr="009E1E3D">
        <w:rPr>
          <w:rFonts w:asciiTheme="majorHAnsi" w:hAnsiTheme="majorHAnsi"/>
          <w:sz w:val="16"/>
          <w:szCs w:val="16"/>
          <w:lang w:val="es-ES"/>
        </w:rPr>
        <w:t>Procedimiento de Revisión contra la sentencia 851-04 dictada por el Tribunal de Juicio Penal del Primer Circuito Judicial de San José de fecha 17 de agosto de 2004 interpuesto por el abogado Jorge Calvo Cascante. Anexo a la comunicación de la parte peticionaria de fecha 18 de julio de 2006.</w:t>
      </w:r>
      <w:r w:rsidRPr="009E1E3D">
        <w:rPr>
          <w:rFonts w:asciiTheme="majorHAnsi" w:hAnsiTheme="majorHAnsi"/>
          <w:sz w:val="16"/>
          <w:szCs w:val="16"/>
          <w:lang w:val="es-AR"/>
        </w:rPr>
        <w:t xml:space="preserve"> </w:t>
      </w:r>
    </w:p>
  </w:footnote>
  <w:footnote w:id="21">
    <w:p w14:paraId="16AC7B33" w14:textId="77777777" w:rsidR="00D42427" w:rsidRPr="009E1E3D" w:rsidRDefault="00D42427" w:rsidP="00D56213">
      <w:pPr>
        <w:pStyle w:val="FootnoteText"/>
        <w:jc w:val="both"/>
        <w:rPr>
          <w:rFonts w:asciiTheme="majorHAnsi" w:hAnsiTheme="majorHAnsi"/>
          <w:sz w:val="16"/>
          <w:szCs w:val="16"/>
          <w:lang w:val="es-ES"/>
        </w:rPr>
      </w:pPr>
      <w:r w:rsidRPr="009E1E3D">
        <w:rPr>
          <w:rStyle w:val="FootnoteReference"/>
          <w:rFonts w:asciiTheme="majorHAnsi" w:hAnsiTheme="majorHAnsi"/>
          <w:sz w:val="16"/>
          <w:szCs w:val="16"/>
          <w:lang w:val="es-ES"/>
        </w:rPr>
        <w:footnoteRef/>
      </w:r>
      <w:r w:rsidRPr="009E1E3D">
        <w:rPr>
          <w:rFonts w:asciiTheme="majorHAnsi" w:hAnsiTheme="majorHAnsi"/>
          <w:sz w:val="16"/>
          <w:szCs w:val="16"/>
          <w:lang w:val="es-ES"/>
        </w:rPr>
        <w:t xml:space="preserve"> ANEXO 3. Resolución de la Sala Tercera de la Corte Suprema de Justicia de fecha 12 de diciembre de 2007. Anexo a la comunicación de la parte peticionaria de fecha 4 de junio de 2010. </w:t>
      </w:r>
    </w:p>
  </w:footnote>
  <w:footnote w:id="22">
    <w:p w14:paraId="71FF0833" w14:textId="77777777" w:rsidR="00D42427" w:rsidRPr="00C03649" w:rsidRDefault="00D42427" w:rsidP="00D56213">
      <w:pPr>
        <w:pStyle w:val="FootnoteText"/>
        <w:jc w:val="both"/>
        <w:rPr>
          <w:rFonts w:asciiTheme="majorHAnsi" w:hAnsiTheme="majorHAnsi"/>
          <w:sz w:val="16"/>
          <w:szCs w:val="16"/>
          <w:lang w:val="es-ES"/>
        </w:rPr>
      </w:pPr>
      <w:r w:rsidRPr="009E1E3D">
        <w:rPr>
          <w:rStyle w:val="FootnoteReference"/>
          <w:rFonts w:asciiTheme="majorHAnsi" w:hAnsiTheme="majorHAnsi"/>
          <w:sz w:val="16"/>
          <w:szCs w:val="16"/>
          <w:lang w:val="es-ES"/>
        </w:rPr>
        <w:footnoteRef/>
      </w:r>
      <w:r w:rsidRPr="009E1E3D">
        <w:rPr>
          <w:rFonts w:asciiTheme="majorHAnsi" w:hAnsiTheme="majorHAnsi"/>
          <w:sz w:val="16"/>
          <w:szCs w:val="16"/>
          <w:lang w:val="es-ES"/>
        </w:rPr>
        <w:t xml:space="preserve"> ANEXO 16. Procedimiento de revisión interpuesto por el Sr. Thomas Cochran de fecha 28 de abril de 2009. Anexo a la comunicación de la parte peticionaria de fecha 4 de junio de 2010.</w:t>
      </w:r>
      <w:r w:rsidRPr="00C03649">
        <w:rPr>
          <w:rFonts w:asciiTheme="majorHAnsi" w:hAnsiTheme="majorHAnsi"/>
          <w:sz w:val="16"/>
          <w:szCs w:val="16"/>
          <w:lang w:val="es-ES"/>
        </w:rPr>
        <w:t xml:space="preserve"> </w:t>
      </w:r>
    </w:p>
  </w:footnote>
  <w:footnote w:id="23">
    <w:p w14:paraId="5FEA80F7" w14:textId="77777777" w:rsidR="00D42427" w:rsidRPr="00C03649" w:rsidRDefault="00D42427" w:rsidP="00D56213">
      <w:pPr>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Resolución N° 01373-2010 de la Sala Tercera de la Corte Suprema de Justicia de fecha 30 de noviembre de 2010. Accesible en: https://nexuspj.poder-judicial.go.cr/document/sen-1-0034-504556</w:t>
      </w:r>
    </w:p>
  </w:footnote>
  <w:footnote w:id="24">
    <w:p w14:paraId="4262680F" w14:textId="77777777" w:rsidR="00D42427" w:rsidRPr="009E1E3D" w:rsidRDefault="00D42427" w:rsidP="00D56213">
      <w:pPr>
        <w:pStyle w:val="FootnoteText"/>
        <w:jc w:val="both"/>
        <w:rPr>
          <w:rFonts w:asciiTheme="majorHAnsi" w:hAnsiTheme="majorHAnsi"/>
          <w:sz w:val="16"/>
          <w:szCs w:val="16"/>
          <w:lang w:val="es-ES"/>
        </w:rPr>
      </w:pPr>
      <w:r w:rsidRPr="009E1E3D">
        <w:rPr>
          <w:rStyle w:val="FootnoteReference"/>
          <w:rFonts w:asciiTheme="majorHAnsi" w:hAnsiTheme="majorHAnsi"/>
          <w:sz w:val="16"/>
          <w:szCs w:val="16"/>
          <w:lang w:val="es-ES"/>
        </w:rPr>
        <w:footnoteRef/>
      </w:r>
      <w:r w:rsidRPr="009E1E3D">
        <w:rPr>
          <w:rFonts w:asciiTheme="majorHAnsi" w:hAnsiTheme="majorHAnsi"/>
          <w:sz w:val="16"/>
          <w:szCs w:val="16"/>
          <w:lang w:val="es-ES"/>
        </w:rPr>
        <w:t xml:space="preserve"> ANEXO 17. Recurso de revisión interpuesto por el Sr. Thomas Cochran de fecha 10 de febrero de 2012. Anexo a la comunicación de la parte peticionaria de fecha 4 de agosto de 2015. </w:t>
      </w:r>
    </w:p>
  </w:footnote>
  <w:footnote w:id="25">
    <w:p w14:paraId="543EE99B" w14:textId="77777777" w:rsidR="00D42427" w:rsidRPr="00C03649" w:rsidRDefault="00D42427" w:rsidP="00D56213">
      <w:pPr>
        <w:pStyle w:val="FootnoteText"/>
        <w:jc w:val="both"/>
        <w:rPr>
          <w:rFonts w:asciiTheme="majorHAnsi" w:hAnsiTheme="majorHAnsi"/>
          <w:sz w:val="16"/>
          <w:szCs w:val="16"/>
          <w:lang w:val="es-AR"/>
        </w:rPr>
      </w:pPr>
      <w:r w:rsidRPr="009E1E3D">
        <w:rPr>
          <w:rStyle w:val="FootnoteReference"/>
          <w:rFonts w:asciiTheme="majorHAnsi" w:hAnsiTheme="majorHAnsi"/>
          <w:sz w:val="16"/>
          <w:szCs w:val="16"/>
          <w:lang w:val="es-ES"/>
        </w:rPr>
        <w:footnoteRef/>
      </w:r>
      <w:r w:rsidRPr="009E1E3D">
        <w:rPr>
          <w:rFonts w:asciiTheme="majorHAnsi" w:hAnsiTheme="majorHAnsi"/>
          <w:sz w:val="16"/>
          <w:szCs w:val="16"/>
          <w:lang w:val="es-ES"/>
        </w:rPr>
        <w:t xml:space="preserve"> ANEXO 4. Resolución de la Sala Tercera de la Corte Suprema de Justicia de fecha 15 de febrero de 2013. Anexo a la comunicación de la parte peticionaria de fecha 4 de agosto de 2015.</w:t>
      </w:r>
    </w:p>
  </w:footnote>
  <w:footnote w:id="26">
    <w:p w14:paraId="0C94B734" w14:textId="77777777" w:rsidR="00D42427" w:rsidRPr="00C03649" w:rsidRDefault="00D42427" w:rsidP="00D56213">
      <w:pPr>
        <w:pStyle w:val="NoSpacing"/>
        <w:jc w:val="both"/>
        <w:rPr>
          <w:rFonts w:asciiTheme="majorHAnsi" w:hAnsiTheme="majorHAnsi"/>
          <w:sz w:val="16"/>
          <w:szCs w:val="16"/>
          <w:bdr w:val="none" w:sz="0" w:space="0" w:color="auto"/>
          <w:lang w:val="es-ES"/>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w:t>
      </w:r>
      <w:r w:rsidRPr="00C03649">
        <w:rPr>
          <w:rFonts w:asciiTheme="majorHAnsi" w:hAnsiTheme="majorHAnsi"/>
          <w:sz w:val="16"/>
          <w:szCs w:val="16"/>
          <w:bdr w:val="none" w:sz="0" w:space="0" w:color="auto"/>
          <w:shd w:val="clear" w:color="auto" w:fill="FFFFFF"/>
          <w:lang w:val="es-ES"/>
        </w:rPr>
        <w:t xml:space="preserve">Corte IDH. Caso de las Masacres de Ituango Vs. Colombia. Sentencia de 1 de julio de 2006. Serie C No. 148. Párrs 193 y 194. </w:t>
      </w:r>
      <w:r w:rsidRPr="00C03649">
        <w:rPr>
          <w:rFonts w:asciiTheme="majorHAnsi" w:hAnsiTheme="majorHAnsi"/>
          <w:sz w:val="16"/>
          <w:szCs w:val="16"/>
          <w:lang w:val="es-ES"/>
        </w:rPr>
        <w:t xml:space="preserve"> </w:t>
      </w:r>
    </w:p>
  </w:footnote>
  <w:footnote w:id="27">
    <w:p w14:paraId="4044FBD7" w14:textId="77777777" w:rsidR="00D42427" w:rsidRPr="00C03649" w:rsidRDefault="00D42427" w:rsidP="00D56213">
      <w:pPr>
        <w:pStyle w:val="NoSpacing"/>
        <w:jc w:val="both"/>
        <w:rPr>
          <w:rFonts w:asciiTheme="majorHAnsi" w:eastAsia="Times New Roman" w:hAnsiTheme="majorHAnsi"/>
          <w:sz w:val="16"/>
          <w:szCs w:val="16"/>
          <w:bdr w:val="none" w:sz="0" w:space="0" w:color="auto"/>
          <w:lang w:val="es-AR"/>
        </w:rPr>
      </w:pPr>
      <w:r w:rsidRPr="00C03649">
        <w:rPr>
          <w:rFonts w:asciiTheme="majorHAnsi" w:hAnsiTheme="majorHAnsi"/>
          <w:sz w:val="16"/>
          <w:szCs w:val="16"/>
          <w:bdr w:val="none" w:sz="0" w:space="0" w:color="auto"/>
          <w:shd w:val="clear" w:color="auto" w:fill="FFFFFF"/>
          <w:vertAlign w:val="superscript"/>
          <w:lang w:val="es-ES"/>
        </w:rPr>
        <w:footnoteRef/>
      </w:r>
      <w:r w:rsidRPr="00C03649">
        <w:rPr>
          <w:rFonts w:asciiTheme="majorHAnsi" w:hAnsiTheme="majorHAnsi"/>
          <w:sz w:val="16"/>
          <w:szCs w:val="16"/>
          <w:bdr w:val="none" w:sz="0" w:space="0" w:color="auto"/>
          <w:shd w:val="clear" w:color="auto" w:fill="FFFFFF"/>
          <w:vertAlign w:val="superscript"/>
          <w:lang w:val="pt-BR"/>
        </w:rPr>
        <w:t xml:space="preserve"> </w:t>
      </w:r>
      <w:r w:rsidRPr="00C03649">
        <w:rPr>
          <w:rFonts w:asciiTheme="majorHAnsi" w:hAnsiTheme="majorHAnsi"/>
          <w:sz w:val="16"/>
          <w:szCs w:val="16"/>
          <w:bdr w:val="none" w:sz="0" w:space="0" w:color="auto"/>
          <w:shd w:val="clear" w:color="auto" w:fill="FFFFFF"/>
          <w:lang w:val="pt-BR"/>
        </w:rPr>
        <w:t xml:space="preserve">Corte IDH. Caso Escué Zapata Vs. </w:t>
      </w:r>
      <w:r w:rsidRPr="00C03649">
        <w:rPr>
          <w:rFonts w:asciiTheme="majorHAnsi" w:hAnsiTheme="majorHAnsi"/>
          <w:sz w:val="16"/>
          <w:szCs w:val="16"/>
          <w:bdr w:val="none" w:sz="0" w:space="0" w:color="auto"/>
          <w:shd w:val="clear" w:color="auto" w:fill="FFFFFF"/>
          <w:lang w:val="es-ES"/>
        </w:rPr>
        <w:t>Colombia. Fondo, Reparaciones y Costas. Sentencia de 4 de julio de 2007. Serie C No. 165. Párr. 96.</w:t>
      </w:r>
      <w:r w:rsidRPr="00C03649">
        <w:rPr>
          <w:rFonts w:asciiTheme="majorHAnsi" w:eastAsia="Times New Roman" w:hAnsiTheme="majorHAnsi" w:cs="Arial"/>
          <w:color w:val="494848"/>
          <w:sz w:val="16"/>
          <w:szCs w:val="16"/>
          <w:bdr w:val="none" w:sz="0" w:space="0" w:color="auto"/>
          <w:shd w:val="clear" w:color="auto" w:fill="FFFFFF"/>
          <w:lang w:val="es-AR"/>
        </w:rPr>
        <w:t xml:space="preserve"> </w:t>
      </w:r>
      <w:r w:rsidRPr="00C03649">
        <w:rPr>
          <w:rFonts w:asciiTheme="majorHAnsi" w:hAnsiTheme="majorHAnsi"/>
          <w:sz w:val="16"/>
          <w:szCs w:val="16"/>
          <w:lang w:val="es-AR"/>
        </w:rPr>
        <w:t xml:space="preserve"> </w:t>
      </w:r>
    </w:p>
  </w:footnote>
  <w:footnote w:id="28">
    <w:p w14:paraId="317E388E" w14:textId="77777777" w:rsidR="00D42427" w:rsidRPr="00C03649" w:rsidRDefault="00D42427" w:rsidP="00D56213">
      <w:pPr>
        <w:pStyle w:val="NoSpacing"/>
        <w:jc w:val="both"/>
        <w:rPr>
          <w:rFonts w:asciiTheme="majorHAnsi" w:hAnsiTheme="majorHAnsi"/>
          <w:sz w:val="16"/>
          <w:szCs w:val="16"/>
          <w:bdr w:val="none" w:sz="0" w:space="0" w:color="auto"/>
          <w:lang w:val="es-ES"/>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w:t>
      </w:r>
      <w:r w:rsidRPr="00C03649">
        <w:rPr>
          <w:rFonts w:asciiTheme="majorHAnsi" w:hAnsiTheme="majorHAnsi"/>
          <w:sz w:val="16"/>
          <w:szCs w:val="16"/>
          <w:bdr w:val="none" w:sz="0" w:space="0" w:color="auto"/>
          <w:shd w:val="clear" w:color="auto" w:fill="FFFFFF"/>
          <w:lang w:val="es-ES"/>
        </w:rPr>
        <w:t xml:space="preserve">Corte IDH. Caso Uzcátegui y otros Vs. Venezuela. Fondo y Reparaciones. Sentencia de 3 de septiembre de 2012. Serie C No. 249. Párr. 202 a 206. </w:t>
      </w:r>
    </w:p>
  </w:footnote>
  <w:footnote w:id="29">
    <w:p w14:paraId="524C6412" w14:textId="77777777" w:rsidR="00D42427" w:rsidRPr="00C03649" w:rsidRDefault="00D42427" w:rsidP="00D56213">
      <w:pPr>
        <w:pStyle w:val="FootnoteText"/>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ARTICULO 8: Derecho al respeto a la vida privada y familiar</w:t>
      </w:r>
    </w:p>
    <w:p w14:paraId="57A7E120" w14:textId="77777777" w:rsidR="00D42427" w:rsidRPr="00C03649" w:rsidRDefault="00D42427" w:rsidP="00D56213">
      <w:pPr>
        <w:pStyle w:val="FootnoteText"/>
        <w:numPr>
          <w:ilvl w:val="0"/>
          <w:numId w:val="63"/>
        </w:numPr>
        <w:jc w:val="both"/>
        <w:rPr>
          <w:rFonts w:asciiTheme="majorHAnsi" w:hAnsiTheme="majorHAnsi"/>
          <w:sz w:val="16"/>
          <w:szCs w:val="16"/>
          <w:lang w:val="es-ES"/>
        </w:rPr>
      </w:pPr>
      <w:r w:rsidRPr="00C03649">
        <w:rPr>
          <w:rFonts w:asciiTheme="majorHAnsi" w:hAnsiTheme="majorHAnsi"/>
          <w:sz w:val="16"/>
          <w:szCs w:val="16"/>
          <w:lang w:val="es-ES"/>
        </w:rPr>
        <w:t xml:space="preserve">Toda persona tiene derecho al respeto de su vida privada y familiar, de su domicilio y correspondencia. </w:t>
      </w:r>
    </w:p>
    <w:p w14:paraId="5E74799E" w14:textId="77777777" w:rsidR="00D42427" w:rsidRPr="00C03649" w:rsidRDefault="00D42427" w:rsidP="00D56213">
      <w:pPr>
        <w:pStyle w:val="FootnoteText"/>
        <w:numPr>
          <w:ilvl w:val="0"/>
          <w:numId w:val="63"/>
        </w:numPr>
        <w:jc w:val="both"/>
        <w:rPr>
          <w:rFonts w:asciiTheme="majorHAnsi" w:hAnsiTheme="majorHAnsi"/>
          <w:sz w:val="16"/>
          <w:szCs w:val="16"/>
          <w:lang w:val="es-ES"/>
        </w:rPr>
      </w:pPr>
      <w:r w:rsidRPr="00C03649">
        <w:rPr>
          <w:rFonts w:asciiTheme="majorHAnsi" w:eastAsia="Times New Roman" w:hAnsiTheme="majorHAnsi"/>
          <w:sz w:val="16"/>
          <w:szCs w:val="16"/>
          <w:bdr w:val="none" w:sz="0" w:space="0" w:color="auto"/>
          <w:lang w:val="es-ES"/>
        </w:rPr>
        <w:t>No podrá haber injerencia de la autoridad pública en el ejercicio de este derecho sino en tanto en cuanto esta injerencia esté prevista por la ley y constituya una medida que, en una sociedad democrática, sea necesaria para la seguridad nacional, la seguridad pública, el bienestar económico del país, la defensa del orden y la prevención de las infracciones penales, la protección de la salud o de la moral, o la protección de los derechos y las libertades de los demás.</w:t>
      </w:r>
    </w:p>
  </w:footnote>
  <w:footnote w:id="30">
    <w:p w14:paraId="356A78F1" w14:textId="77777777" w:rsidR="00D42427" w:rsidRPr="00C03649" w:rsidRDefault="00D42427" w:rsidP="00D56213">
      <w:pPr>
        <w:pStyle w:val="FootnoteText"/>
        <w:jc w:val="both"/>
        <w:rPr>
          <w:rFonts w:asciiTheme="majorHAnsi" w:hAnsiTheme="majorHAnsi"/>
          <w:sz w:val="16"/>
          <w:szCs w:val="16"/>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Ver entre muchos otros: </w:t>
      </w:r>
      <w:r w:rsidRPr="00C03649">
        <w:rPr>
          <w:rFonts w:asciiTheme="majorHAnsi" w:hAnsiTheme="majorHAnsi"/>
          <w:sz w:val="16"/>
          <w:szCs w:val="16"/>
          <w:lang w:val="es-AR"/>
        </w:rPr>
        <w:t xml:space="preserve">ECHR, Case of Niemietz v. Germany. </w:t>
      </w:r>
      <w:r w:rsidRPr="00C03649">
        <w:rPr>
          <w:rFonts w:asciiTheme="majorHAnsi" w:hAnsiTheme="majorHAnsi"/>
          <w:sz w:val="16"/>
          <w:szCs w:val="16"/>
        </w:rPr>
        <w:t>Judgement (Merits and Just Satisfaction. 16 december 1992; Case of MacCann v. The United Kingdom. Judgement (Merits and Just Satisfaction) 13 may 2008</w:t>
      </w:r>
    </w:p>
  </w:footnote>
  <w:footnote w:id="31">
    <w:p w14:paraId="50AE8786" w14:textId="77777777" w:rsidR="00D42427" w:rsidRPr="00C03649" w:rsidRDefault="00D42427" w:rsidP="00D56213">
      <w:pPr>
        <w:pStyle w:val="NormalWeb"/>
        <w:shd w:val="clear" w:color="auto" w:fill="FFFFFF"/>
        <w:spacing w:before="0" w:beforeAutospacing="0" w:after="0" w:afterAutospacing="0"/>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ARTICULO 17</w:t>
      </w:r>
    </w:p>
    <w:p w14:paraId="5291EE94" w14:textId="77777777" w:rsidR="00D42427" w:rsidRPr="00C03649" w:rsidRDefault="00D42427" w:rsidP="00D56213">
      <w:pPr>
        <w:pStyle w:val="FootnoteText"/>
        <w:numPr>
          <w:ilvl w:val="0"/>
          <w:numId w:val="65"/>
        </w:numPr>
        <w:jc w:val="both"/>
        <w:rPr>
          <w:rFonts w:asciiTheme="majorHAnsi" w:hAnsiTheme="majorHAnsi"/>
          <w:sz w:val="16"/>
          <w:szCs w:val="16"/>
          <w:lang w:val="es-ES"/>
        </w:rPr>
      </w:pPr>
      <w:r w:rsidRPr="00C03649">
        <w:rPr>
          <w:rFonts w:asciiTheme="majorHAnsi" w:hAnsiTheme="majorHAnsi"/>
          <w:sz w:val="16"/>
          <w:szCs w:val="16"/>
          <w:lang w:val="es-ES"/>
        </w:rPr>
        <w:t>Nadie será objeto de injerencias arbitrarias o ilegales en su vida privada, su familia, su domicilio o su correspondencia, ni de ataques ilegales a su honra y reputación.</w:t>
      </w:r>
    </w:p>
    <w:p w14:paraId="437A87DF" w14:textId="77777777" w:rsidR="00D42427" w:rsidRPr="00C03649" w:rsidRDefault="00D42427" w:rsidP="00D56213">
      <w:pPr>
        <w:pStyle w:val="FootnoteText"/>
        <w:numPr>
          <w:ilvl w:val="0"/>
          <w:numId w:val="65"/>
        </w:numPr>
        <w:jc w:val="both"/>
        <w:rPr>
          <w:rFonts w:asciiTheme="majorHAnsi" w:hAnsiTheme="majorHAnsi"/>
          <w:sz w:val="16"/>
          <w:szCs w:val="16"/>
          <w:lang w:val="es-ES"/>
        </w:rPr>
      </w:pPr>
      <w:r w:rsidRPr="00C03649">
        <w:rPr>
          <w:rFonts w:asciiTheme="majorHAnsi" w:hAnsiTheme="majorHAnsi"/>
          <w:sz w:val="16"/>
          <w:szCs w:val="16"/>
          <w:lang w:val="es-ES"/>
        </w:rPr>
        <w:t>Toda persona tiene derecho a la protección de la ley contra esas injerencias o esos ataques.</w:t>
      </w:r>
    </w:p>
  </w:footnote>
  <w:footnote w:id="32">
    <w:p w14:paraId="4EBB4343" w14:textId="77777777" w:rsidR="00D42427" w:rsidRPr="00C03649" w:rsidRDefault="00D42427" w:rsidP="00D56213">
      <w:pPr>
        <w:pStyle w:val="FootnoteText"/>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Organización de las Naciones Unidas. Comité de Derechos Humanos. 32° periodo de sesiones (1988) Observación general núm. 16. Derecho a la intimidad (artículo 17) </w:t>
      </w:r>
    </w:p>
  </w:footnote>
  <w:footnote w:id="33">
    <w:p w14:paraId="01104599" w14:textId="77777777" w:rsidR="00D42427" w:rsidRPr="00C03649" w:rsidRDefault="00D42427" w:rsidP="00D56213">
      <w:pPr>
        <w:pStyle w:val="FootnoteText"/>
        <w:jc w:val="both"/>
        <w:rPr>
          <w:rFonts w:asciiTheme="majorHAnsi" w:hAnsiTheme="majorHAnsi"/>
          <w:sz w:val="16"/>
          <w:szCs w:val="16"/>
          <w:lang w:val="es-ES"/>
        </w:rPr>
      </w:pPr>
      <w:r w:rsidRPr="009E1E3D">
        <w:rPr>
          <w:rStyle w:val="FootnoteReference"/>
          <w:rFonts w:asciiTheme="majorHAnsi" w:hAnsiTheme="majorHAnsi"/>
          <w:sz w:val="16"/>
          <w:szCs w:val="16"/>
          <w:lang w:val="es-ES"/>
        </w:rPr>
        <w:footnoteRef/>
      </w:r>
      <w:r w:rsidRPr="009E1E3D">
        <w:rPr>
          <w:rFonts w:asciiTheme="majorHAnsi" w:hAnsiTheme="majorHAnsi"/>
          <w:sz w:val="16"/>
          <w:szCs w:val="16"/>
          <w:lang w:val="es-ES"/>
        </w:rPr>
        <w:t xml:space="preserve"> ANEXO 18. Escrito titulado “se adiciona orden de allanamiento” suscripto por el Juez penal de San José. Anexo a la comunicación del peticionario del 12 de</w:t>
      </w:r>
      <w:r w:rsidRPr="00C03649">
        <w:rPr>
          <w:rFonts w:asciiTheme="majorHAnsi" w:hAnsiTheme="majorHAnsi"/>
          <w:sz w:val="16"/>
          <w:szCs w:val="16"/>
          <w:lang w:val="es-ES"/>
        </w:rPr>
        <w:t xml:space="preserve"> enero de 2006.  </w:t>
      </w:r>
    </w:p>
  </w:footnote>
  <w:footnote w:id="34">
    <w:p w14:paraId="684AB368" w14:textId="77777777" w:rsidR="00D42427" w:rsidRPr="00C03649" w:rsidRDefault="00D42427" w:rsidP="00D56213">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sz w:val="16"/>
          <w:szCs w:val="16"/>
          <w:lang w:val="es-ES"/>
        </w:rPr>
      </w:pPr>
      <w:r w:rsidRPr="00C03649">
        <w:rPr>
          <w:rStyle w:val="FootnoteReference"/>
          <w:rFonts w:asciiTheme="majorHAnsi" w:hAnsiTheme="majorHAnsi"/>
          <w:color w:val="auto"/>
          <w:sz w:val="16"/>
          <w:szCs w:val="16"/>
        </w:rPr>
        <w:footnoteRef/>
      </w:r>
      <w:r w:rsidRPr="00C03649">
        <w:rPr>
          <w:rFonts w:asciiTheme="majorHAnsi" w:hAnsiTheme="majorHAnsi"/>
          <w:color w:val="auto"/>
          <w:sz w:val="16"/>
          <w:szCs w:val="16"/>
          <w:lang w:val="es-ES"/>
        </w:rPr>
        <w:t xml:space="preserve"> Cfr. Corte IDH, El Derecho a la Información sobre la Asistencia Consular en el Marco de las Garantías del Debido Proceso Legal, Opinión Consultiva OC-16/99 de 1 de octubre de 1999. Serie A No. 16, Párrs. 84 y 124.</w:t>
      </w:r>
    </w:p>
  </w:footnote>
  <w:footnote w:id="35">
    <w:p w14:paraId="14D178CC" w14:textId="77777777" w:rsidR="00D42427" w:rsidRPr="00C03649" w:rsidRDefault="00D42427" w:rsidP="00D56213">
      <w:pPr>
        <w:jc w:val="both"/>
        <w:rPr>
          <w:rFonts w:asciiTheme="majorHAnsi" w:eastAsia="Calibri" w:hAnsiTheme="majorHAnsi" w:cs="Calibri"/>
          <w:color w:val="000000"/>
          <w:sz w:val="16"/>
          <w:szCs w:val="16"/>
          <w:u w:color="000000"/>
          <w:lang w:val="es-ES" w:eastAsia="es-ES"/>
        </w:rPr>
      </w:pPr>
      <w:r w:rsidRPr="00C03649">
        <w:rPr>
          <w:rFonts w:asciiTheme="majorHAnsi" w:eastAsia="Calibri" w:hAnsiTheme="majorHAnsi" w:cs="Calibri"/>
          <w:color w:val="000000"/>
          <w:sz w:val="16"/>
          <w:szCs w:val="16"/>
          <w:u w:color="000000"/>
          <w:vertAlign w:val="superscript"/>
          <w:lang w:val="es-ES" w:eastAsia="es-ES"/>
        </w:rPr>
        <w:footnoteRef/>
      </w:r>
      <w:r w:rsidRPr="00C03649">
        <w:rPr>
          <w:rFonts w:asciiTheme="majorHAnsi" w:eastAsia="Calibri" w:hAnsiTheme="majorHAnsi" w:cs="Calibri"/>
          <w:color w:val="000000"/>
          <w:sz w:val="16"/>
          <w:szCs w:val="16"/>
          <w:u w:color="000000"/>
          <w:vertAlign w:val="superscript"/>
          <w:lang w:val="es-ES" w:eastAsia="es-ES"/>
        </w:rPr>
        <w:t xml:space="preserve"> </w:t>
      </w:r>
      <w:r w:rsidRPr="00C03649">
        <w:rPr>
          <w:rFonts w:asciiTheme="majorHAnsi" w:eastAsia="Calibri" w:hAnsiTheme="majorHAnsi" w:cs="Calibri"/>
          <w:color w:val="000000"/>
          <w:sz w:val="16"/>
          <w:szCs w:val="16"/>
          <w:u w:color="000000"/>
          <w:lang w:val="es-ES" w:eastAsia="es-ES"/>
        </w:rPr>
        <w:t xml:space="preserve">Corte IDH. El derecho a la información sobre la asistencia consular en el marco de las garantías del debido proceso legal. Opinión Consultiva OC-16/99 de 1 de octubre de 1999. Serie A No. 16. Párr. 5. (Énfasis en el original) Ver asimismo Convención de Viena sobre Relaciones Consulares. 24 de abril de 1963, articulo 36.1.b </w:t>
      </w:r>
    </w:p>
  </w:footnote>
  <w:footnote w:id="36">
    <w:p w14:paraId="4313EB26" w14:textId="77777777" w:rsidR="00D42427" w:rsidRPr="00C03649" w:rsidRDefault="00D42427" w:rsidP="00D56213">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sz w:val="16"/>
          <w:szCs w:val="16"/>
          <w:lang w:val="es-AR"/>
        </w:rPr>
      </w:pPr>
      <w:r w:rsidRPr="00C03649">
        <w:rPr>
          <w:rStyle w:val="FootnoteReference"/>
          <w:rFonts w:asciiTheme="majorHAnsi" w:hAnsiTheme="majorHAnsi"/>
          <w:color w:val="auto"/>
          <w:sz w:val="16"/>
          <w:szCs w:val="16"/>
        </w:rPr>
        <w:footnoteRef/>
      </w:r>
      <w:r w:rsidRPr="00C03649">
        <w:rPr>
          <w:rFonts w:asciiTheme="majorHAnsi" w:hAnsiTheme="majorHAnsi"/>
          <w:color w:val="auto"/>
          <w:sz w:val="16"/>
          <w:szCs w:val="16"/>
          <w:lang w:val="es-MX"/>
        </w:rPr>
        <w:t xml:space="preserve"> Convención de Viena sobre Relaciones Consulares. Documento (A/CONF.25/12) (1963) de 24 de abril de 1963, en vigor a partir del 19 de marzo de 1967, y rige desde esa fecha para el Ecuador (que la había ratificado el 11 de marzo de 1965). </w:t>
      </w:r>
      <w:r w:rsidRPr="00C03649">
        <w:rPr>
          <w:rFonts w:asciiTheme="majorHAnsi" w:hAnsiTheme="majorHAnsi" w:cs="Arial"/>
          <w:color w:val="auto"/>
          <w:sz w:val="16"/>
          <w:szCs w:val="16"/>
          <w:shd w:val="clear" w:color="auto" w:fill="FFFFFF"/>
          <w:lang w:val="es-ES"/>
        </w:rPr>
        <w:t xml:space="preserve">Corte IDH. </w:t>
      </w:r>
      <w:r w:rsidRPr="00C03649">
        <w:rPr>
          <w:rFonts w:asciiTheme="majorHAnsi" w:hAnsiTheme="majorHAnsi" w:cs="Arial"/>
          <w:i/>
          <w:color w:val="auto"/>
          <w:sz w:val="16"/>
          <w:szCs w:val="16"/>
          <w:shd w:val="clear" w:color="auto" w:fill="FFFFFF"/>
          <w:lang w:val="es-ES"/>
        </w:rPr>
        <w:t>Caso Vélez Loor Vs. Panamá</w:t>
      </w:r>
      <w:r w:rsidRPr="00C03649">
        <w:rPr>
          <w:rFonts w:asciiTheme="majorHAnsi" w:hAnsiTheme="majorHAnsi" w:cs="Arial"/>
          <w:color w:val="auto"/>
          <w:sz w:val="16"/>
          <w:szCs w:val="16"/>
          <w:shd w:val="clear" w:color="auto" w:fill="FFFFFF"/>
          <w:lang w:val="es-ES"/>
        </w:rPr>
        <w:t>. Excepciones Preliminares, Fondo, Reparaciones y Costas. Sentencia de 23 de noviembre de 2010 Serie C No. 218, párr. 154.</w:t>
      </w:r>
    </w:p>
  </w:footnote>
  <w:footnote w:id="37">
    <w:p w14:paraId="6E30DDC1" w14:textId="77777777" w:rsidR="00D42427" w:rsidRPr="00C03649" w:rsidRDefault="00D42427" w:rsidP="00D56213">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sz w:val="16"/>
          <w:szCs w:val="16"/>
          <w:lang w:val="es-ES"/>
        </w:rPr>
      </w:pPr>
      <w:r w:rsidRPr="00C03649">
        <w:rPr>
          <w:rStyle w:val="FootnoteReference"/>
          <w:rFonts w:asciiTheme="majorHAnsi" w:hAnsiTheme="majorHAnsi"/>
          <w:color w:val="auto"/>
          <w:sz w:val="16"/>
          <w:szCs w:val="16"/>
        </w:rPr>
        <w:footnoteRef/>
      </w:r>
      <w:r w:rsidRPr="0099317A">
        <w:rPr>
          <w:rFonts w:asciiTheme="majorHAnsi" w:hAnsiTheme="majorHAnsi"/>
          <w:color w:val="auto"/>
          <w:sz w:val="16"/>
          <w:szCs w:val="16"/>
          <w:lang w:val="es-US"/>
        </w:rPr>
        <w:t xml:space="preserve"> </w:t>
      </w:r>
      <w:r w:rsidRPr="0099317A">
        <w:rPr>
          <w:rFonts w:asciiTheme="majorHAnsi" w:hAnsiTheme="majorHAnsi" w:cs="Arial"/>
          <w:color w:val="auto"/>
          <w:sz w:val="16"/>
          <w:szCs w:val="16"/>
          <w:shd w:val="clear" w:color="auto" w:fill="FFFFFF"/>
          <w:lang w:val="es-US"/>
        </w:rPr>
        <w:t xml:space="preserve">Corte IDH. Caso Vélez Loor Vs. </w:t>
      </w:r>
      <w:r w:rsidRPr="00C03649">
        <w:rPr>
          <w:rFonts w:asciiTheme="majorHAnsi" w:hAnsiTheme="majorHAnsi" w:cs="Arial"/>
          <w:color w:val="auto"/>
          <w:sz w:val="16"/>
          <w:szCs w:val="16"/>
          <w:shd w:val="clear" w:color="auto" w:fill="FFFFFF"/>
          <w:lang w:val="es-ES"/>
        </w:rPr>
        <w:t>Panamá. Excepciones Preliminares, Fondo, Reparaciones y Costas. Sentencia de 23 de noviembre de 2010 Serie C No. 218, párr. 154.</w:t>
      </w:r>
    </w:p>
  </w:footnote>
  <w:footnote w:id="38">
    <w:p w14:paraId="63B823DB" w14:textId="77777777" w:rsidR="00D42427" w:rsidRPr="00C03649" w:rsidRDefault="00D42427" w:rsidP="00D56213">
      <w:pPr>
        <w:pStyle w:val="FootnoteText"/>
        <w:jc w:val="both"/>
        <w:rPr>
          <w:rFonts w:asciiTheme="majorHAnsi" w:hAnsiTheme="majorHAnsi"/>
          <w:sz w:val="16"/>
          <w:szCs w:val="16"/>
          <w:lang w:val="es-AR"/>
        </w:rPr>
      </w:pPr>
      <w:r w:rsidRPr="00C03649">
        <w:rPr>
          <w:rStyle w:val="FootnoteReference"/>
          <w:rFonts w:asciiTheme="majorHAnsi" w:hAnsiTheme="majorHAnsi"/>
          <w:sz w:val="16"/>
          <w:szCs w:val="16"/>
        </w:rPr>
        <w:footnoteRef/>
      </w:r>
      <w:r w:rsidRPr="00C03649">
        <w:rPr>
          <w:rFonts w:asciiTheme="majorHAnsi" w:hAnsiTheme="majorHAnsi"/>
          <w:sz w:val="16"/>
          <w:szCs w:val="16"/>
          <w:lang w:val="es-AR"/>
        </w:rPr>
        <w:t xml:space="preserve"> </w:t>
      </w:r>
      <w:r w:rsidRPr="00C03649">
        <w:rPr>
          <w:rFonts w:asciiTheme="majorHAnsi" w:hAnsiTheme="majorHAnsi"/>
          <w:sz w:val="16"/>
          <w:szCs w:val="16"/>
          <w:lang w:val="es-ES"/>
        </w:rPr>
        <w:t>Corte IDH. El derecho a la información sobre la asistencia consular en el marco de las garantías del debido proceso legal. Opinión Consultiva OC-16/99 de 1 de octubre de 1999. Serie A No. 16. Párr. 11</w:t>
      </w:r>
      <w:r>
        <w:rPr>
          <w:rFonts w:asciiTheme="majorHAnsi" w:hAnsiTheme="majorHAnsi"/>
          <w:sz w:val="16"/>
          <w:szCs w:val="16"/>
          <w:lang w:val="es-ES"/>
        </w:rPr>
        <w:t>9</w:t>
      </w:r>
      <w:r w:rsidRPr="00C03649">
        <w:rPr>
          <w:rFonts w:asciiTheme="majorHAnsi" w:hAnsiTheme="majorHAnsi"/>
          <w:sz w:val="16"/>
          <w:szCs w:val="16"/>
          <w:lang w:val="es-ES"/>
        </w:rPr>
        <w:t xml:space="preserve">. </w:t>
      </w:r>
    </w:p>
  </w:footnote>
  <w:footnote w:id="39">
    <w:p w14:paraId="2A447462" w14:textId="77777777" w:rsidR="00D42427" w:rsidRPr="00C03649" w:rsidRDefault="00D42427" w:rsidP="00D56213">
      <w:pPr>
        <w:pStyle w:val="FootnoteText"/>
        <w:jc w:val="both"/>
        <w:rPr>
          <w:rFonts w:asciiTheme="majorHAnsi" w:hAnsiTheme="majorHAnsi"/>
          <w:sz w:val="16"/>
          <w:szCs w:val="16"/>
          <w:lang w:val="es-AR"/>
        </w:rPr>
      </w:pPr>
      <w:r w:rsidRPr="00C03649">
        <w:rPr>
          <w:rStyle w:val="FootnoteReference"/>
          <w:rFonts w:asciiTheme="majorHAnsi" w:hAnsiTheme="majorHAnsi"/>
          <w:sz w:val="16"/>
          <w:szCs w:val="16"/>
        </w:rPr>
        <w:footnoteRef/>
      </w:r>
      <w:r w:rsidRPr="00C03649">
        <w:rPr>
          <w:rFonts w:asciiTheme="majorHAnsi" w:hAnsiTheme="majorHAnsi"/>
          <w:sz w:val="16"/>
          <w:szCs w:val="16"/>
          <w:lang w:val="es-AR"/>
        </w:rPr>
        <w:t xml:space="preserve"> </w:t>
      </w:r>
      <w:r w:rsidRPr="00C03649">
        <w:rPr>
          <w:rFonts w:asciiTheme="majorHAnsi" w:hAnsiTheme="majorHAnsi"/>
          <w:sz w:val="16"/>
          <w:szCs w:val="16"/>
          <w:lang w:val="es-ES"/>
        </w:rPr>
        <w:t xml:space="preserve">Corte IDH. El derecho a la información sobre la asistencia consular en el marco de las garantías del debido proceso legal. Opinión Consultiva OC-16/99 de 1 de octubre de 1999. Serie A No. 16. Párr. 106. </w:t>
      </w:r>
    </w:p>
  </w:footnote>
  <w:footnote w:id="40">
    <w:p w14:paraId="1F3195B1" w14:textId="77777777" w:rsidR="00D42427" w:rsidRPr="00C03649" w:rsidRDefault="00D42427" w:rsidP="00D56213">
      <w:pPr>
        <w:pStyle w:val="FootnoteText"/>
        <w:jc w:val="both"/>
        <w:rPr>
          <w:rFonts w:asciiTheme="majorHAnsi" w:hAnsiTheme="majorHAnsi"/>
          <w:sz w:val="16"/>
          <w:szCs w:val="16"/>
          <w:lang w:val="es-ES"/>
        </w:rPr>
      </w:pPr>
      <w:r w:rsidRPr="00C03649">
        <w:rPr>
          <w:rStyle w:val="FootnoteReference"/>
          <w:rFonts w:asciiTheme="majorHAnsi" w:hAnsiTheme="majorHAnsi"/>
          <w:sz w:val="16"/>
          <w:szCs w:val="16"/>
        </w:rPr>
        <w:footnoteRef/>
      </w:r>
      <w:r w:rsidRPr="00C03649">
        <w:rPr>
          <w:rFonts w:asciiTheme="majorHAnsi" w:hAnsiTheme="majorHAnsi"/>
          <w:sz w:val="16"/>
          <w:szCs w:val="16"/>
          <w:lang w:val="es-AR"/>
        </w:rPr>
        <w:t xml:space="preserve"> </w:t>
      </w:r>
      <w:r w:rsidRPr="00C03649">
        <w:rPr>
          <w:rFonts w:asciiTheme="majorHAnsi" w:hAnsiTheme="majorHAnsi"/>
          <w:sz w:val="16"/>
          <w:szCs w:val="16"/>
          <w:lang w:val="es-ES"/>
        </w:rPr>
        <w:t xml:space="preserve">Corte IDH. El derecho a la información sobre la asistencia consular en el marco de las garantías del debido proceso legal. Opinión Consultiva OC-16/99 de 1 de octubre de 1999. Serie A No. 16. Párr. 89. </w:t>
      </w:r>
    </w:p>
  </w:footnote>
  <w:footnote w:id="41">
    <w:p w14:paraId="4C4862B8" w14:textId="77777777" w:rsidR="00D42427" w:rsidRPr="009E1E3D" w:rsidRDefault="00D42427" w:rsidP="00D56213">
      <w:pPr>
        <w:jc w:val="both"/>
        <w:rPr>
          <w:rFonts w:asciiTheme="majorHAnsi" w:hAnsiTheme="majorHAnsi"/>
          <w:sz w:val="16"/>
          <w:szCs w:val="16"/>
          <w:lang w:val="es-AR"/>
        </w:rPr>
      </w:pPr>
      <w:r w:rsidRPr="00C03649">
        <w:rPr>
          <w:rFonts w:asciiTheme="majorHAnsi" w:eastAsia="Calibri" w:hAnsiTheme="majorHAnsi" w:cs="Calibri"/>
          <w:color w:val="000000"/>
          <w:sz w:val="16"/>
          <w:szCs w:val="16"/>
          <w:u w:color="000000"/>
          <w:bdr w:val="nil"/>
          <w:vertAlign w:val="superscript"/>
          <w:lang w:val="es-ES" w:eastAsia="es-ES"/>
        </w:rPr>
        <w:footnoteRef/>
      </w:r>
      <w:r w:rsidRPr="00C03649">
        <w:rPr>
          <w:rFonts w:asciiTheme="majorHAnsi" w:eastAsia="Calibri" w:hAnsiTheme="majorHAnsi" w:cs="Calibri"/>
          <w:color w:val="000000"/>
          <w:sz w:val="16"/>
          <w:szCs w:val="16"/>
          <w:u w:color="000000"/>
          <w:bdr w:val="nil"/>
          <w:vertAlign w:val="superscript"/>
          <w:lang w:val="es-ES" w:eastAsia="es-ES"/>
        </w:rPr>
        <w:t xml:space="preserve"> </w:t>
      </w:r>
      <w:r w:rsidRPr="00C03649">
        <w:rPr>
          <w:rFonts w:asciiTheme="majorHAnsi" w:eastAsia="Calibri" w:hAnsiTheme="majorHAnsi" w:cs="Calibri"/>
          <w:color w:val="000000"/>
          <w:sz w:val="16"/>
          <w:szCs w:val="16"/>
          <w:u w:color="000000"/>
          <w:bdr w:val="nil"/>
          <w:lang w:val="es-ES" w:eastAsia="es-ES"/>
        </w:rPr>
        <w:t xml:space="preserve">Corte IDH. Caso Chaparro Álvarez y Lapo Íñiguez Vs. Ecuador. Excepciones Preliminares, Fondo, Reparaciones y Costas. Sentencia de 21 </w:t>
      </w:r>
      <w:r w:rsidRPr="009E1E3D">
        <w:rPr>
          <w:rFonts w:asciiTheme="majorHAnsi" w:eastAsia="Calibri" w:hAnsiTheme="majorHAnsi" w:cs="Calibri"/>
          <w:color w:val="000000"/>
          <w:sz w:val="16"/>
          <w:szCs w:val="16"/>
          <w:u w:color="000000"/>
          <w:bdr w:val="nil"/>
          <w:lang w:val="es-ES" w:eastAsia="es-ES"/>
        </w:rPr>
        <w:t>de noviembre de 2007. Serie C No. 170. Párr. 73.</w:t>
      </w:r>
      <w:r w:rsidRPr="009E1E3D">
        <w:rPr>
          <w:rFonts w:asciiTheme="majorHAnsi" w:hAnsiTheme="majorHAnsi" w:cs="Arial"/>
          <w:color w:val="494848"/>
          <w:sz w:val="16"/>
          <w:szCs w:val="16"/>
          <w:shd w:val="clear" w:color="auto" w:fill="FFFFFF"/>
          <w:lang w:val="es-AR"/>
        </w:rPr>
        <w:t xml:space="preserve"> </w:t>
      </w:r>
    </w:p>
  </w:footnote>
  <w:footnote w:id="42">
    <w:p w14:paraId="10000842" w14:textId="77777777" w:rsidR="00D42427" w:rsidRPr="009E1E3D" w:rsidRDefault="00D42427" w:rsidP="00D56213">
      <w:pPr>
        <w:pStyle w:val="FootnoteText"/>
        <w:jc w:val="both"/>
        <w:rPr>
          <w:rFonts w:asciiTheme="majorHAnsi" w:hAnsiTheme="majorHAnsi"/>
          <w:sz w:val="16"/>
          <w:szCs w:val="16"/>
          <w:lang w:val="es-ES"/>
        </w:rPr>
      </w:pPr>
      <w:r w:rsidRPr="009E1E3D">
        <w:rPr>
          <w:rStyle w:val="FootnoteReference"/>
          <w:rFonts w:asciiTheme="majorHAnsi" w:hAnsiTheme="majorHAnsi"/>
          <w:sz w:val="16"/>
          <w:szCs w:val="16"/>
          <w:lang w:val="es-ES"/>
        </w:rPr>
        <w:footnoteRef/>
      </w:r>
      <w:r w:rsidRPr="009E1E3D">
        <w:rPr>
          <w:rFonts w:asciiTheme="majorHAnsi" w:hAnsiTheme="majorHAnsi"/>
          <w:sz w:val="16"/>
          <w:szCs w:val="16"/>
          <w:lang w:val="es-ES"/>
        </w:rPr>
        <w:t xml:space="preserve"> ANEXO 19. Copia de pasaporte de los Estados Unidos de América expedido el día 28 de junio de 1996 a nombre de Thomas Scott Cochran. Anexo a la comunicación de la parte peticionaria de fecha 12 de enero de 2006; </w:t>
      </w:r>
    </w:p>
  </w:footnote>
  <w:footnote w:id="43">
    <w:p w14:paraId="6C499687" w14:textId="77777777" w:rsidR="00D42427" w:rsidRPr="009E1E3D" w:rsidRDefault="00D42427" w:rsidP="00D56213">
      <w:pPr>
        <w:pStyle w:val="FootnoteText"/>
        <w:jc w:val="both"/>
        <w:rPr>
          <w:rFonts w:asciiTheme="majorHAnsi" w:hAnsiTheme="majorHAnsi"/>
          <w:sz w:val="16"/>
          <w:szCs w:val="16"/>
          <w:highlight w:val="yellow"/>
          <w:lang w:val="es-ES"/>
        </w:rPr>
      </w:pPr>
      <w:r w:rsidRPr="009E1E3D">
        <w:rPr>
          <w:rStyle w:val="FootnoteReference"/>
          <w:rFonts w:asciiTheme="majorHAnsi" w:hAnsiTheme="majorHAnsi"/>
          <w:sz w:val="16"/>
          <w:szCs w:val="16"/>
          <w:lang w:val="es-ES"/>
        </w:rPr>
        <w:footnoteRef/>
      </w:r>
      <w:r w:rsidRPr="009E1E3D">
        <w:rPr>
          <w:rFonts w:asciiTheme="majorHAnsi" w:hAnsiTheme="majorHAnsi"/>
          <w:sz w:val="16"/>
          <w:szCs w:val="16"/>
          <w:lang w:val="es-ES"/>
        </w:rPr>
        <w:t xml:space="preserve"> ANEXO 20. Acta de allanamiento al domicilio de Thomas Cochran de fecha 19 de enero de 2003. Anexo a la comunicación de la parte peticionaria de fecha 18 de julio de 2006. ANEXO 21. Informe Nro. 016 DSFV-CI-03 suscripto por la Sección de Delitos Sexuales, Familia y Contra la Vida del Organismo de Investigación Judicial de fecha 20 de enero de 2003. Anexo a la comunicación de la parte peticionaria de fecha 18 de julio de 2006. </w:t>
      </w:r>
    </w:p>
  </w:footnote>
  <w:footnote w:id="44">
    <w:p w14:paraId="5E20AEFB" w14:textId="77777777" w:rsidR="00D42427" w:rsidRPr="00C03649" w:rsidRDefault="00D42427" w:rsidP="00D56213">
      <w:pPr>
        <w:pStyle w:val="FootnoteText"/>
        <w:jc w:val="both"/>
        <w:rPr>
          <w:rFonts w:asciiTheme="majorHAnsi" w:hAnsiTheme="majorHAnsi"/>
          <w:sz w:val="16"/>
          <w:szCs w:val="16"/>
          <w:lang w:val="es-AR"/>
        </w:rPr>
      </w:pPr>
      <w:r w:rsidRPr="009E1E3D">
        <w:rPr>
          <w:rStyle w:val="FootnoteReference"/>
          <w:rFonts w:asciiTheme="majorHAnsi" w:hAnsiTheme="majorHAnsi"/>
          <w:sz w:val="16"/>
          <w:szCs w:val="16"/>
        </w:rPr>
        <w:footnoteRef/>
      </w:r>
      <w:r w:rsidRPr="009E1E3D">
        <w:rPr>
          <w:rFonts w:asciiTheme="majorHAnsi" w:hAnsiTheme="majorHAnsi"/>
          <w:sz w:val="16"/>
          <w:szCs w:val="16"/>
          <w:lang w:val="es-AR"/>
        </w:rPr>
        <w:t xml:space="preserve"> </w:t>
      </w:r>
      <w:r w:rsidRPr="009E1E3D">
        <w:rPr>
          <w:rFonts w:asciiTheme="majorHAnsi" w:hAnsiTheme="majorHAnsi"/>
          <w:sz w:val="16"/>
          <w:szCs w:val="16"/>
          <w:lang w:val="es-ES"/>
        </w:rPr>
        <w:t>Corte IDH. El derecho a la información sobre la asistencia consular</w:t>
      </w:r>
      <w:r w:rsidRPr="00C03649">
        <w:rPr>
          <w:rFonts w:asciiTheme="majorHAnsi" w:hAnsiTheme="majorHAnsi"/>
          <w:sz w:val="16"/>
          <w:szCs w:val="16"/>
          <w:lang w:val="es-ES"/>
        </w:rPr>
        <w:t xml:space="preserve"> en el marco de las garantías del debido proceso legal. Opinión Consultiva OC-16/99 de 1 de octubre de 1999. Serie A No. 16. Párr. 5</w:t>
      </w:r>
    </w:p>
  </w:footnote>
  <w:footnote w:id="45">
    <w:p w14:paraId="26E5A96E" w14:textId="77777777" w:rsidR="00D42427" w:rsidRPr="0030439C" w:rsidRDefault="00D42427" w:rsidP="00E55FCF">
      <w:pPr>
        <w:pStyle w:val="FootnoteText"/>
        <w:jc w:val="both"/>
        <w:rPr>
          <w:rFonts w:ascii="Cambria" w:hAnsi="Cambria"/>
          <w:sz w:val="16"/>
          <w:szCs w:val="16"/>
          <w:lang w:val="es-AR"/>
        </w:rPr>
      </w:pPr>
      <w:r w:rsidRPr="0030439C">
        <w:rPr>
          <w:rStyle w:val="FootnoteReference"/>
          <w:rFonts w:ascii="Cambria" w:hAnsi="Cambria"/>
          <w:sz w:val="16"/>
          <w:szCs w:val="16"/>
        </w:rPr>
        <w:footnoteRef/>
      </w:r>
      <w:r w:rsidRPr="00E55FCF">
        <w:rPr>
          <w:rFonts w:ascii="Cambria" w:hAnsi="Cambria"/>
          <w:sz w:val="16"/>
          <w:szCs w:val="16"/>
          <w:lang w:val="pt-BR"/>
        </w:rPr>
        <w:t xml:space="preserve"> </w:t>
      </w:r>
      <w:r w:rsidRPr="00E55FCF">
        <w:rPr>
          <w:rFonts w:ascii="Cambria" w:hAnsi="Cambria" w:cs="Arial"/>
          <w:color w:val="auto"/>
          <w:sz w:val="16"/>
          <w:szCs w:val="16"/>
          <w:shd w:val="clear" w:color="auto" w:fill="FFFFFF"/>
          <w:lang w:val="pt-BR"/>
        </w:rPr>
        <w:t xml:space="preserve">Corte IDH. </w:t>
      </w:r>
      <w:r w:rsidRPr="00E55FCF">
        <w:rPr>
          <w:rFonts w:ascii="Cambria" w:hAnsi="Cambria" w:cs="Arial"/>
          <w:i/>
          <w:color w:val="auto"/>
          <w:sz w:val="16"/>
          <w:szCs w:val="16"/>
          <w:shd w:val="clear" w:color="auto" w:fill="FFFFFF"/>
          <w:lang w:val="pt-BR"/>
        </w:rPr>
        <w:t xml:space="preserve">Caso Vélez Loor Vs. </w:t>
      </w:r>
      <w:r w:rsidRPr="0030439C">
        <w:rPr>
          <w:rFonts w:ascii="Cambria" w:hAnsi="Cambria" w:cs="Arial"/>
          <w:i/>
          <w:color w:val="auto"/>
          <w:sz w:val="16"/>
          <w:szCs w:val="16"/>
          <w:shd w:val="clear" w:color="auto" w:fill="FFFFFF"/>
          <w:lang w:val="es-ES"/>
        </w:rPr>
        <w:t>Panamá</w:t>
      </w:r>
      <w:r w:rsidRPr="0030439C">
        <w:rPr>
          <w:rFonts w:ascii="Cambria" w:hAnsi="Cambria" w:cs="Arial"/>
          <w:color w:val="auto"/>
          <w:sz w:val="16"/>
          <w:szCs w:val="16"/>
          <w:shd w:val="clear" w:color="auto" w:fill="FFFFFF"/>
          <w:lang w:val="es-ES"/>
        </w:rPr>
        <w:t xml:space="preserve">. Excepciones Preliminares, Fondo, Reparaciones y Costas. Sentencia de 23 de noviembre de </w:t>
      </w:r>
      <w:r>
        <w:rPr>
          <w:rFonts w:ascii="Cambria" w:hAnsi="Cambria" w:cs="Arial"/>
          <w:color w:val="auto"/>
          <w:sz w:val="16"/>
          <w:szCs w:val="16"/>
          <w:shd w:val="clear" w:color="auto" w:fill="FFFFFF"/>
          <w:lang w:val="es-ES"/>
        </w:rPr>
        <w:t>2010 Serie C No. 218, párr. 149</w:t>
      </w:r>
      <w:r w:rsidRPr="0030439C">
        <w:rPr>
          <w:rFonts w:ascii="Cambria" w:hAnsi="Cambria" w:cs="Arial"/>
          <w:color w:val="auto"/>
          <w:sz w:val="16"/>
          <w:szCs w:val="16"/>
          <w:shd w:val="clear" w:color="auto" w:fill="FFFFFF"/>
          <w:lang w:val="es-ES"/>
        </w:rPr>
        <w:t xml:space="preserve">. </w:t>
      </w:r>
    </w:p>
  </w:footnote>
  <w:footnote w:id="46">
    <w:p w14:paraId="53A1970F" w14:textId="77777777" w:rsidR="00D42427" w:rsidRPr="0030439C" w:rsidRDefault="00D42427" w:rsidP="00E55FCF">
      <w:pPr>
        <w:pStyle w:val="FootnoteText"/>
        <w:jc w:val="both"/>
        <w:rPr>
          <w:rFonts w:ascii="Cambria" w:hAnsi="Cambria"/>
          <w:sz w:val="16"/>
          <w:szCs w:val="16"/>
          <w:lang w:val="es-AR"/>
        </w:rPr>
      </w:pPr>
      <w:r w:rsidRPr="0030439C">
        <w:rPr>
          <w:rStyle w:val="FootnoteReference"/>
          <w:rFonts w:ascii="Cambria" w:hAnsi="Cambria"/>
          <w:sz w:val="16"/>
          <w:szCs w:val="16"/>
        </w:rPr>
        <w:footnoteRef/>
      </w:r>
      <w:r w:rsidRPr="0030439C">
        <w:rPr>
          <w:rFonts w:ascii="Cambria" w:hAnsi="Cambria"/>
          <w:sz w:val="16"/>
          <w:szCs w:val="16"/>
          <w:lang w:val="es-AR"/>
        </w:rPr>
        <w:t xml:space="preserve"> </w:t>
      </w:r>
      <w:r w:rsidRPr="0030439C">
        <w:rPr>
          <w:rFonts w:ascii="Cambria" w:hAnsi="Cambria" w:cs="Arial"/>
          <w:color w:val="auto"/>
          <w:sz w:val="16"/>
          <w:szCs w:val="16"/>
          <w:shd w:val="clear" w:color="auto" w:fill="FFFFFF"/>
          <w:lang w:val="es-ES"/>
        </w:rPr>
        <w:t xml:space="preserve">Corte IDH. </w:t>
      </w:r>
      <w:r w:rsidRPr="0030439C">
        <w:rPr>
          <w:rFonts w:ascii="Cambria" w:hAnsi="Cambria" w:cs="Arial"/>
          <w:i/>
          <w:color w:val="auto"/>
          <w:sz w:val="16"/>
          <w:szCs w:val="16"/>
          <w:shd w:val="clear" w:color="auto" w:fill="FFFFFF"/>
          <w:lang w:val="es-ES"/>
        </w:rPr>
        <w:t>Caso Vélez Loor Vs. Panamá</w:t>
      </w:r>
      <w:r w:rsidRPr="0030439C">
        <w:rPr>
          <w:rFonts w:ascii="Cambria" w:hAnsi="Cambria" w:cs="Arial"/>
          <w:color w:val="auto"/>
          <w:sz w:val="16"/>
          <w:szCs w:val="16"/>
          <w:shd w:val="clear" w:color="auto" w:fill="FFFFFF"/>
          <w:lang w:val="es-ES"/>
        </w:rPr>
        <w:t>. Excepciones Preliminares, Fondo, Reparaciones y Costas. Sentencia de 23 de noviembre de 2010 Serie C No. 218, párr. 155</w:t>
      </w:r>
    </w:p>
  </w:footnote>
  <w:footnote w:id="47">
    <w:p w14:paraId="792CF9D4" w14:textId="77777777" w:rsidR="00D42427" w:rsidRPr="0030439C" w:rsidRDefault="00D42427" w:rsidP="00E55FCF">
      <w:pPr>
        <w:pStyle w:val="FootnoteText"/>
        <w:jc w:val="both"/>
        <w:rPr>
          <w:lang w:val="es-AR"/>
        </w:rPr>
      </w:pPr>
      <w:r w:rsidRPr="0030439C">
        <w:rPr>
          <w:rStyle w:val="FootnoteReference"/>
          <w:rFonts w:ascii="Cambria" w:hAnsi="Cambria"/>
          <w:sz w:val="16"/>
          <w:szCs w:val="16"/>
        </w:rPr>
        <w:footnoteRef/>
      </w:r>
      <w:r w:rsidRPr="0030439C">
        <w:rPr>
          <w:rFonts w:ascii="Cambria" w:hAnsi="Cambria"/>
          <w:sz w:val="16"/>
          <w:szCs w:val="16"/>
          <w:lang w:val="es-AR"/>
        </w:rPr>
        <w:t xml:space="preserve"> </w:t>
      </w:r>
      <w:r w:rsidRPr="0030439C">
        <w:rPr>
          <w:rFonts w:ascii="Cambria" w:hAnsi="Cambria" w:cs="Arial"/>
          <w:color w:val="auto"/>
          <w:sz w:val="16"/>
          <w:szCs w:val="16"/>
          <w:shd w:val="clear" w:color="auto" w:fill="FFFFFF"/>
          <w:lang w:val="es-ES"/>
        </w:rPr>
        <w:t xml:space="preserve">Corte IDH. </w:t>
      </w:r>
      <w:r w:rsidRPr="0030439C">
        <w:rPr>
          <w:rFonts w:ascii="Cambria" w:hAnsi="Cambria" w:cs="Arial"/>
          <w:i/>
          <w:color w:val="auto"/>
          <w:sz w:val="16"/>
          <w:szCs w:val="16"/>
          <w:shd w:val="clear" w:color="auto" w:fill="FFFFFF"/>
          <w:lang w:val="es-ES"/>
        </w:rPr>
        <w:t>Caso Vélez Loor Vs. Panamá</w:t>
      </w:r>
      <w:r w:rsidRPr="0030439C">
        <w:rPr>
          <w:rFonts w:ascii="Cambria" w:hAnsi="Cambria" w:cs="Arial"/>
          <w:color w:val="auto"/>
          <w:sz w:val="16"/>
          <w:szCs w:val="16"/>
          <w:shd w:val="clear" w:color="auto" w:fill="FFFFFF"/>
          <w:lang w:val="es-ES"/>
        </w:rPr>
        <w:t>. Excepciones Preliminares, Fondo, Reparaciones y Costas. Sentencia de 23 de noviembre de 2010 Serie C No. 218, párr. 160.</w:t>
      </w:r>
      <w:r>
        <w:rPr>
          <w:rFonts w:asciiTheme="majorHAnsi" w:hAnsiTheme="majorHAnsi" w:cs="Arial"/>
          <w:color w:val="auto"/>
          <w:sz w:val="16"/>
          <w:szCs w:val="16"/>
          <w:shd w:val="clear" w:color="auto" w:fill="FFFFFF"/>
          <w:lang w:val="es-ES"/>
        </w:rPr>
        <w:t xml:space="preserve"> </w:t>
      </w:r>
    </w:p>
  </w:footnote>
  <w:footnote w:id="48">
    <w:p w14:paraId="4D7942FC" w14:textId="77777777" w:rsidR="00D42427" w:rsidRPr="00C03649" w:rsidRDefault="00D42427" w:rsidP="00D56213">
      <w:pPr>
        <w:tabs>
          <w:tab w:val="left" w:pos="0"/>
          <w:tab w:val="left" w:pos="567"/>
        </w:tabs>
        <w:jc w:val="both"/>
        <w:rPr>
          <w:rFonts w:asciiTheme="majorHAnsi" w:hAnsiTheme="majorHAnsi"/>
          <w:sz w:val="16"/>
          <w:szCs w:val="16"/>
          <w:lang w:val="es-US"/>
        </w:rPr>
      </w:pPr>
      <w:r w:rsidRPr="00C03649">
        <w:rPr>
          <w:rStyle w:val="FootnoteReference"/>
          <w:rFonts w:asciiTheme="majorHAnsi" w:hAnsiTheme="majorHAnsi"/>
          <w:sz w:val="16"/>
          <w:szCs w:val="16"/>
        </w:rPr>
        <w:footnoteRef/>
      </w:r>
      <w:r w:rsidRPr="00C03649">
        <w:rPr>
          <w:rFonts w:asciiTheme="majorHAnsi" w:hAnsiTheme="majorHAnsi"/>
          <w:sz w:val="16"/>
          <w:szCs w:val="16"/>
          <w:lang w:val="es-US"/>
        </w:rPr>
        <w:t xml:space="preserve"> Corte IDH. Caso López Álvarez Vs. </w:t>
      </w:r>
      <w:r w:rsidRPr="00C03649">
        <w:rPr>
          <w:rFonts w:asciiTheme="majorHAnsi" w:hAnsiTheme="majorHAnsi"/>
          <w:sz w:val="16"/>
          <w:szCs w:val="16"/>
          <w:lang w:val="es-ES"/>
        </w:rPr>
        <w:t>Honduras. Fondo, Reparaciones y Costas. Sentencia de 1 de febrero de 2006. Serie C No. 141</w:t>
      </w:r>
      <w:r w:rsidRPr="00C03649">
        <w:rPr>
          <w:rFonts w:asciiTheme="majorHAnsi" w:hAnsiTheme="majorHAnsi" w:cs="Times"/>
          <w:sz w:val="16"/>
          <w:szCs w:val="16"/>
          <w:lang w:val="es-ES"/>
        </w:rPr>
        <w:t xml:space="preserve">, </w:t>
      </w:r>
      <w:r w:rsidRPr="00C03649">
        <w:rPr>
          <w:rFonts w:asciiTheme="majorHAnsi" w:hAnsiTheme="majorHAnsi"/>
          <w:sz w:val="16"/>
          <w:szCs w:val="16"/>
          <w:lang w:val="es-CO"/>
        </w:rPr>
        <w:t xml:space="preserve">párr. 67; </w:t>
      </w:r>
      <w:r w:rsidRPr="00C03649">
        <w:rPr>
          <w:rFonts w:asciiTheme="majorHAnsi" w:hAnsiTheme="majorHAnsi"/>
          <w:sz w:val="16"/>
          <w:szCs w:val="16"/>
          <w:lang w:val="es-ES"/>
        </w:rPr>
        <w:t xml:space="preserve">Corte IDH. </w:t>
      </w:r>
      <w:r w:rsidRPr="00C03649">
        <w:rPr>
          <w:rFonts w:asciiTheme="majorHAnsi" w:hAnsiTheme="majorHAnsi" w:cs="Times"/>
          <w:iCs/>
          <w:sz w:val="16"/>
          <w:szCs w:val="16"/>
          <w:lang w:val="es-ES"/>
        </w:rPr>
        <w:t>Caso García Asto y Ramírez Rojas</w:t>
      </w:r>
      <w:r w:rsidRPr="00C03649">
        <w:rPr>
          <w:rFonts w:asciiTheme="majorHAnsi" w:hAnsiTheme="majorHAnsi" w:cs="Times"/>
          <w:sz w:val="16"/>
          <w:szCs w:val="16"/>
          <w:lang w:val="es-ES"/>
        </w:rPr>
        <w:t xml:space="preserve">.  Sentencia de 25 de noviembre de 2005. </w:t>
      </w:r>
      <w:r w:rsidRPr="0099317A">
        <w:rPr>
          <w:rFonts w:asciiTheme="majorHAnsi" w:hAnsiTheme="majorHAnsi" w:cs="Times"/>
          <w:sz w:val="16"/>
          <w:szCs w:val="16"/>
          <w:lang w:val="es-ES"/>
        </w:rPr>
        <w:t xml:space="preserve">Serie C No. 137, </w:t>
      </w:r>
      <w:r w:rsidRPr="0099317A">
        <w:rPr>
          <w:rFonts w:asciiTheme="majorHAnsi" w:hAnsiTheme="majorHAnsi"/>
          <w:sz w:val="16"/>
          <w:szCs w:val="16"/>
          <w:lang w:val="es-ES"/>
        </w:rPr>
        <w:t xml:space="preserve">párr. 106; Corte IDH. Caso Palamara Iribarne Vs. </w:t>
      </w:r>
      <w:r w:rsidRPr="00C03649">
        <w:rPr>
          <w:rFonts w:asciiTheme="majorHAnsi" w:hAnsiTheme="majorHAnsi"/>
          <w:sz w:val="16"/>
          <w:szCs w:val="16"/>
          <w:lang w:val="es-ES"/>
        </w:rPr>
        <w:t>Chile. Fondo, Reparaciones y Costas. Sentencia de 22 de noviembre de 2005. Serie C No. 135</w:t>
      </w:r>
      <w:r w:rsidRPr="00C03649">
        <w:rPr>
          <w:rFonts w:asciiTheme="majorHAnsi" w:hAnsiTheme="majorHAnsi" w:cs="Times"/>
          <w:sz w:val="16"/>
          <w:szCs w:val="16"/>
          <w:lang w:val="es-ES"/>
        </w:rPr>
        <w:t xml:space="preserve">, </w:t>
      </w:r>
      <w:r w:rsidRPr="00C03649">
        <w:rPr>
          <w:rFonts w:asciiTheme="majorHAnsi" w:hAnsiTheme="majorHAnsi"/>
          <w:sz w:val="16"/>
          <w:szCs w:val="16"/>
          <w:lang w:val="es-ES"/>
        </w:rPr>
        <w:t>párr. 197; y Corte IDH. Caso Acosta Calderón Vs. Ecuador. Fondo, Reparaciones y Costas. Sentencia de 24 de junio de 2005. Serie C No. 129</w:t>
      </w:r>
      <w:r w:rsidRPr="00C03649">
        <w:rPr>
          <w:rFonts w:asciiTheme="majorHAnsi" w:hAnsiTheme="majorHAnsi" w:cs="Times"/>
          <w:sz w:val="16"/>
          <w:szCs w:val="16"/>
          <w:lang w:val="es-ES"/>
        </w:rPr>
        <w:t>, p</w:t>
      </w:r>
      <w:r w:rsidRPr="00C03649">
        <w:rPr>
          <w:rFonts w:asciiTheme="majorHAnsi" w:hAnsiTheme="majorHAnsi"/>
          <w:sz w:val="16"/>
          <w:szCs w:val="16"/>
          <w:lang w:val="es-ES"/>
        </w:rPr>
        <w:t>árr. 74.</w:t>
      </w:r>
    </w:p>
  </w:footnote>
  <w:footnote w:id="49">
    <w:p w14:paraId="400B98E3" w14:textId="77777777" w:rsidR="00D42427" w:rsidRPr="00C03649" w:rsidRDefault="00D42427" w:rsidP="00D56213">
      <w:pPr>
        <w:tabs>
          <w:tab w:val="left" w:pos="0"/>
          <w:tab w:val="left" w:pos="567"/>
        </w:tabs>
        <w:jc w:val="both"/>
        <w:rPr>
          <w:rFonts w:asciiTheme="majorHAnsi" w:hAnsiTheme="majorHAnsi"/>
          <w:sz w:val="16"/>
          <w:szCs w:val="16"/>
          <w:lang w:val="es-ES"/>
        </w:rPr>
      </w:pPr>
      <w:r w:rsidRPr="00C03649">
        <w:rPr>
          <w:rStyle w:val="FootnoteReference"/>
          <w:rFonts w:asciiTheme="majorHAnsi" w:hAnsiTheme="majorHAnsi"/>
          <w:sz w:val="16"/>
          <w:szCs w:val="16"/>
        </w:rPr>
        <w:footnoteRef/>
      </w:r>
      <w:r w:rsidRPr="0099317A">
        <w:rPr>
          <w:rFonts w:asciiTheme="majorHAnsi" w:hAnsiTheme="majorHAnsi"/>
          <w:sz w:val="16"/>
          <w:szCs w:val="16"/>
          <w:lang w:val="es-US"/>
        </w:rPr>
        <w:t xml:space="preserve"> Corte IDH. Caso Suárez Rosero Vs. </w:t>
      </w:r>
      <w:r w:rsidRPr="00C03649">
        <w:rPr>
          <w:rFonts w:asciiTheme="majorHAnsi" w:hAnsiTheme="majorHAnsi"/>
          <w:sz w:val="16"/>
          <w:szCs w:val="16"/>
          <w:lang w:val="es-ES"/>
        </w:rPr>
        <w:t>Ecuador. Fondo. Sentencia de 12 de noviembre de 1997. Serie C No. 35, párr. 77.</w:t>
      </w:r>
    </w:p>
  </w:footnote>
  <w:footnote w:id="50">
    <w:p w14:paraId="17F5000E" w14:textId="77777777" w:rsidR="00D42427" w:rsidRPr="00C03649" w:rsidRDefault="00D42427" w:rsidP="00D56213">
      <w:pPr>
        <w:tabs>
          <w:tab w:val="left" w:pos="0"/>
          <w:tab w:val="left" w:pos="567"/>
        </w:tabs>
        <w:jc w:val="both"/>
        <w:rPr>
          <w:rFonts w:asciiTheme="majorHAnsi" w:hAnsiTheme="majorHAnsi"/>
          <w:sz w:val="16"/>
          <w:szCs w:val="16"/>
          <w:lang w:val="es-US"/>
        </w:rPr>
      </w:pPr>
      <w:r w:rsidRPr="00C03649">
        <w:rPr>
          <w:rStyle w:val="FootnoteReference"/>
          <w:rFonts w:asciiTheme="majorHAnsi" w:hAnsiTheme="majorHAnsi"/>
          <w:sz w:val="16"/>
          <w:szCs w:val="16"/>
        </w:rPr>
        <w:footnoteRef/>
      </w:r>
      <w:r w:rsidRPr="0099317A">
        <w:rPr>
          <w:rFonts w:asciiTheme="majorHAnsi" w:hAnsiTheme="majorHAnsi"/>
          <w:sz w:val="16"/>
          <w:szCs w:val="16"/>
          <w:lang w:val="es-ES"/>
        </w:rPr>
        <w:t xml:space="preserve"> Corte IDH.</w:t>
      </w:r>
      <w:r>
        <w:rPr>
          <w:rFonts w:asciiTheme="majorHAnsi" w:hAnsiTheme="majorHAnsi"/>
          <w:sz w:val="16"/>
          <w:szCs w:val="16"/>
          <w:lang w:val="es-ES"/>
        </w:rPr>
        <w:t xml:space="preserve"> </w:t>
      </w:r>
      <w:r w:rsidRPr="0099317A">
        <w:rPr>
          <w:rFonts w:asciiTheme="majorHAnsi" w:hAnsiTheme="majorHAnsi" w:cs="Times"/>
          <w:iCs/>
          <w:sz w:val="16"/>
          <w:szCs w:val="16"/>
          <w:lang w:val="es-ES"/>
        </w:rPr>
        <w:t>Caso</w:t>
      </w:r>
      <w:r w:rsidRPr="0099317A">
        <w:rPr>
          <w:rFonts w:asciiTheme="majorHAnsi" w:hAnsiTheme="majorHAnsi" w:cs="Times"/>
          <w:sz w:val="16"/>
          <w:szCs w:val="16"/>
          <w:lang w:val="es-ES"/>
        </w:rPr>
        <w:t xml:space="preserve"> </w:t>
      </w:r>
      <w:r w:rsidRPr="0099317A">
        <w:rPr>
          <w:rFonts w:asciiTheme="majorHAnsi" w:hAnsiTheme="majorHAnsi" w:cs="Times"/>
          <w:iCs/>
          <w:sz w:val="16"/>
          <w:szCs w:val="16"/>
          <w:lang w:val="es-ES"/>
        </w:rPr>
        <w:t>López Álvarez</w:t>
      </w:r>
      <w:r w:rsidRPr="0099317A">
        <w:rPr>
          <w:rFonts w:asciiTheme="majorHAnsi" w:hAnsiTheme="majorHAnsi" w:cs="Times"/>
          <w:sz w:val="16"/>
          <w:szCs w:val="16"/>
          <w:lang w:val="es-ES"/>
        </w:rPr>
        <w:t xml:space="preserve">. </w:t>
      </w:r>
      <w:r w:rsidRPr="00C03649">
        <w:rPr>
          <w:rFonts w:asciiTheme="majorHAnsi" w:hAnsiTheme="majorHAnsi" w:cs="Times"/>
          <w:sz w:val="16"/>
          <w:szCs w:val="16"/>
          <w:lang w:val="es-ES"/>
        </w:rPr>
        <w:t xml:space="preserve">Sentencia de 1º de febrero de 2006. </w:t>
      </w:r>
      <w:r w:rsidRPr="00C03649">
        <w:rPr>
          <w:rFonts w:asciiTheme="majorHAnsi" w:hAnsiTheme="majorHAnsi" w:cs="Times"/>
          <w:sz w:val="16"/>
          <w:szCs w:val="16"/>
          <w:lang w:val="pt-BR"/>
        </w:rPr>
        <w:t xml:space="preserve">Serie C No. 141, </w:t>
      </w:r>
      <w:r w:rsidRPr="00C03649">
        <w:rPr>
          <w:rFonts w:asciiTheme="majorHAnsi" w:hAnsiTheme="majorHAnsi"/>
          <w:sz w:val="16"/>
          <w:szCs w:val="16"/>
          <w:lang w:val="pt-BR"/>
        </w:rPr>
        <w:t xml:space="preserve">párr. 67; Corte IDH. Caso Palamara Iribarne Vs. </w:t>
      </w:r>
      <w:r w:rsidRPr="00C03649">
        <w:rPr>
          <w:rFonts w:asciiTheme="majorHAnsi" w:hAnsiTheme="majorHAnsi"/>
          <w:sz w:val="16"/>
          <w:szCs w:val="16"/>
          <w:lang w:val="es-ES"/>
        </w:rPr>
        <w:t>Chile. Fondo, Reparaciones y Costas. Sentencia de 22 de noviembre de 2005. Serie C No. 135, párr. 196; y Corte IDH. Caso Acosta Calderón Vs. Ecuador. Fondo, Reparaciones y Costas. Sentencia de 24 de junio de 2005. Serie C No. 129, párr. 74.</w:t>
      </w:r>
    </w:p>
  </w:footnote>
  <w:footnote w:id="51">
    <w:p w14:paraId="2D0FC66B" w14:textId="77777777" w:rsidR="00D42427" w:rsidRPr="00C03649" w:rsidRDefault="00D42427" w:rsidP="00D56213">
      <w:pPr>
        <w:tabs>
          <w:tab w:val="left" w:pos="0"/>
          <w:tab w:val="left" w:pos="567"/>
        </w:tabs>
        <w:jc w:val="both"/>
        <w:rPr>
          <w:rFonts w:asciiTheme="majorHAnsi" w:hAnsiTheme="majorHAnsi"/>
          <w:sz w:val="16"/>
          <w:szCs w:val="16"/>
          <w:lang w:val="es-US"/>
        </w:rPr>
      </w:pPr>
      <w:r w:rsidRPr="00C03649">
        <w:rPr>
          <w:rStyle w:val="FootnoteReference"/>
          <w:rFonts w:asciiTheme="majorHAnsi" w:hAnsiTheme="majorHAnsi"/>
          <w:sz w:val="16"/>
          <w:szCs w:val="16"/>
        </w:rPr>
        <w:footnoteRef/>
      </w:r>
      <w:r w:rsidRPr="0099317A">
        <w:rPr>
          <w:rFonts w:asciiTheme="majorHAnsi" w:hAnsiTheme="majorHAnsi"/>
          <w:sz w:val="16"/>
          <w:szCs w:val="16"/>
          <w:lang w:val="es-US"/>
        </w:rPr>
        <w:t xml:space="preserve"> Corte IDH. Caso López Álvarez Vs. </w:t>
      </w:r>
      <w:r w:rsidRPr="00C03649">
        <w:rPr>
          <w:rFonts w:asciiTheme="majorHAnsi" w:hAnsiTheme="majorHAnsi"/>
          <w:sz w:val="16"/>
          <w:szCs w:val="16"/>
          <w:lang w:val="es-ES"/>
        </w:rPr>
        <w:t>Honduras. Fondo, Reparaciones y Costas. Sentencia de 1 de febrero de 2006. Serie C No. 141</w:t>
      </w:r>
      <w:r w:rsidRPr="00C03649">
        <w:rPr>
          <w:rFonts w:asciiTheme="majorHAnsi" w:hAnsiTheme="majorHAnsi" w:cs="Times"/>
          <w:sz w:val="16"/>
          <w:szCs w:val="16"/>
          <w:lang w:val="es-ES"/>
        </w:rPr>
        <w:t xml:space="preserve">, </w:t>
      </w:r>
      <w:r w:rsidRPr="00C03649">
        <w:rPr>
          <w:rFonts w:asciiTheme="majorHAnsi" w:hAnsiTheme="majorHAnsi"/>
          <w:sz w:val="16"/>
          <w:szCs w:val="16"/>
          <w:lang w:val="es-CO"/>
        </w:rPr>
        <w:t xml:space="preserve">párr. 69; Corte IDH. </w:t>
      </w:r>
      <w:r w:rsidRPr="00C03649">
        <w:rPr>
          <w:rFonts w:asciiTheme="majorHAnsi" w:hAnsiTheme="majorHAnsi" w:cs="Times"/>
          <w:iCs/>
          <w:sz w:val="16"/>
          <w:szCs w:val="16"/>
          <w:lang w:val="es-ES"/>
        </w:rPr>
        <w:t>Caso García Asto y Ramírez Rojas</w:t>
      </w:r>
      <w:r w:rsidRPr="00C03649">
        <w:rPr>
          <w:rFonts w:asciiTheme="majorHAnsi" w:hAnsiTheme="majorHAnsi" w:cs="Times"/>
          <w:sz w:val="16"/>
          <w:szCs w:val="16"/>
          <w:lang w:val="es-ES"/>
        </w:rPr>
        <w:t xml:space="preserve">.  Sentencia de 25 de noviembre de 2005.  Serie C No. 137, </w:t>
      </w:r>
      <w:r w:rsidRPr="00C03649">
        <w:rPr>
          <w:rFonts w:asciiTheme="majorHAnsi" w:hAnsiTheme="majorHAnsi"/>
          <w:sz w:val="16"/>
          <w:szCs w:val="16"/>
          <w:lang w:val="es-ES"/>
        </w:rPr>
        <w:t>párr. 106; Corte IDH. Caso Acosta Calderón Vs. Ecuador. Fondo, Reparaciones y Costas. Sentencia de 24 de junio de 2005. Serie C No. 129</w:t>
      </w:r>
      <w:r w:rsidRPr="00C03649">
        <w:rPr>
          <w:rFonts w:asciiTheme="majorHAnsi" w:hAnsiTheme="majorHAnsi" w:cs="Times"/>
          <w:sz w:val="16"/>
          <w:szCs w:val="16"/>
          <w:lang w:val="es-ES"/>
        </w:rPr>
        <w:t>, p</w:t>
      </w:r>
      <w:r w:rsidRPr="00C03649">
        <w:rPr>
          <w:rFonts w:asciiTheme="majorHAnsi" w:hAnsiTheme="majorHAnsi"/>
          <w:sz w:val="16"/>
          <w:szCs w:val="16"/>
          <w:lang w:val="es-ES"/>
        </w:rPr>
        <w:t xml:space="preserve">árr. 75; </w:t>
      </w:r>
      <w:r w:rsidRPr="00C03649">
        <w:rPr>
          <w:rFonts w:asciiTheme="majorHAnsi" w:hAnsiTheme="majorHAnsi" w:cs="Times"/>
          <w:sz w:val="16"/>
          <w:szCs w:val="16"/>
          <w:lang w:val="es-ES"/>
        </w:rPr>
        <w:t xml:space="preserve">y </w:t>
      </w:r>
      <w:r w:rsidRPr="00C03649">
        <w:rPr>
          <w:rFonts w:asciiTheme="majorHAnsi" w:hAnsiTheme="majorHAnsi"/>
          <w:sz w:val="16"/>
          <w:szCs w:val="16"/>
          <w:lang w:val="es-ES"/>
        </w:rPr>
        <w:t xml:space="preserve">Corte IDH. Caso Tibi Vs. Ecuador. Excepciones Preliminares, Fondo, Reparaciones y Costas. Sentencia de 7 de septiembre de 2004. </w:t>
      </w:r>
      <w:r w:rsidRPr="00C03649">
        <w:rPr>
          <w:rFonts w:asciiTheme="majorHAnsi" w:hAnsiTheme="majorHAnsi"/>
          <w:sz w:val="16"/>
          <w:szCs w:val="16"/>
          <w:lang w:val="es-US"/>
        </w:rPr>
        <w:t>Serie C No. 114</w:t>
      </w:r>
      <w:r w:rsidRPr="00C03649">
        <w:rPr>
          <w:rFonts w:asciiTheme="majorHAnsi" w:hAnsiTheme="majorHAnsi" w:cs="Times"/>
          <w:sz w:val="16"/>
          <w:szCs w:val="16"/>
          <w:lang w:val="es-US"/>
        </w:rPr>
        <w:t>,</w:t>
      </w:r>
      <w:r w:rsidRPr="00C03649">
        <w:rPr>
          <w:rFonts w:asciiTheme="majorHAnsi" w:hAnsiTheme="majorHAnsi" w:cs="Times"/>
          <w:sz w:val="16"/>
          <w:szCs w:val="16"/>
          <w:lang w:val="es-US"/>
        </w:rPr>
        <w:br/>
      </w:r>
      <w:r w:rsidRPr="00C03649">
        <w:rPr>
          <w:rFonts w:asciiTheme="majorHAnsi" w:hAnsiTheme="majorHAnsi"/>
          <w:sz w:val="16"/>
          <w:szCs w:val="16"/>
          <w:lang w:val="es-US"/>
        </w:rPr>
        <w:t>párr. 180.</w:t>
      </w:r>
    </w:p>
  </w:footnote>
  <w:footnote w:id="52">
    <w:p w14:paraId="513BCC97" w14:textId="77777777" w:rsidR="00D42427" w:rsidRPr="00C03649" w:rsidRDefault="00D42427" w:rsidP="00D56213">
      <w:pPr>
        <w:pStyle w:val="FootnoteText"/>
        <w:pBdr>
          <w:top w:val="none" w:sz="0" w:space="0" w:color="auto"/>
          <w:left w:val="none" w:sz="0" w:space="0" w:color="auto"/>
          <w:bottom w:val="none" w:sz="0" w:space="0" w:color="auto"/>
          <w:right w:val="none" w:sz="0" w:space="0" w:color="auto"/>
          <w:bar w:val="none" w:sz="0" w:color="auto"/>
        </w:pBdr>
        <w:tabs>
          <w:tab w:val="left" w:pos="0"/>
          <w:tab w:val="left" w:pos="1080"/>
        </w:tabs>
        <w:jc w:val="both"/>
        <w:rPr>
          <w:rFonts w:asciiTheme="majorHAnsi" w:hAnsiTheme="majorHAnsi"/>
          <w:sz w:val="16"/>
          <w:szCs w:val="16"/>
          <w:lang w:val="pt-BR"/>
        </w:rPr>
      </w:pPr>
      <w:r w:rsidRPr="00C03649">
        <w:rPr>
          <w:rStyle w:val="FootnoteReference"/>
          <w:rFonts w:asciiTheme="majorHAnsi" w:hAnsiTheme="majorHAnsi"/>
          <w:color w:val="auto"/>
          <w:sz w:val="16"/>
          <w:szCs w:val="16"/>
        </w:rPr>
        <w:footnoteRef/>
      </w:r>
      <w:r w:rsidRPr="0099317A">
        <w:rPr>
          <w:rFonts w:asciiTheme="majorHAnsi" w:hAnsiTheme="majorHAnsi"/>
          <w:color w:val="auto"/>
          <w:sz w:val="16"/>
          <w:szCs w:val="16"/>
          <w:lang w:val="es-US"/>
        </w:rPr>
        <w:t xml:space="preserve"> Corte IDH. Caso Barreto Leiva Vs. </w:t>
      </w:r>
      <w:r w:rsidRPr="00C03649">
        <w:rPr>
          <w:rFonts w:asciiTheme="majorHAnsi" w:hAnsiTheme="majorHAnsi"/>
          <w:color w:val="auto"/>
          <w:sz w:val="16"/>
          <w:szCs w:val="16"/>
          <w:lang w:val="es-ES"/>
        </w:rPr>
        <w:t>Venezuela. Fondo, Reparaciones y Costas. Sentencia de 17 de noviembre de 2009. Serie C No. 206,</w:t>
      </w:r>
      <w:r w:rsidRPr="00C03649">
        <w:rPr>
          <w:rFonts w:asciiTheme="majorHAnsi" w:hAnsiTheme="majorHAnsi"/>
          <w:color w:val="auto"/>
          <w:sz w:val="16"/>
          <w:szCs w:val="16"/>
          <w:lang w:val="es-ES_tradnl"/>
        </w:rPr>
        <w:t xml:space="preserve"> párr. 111. Citando. </w:t>
      </w:r>
      <w:r w:rsidRPr="00C03649">
        <w:rPr>
          <w:rFonts w:asciiTheme="majorHAnsi" w:hAnsiTheme="majorHAnsi"/>
          <w:bCs/>
          <w:color w:val="auto"/>
          <w:sz w:val="16"/>
          <w:szCs w:val="16"/>
          <w:lang w:val="es-ES_tradnl"/>
        </w:rPr>
        <w:t xml:space="preserve">Caso Chaparro Álvarez y Lapo Íñiguez Vs. Ecuador. </w:t>
      </w:r>
      <w:r w:rsidRPr="00C03649">
        <w:rPr>
          <w:rFonts w:asciiTheme="majorHAnsi" w:hAnsiTheme="majorHAnsi"/>
          <w:color w:val="auto"/>
          <w:sz w:val="16"/>
          <w:szCs w:val="16"/>
          <w:lang w:val="es-ES_tradnl"/>
        </w:rPr>
        <w:t xml:space="preserve">Excepciones Preliminares, Fondo, Reparaciones y Costas. Sentencia de 21 de noviembre de 2007. Serie C No. 170, párr. 101 y </w:t>
      </w:r>
      <w:r w:rsidRPr="00C03649">
        <w:rPr>
          <w:rFonts w:asciiTheme="majorHAnsi" w:hAnsiTheme="majorHAnsi"/>
          <w:color w:val="auto"/>
          <w:sz w:val="16"/>
          <w:szCs w:val="16"/>
          <w:lang w:val="es-ES"/>
        </w:rPr>
        <w:t xml:space="preserve">Corte IDH. </w:t>
      </w:r>
      <w:r w:rsidRPr="00C03649">
        <w:rPr>
          <w:rFonts w:asciiTheme="majorHAnsi" w:hAnsiTheme="majorHAnsi"/>
          <w:color w:val="auto"/>
          <w:sz w:val="16"/>
          <w:szCs w:val="16"/>
          <w:lang w:val="es-ES_tradnl"/>
        </w:rPr>
        <w:t xml:space="preserve">Caso Servellón García y otros Vs. Honduras. Fondo, Reparaciones y Costas. Sentencia de 21 de septiembre de 2006. </w:t>
      </w:r>
      <w:r w:rsidRPr="0099317A">
        <w:rPr>
          <w:rFonts w:asciiTheme="majorHAnsi" w:hAnsiTheme="majorHAnsi"/>
          <w:color w:val="auto"/>
          <w:sz w:val="16"/>
          <w:szCs w:val="16"/>
          <w:lang w:val="pt-BR"/>
        </w:rPr>
        <w:t xml:space="preserve">Serie C No. 152, párr. </w:t>
      </w:r>
      <w:r w:rsidRPr="00C03649">
        <w:rPr>
          <w:rFonts w:asciiTheme="majorHAnsi" w:hAnsiTheme="majorHAnsi"/>
          <w:color w:val="auto"/>
          <w:sz w:val="16"/>
          <w:szCs w:val="16"/>
          <w:lang w:val="pt-BR"/>
        </w:rPr>
        <w:t>90.</w:t>
      </w:r>
    </w:p>
  </w:footnote>
  <w:footnote w:id="53">
    <w:p w14:paraId="7E248EE6" w14:textId="77777777" w:rsidR="00D42427" w:rsidRPr="00C03649" w:rsidRDefault="00D42427" w:rsidP="00D56213">
      <w:pPr>
        <w:pStyle w:val="FootnoteText"/>
        <w:pBdr>
          <w:top w:val="none" w:sz="0" w:space="0" w:color="auto"/>
          <w:left w:val="none" w:sz="0" w:space="0" w:color="auto"/>
          <w:bottom w:val="none" w:sz="0" w:space="0" w:color="auto"/>
          <w:right w:val="none" w:sz="0" w:space="0" w:color="auto"/>
          <w:bar w:val="none" w:sz="0" w:color="auto"/>
        </w:pBdr>
        <w:tabs>
          <w:tab w:val="left" w:pos="0"/>
          <w:tab w:val="left" w:pos="1080"/>
        </w:tabs>
        <w:jc w:val="both"/>
        <w:rPr>
          <w:rFonts w:asciiTheme="majorHAnsi" w:hAnsiTheme="majorHAnsi"/>
          <w:sz w:val="16"/>
          <w:szCs w:val="16"/>
          <w:lang w:val="pt-BR"/>
        </w:rPr>
      </w:pPr>
      <w:r w:rsidRPr="00C03649">
        <w:rPr>
          <w:rStyle w:val="FootnoteReference"/>
          <w:rFonts w:asciiTheme="majorHAnsi" w:hAnsiTheme="majorHAnsi"/>
          <w:color w:val="auto"/>
          <w:sz w:val="16"/>
          <w:szCs w:val="16"/>
        </w:rPr>
        <w:footnoteRef/>
      </w:r>
      <w:r w:rsidRPr="00C03649">
        <w:rPr>
          <w:rFonts w:asciiTheme="majorHAnsi" w:hAnsiTheme="majorHAnsi"/>
          <w:color w:val="auto"/>
          <w:sz w:val="16"/>
          <w:szCs w:val="16"/>
          <w:lang w:val="pt-BR"/>
        </w:rPr>
        <w:t xml:space="preserve"> Corte IDH. </w:t>
      </w:r>
      <w:r w:rsidRPr="00C03649">
        <w:rPr>
          <w:rFonts w:asciiTheme="majorHAnsi" w:hAnsiTheme="majorHAnsi"/>
          <w:bCs/>
          <w:color w:val="auto"/>
          <w:sz w:val="16"/>
          <w:szCs w:val="16"/>
          <w:lang w:val="pt-BR"/>
        </w:rPr>
        <w:t xml:space="preserve">Caso Barreto Leiva Vs. </w:t>
      </w:r>
      <w:r w:rsidRPr="00C03649">
        <w:rPr>
          <w:rFonts w:asciiTheme="majorHAnsi" w:hAnsiTheme="majorHAnsi"/>
          <w:bCs/>
          <w:color w:val="auto"/>
          <w:sz w:val="16"/>
          <w:szCs w:val="16"/>
          <w:lang w:val="es-ES_tradnl"/>
        </w:rPr>
        <w:t>Venezuela.</w:t>
      </w:r>
      <w:r w:rsidRPr="00C03649">
        <w:rPr>
          <w:rFonts w:asciiTheme="majorHAnsi" w:hAnsiTheme="majorHAnsi"/>
          <w:b/>
          <w:bCs/>
          <w:color w:val="auto"/>
          <w:sz w:val="16"/>
          <w:szCs w:val="16"/>
          <w:lang w:val="es-ES_tradnl"/>
        </w:rPr>
        <w:t xml:space="preserve"> </w:t>
      </w:r>
      <w:r w:rsidRPr="00C03649">
        <w:rPr>
          <w:rFonts w:asciiTheme="majorHAnsi" w:hAnsiTheme="majorHAnsi"/>
          <w:color w:val="auto"/>
          <w:sz w:val="16"/>
          <w:szCs w:val="16"/>
          <w:lang w:val="es-ES_tradnl"/>
        </w:rPr>
        <w:t xml:space="preserve">Fondo, Reparaciones y Costas. Sentencia de 17 de noviembre de 2009. Serie C No. 206, párr. 111. Citando: </w:t>
      </w:r>
      <w:r w:rsidRPr="00C03649">
        <w:rPr>
          <w:rFonts w:asciiTheme="majorHAnsi" w:hAnsiTheme="majorHAnsi"/>
          <w:bCs/>
          <w:color w:val="auto"/>
          <w:sz w:val="16"/>
          <w:szCs w:val="16"/>
          <w:lang w:val="es-ES_tradnl"/>
        </w:rPr>
        <w:t xml:space="preserve">Caso Chaparro Álvarez y Lapo Íñiguez Vs. Ecuador. </w:t>
      </w:r>
      <w:r w:rsidRPr="00C03649">
        <w:rPr>
          <w:rFonts w:asciiTheme="majorHAnsi" w:hAnsiTheme="majorHAnsi"/>
          <w:color w:val="auto"/>
          <w:sz w:val="16"/>
          <w:szCs w:val="16"/>
          <w:lang w:val="es-ES_tradnl"/>
        </w:rPr>
        <w:t>Excepciones Preliminares, Fondo, Reparaciones y Costas</w:t>
      </w:r>
      <w:r w:rsidRPr="00C03649">
        <w:rPr>
          <w:rFonts w:asciiTheme="majorHAnsi" w:hAnsiTheme="majorHAnsi"/>
          <w:i/>
          <w:color w:val="auto"/>
          <w:sz w:val="16"/>
          <w:szCs w:val="16"/>
          <w:lang w:val="es-ES_tradnl"/>
        </w:rPr>
        <w:t>.</w:t>
      </w:r>
      <w:r w:rsidRPr="00C03649">
        <w:rPr>
          <w:rFonts w:asciiTheme="majorHAnsi" w:hAnsiTheme="majorHAnsi"/>
          <w:color w:val="auto"/>
          <w:sz w:val="16"/>
          <w:szCs w:val="16"/>
          <w:lang w:val="es-ES_tradnl"/>
        </w:rPr>
        <w:t xml:space="preserve"> Sentencia de 21 de noviembre de 2007. Serie C No. 170, párr. 103; y Caso Servellón García y otros Vs. Honduras</w:t>
      </w:r>
      <w:r w:rsidRPr="00C03649">
        <w:rPr>
          <w:rFonts w:asciiTheme="majorHAnsi" w:hAnsiTheme="majorHAnsi"/>
          <w:i/>
          <w:color w:val="auto"/>
          <w:sz w:val="16"/>
          <w:szCs w:val="16"/>
          <w:lang w:val="es-ES_tradnl"/>
        </w:rPr>
        <w:t xml:space="preserve">. </w:t>
      </w:r>
      <w:r w:rsidRPr="00C03649">
        <w:rPr>
          <w:rFonts w:asciiTheme="majorHAnsi" w:hAnsiTheme="majorHAnsi"/>
          <w:color w:val="auto"/>
          <w:sz w:val="16"/>
          <w:szCs w:val="16"/>
          <w:lang w:val="es-ES_tradnl"/>
        </w:rPr>
        <w:t xml:space="preserve">Fondo, Reparaciones y Costas. Sentencia de 21 de septiembre de 2006. </w:t>
      </w:r>
      <w:r w:rsidRPr="0099317A">
        <w:rPr>
          <w:rFonts w:asciiTheme="majorHAnsi" w:hAnsiTheme="majorHAnsi"/>
          <w:color w:val="auto"/>
          <w:sz w:val="16"/>
          <w:szCs w:val="16"/>
          <w:lang w:val="pt-BR"/>
        </w:rPr>
        <w:t xml:space="preserve">Serie C No. 152, párr. </w:t>
      </w:r>
      <w:r w:rsidRPr="00C03649">
        <w:rPr>
          <w:rFonts w:asciiTheme="majorHAnsi" w:hAnsiTheme="majorHAnsi"/>
          <w:color w:val="auto"/>
          <w:sz w:val="16"/>
          <w:szCs w:val="16"/>
          <w:lang w:val="pt-BR"/>
        </w:rPr>
        <w:t xml:space="preserve">90. </w:t>
      </w:r>
    </w:p>
  </w:footnote>
  <w:footnote w:id="54">
    <w:p w14:paraId="5B8B09C9" w14:textId="77777777" w:rsidR="00D42427" w:rsidRPr="00C03649" w:rsidRDefault="00D42427" w:rsidP="00D56213">
      <w:pPr>
        <w:pStyle w:val="FootnoteText"/>
        <w:pBdr>
          <w:top w:val="none" w:sz="0" w:space="0" w:color="auto"/>
          <w:left w:val="none" w:sz="0" w:space="0" w:color="auto"/>
          <w:bottom w:val="none" w:sz="0" w:space="0" w:color="auto"/>
          <w:right w:val="none" w:sz="0" w:space="0" w:color="auto"/>
          <w:bar w:val="none" w:sz="0" w:color="auto"/>
        </w:pBdr>
        <w:tabs>
          <w:tab w:val="left" w:pos="0"/>
          <w:tab w:val="left" w:pos="1080"/>
        </w:tabs>
        <w:jc w:val="both"/>
        <w:rPr>
          <w:rFonts w:asciiTheme="majorHAnsi" w:hAnsiTheme="majorHAnsi"/>
          <w:sz w:val="16"/>
          <w:szCs w:val="16"/>
          <w:lang w:val="es-ES"/>
        </w:rPr>
      </w:pPr>
      <w:r w:rsidRPr="00C03649">
        <w:rPr>
          <w:rStyle w:val="FootnoteReference"/>
          <w:rFonts w:asciiTheme="majorHAnsi" w:hAnsiTheme="majorHAnsi"/>
          <w:color w:val="auto"/>
          <w:sz w:val="16"/>
          <w:szCs w:val="16"/>
        </w:rPr>
        <w:footnoteRef/>
      </w:r>
      <w:r w:rsidRPr="00C03649">
        <w:rPr>
          <w:rFonts w:asciiTheme="majorHAnsi" w:hAnsiTheme="majorHAnsi"/>
          <w:color w:val="auto"/>
          <w:sz w:val="16"/>
          <w:szCs w:val="16"/>
          <w:lang w:val="pt-BR"/>
        </w:rPr>
        <w:t xml:space="preserve"> Corte IDH. Caso Barreto Leiva Vs. </w:t>
      </w:r>
      <w:r w:rsidRPr="00C03649">
        <w:rPr>
          <w:rFonts w:asciiTheme="majorHAnsi" w:hAnsiTheme="majorHAnsi"/>
          <w:color w:val="auto"/>
          <w:sz w:val="16"/>
          <w:szCs w:val="16"/>
          <w:lang w:val="es-ES"/>
        </w:rPr>
        <w:t xml:space="preserve">Venezuela. Fondo, Reparaciones y Costas. Sentencia de 17 de noviembre de 2009. Serie C No. 206, </w:t>
      </w:r>
      <w:r w:rsidRPr="00C03649">
        <w:rPr>
          <w:rFonts w:asciiTheme="majorHAnsi" w:hAnsiTheme="majorHAnsi"/>
          <w:color w:val="auto"/>
          <w:sz w:val="16"/>
          <w:szCs w:val="16"/>
          <w:lang w:val="es-ES_tradnl"/>
        </w:rPr>
        <w:t xml:space="preserve">párr. 116. </w:t>
      </w:r>
    </w:p>
  </w:footnote>
  <w:footnote w:id="55">
    <w:p w14:paraId="00034428" w14:textId="77777777" w:rsidR="00D42427" w:rsidRPr="00C03649" w:rsidRDefault="00D42427" w:rsidP="00D56213">
      <w:pPr>
        <w:pStyle w:val="FootnoteText"/>
        <w:tabs>
          <w:tab w:val="left" w:pos="0"/>
        </w:tabs>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Corte IDH, Caso del “Instituto de Reeducación del Menor” vs. Paraguay. Sentencia del 2 de septiembre de 2004. Serie C No. 112, párr. 152-153. Ese dominio genera una relación particular de sujeción entre el recluso y el Estado, “caracterizada por la particular intensidad con que el Estado puede regular sus derechos y obligaciones y por las circunstancias propias del encierro, en donde al recluso se le impide satisfacer por cuenta propia una serie de necesidades básicas que son esenciales para el desarrollo de una vida digna” </w:t>
      </w:r>
    </w:p>
  </w:footnote>
  <w:footnote w:id="56">
    <w:p w14:paraId="185A67BC" w14:textId="77777777" w:rsidR="00D42427" w:rsidRPr="00C03649" w:rsidRDefault="00D42427" w:rsidP="00D56213">
      <w:pPr>
        <w:pStyle w:val="FootnoteText"/>
        <w:jc w:val="both"/>
        <w:rPr>
          <w:rFonts w:asciiTheme="majorHAnsi" w:hAnsiTheme="majorHAnsi"/>
          <w:sz w:val="16"/>
          <w:szCs w:val="16"/>
          <w:lang w:val="es-ES"/>
        </w:rPr>
      </w:pPr>
      <w:r w:rsidRPr="00C03649">
        <w:rPr>
          <w:rFonts w:asciiTheme="majorHAnsi" w:hAnsiTheme="majorHAnsi"/>
          <w:sz w:val="16"/>
          <w:szCs w:val="16"/>
          <w:vertAlign w:val="superscript"/>
        </w:rPr>
        <w:footnoteRef/>
      </w:r>
      <w:r w:rsidRPr="00C03649">
        <w:rPr>
          <w:rFonts w:asciiTheme="majorHAnsi" w:hAnsiTheme="majorHAnsi"/>
          <w:sz w:val="16"/>
          <w:szCs w:val="16"/>
          <w:vertAlign w:val="superscript"/>
          <w:lang w:val="es-ES"/>
        </w:rPr>
        <w:t xml:space="preserve"> </w:t>
      </w:r>
      <w:r w:rsidRPr="00C03649">
        <w:rPr>
          <w:rFonts w:asciiTheme="majorHAnsi" w:hAnsiTheme="majorHAnsi"/>
          <w:sz w:val="16"/>
          <w:szCs w:val="16"/>
          <w:lang w:val="es-ES"/>
        </w:rPr>
        <w:t>Corte IDH, Caso del “Instituto de Reeducación del Menor” vs. Paraguay. Sentencia del 2 de septiembre de 2004. Serie C No. 112, párr. 153.</w:t>
      </w:r>
    </w:p>
  </w:footnote>
  <w:footnote w:id="57">
    <w:p w14:paraId="5F4A496C" w14:textId="77777777" w:rsidR="00D42427" w:rsidRPr="00C03649" w:rsidRDefault="00D42427" w:rsidP="00D56213">
      <w:pPr>
        <w:pStyle w:val="FootnoteText"/>
        <w:jc w:val="both"/>
        <w:rPr>
          <w:rFonts w:asciiTheme="majorHAnsi" w:hAnsiTheme="majorHAnsi"/>
          <w:sz w:val="16"/>
          <w:szCs w:val="16"/>
          <w:lang w:val="es-ES"/>
        </w:rPr>
      </w:pPr>
      <w:r w:rsidRPr="00C03649">
        <w:rPr>
          <w:rFonts w:asciiTheme="majorHAnsi" w:hAnsiTheme="majorHAnsi"/>
          <w:sz w:val="16"/>
          <w:szCs w:val="16"/>
          <w:vertAlign w:val="superscript"/>
          <w:lang w:val="es-ES"/>
        </w:rPr>
        <w:footnoteRef/>
      </w:r>
      <w:r w:rsidRPr="00C03649">
        <w:rPr>
          <w:rFonts w:asciiTheme="majorHAnsi" w:hAnsiTheme="majorHAnsi"/>
          <w:sz w:val="16"/>
          <w:szCs w:val="16"/>
          <w:lang w:val="es-ES"/>
        </w:rPr>
        <w:t xml:space="preserve"> Corte IDH. Caso Gonzales Lluy y otros Vs. Ecuador. Excepciones Preliminares, Fondo, Reparaciones y Costas. Sentencia de 1 de septiembre de 2015. Serie C No. 298, párr. 171. </w:t>
      </w:r>
    </w:p>
  </w:footnote>
  <w:footnote w:id="58">
    <w:p w14:paraId="3FEFAFC1" w14:textId="77777777" w:rsidR="00D42427" w:rsidRPr="00C03649" w:rsidRDefault="00D42427" w:rsidP="00D56213">
      <w:pPr>
        <w:jc w:val="both"/>
        <w:rPr>
          <w:rFonts w:asciiTheme="majorHAnsi" w:eastAsia="Calibri" w:hAnsiTheme="majorHAnsi" w:cs="Calibri"/>
          <w:color w:val="000000"/>
          <w:sz w:val="16"/>
          <w:szCs w:val="16"/>
          <w:u w:color="000000"/>
          <w:bdr w:val="nil"/>
          <w:lang w:val="es-ES" w:eastAsia="es-ES"/>
        </w:rPr>
      </w:pPr>
      <w:r w:rsidRPr="00C03649">
        <w:rPr>
          <w:rFonts w:asciiTheme="majorHAnsi" w:eastAsia="Calibri" w:hAnsiTheme="majorHAnsi" w:cs="Calibri"/>
          <w:color w:val="000000"/>
          <w:sz w:val="16"/>
          <w:szCs w:val="16"/>
          <w:u w:color="000000"/>
          <w:bdr w:val="nil"/>
          <w:vertAlign w:val="superscript"/>
          <w:lang w:val="es-ES" w:eastAsia="es-ES"/>
        </w:rPr>
        <w:footnoteRef/>
      </w:r>
      <w:r w:rsidRPr="00C03649">
        <w:rPr>
          <w:rFonts w:asciiTheme="majorHAnsi" w:eastAsia="Calibri" w:hAnsiTheme="majorHAnsi" w:cs="Calibri"/>
          <w:color w:val="000000"/>
          <w:sz w:val="16"/>
          <w:szCs w:val="16"/>
          <w:u w:color="000000"/>
          <w:bdr w:val="nil"/>
          <w:vertAlign w:val="superscript"/>
          <w:lang w:val="es-ES" w:eastAsia="es-ES"/>
        </w:rPr>
        <w:t xml:space="preserve"> </w:t>
      </w:r>
      <w:r w:rsidRPr="00C03649">
        <w:rPr>
          <w:rFonts w:asciiTheme="majorHAnsi" w:eastAsia="Calibri" w:hAnsiTheme="majorHAnsi" w:cs="Calibri"/>
          <w:color w:val="000000"/>
          <w:sz w:val="16"/>
          <w:szCs w:val="16"/>
          <w:u w:color="000000"/>
          <w:bdr w:val="nil"/>
          <w:lang w:val="es-ES" w:eastAsia="es-ES"/>
        </w:rPr>
        <w:t>Corte IDH. Caso Poblete Vilches y otros Vs. Chile. Fondo, Reparaciones y Costas. Sentencia de 8 de marzo de 2018. Serie C No. 349, párrs. 100 y ss. En igual sentido. Caso Cuscul Piraval y otros vs. Guatemala. Excepción preliminar, Fondo, Reparaciones y Costas. Sentencia de 23 de agosto de 2018. Serie C No. 359, párrs. 98 y ss</w:t>
      </w:r>
      <w:r>
        <w:rPr>
          <w:rFonts w:asciiTheme="majorHAnsi" w:eastAsia="Calibri" w:hAnsiTheme="majorHAnsi" w:cs="Calibri"/>
          <w:color w:val="000000"/>
          <w:sz w:val="16"/>
          <w:szCs w:val="16"/>
          <w:u w:color="000000"/>
          <w:bdr w:val="nil"/>
          <w:lang w:val="es-ES" w:eastAsia="es-ES"/>
        </w:rPr>
        <w:t>.</w:t>
      </w:r>
    </w:p>
  </w:footnote>
  <w:footnote w:id="59">
    <w:p w14:paraId="6936567A" w14:textId="77777777" w:rsidR="00D42427" w:rsidRPr="00C03649" w:rsidRDefault="00D42427" w:rsidP="00D56213">
      <w:pPr>
        <w:pStyle w:val="FootnoteText"/>
        <w:jc w:val="both"/>
        <w:rPr>
          <w:rFonts w:asciiTheme="majorHAnsi" w:hAnsiTheme="majorHAnsi"/>
          <w:sz w:val="16"/>
          <w:szCs w:val="16"/>
          <w:lang w:val="es-US"/>
        </w:rPr>
      </w:pPr>
      <w:r w:rsidRPr="00C03649">
        <w:rPr>
          <w:rStyle w:val="FootnoteReference"/>
          <w:rFonts w:asciiTheme="majorHAnsi" w:hAnsiTheme="majorHAnsi"/>
          <w:sz w:val="16"/>
          <w:szCs w:val="16"/>
        </w:rPr>
        <w:footnoteRef/>
      </w:r>
      <w:r w:rsidRPr="00C03649">
        <w:rPr>
          <w:rFonts w:asciiTheme="majorHAnsi" w:hAnsiTheme="majorHAnsi"/>
          <w:sz w:val="16"/>
          <w:szCs w:val="16"/>
          <w:lang w:val="es-US"/>
        </w:rPr>
        <w:t xml:space="preserve"> Comité Europeo para la Prevención de la Tortura y Tratos Inhumanos Crueles y Degradantes, Tercer Informe General de Actividades durante el período de 1 de Enero a Diciembre de 1992. Ref.: CPT/Inf (93) 12 [EN], publicado el 4 de junio de1993, párr. 38. Disponible en inglés en: http://www.cpt.coe.int/en/annual/rep-03.htm#III citado en: TEDH, Kudhobin v. Rusia, No. 59696/00, Sentencia de 26 de octubre de 2006, párr. </w:t>
      </w:r>
      <w:r w:rsidRPr="00C03649">
        <w:rPr>
          <w:rFonts w:asciiTheme="majorHAnsi" w:hAnsiTheme="majorHAnsi"/>
          <w:sz w:val="16"/>
          <w:szCs w:val="16"/>
          <w:lang w:val="es-AR"/>
        </w:rPr>
        <w:t>56.</w:t>
      </w:r>
    </w:p>
  </w:footnote>
  <w:footnote w:id="60">
    <w:p w14:paraId="64A07E94" w14:textId="77777777" w:rsidR="00D42427" w:rsidRPr="00C03649" w:rsidRDefault="00D42427" w:rsidP="00D56213">
      <w:pPr>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CIDH. Informe No. 7/14. Caso 12.739. Informe de Fondo. María Inés Chinchilla Sandoval y otros. Guatemala. OEA/Ser.L/V/II.150. Doc. 11 2 abril 2014 Original: español </w:t>
      </w:r>
    </w:p>
  </w:footnote>
  <w:footnote w:id="61">
    <w:p w14:paraId="7C24E20F" w14:textId="77777777" w:rsidR="00D42427" w:rsidRPr="00C03649" w:rsidRDefault="00D42427" w:rsidP="00D56213">
      <w:pPr>
        <w:pStyle w:val="FootnoteText"/>
        <w:jc w:val="both"/>
        <w:rPr>
          <w:rFonts w:asciiTheme="majorHAnsi" w:eastAsia="Times New Roman" w:hAnsiTheme="majorHAnsi" w:cs="Times New Roman"/>
          <w:color w:val="auto"/>
          <w:sz w:val="16"/>
          <w:szCs w:val="16"/>
          <w:bdr w:val="none" w:sz="0" w:space="0" w:color="auto"/>
          <w:lang w:val="es-ES" w:eastAsia="en-US"/>
        </w:rPr>
      </w:pPr>
      <w:r w:rsidRPr="00C03649">
        <w:rPr>
          <w:rFonts w:asciiTheme="majorHAnsi" w:eastAsia="Times New Roman" w:hAnsiTheme="majorHAnsi" w:cs="Times New Roman"/>
          <w:color w:val="auto"/>
          <w:sz w:val="16"/>
          <w:szCs w:val="16"/>
          <w:bdr w:val="none" w:sz="0" w:space="0" w:color="auto"/>
          <w:vertAlign w:val="superscript"/>
          <w:lang w:val="es-ES" w:eastAsia="en-US"/>
        </w:rPr>
        <w:footnoteRef/>
      </w:r>
      <w:r w:rsidRPr="00C03649">
        <w:rPr>
          <w:rFonts w:asciiTheme="majorHAnsi" w:eastAsia="Times New Roman" w:hAnsiTheme="majorHAnsi" w:cs="Times New Roman"/>
          <w:color w:val="auto"/>
          <w:sz w:val="16"/>
          <w:szCs w:val="16"/>
          <w:bdr w:val="none" w:sz="0" w:space="0" w:color="auto"/>
          <w:vertAlign w:val="superscript"/>
          <w:lang w:val="es-ES" w:eastAsia="en-US"/>
        </w:rPr>
        <w:t xml:space="preserve"> </w:t>
      </w:r>
      <w:r w:rsidRPr="00C03649">
        <w:rPr>
          <w:rFonts w:asciiTheme="majorHAnsi" w:eastAsia="Times New Roman" w:hAnsiTheme="majorHAnsi" w:cs="Times New Roman"/>
          <w:color w:val="auto"/>
          <w:sz w:val="16"/>
          <w:szCs w:val="16"/>
          <w:bdr w:val="none" w:sz="0" w:space="0" w:color="auto"/>
          <w:lang w:val="es-ES" w:eastAsia="en-US"/>
        </w:rPr>
        <w:t>Corte</w:t>
      </w:r>
      <w:r>
        <w:rPr>
          <w:rFonts w:asciiTheme="majorHAnsi" w:eastAsia="Times New Roman" w:hAnsiTheme="majorHAnsi" w:cs="Times New Roman"/>
          <w:color w:val="auto"/>
          <w:sz w:val="16"/>
          <w:szCs w:val="16"/>
          <w:bdr w:val="none" w:sz="0" w:space="0" w:color="auto"/>
          <w:lang w:val="es-ES" w:eastAsia="en-US"/>
        </w:rPr>
        <w:t xml:space="preserve"> </w:t>
      </w:r>
      <w:r w:rsidRPr="00C03649">
        <w:rPr>
          <w:rFonts w:asciiTheme="majorHAnsi" w:eastAsia="Times New Roman" w:hAnsiTheme="majorHAnsi" w:cs="Times New Roman"/>
          <w:color w:val="auto"/>
          <w:sz w:val="16"/>
          <w:szCs w:val="16"/>
          <w:bdr w:val="none" w:sz="0" w:space="0" w:color="auto"/>
          <w:lang w:val="es-ES" w:eastAsia="en-US"/>
        </w:rPr>
        <w:t>IDH, Caso Chinchilla Sandoval y otros Vs. Guatemala. Excepción Preliminar, Fondo, Reparaciones y Costas. Sentencia de 29 de febrero de 2016. Serie C No. 312, párr. 189 y 216.</w:t>
      </w:r>
    </w:p>
  </w:footnote>
  <w:footnote w:id="62">
    <w:p w14:paraId="2E0141AD" w14:textId="77777777" w:rsidR="00D42427" w:rsidRPr="00C03649" w:rsidRDefault="00D42427" w:rsidP="00D56213">
      <w:pPr>
        <w:jc w:val="both"/>
        <w:rPr>
          <w:rFonts w:asciiTheme="majorHAnsi" w:hAnsiTheme="majorHAnsi"/>
          <w:sz w:val="16"/>
          <w:szCs w:val="16"/>
          <w:lang w:val="es-US"/>
        </w:rPr>
      </w:pPr>
      <w:r w:rsidRPr="00C03649">
        <w:rPr>
          <w:rFonts w:asciiTheme="majorHAnsi" w:hAnsiTheme="majorHAnsi"/>
          <w:sz w:val="16"/>
          <w:szCs w:val="16"/>
          <w:vertAlign w:val="superscript"/>
          <w:lang w:val="es-ES"/>
        </w:rPr>
        <w:footnoteRef/>
      </w:r>
      <w:r w:rsidRPr="00C03649">
        <w:rPr>
          <w:rFonts w:asciiTheme="majorHAnsi" w:hAnsiTheme="majorHAnsi"/>
          <w:sz w:val="16"/>
          <w:szCs w:val="16"/>
          <w:vertAlign w:val="superscript"/>
          <w:lang w:val="es-ES"/>
        </w:rPr>
        <w:t xml:space="preserve"> </w:t>
      </w:r>
      <w:r w:rsidRPr="00C03649">
        <w:rPr>
          <w:rFonts w:asciiTheme="majorHAnsi" w:hAnsiTheme="majorHAnsi"/>
          <w:sz w:val="16"/>
          <w:szCs w:val="16"/>
          <w:lang w:val="es-ES"/>
        </w:rPr>
        <w:t>Corte</w:t>
      </w:r>
      <w:r>
        <w:rPr>
          <w:rFonts w:asciiTheme="majorHAnsi" w:hAnsiTheme="majorHAnsi"/>
          <w:sz w:val="16"/>
          <w:szCs w:val="16"/>
          <w:lang w:val="es-ES"/>
        </w:rPr>
        <w:t xml:space="preserve"> </w:t>
      </w:r>
      <w:r w:rsidRPr="00C03649">
        <w:rPr>
          <w:rFonts w:asciiTheme="majorHAnsi" w:hAnsiTheme="majorHAnsi"/>
          <w:sz w:val="16"/>
          <w:szCs w:val="16"/>
          <w:lang w:val="es-ES"/>
        </w:rPr>
        <w:t xml:space="preserve">IDH., Caso Cuscul Piraval y otros vs. Guatemala. Excepción preliminar, Fondo, Reparaciones y Costas. Sentencia de 23 de agosto de 2018. </w:t>
      </w:r>
      <w:r>
        <w:rPr>
          <w:rFonts w:asciiTheme="majorHAnsi" w:hAnsiTheme="majorHAnsi"/>
          <w:sz w:val="16"/>
          <w:szCs w:val="16"/>
          <w:lang w:val="es-ES"/>
        </w:rPr>
        <w:t>Serie C No. 359, párrs. 98 y ss</w:t>
      </w:r>
      <w:r w:rsidRPr="00C03649">
        <w:rPr>
          <w:rFonts w:asciiTheme="majorHAnsi" w:hAnsiTheme="majorHAnsi"/>
          <w:sz w:val="16"/>
          <w:szCs w:val="16"/>
          <w:lang w:val="es-ES"/>
        </w:rPr>
        <w:t>.</w:t>
      </w:r>
    </w:p>
  </w:footnote>
  <w:footnote w:id="63">
    <w:p w14:paraId="014156CE" w14:textId="77777777" w:rsidR="00D42427" w:rsidRPr="00C03649" w:rsidRDefault="00D42427" w:rsidP="00D56213">
      <w:pPr>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ONU. Consejo de Derechos Humanos. Resolución 16/28 Protección de los derechos humanos en el contexto del virus de la inmunodeficiencia humana (VIH) y el síndrome de inmunodeficiencia adquirida (SIDA) 13 abril 2011. Accesible en: https://undocs.org/es/A/HRC/RES/16/28 </w:t>
      </w:r>
    </w:p>
  </w:footnote>
  <w:footnote w:id="64">
    <w:p w14:paraId="42ABBEDB" w14:textId="77777777" w:rsidR="00D42427" w:rsidRPr="009E1E3D" w:rsidRDefault="00D42427" w:rsidP="00D56213">
      <w:pPr>
        <w:pStyle w:val="FootnoteText"/>
        <w:jc w:val="both"/>
        <w:rPr>
          <w:rFonts w:asciiTheme="majorHAnsi" w:hAnsiTheme="majorHAnsi"/>
          <w:sz w:val="16"/>
          <w:szCs w:val="16"/>
          <w:lang w:val="es-AR"/>
        </w:rPr>
      </w:pPr>
      <w:r w:rsidRPr="009E1E3D">
        <w:rPr>
          <w:rStyle w:val="FootnoteReference"/>
          <w:rFonts w:asciiTheme="majorHAnsi" w:hAnsiTheme="majorHAnsi"/>
          <w:sz w:val="16"/>
          <w:szCs w:val="16"/>
        </w:rPr>
        <w:footnoteRef/>
      </w:r>
      <w:r w:rsidRPr="009E1E3D">
        <w:rPr>
          <w:rFonts w:asciiTheme="majorHAnsi" w:hAnsiTheme="majorHAnsi"/>
          <w:sz w:val="16"/>
          <w:szCs w:val="16"/>
          <w:lang w:val="es-AR"/>
        </w:rPr>
        <w:t xml:space="preserve"> </w:t>
      </w:r>
      <w:r w:rsidRPr="009E1E3D">
        <w:rPr>
          <w:rFonts w:asciiTheme="majorHAnsi" w:hAnsiTheme="majorHAnsi"/>
          <w:sz w:val="16"/>
          <w:szCs w:val="16"/>
          <w:lang w:val="es-ES"/>
        </w:rPr>
        <w:t>ANEXO 20. Acta de allanamiento al domicilio de Thomas Cochran de fecha 19 de enero de 2003. Anexo a la comunicación de la parte peticionaria de fecha 18 de julio de 2006</w:t>
      </w:r>
    </w:p>
  </w:footnote>
  <w:footnote w:id="65">
    <w:p w14:paraId="51C59CDE" w14:textId="77777777" w:rsidR="00D42427" w:rsidRPr="009E1E3D" w:rsidRDefault="00D42427" w:rsidP="00D56213">
      <w:pPr>
        <w:pStyle w:val="FootnoteText"/>
        <w:jc w:val="both"/>
        <w:rPr>
          <w:rFonts w:asciiTheme="majorHAnsi" w:hAnsiTheme="majorHAnsi"/>
          <w:sz w:val="16"/>
          <w:szCs w:val="16"/>
          <w:lang w:val="es-AR"/>
        </w:rPr>
      </w:pPr>
      <w:r w:rsidRPr="009E1E3D">
        <w:rPr>
          <w:rStyle w:val="FootnoteReference"/>
          <w:rFonts w:asciiTheme="majorHAnsi" w:hAnsiTheme="majorHAnsi"/>
          <w:sz w:val="16"/>
          <w:szCs w:val="16"/>
        </w:rPr>
        <w:footnoteRef/>
      </w:r>
      <w:r w:rsidRPr="009E1E3D">
        <w:rPr>
          <w:rFonts w:asciiTheme="majorHAnsi" w:hAnsiTheme="majorHAnsi"/>
          <w:sz w:val="16"/>
          <w:szCs w:val="16"/>
          <w:lang w:val="es-AR"/>
        </w:rPr>
        <w:t xml:space="preserve"> </w:t>
      </w:r>
      <w:r w:rsidRPr="009E1E3D">
        <w:rPr>
          <w:rFonts w:asciiTheme="majorHAnsi" w:hAnsiTheme="majorHAnsi"/>
          <w:sz w:val="16"/>
          <w:szCs w:val="16"/>
          <w:lang w:val="es-ES"/>
        </w:rPr>
        <w:t>ANEXO 5. Resolución del Juzgado Penal de Turno Extraordinario de San José de fecha 20 de enero de 2003. Anexo a la comunicación de la parte peticionaria de fecha 18 de julio de 2006</w:t>
      </w:r>
    </w:p>
  </w:footnote>
  <w:footnote w:id="66">
    <w:p w14:paraId="251FD6A1" w14:textId="77777777" w:rsidR="00D42427" w:rsidRPr="00C03649" w:rsidRDefault="00D42427" w:rsidP="00D56213">
      <w:pPr>
        <w:pStyle w:val="FootnoteText"/>
        <w:jc w:val="both"/>
        <w:rPr>
          <w:rFonts w:asciiTheme="majorHAnsi" w:hAnsiTheme="majorHAnsi"/>
          <w:sz w:val="16"/>
          <w:szCs w:val="16"/>
          <w:lang w:val="es-ES"/>
        </w:rPr>
      </w:pPr>
      <w:r w:rsidRPr="009E1E3D">
        <w:rPr>
          <w:rStyle w:val="FootnoteReference"/>
          <w:rFonts w:asciiTheme="majorHAnsi" w:hAnsiTheme="majorHAnsi"/>
          <w:sz w:val="16"/>
          <w:szCs w:val="16"/>
        </w:rPr>
        <w:footnoteRef/>
      </w:r>
      <w:r w:rsidRPr="009E1E3D">
        <w:rPr>
          <w:rFonts w:asciiTheme="majorHAnsi" w:hAnsiTheme="majorHAnsi"/>
          <w:sz w:val="16"/>
          <w:szCs w:val="16"/>
          <w:lang w:val="es-AR"/>
        </w:rPr>
        <w:t xml:space="preserve"> </w:t>
      </w:r>
      <w:r w:rsidRPr="009E1E3D">
        <w:rPr>
          <w:rFonts w:asciiTheme="majorHAnsi" w:hAnsiTheme="majorHAnsi"/>
          <w:sz w:val="16"/>
          <w:szCs w:val="16"/>
          <w:lang w:val="es-ES"/>
        </w:rPr>
        <w:t>ANEXO 6. Resolución del Juzgado Penal del Primer Circuito Judicial de San José de fecha 17 de julio de 2003. Anexo a la comunicación del peticionario de 18 de julio de 2006; ANEXO 7. Voto No. 235-03 del Tribunal Penal de Juicio del Primer Circuito Judicial de San José de fecha 11 de agosto de 2003. Anexo a la comunicación del peticionario de 18 de julio de 2006; ANEXO 8. Resolución de prórroga de la medida cautelar de prisión preventiva dictada por el Juzgado Penal de San José de fecha 20 de octubre de 2003. Anexo a la comunicación del peticionario de 18 de julio de 2006; ANEXO 9. Voto 1048-03 del Tribunal Penal del Primer Circuito Judicial de San José de fecha 14 de noviembre de 2003. Anexo a la comunicación de la parte peticionaria de fecha 18 de julio de 2006.</w:t>
      </w:r>
    </w:p>
  </w:footnote>
  <w:footnote w:id="67">
    <w:p w14:paraId="51799A21" w14:textId="77777777" w:rsidR="00D42427" w:rsidRPr="009E1E3D" w:rsidRDefault="00D42427" w:rsidP="00D56213">
      <w:pPr>
        <w:pStyle w:val="FootnoteText"/>
        <w:jc w:val="both"/>
        <w:rPr>
          <w:rFonts w:asciiTheme="majorHAnsi" w:hAnsiTheme="majorHAnsi"/>
          <w:sz w:val="16"/>
          <w:szCs w:val="16"/>
          <w:lang w:val="es-AR"/>
        </w:rPr>
      </w:pPr>
      <w:r w:rsidRPr="009E1E3D">
        <w:rPr>
          <w:rStyle w:val="FootnoteReference"/>
          <w:rFonts w:asciiTheme="majorHAnsi" w:hAnsiTheme="majorHAnsi"/>
          <w:sz w:val="16"/>
          <w:szCs w:val="16"/>
        </w:rPr>
        <w:footnoteRef/>
      </w:r>
      <w:r w:rsidRPr="009E1E3D">
        <w:rPr>
          <w:rFonts w:asciiTheme="majorHAnsi" w:hAnsiTheme="majorHAnsi"/>
          <w:sz w:val="16"/>
          <w:szCs w:val="16"/>
          <w:lang w:val="es-AR"/>
        </w:rPr>
        <w:t xml:space="preserve"> </w:t>
      </w:r>
      <w:r w:rsidRPr="009E1E3D">
        <w:rPr>
          <w:rFonts w:asciiTheme="majorHAnsi" w:hAnsiTheme="majorHAnsi"/>
          <w:sz w:val="16"/>
          <w:szCs w:val="16"/>
          <w:lang w:val="es-ES"/>
        </w:rPr>
        <w:t>ANEXO 22. Informe médico suscripto por el Jefe Médico de la Sección Salud del Centro de Atención institucional Jorge Debravo de fecha 24 de septiembre de 2018. Anexo a la comunicación del Estado de Costa Rica de fecha 5 de noviembre de 2011.</w:t>
      </w:r>
      <w:r w:rsidRPr="009E1E3D">
        <w:rPr>
          <w:rFonts w:asciiTheme="majorHAnsi" w:hAnsiTheme="majorHAnsi"/>
          <w:sz w:val="16"/>
          <w:szCs w:val="16"/>
          <w:lang w:val="es-AR"/>
        </w:rPr>
        <w:t xml:space="preserve"> </w:t>
      </w:r>
    </w:p>
  </w:footnote>
  <w:footnote w:id="68">
    <w:p w14:paraId="411AD44E" w14:textId="77777777" w:rsidR="00D42427" w:rsidRPr="009E1E3D" w:rsidRDefault="00D42427" w:rsidP="00D56213">
      <w:pPr>
        <w:pStyle w:val="FootnoteText"/>
        <w:jc w:val="both"/>
        <w:rPr>
          <w:rFonts w:asciiTheme="majorHAnsi" w:hAnsiTheme="majorHAnsi"/>
          <w:sz w:val="16"/>
          <w:szCs w:val="16"/>
          <w:lang w:val="es-ES_tradnl"/>
        </w:rPr>
      </w:pPr>
      <w:r w:rsidRPr="009E1E3D">
        <w:rPr>
          <w:rStyle w:val="FootnoteReference"/>
          <w:rFonts w:asciiTheme="majorHAnsi" w:hAnsiTheme="majorHAnsi"/>
          <w:sz w:val="16"/>
          <w:szCs w:val="16"/>
          <w:lang w:val="es-ES"/>
        </w:rPr>
        <w:footnoteRef/>
      </w:r>
      <w:r w:rsidRPr="009E1E3D">
        <w:rPr>
          <w:rFonts w:asciiTheme="majorHAnsi" w:hAnsiTheme="majorHAnsi"/>
          <w:sz w:val="16"/>
          <w:szCs w:val="16"/>
          <w:lang w:val="pt-BR"/>
        </w:rPr>
        <w:t xml:space="preserve"> Corte IDH. Herrera Ulloa Vs. </w:t>
      </w:r>
      <w:r w:rsidRPr="009E1E3D">
        <w:rPr>
          <w:rFonts w:asciiTheme="majorHAnsi" w:hAnsiTheme="majorHAnsi"/>
          <w:sz w:val="16"/>
          <w:szCs w:val="16"/>
          <w:lang w:val="es-ES"/>
        </w:rPr>
        <w:t>Costa Rica. Sentencia de Excepciones Preliminares, Fondo, Reparaciones y Costas. 2 de julio de 2004, Serie C No. 107, párr. 171.</w:t>
      </w:r>
    </w:p>
  </w:footnote>
  <w:footnote w:id="69">
    <w:p w14:paraId="3D4F98E4" w14:textId="77777777" w:rsidR="00D42427" w:rsidRPr="009E1E3D" w:rsidRDefault="00D42427" w:rsidP="00D56213">
      <w:pPr>
        <w:pStyle w:val="FootnoteText"/>
        <w:jc w:val="both"/>
        <w:rPr>
          <w:rFonts w:asciiTheme="majorHAnsi" w:hAnsiTheme="majorHAnsi"/>
          <w:sz w:val="16"/>
          <w:szCs w:val="16"/>
          <w:lang w:val="es-VE"/>
        </w:rPr>
      </w:pPr>
      <w:r w:rsidRPr="009E1E3D">
        <w:rPr>
          <w:rStyle w:val="FootnoteReference"/>
          <w:rFonts w:asciiTheme="majorHAnsi" w:hAnsiTheme="majorHAnsi"/>
          <w:sz w:val="16"/>
          <w:szCs w:val="16"/>
        </w:rPr>
        <w:footnoteRef/>
      </w:r>
      <w:r w:rsidRPr="009E1E3D">
        <w:rPr>
          <w:rFonts w:asciiTheme="majorHAnsi" w:hAnsiTheme="majorHAnsi"/>
          <w:sz w:val="16"/>
          <w:szCs w:val="16"/>
          <w:lang w:val="es-VE"/>
        </w:rPr>
        <w:t xml:space="preserve"> CIDH. Informe No. 103/13. Caso 12.816. Fondo. Adán Guillermo López Lone y otros. Honduras, 5 de noviembre de 2013, párr.136.</w:t>
      </w:r>
    </w:p>
  </w:footnote>
  <w:footnote w:id="70">
    <w:p w14:paraId="31A93387" w14:textId="77777777" w:rsidR="00D42427" w:rsidRPr="00C03649" w:rsidRDefault="00D42427" w:rsidP="00D56213">
      <w:pPr>
        <w:pBdr>
          <w:top w:val="nil"/>
        </w:pBdr>
        <w:jc w:val="both"/>
        <w:rPr>
          <w:rFonts w:asciiTheme="majorHAnsi" w:hAnsiTheme="majorHAnsi"/>
          <w:sz w:val="16"/>
          <w:szCs w:val="16"/>
          <w:lang w:val="es-ES"/>
        </w:rPr>
      </w:pPr>
      <w:r w:rsidRPr="009E1E3D">
        <w:rPr>
          <w:rStyle w:val="FootnoteReference"/>
          <w:rFonts w:asciiTheme="majorHAnsi" w:hAnsiTheme="majorHAnsi"/>
          <w:sz w:val="16"/>
          <w:szCs w:val="16"/>
          <w:lang w:val="es-ES"/>
        </w:rPr>
        <w:footnoteRef/>
      </w:r>
      <w:r w:rsidRPr="009E1E3D">
        <w:rPr>
          <w:rFonts w:asciiTheme="majorHAnsi" w:hAnsiTheme="majorHAnsi"/>
          <w:sz w:val="16"/>
          <w:szCs w:val="16"/>
          <w:lang w:val="es-ES"/>
        </w:rPr>
        <w:t xml:space="preserve"> Los Principios de Bangalore sobre la Conducta Judicial (2002) aprobado por el Grupo Judicial de Reforzamiento de la Integridad Judicial, tal y como fue revisado en la Reunión en Mesa Redonda de Presidentes de Tribunales Superiores celebrada en el Palacio de la Paz de La Haya, Países Bajos, el 25 y 26 de noviembre de 2002. Anexo al Informe presentado por el Relator Especial sobre la independencia de los magistrados y abogados, Sr. Param Cumaraswamy, de conformidad con la resolución 2002/43 de la Comisión de Derechos Humanos. Accesible en: https://undocs.org/es/E/CN.4/2003/</w:t>
      </w:r>
      <w:r w:rsidRPr="00C03649">
        <w:rPr>
          <w:rFonts w:asciiTheme="majorHAnsi" w:hAnsiTheme="majorHAnsi"/>
          <w:sz w:val="16"/>
          <w:szCs w:val="16"/>
          <w:lang w:val="es-ES"/>
        </w:rPr>
        <w:t>65</w:t>
      </w:r>
    </w:p>
  </w:footnote>
  <w:footnote w:id="71">
    <w:p w14:paraId="432A8D92" w14:textId="77777777" w:rsidR="00D42427" w:rsidRPr="00C03649" w:rsidRDefault="00D42427" w:rsidP="00D56213">
      <w:pPr>
        <w:pBdr>
          <w:top w:val="nil"/>
        </w:pBdr>
        <w:jc w:val="both"/>
        <w:rPr>
          <w:rFonts w:asciiTheme="majorHAnsi" w:hAnsiTheme="majorHAnsi"/>
          <w:sz w:val="16"/>
          <w:szCs w:val="16"/>
          <w:lang w:val="es-ES"/>
        </w:rPr>
      </w:pPr>
      <w:r w:rsidRPr="00C03649">
        <w:rPr>
          <w:rFonts w:asciiTheme="majorHAnsi" w:eastAsia="Calibri" w:hAnsiTheme="majorHAnsi" w:cs="Calibri"/>
          <w:color w:val="000000"/>
          <w:sz w:val="16"/>
          <w:szCs w:val="16"/>
          <w:u w:color="000000"/>
          <w:vertAlign w:val="superscript"/>
          <w:lang w:val="es-ES" w:eastAsia="es-ES"/>
        </w:rPr>
        <w:footnoteRef/>
      </w:r>
      <w:r w:rsidRPr="00C03649">
        <w:rPr>
          <w:rFonts w:asciiTheme="majorHAnsi" w:eastAsia="Calibri" w:hAnsiTheme="majorHAnsi" w:cs="Calibri"/>
          <w:color w:val="000000"/>
          <w:sz w:val="16"/>
          <w:szCs w:val="16"/>
          <w:u w:color="000000"/>
          <w:lang w:val="es-ES" w:eastAsia="es-ES"/>
        </w:rPr>
        <w:t xml:space="preserve"> Corte IDH. Caso Atala Riffo y niñas Vs. Chile. Fondo, Reparaciones y Costas. Sentencia de 24 de febrero de 2012. Serie C No. 239. Párr. 189.</w:t>
      </w:r>
      <w:r w:rsidRPr="00C03649">
        <w:rPr>
          <w:rFonts w:asciiTheme="majorHAnsi" w:hAnsiTheme="majorHAnsi" w:cs="Arial"/>
          <w:color w:val="494848"/>
          <w:sz w:val="16"/>
          <w:szCs w:val="16"/>
          <w:shd w:val="clear" w:color="auto" w:fill="FFFFFF"/>
          <w:lang w:val="es-ES"/>
        </w:rPr>
        <w:t xml:space="preserve"> </w:t>
      </w:r>
    </w:p>
  </w:footnote>
  <w:footnote w:id="72">
    <w:p w14:paraId="5285F779" w14:textId="77777777" w:rsidR="00D42427" w:rsidRPr="006843AA" w:rsidRDefault="00D42427" w:rsidP="00D56213">
      <w:pPr>
        <w:pStyle w:val="FootnoteText"/>
        <w:jc w:val="both"/>
        <w:rPr>
          <w:rFonts w:asciiTheme="majorHAnsi" w:hAnsiTheme="majorHAnsi"/>
          <w:sz w:val="16"/>
          <w:szCs w:val="16"/>
        </w:rPr>
      </w:pPr>
      <w:r w:rsidRPr="00C03649">
        <w:rPr>
          <w:rStyle w:val="FootnoteReference"/>
          <w:rFonts w:asciiTheme="majorHAnsi" w:hAnsiTheme="majorHAnsi"/>
          <w:sz w:val="16"/>
          <w:szCs w:val="16"/>
          <w:lang w:val="es-ES"/>
        </w:rPr>
        <w:footnoteRef/>
      </w:r>
      <w:r w:rsidRPr="0099317A">
        <w:rPr>
          <w:rFonts w:asciiTheme="majorHAnsi" w:hAnsiTheme="majorHAnsi"/>
          <w:sz w:val="16"/>
          <w:szCs w:val="16"/>
          <w:lang w:val="pt-BR"/>
        </w:rPr>
        <w:t xml:space="preserve"> Corte IDH. Caso Herrera Ulloa Vs. </w:t>
      </w:r>
      <w:r w:rsidRPr="00C03649">
        <w:rPr>
          <w:rFonts w:asciiTheme="majorHAnsi" w:hAnsiTheme="majorHAnsi"/>
          <w:sz w:val="16"/>
          <w:szCs w:val="16"/>
          <w:lang w:val="es-ES"/>
        </w:rPr>
        <w:t>Costa Rica. Excepciones Preliminares, Fondo, Reparaciones y Costas. Sentencia de 2 de julio de 2004. Serie C No. 107. Párr.17</w:t>
      </w:r>
      <w:r>
        <w:rPr>
          <w:rFonts w:asciiTheme="majorHAnsi" w:hAnsiTheme="majorHAnsi"/>
          <w:sz w:val="16"/>
          <w:szCs w:val="16"/>
          <w:lang w:val="es-ES"/>
        </w:rPr>
        <w:t xml:space="preserve">0 con cita de: </w:t>
      </w:r>
      <w:r w:rsidRPr="006843AA">
        <w:rPr>
          <w:rFonts w:asciiTheme="majorHAnsi" w:hAnsiTheme="majorHAnsi"/>
          <w:sz w:val="16"/>
          <w:szCs w:val="16"/>
          <w:lang w:val="es-AR"/>
        </w:rPr>
        <w:t xml:space="preserve">European Court of Human Rights. </w:t>
      </w:r>
      <w:r w:rsidRPr="00C03649">
        <w:rPr>
          <w:rFonts w:asciiTheme="majorHAnsi" w:hAnsiTheme="majorHAnsi"/>
          <w:sz w:val="16"/>
          <w:szCs w:val="16"/>
        </w:rPr>
        <w:t>Case of Pabla KY v. Finland. Judgement 22 june 2004. Parr 27</w:t>
      </w:r>
    </w:p>
  </w:footnote>
  <w:footnote w:id="73">
    <w:p w14:paraId="7873CA33" w14:textId="77777777" w:rsidR="00D42427" w:rsidRPr="00C03649" w:rsidRDefault="00D42427" w:rsidP="00D56213">
      <w:pPr>
        <w:pBdr>
          <w:top w:val="nil"/>
        </w:pBdr>
        <w:jc w:val="both"/>
        <w:rPr>
          <w:rFonts w:asciiTheme="majorHAnsi" w:hAnsiTheme="majorHAnsi"/>
          <w:sz w:val="16"/>
          <w:szCs w:val="16"/>
          <w:lang w:val="es-AR"/>
        </w:rPr>
      </w:pPr>
      <w:r w:rsidRPr="00C03649">
        <w:rPr>
          <w:rFonts w:asciiTheme="majorHAnsi" w:eastAsia="Calibri" w:hAnsiTheme="majorHAnsi" w:cs="Calibri"/>
          <w:color w:val="000000"/>
          <w:sz w:val="16"/>
          <w:szCs w:val="16"/>
          <w:u w:color="000000"/>
          <w:vertAlign w:val="superscript"/>
          <w:lang w:val="es-ES" w:eastAsia="es-ES"/>
        </w:rPr>
        <w:footnoteRef/>
      </w:r>
      <w:r w:rsidRPr="006843AA">
        <w:rPr>
          <w:rFonts w:asciiTheme="majorHAnsi" w:eastAsia="Calibri" w:hAnsiTheme="majorHAnsi" w:cs="Calibri"/>
          <w:color w:val="000000"/>
          <w:sz w:val="16"/>
          <w:szCs w:val="16"/>
          <w:u w:color="000000"/>
          <w:vertAlign w:val="superscript"/>
          <w:lang w:eastAsia="es-ES"/>
        </w:rPr>
        <w:t xml:space="preserve">  </w:t>
      </w:r>
      <w:r w:rsidRPr="006843AA">
        <w:rPr>
          <w:rFonts w:asciiTheme="majorHAnsi" w:eastAsia="Calibri" w:hAnsiTheme="majorHAnsi" w:cs="Calibri"/>
          <w:color w:val="000000"/>
          <w:sz w:val="16"/>
          <w:szCs w:val="16"/>
          <w:u w:color="000000"/>
          <w:lang w:eastAsia="es-ES"/>
        </w:rPr>
        <w:t xml:space="preserve">Corte IDH. </w:t>
      </w:r>
      <w:r w:rsidRPr="00C03649">
        <w:rPr>
          <w:rFonts w:asciiTheme="majorHAnsi" w:eastAsia="Calibri" w:hAnsiTheme="majorHAnsi" w:cs="Calibri"/>
          <w:color w:val="000000"/>
          <w:sz w:val="16"/>
          <w:szCs w:val="16"/>
          <w:u w:color="000000"/>
          <w:lang w:val="es-ES" w:eastAsia="es-ES"/>
        </w:rPr>
        <w:t>Caso Duque Vs. Colombia. Excepciones Preliminares, Fondo, Reparaciones y Costas. Sentencia de 26 de febrero de 2016. Serie C No. 310. Parr 163; Corte IDH. Caso Apitz Barbera y otros (“Corte Primera de lo Contencioso Administrativo”) Vs. Venezuela. Excepción Preliminar, Fondo, Reparaciones y Costas. Sentencia de 5 de agosto de 2008. Serie C No. 182. Párr. 56.</w:t>
      </w:r>
      <w:r w:rsidRPr="00C03649">
        <w:rPr>
          <w:rFonts w:asciiTheme="majorHAnsi" w:hAnsiTheme="majorHAnsi" w:cs="Arial"/>
          <w:color w:val="494848"/>
          <w:sz w:val="16"/>
          <w:szCs w:val="16"/>
          <w:shd w:val="clear" w:color="auto" w:fill="FFFFFF"/>
          <w:lang w:val="es-AR"/>
        </w:rPr>
        <w:t xml:space="preserve"> </w:t>
      </w:r>
      <w:r w:rsidRPr="00C03649">
        <w:rPr>
          <w:rFonts w:asciiTheme="majorHAnsi" w:hAnsiTheme="majorHAnsi"/>
          <w:sz w:val="16"/>
          <w:szCs w:val="16"/>
          <w:lang w:val="es-AR"/>
        </w:rPr>
        <w:t xml:space="preserve"> </w:t>
      </w:r>
    </w:p>
  </w:footnote>
  <w:footnote w:id="74">
    <w:p w14:paraId="0D21004A" w14:textId="77777777" w:rsidR="00D42427" w:rsidRPr="00C03649" w:rsidRDefault="00D42427" w:rsidP="00D56213">
      <w:pPr>
        <w:pStyle w:val="FootnoteText"/>
        <w:jc w:val="both"/>
        <w:rPr>
          <w:rFonts w:asciiTheme="majorHAnsi" w:hAnsiTheme="majorHAnsi"/>
          <w:sz w:val="16"/>
          <w:szCs w:val="16"/>
          <w:lang w:val="es-AR"/>
        </w:rPr>
      </w:pPr>
      <w:r w:rsidRPr="00C03649">
        <w:rPr>
          <w:rStyle w:val="FootnoteReference"/>
          <w:rFonts w:asciiTheme="majorHAnsi" w:hAnsiTheme="majorHAnsi"/>
          <w:sz w:val="16"/>
          <w:szCs w:val="16"/>
        </w:rPr>
        <w:footnoteRef/>
      </w:r>
      <w:r w:rsidRPr="00C03649">
        <w:rPr>
          <w:rFonts w:asciiTheme="majorHAnsi" w:hAnsiTheme="majorHAnsi"/>
          <w:sz w:val="16"/>
          <w:szCs w:val="16"/>
          <w:lang w:val="es-AR"/>
        </w:rPr>
        <w:t xml:space="preserve"> Corte IDH. </w:t>
      </w:r>
      <w:r w:rsidRPr="00C03649">
        <w:rPr>
          <w:rFonts w:asciiTheme="majorHAnsi" w:hAnsiTheme="majorHAnsi"/>
          <w:i/>
          <w:sz w:val="16"/>
          <w:szCs w:val="16"/>
          <w:lang w:val="es-AR"/>
        </w:rPr>
        <w:t>Caso Usón Ramírez Vs. Venezuela</w:t>
      </w:r>
      <w:r w:rsidRPr="00C03649">
        <w:rPr>
          <w:rFonts w:asciiTheme="majorHAnsi" w:hAnsiTheme="majorHAnsi"/>
          <w:sz w:val="16"/>
          <w:szCs w:val="16"/>
          <w:lang w:val="es-AR"/>
        </w:rPr>
        <w:t xml:space="preserve">. Excepción Preliminar, Fondo, Reparaciones y Costas. Sentencia de 20 de noviembre de 2009. Serie C No. 207. Párr. 117; Corte IDH. Caso </w:t>
      </w:r>
      <w:r w:rsidRPr="00C03649">
        <w:rPr>
          <w:rFonts w:asciiTheme="majorHAnsi" w:hAnsiTheme="majorHAnsi"/>
          <w:i/>
          <w:sz w:val="16"/>
          <w:szCs w:val="16"/>
          <w:lang w:val="es-AR"/>
        </w:rPr>
        <w:t>Ibsen Cárdenas e Ibsen Peña Vs. Bolivia</w:t>
      </w:r>
      <w:r w:rsidRPr="00C03649">
        <w:rPr>
          <w:rFonts w:asciiTheme="majorHAnsi" w:hAnsiTheme="majorHAnsi"/>
          <w:sz w:val="16"/>
          <w:szCs w:val="16"/>
          <w:lang w:val="es-AR"/>
        </w:rPr>
        <w:t xml:space="preserve">. Fondo, Reparaciones y Costas. Sentencia de 1 de septiembre de 2010. Serie C No. 217. Parr 177; Corte IDH. </w:t>
      </w:r>
      <w:r w:rsidRPr="00C03649">
        <w:rPr>
          <w:rFonts w:asciiTheme="majorHAnsi" w:hAnsiTheme="majorHAnsi"/>
          <w:i/>
          <w:sz w:val="16"/>
          <w:szCs w:val="16"/>
          <w:lang w:val="es-AR"/>
        </w:rPr>
        <w:t>Caso Granier y otros (Radio Caracas Televisión) Vs. Venezuela</w:t>
      </w:r>
      <w:r w:rsidRPr="00C03649">
        <w:rPr>
          <w:rFonts w:asciiTheme="majorHAnsi" w:hAnsiTheme="majorHAnsi"/>
          <w:sz w:val="16"/>
          <w:szCs w:val="16"/>
          <w:lang w:val="es-AR"/>
        </w:rPr>
        <w:t xml:space="preserve">. Excepciones Preliminares, Fondo, Reparaciones y Costas. Sentencia de 22 de junio de 2015. Serie C No. 293. Párr. 304. Corte IDH. </w:t>
      </w:r>
      <w:r w:rsidRPr="00C03649">
        <w:rPr>
          <w:rFonts w:asciiTheme="majorHAnsi" w:hAnsiTheme="majorHAnsi"/>
          <w:sz w:val="16"/>
          <w:szCs w:val="16"/>
          <w:lang w:val="es-ES"/>
        </w:rPr>
        <w:t xml:space="preserve">Caso Castillo Petruzzi y otros Vs. Perú. Fondo, Reparaciones y Costas. Sentencia de 30 de mayo de 1999. </w:t>
      </w:r>
      <w:r w:rsidRPr="00C03649">
        <w:rPr>
          <w:rFonts w:asciiTheme="majorHAnsi" w:hAnsiTheme="majorHAnsi"/>
          <w:sz w:val="16"/>
          <w:szCs w:val="16"/>
          <w:lang w:val="es-AR"/>
        </w:rPr>
        <w:t>Serie C No. 52. párr. 129 y 130.</w:t>
      </w:r>
    </w:p>
  </w:footnote>
  <w:footnote w:id="75">
    <w:p w14:paraId="4614D0CD" w14:textId="77777777" w:rsidR="00D42427" w:rsidRPr="004D4B6B" w:rsidRDefault="00D42427" w:rsidP="00D56213">
      <w:pPr>
        <w:pBdr>
          <w:top w:val="nil"/>
        </w:pBdr>
        <w:jc w:val="both"/>
        <w:rPr>
          <w:rFonts w:asciiTheme="majorHAnsi" w:hAnsiTheme="majorHAnsi"/>
          <w:sz w:val="16"/>
          <w:szCs w:val="16"/>
          <w:lang w:val="en-GB"/>
        </w:rPr>
      </w:pPr>
      <w:r w:rsidRPr="004D4B6B">
        <w:rPr>
          <w:rStyle w:val="FootnoteReference"/>
          <w:rFonts w:asciiTheme="majorHAnsi" w:hAnsiTheme="majorHAnsi"/>
          <w:sz w:val="16"/>
          <w:szCs w:val="16"/>
          <w:lang w:val="en-GB"/>
        </w:rPr>
        <w:footnoteRef/>
      </w:r>
      <w:r w:rsidRPr="004D4B6B">
        <w:rPr>
          <w:rFonts w:asciiTheme="majorHAnsi" w:hAnsiTheme="majorHAnsi"/>
          <w:sz w:val="16"/>
          <w:szCs w:val="16"/>
          <w:lang w:val="en-GB"/>
        </w:rPr>
        <w:t xml:space="preserve"> European Court of Human Rights. Case of Pabla KY v. Finland. Judgement 22 june 2004. Parr </w:t>
      </w:r>
      <w:r w:rsidRPr="004D4B6B">
        <w:rPr>
          <w:rFonts w:asciiTheme="majorHAnsi" w:eastAsia="Calibri" w:hAnsiTheme="majorHAnsi" w:cs="Calibri"/>
          <w:color w:val="000000"/>
          <w:sz w:val="16"/>
          <w:szCs w:val="16"/>
          <w:u w:color="000000"/>
          <w:lang w:val="en-GB" w:eastAsia="es-ES"/>
        </w:rPr>
        <w:t xml:space="preserve">27. </w:t>
      </w:r>
    </w:p>
  </w:footnote>
  <w:footnote w:id="76">
    <w:p w14:paraId="279B31F9" w14:textId="77777777" w:rsidR="00D42427" w:rsidRPr="004D4B6B" w:rsidRDefault="00D42427" w:rsidP="00D56213">
      <w:pPr>
        <w:pStyle w:val="FootnoteText"/>
        <w:jc w:val="both"/>
        <w:rPr>
          <w:rFonts w:asciiTheme="majorHAnsi" w:hAnsiTheme="majorHAnsi"/>
          <w:sz w:val="16"/>
          <w:szCs w:val="16"/>
          <w:lang w:val="en-GB"/>
        </w:rPr>
      </w:pPr>
      <w:r w:rsidRPr="004D4B6B">
        <w:rPr>
          <w:rStyle w:val="FootnoteReference"/>
          <w:rFonts w:asciiTheme="majorHAnsi" w:hAnsiTheme="majorHAnsi"/>
          <w:sz w:val="16"/>
          <w:szCs w:val="16"/>
          <w:lang w:val="en-GB"/>
        </w:rPr>
        <w:footnoteRef/>
      </w:r>
      <w:r w:rsidRPr="004D4B6B">
        <w:rPr>
          <w:rFonts w:asciiTheme="majorHAnsi" w:hAnsiTheme="majorHAnsi"/>
          <w:sz w:val="16"/>
          <w:szCs w:val="16"/>
          <w:lang w:val="en-GB"/>
        </w:rPr>
        <w:t xml:space="preserve"> European Court of Human Rights. Case of Wettstein v. Switzerland. Judgement. 21 december 2000.  Parr 44. </w:t>
      </w:r>
    </w:p>
  </w:footnote>
  <w:footnote w:id="77">
    <w:p w14:paraId="07D8EDB6" w14:textId="77777777" w:rsidR="00D42427" w:rsidRPr="004D4B6B" w:rsidRDefault="00D42427" w:rsidP="00D56213">
      <w:pPr>
        <w:pStyle w:val="FootnoteText"/>
        <w:jc w:val="both"/>
        <w:rPr>
          <w:rFonts w:asciiTheme="majorHAnsi" w:hAnsiTheme="majorHAnsi"/>
          <w:sz w:val="16"/>
          <w:szCs w:val="16"/>
          <w:lang w:val="en-GB"/>
        </w:rPr>
      </w:pPr>
      <w:r w:rsidRPr="004D4B6B">
        <w:rPr>
          <w:rStyle w:val="FootnoteReference"/>
          <w:rFonts w:asciiTheme="majorHAnsi" w:hAnsiTheme="majorHAnsi"/>
          <w:sz w:val="16"/>
          <w:szCs w:val="16"/>
          <w:lang w:val="en-GB"/>
        </w:rPr>
        <w:footnoteRef/>
      </w:r>
      <w:r w:rsidRPr="004D4B6B">
        <w:rPr>
          <w:rFonts w:asciiTheme="majorHAnsi" w:hAnsiTheme="majorHAnsi"/>
          <w:sz w:val="16"/>
          <w:szCs w:val="16"/>
          <w:lang w:val="en-GB"/>
        </w:rPr>
        <w:t xml:space="preserve"> European Court of Human Rights. Case of Pullar v. United Kingdom. Judgement. 20 May 1996. Parr 38; European Court of Human Rights. Case of Hauschildt v. Denmark. Judgement. 24 May 1989. Parr 49. </w:t>
      </w:r>
    </w:p>
  </w:footnote>
  <w:footnote w:id="78">
    <w:p w14:paraId="282400D6" w14:textId="77777777" w:rsidR="00D42427" w:rsidRPr="004D4B6B" w:rsidRDefault="00D42427" w:rsidP="00D56213">
      <w:pPr>
        <w:pStyle w:val="FootnoteText"/>
        <w:jc w:val="both"/>
        <w:rPr>
          <w:rFonts w:asciiTheme="majorHAnsi" w:hAnsiTheme="majorHAnsi"/>
          <w:sz w:val="16"/>
          <w:szCs w:val="16"/>
          <w:lang w:val="en-GB"/>
        </w:rPr>
      </w:pPr>
      <w:r w:rsidRPr="004D4B6B">
        <w:rPr>
          <w:rStyle w:val="FootnoteReference"/>
          <w:rFonts w:asciiTheme="majorHAnsi" w:hAnsiTheme="majorHAnsi"/>
          <w:sz w:val="16"/>
          <w:szCs w:val="16"/>
          <w:lang w:val="en-GB"/>
        </w:rPr>
        <w:footnoteRef/>
      </w:r>
      <w:r w:rsidRPr="004D4B6B">
        <w:rPr>
          <w:rFonts w:asciiTheme="majorHAnsi" w:hAnsiTheme="majorHAnsi"/>
          <w:sz w:val="16"/>
          <w:szCs w:val="16"/>
          <w:lang w:val="en-GB"/>
        </w:rPr>
        <w:t xml:space="preserve"> European Court of Human Rights. Case of Toziczka v. Poland. Judgement. 24 July. 2012.  Parr 36. </w:t>
      </w:r>
    </w:p>
  </w:footnote>
  <w:footnote w:id="79">
    <w:p w14:paraId="0840E18B" w14:textId="77777777" w:rsidR="00D42427" w:rsidRPr="0036143B" w:rsidRDefault="00D42427" w:rsidP="00D56213">
      <w:pPr>
        <w:pStyle w:val="FootnoteText"/>
        <w:jc w:val="both"/>
        <w:rPr>
          <w:rFonts w:asciiTheme="majorHAnsi" w:hAnsiTheme="majorHAnsi"/>
          <w:sz w:val="16"/>
          <w:szCs w:val="16"/>
          <w:lang w:val="es-AR"/>
        </w:rPr>
      </w:pPr>
      <w:r w:rsidRPr="004D4B6B">
        <w:rPr>
          <w:rStyle w:val="FootnoteReference"/>
          <w:rFonts w:asciiTheme="majorHAnsi" w:hAnsiTheme="majorHAnsi"/>
          <w:sz w:val="16"/>
          <w:szCs w:val="16"/>
          <w:lang w:val="en-GB"/>
        </w:rPr>
        <w:footnoteRef/>
      </w:r>
      <w:r w:rsidRPr="004D4B6B">
        <w:rPr>
          <w:rFonts w:asciiTheme="majorHAnsi" w:hAnsiTheme="majorHAnsi"/>
          <w:sz w:val="16"/>
          <w:szCs w:val="16"/>
          <w:lang w:val="en-GB"/>
        </w:rPr>
        <w:t xml:space="preserve"> European Court of Human Rights. Case of Hauschildt v. Denmark. </w:t>
      </w:r>
      <w:r w:rsidRPr="00FE3353">
        <w:rPr>
          <w:rFonts w:asciiTheme="majorHAnsi" w:hAnsiTheme="majorHAnsi"/>
          <w:sz w:val="16"/>
          <w:szCs w:val="16"/>
          <w:lang w:val="es-AR"/>
        </w:rPr>
        <w:t>Judgement. 24 May 1989. Parrs. 48 a 52.</w:t>
      </w:r>
      <w:r w:rsidRPr="0036143B">
        <w:rPr>
          <w:rFonts w:asciiTheme="majorHAnsi" w:hAnsiTheme="majorHAnsi"/>
          <w:sz w:val="16"/>
          <w:szCs w:val="16"/>
          <w:lang w:val="es-AR"/>
        </w:rPr>
        <w:t xml:space="preserve"> </w:t>
      </w:r>
    </w:p>
  </w:footnote>
  <w:footnote w:id="80">
    <w:p w14:paraId="3C195622" w14:textId="77777777" w:rsidR="00D42427" w:rsidRPr="009E1E3D" w:rsidRDefault="00D42427" w:rsidP="00D56213">
      <w:pPr>
        <w:pStyle w:val="FootnoteText"/>
        <w:jc w:val="both"/>
        <w:rPr>
          <w:rFonts w:asciiTheme="majorHAnsi" w:hAnsiTheme="majorHAnsi"/>
          <w:sz w:val="16"/>
          <w:szCs w:val="16"/>
          <w:lang w:val="es-AR"/>
        </w:rPr>
      </w:pPr>
      <w:r w:rsidRPr="009E1E3D">
        <w:rPr>
          <w:rStyle w:val="FootnoteReference"/>
          <w:rFonts w:asciiTheme="majorHAnsi" w:hAnsiTheme="majorHAnsi"/>
          <w:sz w:val="16"/>
          <w:szCs w:val="16"/>
        </w:rPr>
        <w:footnoteRef/>
      </w:r>
      <w:r w:rsidRPr="009E1E3D">
        <w:rPr>
          <w:rFonts w:asciiTheme="majorHAnsi" w:hAnsiTheme="majorHAnsi"/>
          <w:sz w:val="16"/>
          <w:szCs w:val="16"/>
          <w:lang w:val="es-AR"/>
        </w:rPr>
        <w:t xml:space="preserve"> ANEXO 7. Voto No. 235-03 del Tribunal Penal de Juicio del Primer Circuito Judicial de San José de fecha 11 de agosto de 2003. </w:t>
      </w:r>
      <w:r w:rsidRPr="009E1E3D">
        <w:rPr>
          <w:rFonts w:asciiTheme="majorHAnsi" w:hAnsiTheme="majorHAnsi"/>
          <w:sz w:val="16"/>
          <w:szCs w:val="16"/>
          <w:lang w:val="es-ES"/>
        </w:rPr>
        <w:t>Anexo a la comunicación del peticionario de 18 de julio de 2006.</w:t>
      </w:r>
    </w:p>
  </w:footnote>
  <w:footnote w:id="81">
    <w:p w14:paraId="330A1884" w14:textId="77777777" w:rsidR="00D42427" w:rsidRPr="009E1E3D" w:rsidRDefault="00D42427" w:rsidP="00D56213">
      <w:pPr>
        <w:pStyle w:val="FootnoteText"/>
        <w:jc w:val="both"/>
        <w:rPr>
          <w:rFonts w:asciiTheme="majorHAnsi" w:hAnsiTheme="majorHAnsi"/>
          <w:sz w:val="16"/>
          <w:szCs w:val="16"/>
          <w:lang w:val="es-AR"/>
        </w:rPr>
      </w:pPr>
      <w:r w:rsidRPr="009E1E3D">
        <w:rPr>
          <w:rStyle w:val="FootnoteReference"/>
          <w:rFonts w:asciiTheme="majorHAnsi" w:hAnsiTheme="majorHAnsi"/>
          <w:sz w:val="16"/>
          <w:szCs w:val="16"/>
        </w:rPr>
        <w:footnoteRef/>
      </w:r>
      <w:r w:rsidRPr="009E1E3D">
        <w:rPr>
          <w:rFonts w:asciiTheme="majorHAnsi" w:hAnsiTheme="majorHAnsi"/>
          <w:sz w:val="16"/>
          <w:szCs w:val="16"/>
          <w:lang w:val="es-AR"/>
        </w:rPr>
        <w:t xml:space="preserve"> </w:t>
      </w:r>
      <w:r w:rsidRPr="009E1E3D">
        <w:rPr>
          <w:rFonts w:asciiTheme="majorHAnsi" w:hAnsiTheme="majorHAnsi"/>
          <w:sz w:val="16"/>
          <w:szCs w:val="16"/>
          <w:lang w:val="es-ES"/>
        </w:rPr>
        <w:t>ANEXO 12. Sentencia Nro. 851-04 del Tribunal Penal de Juicio del Primer Circuito Judicial de San José de fecha 17 de agosto de 2004. Anexo a la comunicación del peticionario de 18 de julio de 2006.</w:t>
      </w:r>
    </w:p>
  </w:footnote>
  <w:footnote w:id="82">
    <w:p w14:paraId="255B4257" w14:textId="77777777" w:rsidR="00D42427" w:rsidRPr="00C03649" w:rsidRDefault="00D42427" w:rsidP="00D56213">
      <w:pPr>
        <w:pStyle w:val="FootnoteText"/>
        <w:jc w:val="both"/>
        <w:rPr>
          <w:rFonts w:asciiTheme="majorHAnsi" w:hAnsiTheme="majorHAnsi"/>
          <w:sz w:val="16"/>
          <w:szCs w:val="16"/>
          <w:lang w:val="es-US"/>
        </w:rPr>
      </w:pPr>
      <w:r w:rsidRPr="009E1E3D">
        <w:rPr>
          <w:rStyle w:val="FootnoteReference"/>
          <w:rFonts w:asciiTheme="majorHAnsi" w:hAnsiTheme="majorHAnsi"/>
          <w:sz w:val="16"/>
          <w:szCs w:val="16"/>
        </w:rPr>
        <w:footnoteRef/>
      </w:r>
      <w:r w:rsidRPr="009E1E3D">
        <w:rPr>
          <w:rFonts w:asciiTheme="majorHAnsi" w:hAnsiTheme="majorHAnsi"/>
          <w:sz w:val="16"/>
          <w:szCs w:val="16"/>
          <w:lang w:val="es-US"/>
        </w:rPr>
        <w:t xml:space="preserve"> Corte IDH, Caso Servellón García y otros</w:t>
      </w:r>
      <w:r w:rsidRPr="00C03649">
        <w:rPr>
          <w:rFonts w:asciiTheme="majorHAnsi" w:hAnsiTheme="majorHAnsi"/>
          <w:sz w:val="16"/>
          <w:szCs w:val="16"/>
          <w:lang w:val="es-US"/>
        </w:rPr>
        <w:t xml:space="preserve"> Vs. Honduras, Excepción Preliminar, Fondo, Reparaciones y Costas. </w:t>
      </w:r>
      <w:r w:rsidRPr="008125B4">
        <w:rPr>
          <w:rFonts w:asciiTheme="majorHAnsi" w:hAnsiTheme="majorHAnsi"/>
          <w:sz w:val="16"/>
          <w:szCs w:val="16"/>
          <w:lang w:val="es-US"/>
        </w:rPr>
        <w:t>Sentencia</w:t>
      </w:r>
      <w:r>
        <w:rPr>
          <w:rFonts w:asciiTheme="majorHAnsi" w:hAnsiTheme="majorHAnsi"/>
          <w:sz w:val="16"/>
          <w:szCs w:val="16"/>
          <w:lang w:val="es-US"/>
        </w:rPr>
        <w:t xml:space="preserve"> </w:t>
      </w:r>
      <w:r w:rsidRPr="00C03649">
        <w:rPr>
          <w:rFonts w:asciiTheme="majorHAnsi" w:hAnsiTheme="majorHAnsi"/>
          <w:sz w:val="16"/>
          <w:szCs w:val="16"/>
          <w:lang w:val="es-US"/>
        </w:rPr>
        <w:t>de 21 de septiembre de 2006. Serie C No. 152, párr. 90</w:t>
      </w:r>
      <w:r>
        <w:rPr>
          <w:rFonts w:asciiTheme="majorHAnsi" w:hAnsiTheme="majorHAnsi"/>
          <w:sz w:val="16"/>
          <w:szCs w:val="16"/>
          <w:lang w:val="es-US"/>
        </w:rPr>
        <w:t>;</w:t>
      </w:r>
      <w:r w:rsidRPr="00C03649">
        <w:rPr>
          <w:rFonts w:asciiTheme="majorHAnsi" w:hAnsiTheme="majorHAnsi"/>
          <w:sz w:val="16"/>
          <w:szCs w:val="16"/>
          <w:lang w:val="es-US"/>
        </w:rPr>
        <w:t xml:space="preserve"> Corte IDH. Caso Montesinos Mejía Vs. Ecuador. Excepciones Preliminares, Fondo, Reparaciones y Costas. Sentencia de 27 de enero de 2020. Serie C No. 398, párr. 109.</w:t>
      </w:r>
    </w:p>
  </w:footnote>
  <w:footnote w:id="83">
    <w:p w14:paraId="390CDAE6" w14:textId="77777777" w:rsidR="00D42427" w:rsidRPr="00C03649" w:rsidRDefault="00D42427" w:rsidP="00D56213">
      <w:pPr>
        <w:pStyle w:val="FootnoteText"/>
        <w:jc w:val="both"/>
        <w:rPr>
          <w:rFonts w:asciiTheme="majorHAnsi" w:hAnsiTheme="majorHAnsi"/>
          <w:sz w:val="16"/>
          <w:szCs w:val="16"/>
          <w:lang w:val="es-US"/>
        </w:rPr>
      </w:pPr>
      <w:r w:rsidRPr="00C03649">
        <w:rPr>
          <w:rStyle w:val="FootnoteReference"/>
          <w:rFonts w:asciiTheme="majorHAnsi" w:hAnsiTheme="majorHAnsi"/>
          <w:sz w:val="16"/>
          <w:szCs w:val="16"/>
        </w:rPr>
        <w:footnoteRef/>
      </w:r>
      <w:r w:rsidRPr="00C03649">
        <w:rPr>
          <w:rFonts w:asciiTheme="majorHAnsi" w:hAnsiTheme="majorHAnsi"/>
          <w:sz w:val="16"/>
          <w:szCs w:val="16"/>
          <w:lang w:val="es-US"/>
        </w:rPr>
        <w:t xml:space="preserve"> Corte IDH. Caso Montesinos Mejía Vs. Ecuador. Excepciones Preliminares, Fondo, Reparaciones y Costas. Sentencia de 27 de enero de 2020. Serie C No. 398, nota al pie 89.</w:t>
      </w:r>
    </w:p>
  </w:footnote>
  <w:footnote w:id="84">
    <w:p w14:paraId="3D36747C" w14:textId="77777777" w:rsidR="00D42427" w:rsidRPr="009E1E3D" w:rsidRDefault="00D42427" w:rsidP="00D56213">
      <w:pPr>
        <w:pStyle w:val="FootnoteText"/>
        <w:jc w:val="both"/>
        <w:rPr>
          <w:rFonts w:asciiTheme="majorHAnsi" w:hAnsiTheme="majorHAnsi"/>
          <w:sz w:val="16"/>
          <w:szCs w:val="16"/>
          <w:lang w:val="es-AR"/>
        </w:rPr>
      </w:pPr>
      <w:r w:rsidRPr="009E1E3D">
        <w:rPr>
          <w:rStyle w:val="FootnoteReference"/>
          <w:rFonts w:asciiTheme="majorHAnsi" w:hAnsiTheme="majorHAnsi"/>
          <w:sz w:val="16"/>
          <w:szCs w:val="16"/>
        </w:rPr>
        <w:footnoteRef/>
      </w:r>
      <w:r w:rsidRPr="009E1E3D">
        <w:rPr>
          <w:rFonts w:asciiTheme="majorHAnsi" w:hAnsiTheme="majorHAnsi"/>
          <w:sz w:val="16"/>
          <w:szCs w:val="16"/>
          <w:lang w:val="es-AR"/>
        </w:rPr>
        <w:t xml:space="preserve"> </w:t>
      </w:r>
      <w:r w:rsidRPr="009E1E3D">
        <w:rPr>
          <w:rFonts w:asciiTheme="majorHAnsi" w:hAnsiTheme="majorHAnsi"/>
          <w:sz w:val="16"/>
          <w:szCs w:val="16"/>
          <w:lang w:val="es-ES"/>
        </w:rPr>
        <w:t>ANEXO 7. Voto No. 235-03 del Tribunal Penal de Juicio del Primer Circuito Judicial de San José de fecha 11 de agosto de 2003. Anexo a la comunicación del peticionario de 18 de julio de 2006.</w:t>
      </w:r>
    </w:p>
  </w:footnote>
  <w:footnote w:id="85">
    <w:p w14:paraId="6D1F8519" w14:textId="77777777" w:rsidR="00D42427" w:rsidRPr="00C03649" w:rsidRDefault="00D42427">
      <w:pPr>
        <w:pStyle w:val="FootnoteText"/>
        <w:rPr>
          <w:rFonts w:asciiTheme="majorHAnsi" w:hAnsiTheme="majorHAnsi"/>
          <w:sz w:val="16"/>
          <w:szCs w:val="16"/>
          <w:lang w:val="es-US"/>
        </w:rPr>
      </w:pPr>
      <w:r w:rsidRPr="009E1E3D">
        <w:rPr>
          <w:rStyle w:val="FootnoteReference"/>
          <w:rFonts w:asciiTheme="majorHAnsi" w:hAnsiTheme="majorHAnsi"/>
          <w:sz w:val="16"/>
          <w:szCs w:val="16"/>
        </w:rPr>
        <w:footnoteRef/>
      </w:r>
      <w:r w:rsidRPr="009E1E3D">
        <w:rPr>
          <w:rFonts w:asciiTheme="majorHAnsi" w:hAnsiTheme="majorHAnsi"/>
          <w:sz w:val="16"/>
          <w:szCs w:val="16"/>
          <w:lang w:val="es-US"/>
        </w:rPr>
        <w:t xml:space="preserve"> Corte IDH. Caso Apitz Barbera y otros (“Corte Primera de lo Contencioso Administrativo”) Vs. Venezuela. Excepción Preliminar, Fondo, Reparaciones y Costas.</w:t>
      </w:r>
      <w:r w:rsidRPr="00C03649">
        <w:rPr>
          <w:rFonts w:asciiTheme="majorHAnsi" w:hAnsiTheme="majorHAnsi"/>
          <w:sz w:val="16"/>
          <w:szCs w:val="16"/>
          <w:lang w:val="es-US"/>
        </w:rPr>
        <w:t xml:space="preserve"> Sentencia de 5 de agosto de 2008. Serie C No. 182, párr. 63.</w:t>
      </w:r>
    </w:p>
  </w:footnote>
  <w:footnote w:id="86">
    <w:p w14:paraId="6D41F7EE" w14:textId="77777777" w:rsidR="00D42427" w:rsidRPr="00C03649" w:rsidRDefault="00D42427" w:rsidP="00D56213">
      <w:pPr>
        <w:pStyle w:val="FootnoteText"/>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US"/>
        </w:rPr>
        <w:t xml:space="preserve"> Corte IDH. Caso Herrera Ulloa Vs. </w:t>
      </w:r>
      <w:r w:rsidRPr="00C03649">
        <w:rPr>
          <w:rFonts w:asciiTheme="majorHAnsi" w:hAnsiTheme="majorHAnsi"/>
          <w:sz w:val="16"/>
          <w:szCs w:val="16"/>
          <w:lang w:val="es-ES"/>
        </w:rPr>
        <w:t xml:space="preserve">Costa Rica. Excepciones Preliminares, Fondo, Reparaciones y Costas. Sentencia de 2 de julio de 2004. Serie C No. 107. Párr. 158 a 161; Corte IDH. Caso Mendoza y otros Vs. Argentina. Excepciones Preliminares, Fondo y Reparaciones. Sentencia de 14 de mayo de 2013. Serie C No. 260. Párr. 242.  </w:t>
      </w:r>
    </w:p>
  </w:footnote>
  <w:footnote w:id="87">
    <w:p w14:paraId="16D15C60" w14:textId="77777777" w:rsidR="00D42427" w:rsidRPr="00C03649" w:rsidRDefault="00D42427" w:rsidP="00D56213">
      <w:pPr>
        <w:pStyle w:val="FootnoteText"/>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CIDH. Informe No. 33/14. Caso 12.820. Fondo. Manfred Amrhein y otros. Costa Rica. 4 de abril de 2014. Párr. 197. Ver en el mismo sentido: ONU, Comité́ de Derechos Humanos. Observación General No. 32 “Artículo 14. El derecho a un juicio imparcial y a la igualdad ante los tribunales y cortes de justicia”. 2007, párrs. 47-50.</w:t>
      </w:r>
    </w:p>
  </w:footnote>
  <w:footnote w:id="88">
    <w:p w14:paraId="78D18C8A" w14:textId="77777777" w:rsidR="00D42427" w:rsidRPr="00C03649" w:rsidRDefault="00D42427" w:rsidP="00D56213">
      <w:pPr>
        <w:pStyle w:val="FootnoteText"/>
        <w:jc w:val="both"/>
        <w:rPr>
          <w:rFonts w:asciiTheme="majorHAnsi" w:hAnsiTheme="majorHAnsi"/>
          <w:sz w:val="16"/>
          <w:szCs w:val="16"/>
          <w:lang w:val="es-AR"/>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Corte IDH. Caso Mohamed Vs. Argentina. Excepción Preliminar, Fondo, Reparaciones y Costas. Sentencia de 23 noviembre de 2012. Serie C No. 255. Párr. 119.</w:t>
      </w:r>
      <w:r w:rsidRPr="00C03649">
        <w:rPr>
          <w:rFonts w:asciiTheme="majorHAnsi" w:hAnsiTheme="majorHAnsi"/>
          <w:sz w:val="16"/>
          <w:szCs w:val="16"/>
          <w:lang w:val="es-AR"/>
        </w:rPr>
        <w:t xml:space="preserve">  </w:t>
      </w:r>
    </w:p>
  </w:footnote>
  <w:footnote w:id="89">
    <w:p w14:paraId="1A0976C8" w14:textId="77777777" w:rsidR="00D42427" w:rsidRPr="00C03649" w:rsidRDefault="00D42427" w:rsidP="00D56213">
      <w:pPr>
        <w:pStyle w:val="FootnoteText"/>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Corte IDH. Caso Amrhein y otros Vs. Costa Rica. Excepciones Preliminares, Fondo, Reparaciones y Costas. Sentencia de 25 de abril de 2018. Serie C No. 354. Párr. 186.</w:t>
      </w:r>
    </w:p>
  </w:footnote>
  <w:footnote w:id="90">
    <w:p w14:paraId="781E98D1" w14:textId="77777777" w:rsidR="00D42427" w:rsidRPr="00C03649" w:rsidRDefault="00D42427" w:rsidP="00D56213">
      <w:pPr>
        <w:pStyle w:val="FootnoteText"/>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Corte IDH. Caso Barreto Leiva Vs. Venezuela. Sentencia de Fondo, Reparaciones y Costas 17 de noviembre de 2009. Serie C No. 206, párr. 89; Corte IDH. Caso Mohamed Vs. Argentina. Sentencia de Excepción Preliminar, Fondo, Reparaciones y Costas. </w:t>
      </w:r>
      <w:r w:rsidRPr="0099317A">
        <w:rPr>
          <w:rFonts w:asciiTheme="majorHAnsi" w:hAnsiTheme="majorHAnsi"/>
          <w:sz w:val="16"/>
          <w:szCs w:val="16"/>
          <w:lang w:val="pt-BR"/>
        </w:rPr>
        <w:t xml:space="preserve">23 noviembre de 2012. </w:t>
      </w:r>
      <w:r w:rsidRPr="00C03649">
        <w:rPr>
          <w:rFonts w:asciiTheme="majorHAnsi" w:hAnsiTheme="majorHAnsi"/>
          <w:sz w:val="16"/>
          <w:szCs w:val="16"/>
          <w:lang w:val="pt-BR"/>
        </w:rPr>
        <w:t xml:space="preserve">Serie C No. 255, párr. 97; Corte IDH. Caso Liakat Ali Alibux Vs. </w:t>
      </w:r>
      <w:r w:rsidRPr="0099317A">
        <w:rPr>
          <w:rFonts w:asciiTheme="majorHAnsi" w:hAnsiTheme="majorHAnsi"/>
          <w:sz w:val="16"/>
          <w:szCs w:val="16"/>
          <w:lang w:val="pt-BR"/>
        </w:rPr>
        <w:t xml:space="preserve">Suriname. </w:t>
      </w:r>
      <w:r w:rsidRPr="00C03649">
        <w:rPr>
          <w:rFonts w:asciiTheme="majorHAnsi" w:hAnsiTheme="majorHAnsi"/>
          <w:sz w:val="16"/>
          <w:szCs w:val="16"/>
          <w:lang w:val="es-ES"/>
        </w:rPr>
        <w:t>Excepciones Preliminares, Fondo, Reparaciones y Costas. Sentencia de 30 de enero de 2014. Serie C No. 276, párr. 85.</w:t>
      </w:r>
    </w:p>
  </w:footnote>
  <w:footnote w:id="91">
    <w:p w14:paraId="48D972AD" w14:textId="77777777" w:rsidR="00D42427" w:rsidRPr="00C03649" w:rsidRDefault="00D42427" w:rsidP="00D56213">
      <w:pPr>
        <w:pStyle w:val="FootnoteText"/>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99317A">
        <w:rPr>
          <w:rFonts w:asciiTheme="majorHAnsi" w:hAnsiTheme="majorHAnsi"/>
          <w:sz w:val="16"/>
          <w:szCs w:val="16"/>
          <w:lang w:val="es-US"/>
        </w:rPr>
        <w:t xml:space="preserve"> Corte IDH., Caso Herrera Ulloa Vs. </w:t>
      </w:r>
      <w:r w:rsidRPr="00C03649">
        <w:rPr>
          <w:rFonts w:asciiTheme="majorHAnsi" w:hAnsiTheme="majorHAnsi"/>
          <w:sz w:val="16"/>
          <w:szCs w:val="16"/>
          <w:lang w:val="es-ES"/>
        </w:rPr>
        <w:t xml:space="preserve">Costa Rica. Sentencia de Excepciones Preliminares, Fondo, Reparaciones y Costas. 2 de julio de 2004. Serie C No. 107, párr. 165; ONU, Comité́ de Derechos Humanos. Gómez Vázquez v. España. Comunicación No. 701/1996. Decisión de 11 de agosto de 2000, párr. 11.1. </w:t>
      </w:r>
    </w:p>
  </w:footnote>
  <w:footnote w:id="92">
    <w:p w14:paraId="59112E4A" w14:textId="77777777" w:rsidR="00D42427" w:rsidRPr="0099317A" w:rsidRDefault="00D42427" w:rsidP="00D56213">
      <w:pPr>
        <w:pStyle w:val="FootnoteText"/>
        <w:jc w:val="both"/>
        <w:rPr>
          <w:rFonts w:asciiTheme="majorHAnsi" w:hAnsiTheme="majorHAnsi"/>
          <w:sz w:val="16"/>
          <w:szCs w:val="16"/>
          <w:lang w:val="pt-BR"/>
        </w:rPr>
      </w:pPr>
      <w:r w:rsidRPr="00C03649">
        <w:rPr>
          <w:rStyle w:val="FootnoteReference"/>
          <w:rFonts w:asciiTheme="majorHAnsi" w:hAnsiTheme="majorHAnsi"/>
          <w:sz w:val="16"/>
          <w:szCs w:val="16"/>
          <w:lang w:val="es-ES"/>
        </w:rPr>
        <w:footnoteRef/>
      </w:r>
      <w:r w:rsidRPr="0099317A">
        <w:rPr>
          <w:rFonts w:asciiTheme="majorHAnsi" w:hAnsiTheme="majorHAnsi"/>
          <w:sz w:val="16"/>
          <w:szCs w:val="16"/>
          <w:lang w:val="es-US"/>
        </w:rPr>
        <w:t xml:space="preserve"> Corte IDH., Caso Herrera Ulloa Vs. </w:t>
      </w:r>
      <w:r w:rsidRPr="00C03649">
        <w:rPr>
          <w:rFonts w:asciiTheme="majorHAnsi" w:hAnsiTheme="majorHAnsi"/>
          <w:sz w:val="16"/>
          <w:szCs w:val="16"/>
          <w:lang w:val="es-ES"/>
        </w:rPr>
        <w:t>Costa Rica. Sentencia de Excepciones Preliminares, Fondo, Reparaciones y Costas. 2 de julio de 2004. Serie C No. 107, párr.</w:t>
      </w:r>
      <w:r>
        <w:rPr>
          <w:rFonts w:asciiTheme="majorHAnsi" w:hAnsiTheme="majorHAnsi"/>
          <w:sz w:val="16"/>
          <w:szCs w:val="16"/>
          <w:lang w:val="es-ES"/>
        </w:rPr>
        <w:t xml:space="preserve"> </w:t>
      </w:r>
      <w:r w:rsidRPr="00C03649">
        <w:rPr>
          <w:rFonts w:asciiTheme="majorHAnsi" w:hAnsiTheme="majorHAnsi"/>
          <w:sz w:val="16"/>
          <w:szCs w:val="16"/>
          <w:lang w:val="es-ES"/>
        </w:rPr>
        <w:t>1</w:t>
      </w:r>
      <w:r>
        <w:rPr>
          <w:rFonts w:asciiTheme="majorHAnsi" w:hAnsiTheme="majorHAnsi"/>
          <w:sz w:val="16"/>
          <w:szCs w:val="16"/>
          <w:lang w:val="es-ES"/>
        </w:rPr>
        <w:t>64</w:t>
      </w:r>
      <w:r w:rsidRPr="00C03649">
        <w:rPr>
          <w:rFonts w:asciiTheme="majorHAnsi" w:hAnsiTheme="majorHAnsi"/>
          <w:sz w:val="16"/>
          <w:szCs w:val="16"/>
          <w:lang w:val="es-ES"/>
        </w:rPr>
        <w:t xml:space="preserve">; Corte IDH. Caso Norín Catrimán y otros (Dirigentes, Miembros y Activista del Pueblo Indígena Mapuche) Vs. Chile. Fondo, Reparaciones y Costas. Sentencia de 29 de mayo de 2014. </w:t>
      </w:r>
      <w:r w:rsidRPr="0099317A">
        <w:rPr>
          <w:rFonts w:asciiTheme="majorHAnsi" w:hAnsiTheme="majorHAnsi"/>
          <w:sz w:val="16"/>
          <w:szCs w:val="16"/>
          <w:lang w:val="pt-BR"/>
        </w:rPr>
        <w:t xml:space="preserve">Serie C No. 279. Parr 270.  </w:t>
      </w:r>
    </w:p>
  </w:footnote>
  <w:footnote w:id="93">
    <w:p w14:paraId="0329A5C0" w14:textId="77777777" w:rsidR="00D42427" w:rsidRPr="00C03649" w:rsidRDefault="00D42427" w:rsidP="00D56213">
      <w:pPr>
        <w:pStyle w:val="FootnoteText"/>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99317A">
        <w:rPr>
          <w:rFonts w:asciiTheme="majorHAnsi" w:hAnsiTheme="majorHAnsi"/>
          <w:sz w:val="16"/>
          <w:szCs w:val="16"/>
          <w:lang w:val="pt-BR"/>
        </w:rPr>
        <w:t xml:space="preserve"> Corte IDH. Caso Barreto Leiva Vs. </w:t>
      </w:r>
      <w:r w:rsidRPr="00C03649">
        <w:rPr>
          <w:rFonts w:asciiTheme="majorHAnsi" w:hAnsiTheme="majorHAnsi"/>
          <w:sz w:val="16"/>
          <w:szCs w:val="16"/>
          <w:lang w:val="es-ES"/>
        </w:rPr>
        <w:t>Venezuela. Sentencia de Fondo, Reparaciones y Costas 17 de noviembre de 2009. Serie C No. 206, párr. 90.</w:t>
      </w:r>
    </w:p>
  </w:footnote>
  <w:footnote w:id="94">
    <w:p w14:paraId="6FC87A8F" w14:textId="77777777" w:rsidR="00D42427" w:rsidRPr="00C03649" w:rsidRDefault="00D42427" w:rsidP="00D56213">
      <w:pPr>
        <w:pStyle w:val="FootnoteText"/>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99317A">
        <w:rPr>
          <w:rFonts w:asciiTheme="majorHAnsi" w:hAnsiTheme="majorHAnsi"/>
          <w:sz w:val="16"/>
          <w:szCs w:val="16"/>
          <w:lang w:val="es-US"/>
        </w:rPr>
        <w:t xml:space="preserve"> Corte IDH., Caso Herrera Ulloa Vs. </w:t>
      </w:r>
      <w:r w:rsidRPr="00C03649">
        <w:rPr>
          <w:rFonts w:asciiTheme="majorHAnsi" w:hAnsiTheme="majorHAnsi"/>
          <w:sz w:val="16"/>
          <w:szCs w:val="16"/>
          <w:lang w:val="es-ES"/>
        </w:rPr>
        <w:t xml:space="preserve">Costa Rica. Sentencia de Excepciones Preliminares, Fondo, Reparaciones y Costas. </w:t>
      </w:r>
      <w:r w:rsidRPr="00C03649">
        <w:rPr>
          <w:rFonts w:asciiTheme="majorHAnsi" w:hAnsiTheme="majorHAnsi"/>
          <w:sz w:val="16"/>
          <w:szCs w:val="16"/>
          <w:lang w:val="pt-BR"/>
        </w:rPr>
        <w:t xml:space="preserve">2 de julio de 2004. Serie C No. 107, párr. 164; Corte IDH. Caso Liakat Ali Alibux Vs. </w:t>
      </w:r>
      <w:r w:rsidRPr="00C03649">
        <w:rPr>
          <w:rFonts w:asciiTheme="majorHAnsi" w:hAnsiTheme="majorHAnsi"/>
          <w:sz w:val="16"/>
          <w:szCs w:val="16"/>
          <w:lang w:val="es-ES"/>
        </w:rPr>
        <w:t xml:space="preserve">Suriname. Excepciones Preliminares, Fondo, Reparaciones y Costas. Sentencia de 30 de enero de 2014. Serie C No. 276, párr. 94. </w:t>
      </w:r>
    </w:p>
  </w:footnote>
  <w:footnote w:id="95">
    <w:p w14:paraId="7912A88C" w14:textId="77777777" w:rsidR="00D42427" w:rsidRPr="00C03649" w:rsidRDefault="00D42427" w:rsidP="00D56213">
      <w:pPr>
        <w:pStyle w:val="FootnoteText"/>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99317A">
        <w:rPr>
          <w:rFonts w:asciiTheme="majorHAnsi" w:hAnsiTheme="majorHAnsi"/>
          <w:sz w:val="16"/>
          <w:szCs w:val="16"/>
          <w:lang w:val="es-US"/>
        </w:rPr>
        <w:t xml:space="preserve"> Corte IDH. Caso Mohamed Vs. </w:t>
      </w:r>
      <w:r w:rsidRPr="00C03649">
        <w:rPr>
          <w:rFonts w:asciiTheme="majorHAnsi" w:hAnsiTheme="majorHAnsi"/>
          <w:sz w:val="16"/>
          <w:szCs w:val="16"/>
          <w:lang w:val="es-ES"/>
        </w:rPr>
        <w:t xml:space="preserve">Argentina. Sentencia de Excepción Preliminar, Fondo, Reparaciones y Costas. 23 noviembre de 2012. Serie C No. 255, párr. 99; Corte IDH. Caso Norín Catrimán y otros (Dirigentes, Miembros y Activista del Pueblo Indígena Mapuche) Vs. Chile. Fondo, Reparaciones y Costas. Sentencia de 29 de mayo de 2014. Serie C No. 279. Párr. 270.   </w:t>
      </w:r>
    </w:p>
  </w:footnote>
  <w:footnote w:id="96">
    <w:p w14:paraId="5BD909A7" w14:textId="77777777" w:rsidR="00D42427" w:rsidRPr="00C03649" w:rsidRDefault="00D42427" w:rsidP="00D56213">
      <w:pPr>
        <w:pStyle w:val="FootnoteText"/>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Corte IDH. Caso Amrhein y otros Vs. Costa Rica. Excepciones Preliminares, Fondo, Reparaciones y Costas. Sentencia de 25 de abril de 2018. Serie C No. 354. Párr. 196.</w:t>
      </w:r>
    </w:p>
  </w:footnote>
  <w:footnote w:id="97">
    <w:p w14:paraId="3054432E" w14:textId="77777777" w:rsidR="00D42427" w:rsidRPr="00C03649" w:rsidRDefault="00D42427" w:rsidP="00D56213">
      <w:pPr>
        <w:pStyle w:val="FootnoteText"/>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Corte IDH. Caso Mohamed Vs. Argentina. Sentencia de Excepción Preliminar, Fondo, Reparaciones y Costas. 23 noviembre de 2012. Serie C No. 255, párr. 100. </w:t>
      </w:r>
    </w:p>
  </w:footnote>
  <w:footnote w:id="98">
    <w:p w14:paraId="2BA20AB0" w14:textId="77777777" w:rsidR="00D42427" w:rsidRPr="00C03649" w:rsidRDefault="00D42427" w:rsidP="00D56213">
      <w:pPr>
        <w:pStyle w:val="FootnoteText"/>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Corte IDH. Caso Norín Catrimán y otros (Dirigentes, Miembros y Activista del Pueblo Indígena Mapuche) Vs. Chile. Fondo, Reparaciones y Costas. Sentencia de 29 de mayo de 2014. Serie C No. 279. Párr. 270.   </w:t>
      </w:r>
    </w:p>
  </w:footnote>
  <w:footnote w:id="99">
    <w:p w14:paraId="0280C6A7" w14:textId="77777777" w:rsidR="00D42427" w:rsidRPr="00C03649" w:rsidRDefault="00D42427" w:rsidP="00D56213">
      <w:pPr>
        <w:pStyle w:val="FootnoteText"/>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CIDH. Informe No. 55/97. Caso 11.137. Fondo. Juan Carlos Abella. Argentina. 18 de noviembre de 1997. Párr. 261</w:t>
      </w:r>
    </w:p>
  </w:footnote>
  <w:footnote w:id="100">
    <w:p w14:paraId="21519770" w14:textId="77777777" w:rsidR="00D42427" w:rsidRPr="00C03649" w:rsidRDefault="00D42427" w:rsidP="00D56213">
      <w:pPr>
        <w:pStyle w:val="FootnoteText"/>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Pr>
          <w:rFonts w:asciiTheme="majorHAnsi" w:hAnsiTheme="majorHAnsi"/>
          <w:sz w:val="16"/>
          <w:szCs w:val="16"/>
          <w:lang w:val="es-ES"/>
        </w:rPr>
        <w:t xml:space="preserve">  </w:t>
      </w:r>
      <w:r w:rsidRPr="00C03649">
        <w:rPr>
          <w:rFonts w:asciiTheme="majorHAnsi" w:hAnsiTheme="majorHAnsi"/>
          <w:sz w:val="16"/>
          <w:szCs w:val="16"/>
          <w:lang w:val="es-ES"/>
        </w:rPr>
        <w:t xml:space="preserve">La redacción del artículo 14.5 del PIDCP es sustancialmente similar a la del artículo 8.2.h de la Convención Americana, por lo tanto, las interpretaciones que haga el Comité́ de los Derechos Humanos de la ONU con relación al contenido y alcance de dicho artículo son pertinentes como pauta de interpretación del artículo 8.2.h de la Convención Americana. </w:t>
      </w:r>
    </w:p>
  </w:footnote>
  <w:footnote w:id="101">
    <w:p w14:paraId="522B61F4" w14:textId="77777777" w:rsidR="00D42427" w:rsidRPr="00C03649" w:rsidRDefault="00D42427" w:rsidP="00D56213">
      <w:pPr>
        <w:pStyle w:val="FootnoteText"/>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ONU, Comité́ de Derechos Humanos. Observación General Nro. 32. El derecho a un juicio imparcial y a la igualdad ante los tribunales y cortes de justicia. HRI/GEN/1/Rev.9 (Vol.I) Cap VII. Párr. 48.</w:t>
      </w:r>
    </w:p>
  </w:footnote>
  <w:footnote w:id="102">
    <w:p w14:paraId="6559BC4F" w14:textId="77777777" w:rsidR="00D42427" w:rsidRPr="00C03649" w:rsidRDefault="00D42427" w:rsidP="00D56213">
      <w:pPr>
        <w:pStyle w:val="FootnoteText"/>
        <w:jc w:val="both"/>
        <w:rPr>
          <w:rFonts w:asciiTheme="majorHAnsi" w:hAnsiTheme="majorHAnsi"/>
          <w:sz w:val="16"/>
          <w:szCs w:val="16"/>
          <w:lang w:val="es-AR"/>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CIDH, Informe No. 172/10, Caso 12.561, Fondo, César Alberto Mendoza y otros (Prisión y reclusión perpetuas de adolescentes), Argentina, 2 de noviembre de 2010, párr. 189.</w:t>
      </w:r>
    </w:p>
  </w:footnote>
  <w:footnote w:id="103">
    <w:p w14:paraId="3E9A0767" w14:textId="77777777" w:rsidR="00D42427" w:rsidRPr="00C03649" w:rsidRDefault="00D42427" w:rsidP="00D56213">
      <w:pPr>
        <w:pStyle w:val="FootnoteText"/>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99317A">
        <w:rPr>
          <w:rFonts w:asciiTheme="majorHAnsi" w:hAnsiTheme="majorHAnsi"/>
          <w:sz w:val="16"/>
          <w:szCs w:val="16"/>
          <w:lang w:val="es-US"/>
        </w:rPr>
        <w:t xml:space="preserve"> Corte IDH., Caso Herrera Ulloa Vs. </w:t>
      </w:r>
      <w:r w:rsidRPr="00C03649">
        <w:rPr>
          <w:rFonts w:asciiTheme="majorHAnsi" w:hAnsiTheme="majorHAnsi"/>
          <w:sz w:val="16"/>
          <w:szCs w:val="16"/>
          <w:lang w:val="es-ES"/>
        </w:rPr>
        <w:t>Costa Rica. Sentencia de Excepciones Preliminares, Fondo, Reparaciones y Costas. 2 de julio de 2004. Serie C No. 107, párr. 167.</w:t>
      </w:r>
    </w:p>
  </w:footnote>
  <w:footnote w:id="104">
    <w:p w14:paraId="361AD90E" w14:textId="77777777" w:rsidR="00D42427" w:rsidRPr="00C03649" w:rsidRDefault="00D42427" w:rsidP="00D56213">
      <w:pPr>
        <w:pStyle w:val="FootnoteText"/>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CIDH. Informe No. 33/14. Caso 12.820. Fondo. Manfred Amrhein y otros. Costa Rica. 4 de abril de 2014. Párr. 206.</w:t>
      </w:r>
    </w:p>
  </w:footnote>
  <w:footnote w:id="105">
    <w:p w14:paraId="3F05B15F" w14:textId="77777777" w:rsidR="00D42427" w:rsidRPr="00C03649" w:rsidRDefault="00D42427" w:rsidP="00D56213">
      <w:pPr>
        <w:pStyle w:val="FootnoteText"/>
        <w:jc w:val="both"/>
        <w:rPr>
          <w:rFonts w:asciiTheme="majorHAnsi" w:hAnsiTheme="majorHAnsi"/>
          <w:sz w:val="16"/>
          <w:szCs w:val="16"/>
          <w:lang w:val="es-AR"/>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Corte IDH. Caso Amrhein y otros Vs. Costa Rica. Excepciones Preliminares, Fondo, Reparaciones y Costas. Sentencia de 25 de abril de 2018. Serie C No. 354. Párr. 260.</w:t>
      </w:r>
    </w:p>
  </w:footnote>
  <w:footnote w:id="106">
    <w:p w14:paraId="587267B2" w14:textId="77777777" w:rsidR="00D42427" w:rsidRPr="00C03649" w:rsidRDefault="00D42427" w:rsidP="00D56213">
      <w:pPr>
        <w:pStyle w:val="FootnoteText"/>
        <w:jc w:val="both"/>
        <w:rPr>
          <w:rFonts w:asciiTheme="majorHAnsi" w:hAnsiTheme="majorHAnsi"/>
          <w:sz w:val="16"/>
          <w:szCs w:val="16"/>
          <w:lang w:val="pt-BR"/>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CIDH. Informe No. 33/14. Caso 12.820. Fondo. Manfred Amrhein y otros. </w:t>
      </w:r>
      <w:r w:rsidRPr="00C03649">
        <w:rPr>
          <w:rFonts w:asciiTheme="majorHAnsi" w:hAnsiTheme="majorHAnsi"/>
          <w:sz w:val="16"/>
          <w:szCs w:val="16"/>
          <w:lang w:val="pt-BR"/>
        </w:rPr>
        <w:t>Costa Rica. 4 de abril de 2014. Párr. 217 a 220.</w:t>
      </w:r>
    </w:p>
  </w:footnote>
  <w:footnote w:id="107">
    <w:p w14:paraId="3800FDDE" w14:textId="77777777" w:rsidR="00D42427" w:rsidRPr="00C03649" w:rsidRDefault="00D42427" w:rsidP="00D56213">
      <w:pPr>
        <w:pStyle w:val="FootnoteText"/>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pt-BR"/>
        </w:rPr>
        <w:t xml:space="preserve"> Corte IDH. Caso Liakat Ali Alibux Vs. </w:t>
      </w:r>
      <w:r w:rsidRPr="00C03649">
        <w:rPr>
          <w:rFonts w:asciiTheme="majorHAnsi" w:hAnsiTheme="majorHAnsi"/>
          <w:sz w:val="16"/>
          <w:szCs w:val="16"/>
          <w:lang w:val="es-ES"/>
        </w:rPr>
        <w:t>Surinam. Excepciones Preliminares, Fondo, Reparaciones y Costas. Sentencia de 30 de enero de 2014. Serie C No. 276. Párr. 76; Corte IDH. Caso Mohamed Vs. Argentina. Sentencia de Excepción Preliminar, Fondo, Reparaciones y Costas. 23 noviembre de 2012. Serie C No. 255, párr. 100.</w:t>
      </w:r>
    </w:p>
  </w:footnote>
  <w:footnote w:id="108">
    <w:p w14:paraId="1917FE33" w14:textId="77777777" w:rsidR="00D42427" w:rsidRPr="00C03649" w:rsidRDefault="00D42427" w:rsidP="00D56213">
      <w:pPr>
        <w:pStyle w:val="FootnoteText"/>
        <w:jc w:val="both"/>
        <w:rPr>
          <w:rFonts w:asciiTheme="majorHAnsi" w:hAnsiTheme="majorHAnsi"/>
          <w:sz w:val="16"/>
          <w:szCs w:val="16"/>
          <w:lang w:val="pt-BR"/>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es-ES"/>
        </w:rPr>
        <w:t xml:space="preserve"> Corte IDH. Caso Amrhein y otros Vs. Costa Rica. Excepciones Preliminares, Fondo, Reparaciones y Costas. </w:t>
      </w:r>
      <w:r w:rsidRPr="00C03649">
        <w:rPr>
          <w:rFonts w:asciiTheme="majorHAnsi" w:hAnsiTheme="majorHAnsi"/>
          <w:sz w:val="16"/>
          <w:szCs w:val="16"/>
          <w:lang w:val="pt-BR"/>
        </w:rPr>
        <w:t>Sentencia de 25 de abril de 2018. Serie C No. 354. Párr. 266.</w:t>
      </w:r>
    </w:p>
  </w:footnote>
  <w:footnote w:id="109">
    <w:p w14:paraId="487FA81E" w14:textId="77777777" w:rsidR="00D42427" w:rsidRPr="00C03649" w:rsidRDefault="00D42427" w:rsidP="00D56213">
      <w:pPr>
        <w:jc w:val="both"/>
        <w:rPr>
          <w:rFonts w:asciiTheme="majorHAnsi" w:hAnsiTheme="majorHAnsi"/>
          <w:sz w:val="16"/>
          <w:szCs w:val="16"/>
          <w:lang w:val="es-ES"/>
        </w:rPr>
      </w:pPr>
      <w:r w:rsidRPr="00C03649">
        <w:rPr>
          <w:rStyle w:val="FootnoteReference"/>
          <w:rFonts w:asciiTheme="majorHAnsi" w:hAnsiTheme="majorHAnsi"/>
          <w:sz w:val="16"/>
          <w:szCs w:val="16"/>
          <w:lang w:val="es-ES"/>
        </w:rPr>
        <w:footnoteRef/>
      </w:r>
      <w:r w:rsidRPr="00C03649">
        <w:rPr>
          <w:rFonts w:asciiTheme="majorHAnsi" w:hAnsiTheme="majorHAnsi"/>
          <w:sz w:val="16"/>
          <w:szCs w:val="16"/>
          <w:lang w:val="pt-BR"/>
        </w:rPr>
        <w:t xml:space="preserve"> Corte IDH. Caso Liakat Ali Alibux Vs. Surinam. </w:t>
      </w:r>
      <w:r w:rsidRPr="00C03649">
        <w:rPr>
          <w:rFonts w:asciiTheme="majorHAnsi" w:hAnsiTheme="majorHAnsi"/>
          <w:sz w:val="16"/>
          <w:szCs w:val="16"/>
          <w:lang w:val="es-ES"/>
        </w:rPr>
        <w:t xml:space="preserve">Excepciones Preliminares, Fondo, Reparaciones y Costas. Sentencia de 30 de enero de 2014. Serie C No. 276. Parr 94. </w:t>
      </w:r>
    </w:p>
  </w:footnote>
  <w:footnote w:id="110">
    <w:p w14:paraId="64616C93" w14:textId="77777777" w:rsidR="00D42427" w:rsidRPr="00C03649" w:rsidRDefault="00D42427" w:rsidP="00D56213">
      <w:pPr>
        <w:pStyle w:val="FootnoteText"/>
        <w:jc w:val="both"/>
        <w:rPr>
          <w:rFonts w:asciiTheme="majorHAnsi" w:hAnsiTheme="majorHAnsi"/>
          <w:sz w:val="16"/>
          <w:szCs w:val="16"/>
        </w:rPr>
      </w:pPr>
      <w:r w:rsidRPr="00C03649">
        <w:rPr>
          <w:rStyle w:val="FootnoteReference"/>
          <w:rFonts w:asciiTheme="majorHAnsi" w:hAnsiTheme="majorHAnsi"/>
          <w:sz w:val="16"/>
          <w:szCs w:val="16"/>
        </w:rPr>
        <w:footnoteRef/>
      </w:r>
      <w:r w:rsidRPr="00C03649">
        <w:rPr>
          <w:rFonts w:asciiTheme="majorHAnsi" w:hAnsiTheme="majorHAnsi"/>
          <w:sz w:val="16"/>
          <w:szCs w:val="16"/>
          <w:lang w:val="es-AR"/>
        </w:rPr>
        <w:t xml:space="preserve"> CIDH. Informe No. 33/14. Caso 12.820. Manfred Amrhein y otros. Costa Rica. 4 de abril de 2014. Párrs 201a 208.</w:t>
      </w:r>
      <w:r w:rsidRPr="00C03649">
        <w:rPr>
          <w:rFonts w:asciiTheme="majorHAnsi" w:hAnsiTheme="maj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331D" w14:textId="77777777" w:rsidR="00D42427" w:rsidRDefault="00D42427" w:rsidP="003A685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743B7A8" w14:textId="77777777" w:rsidR="00D42427" w:rsidRDefault="00D42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75C3" w14:textId="77777777" w:rsidR="00D42427" w:rsidRDefault="00D42427" w:rsidP="00A50FCF">
    <w:pPr>
      <w:pStyle w:val="Header"/>
      <w:tabs>
        <w:tab w:val="clear" w:pos="4320"/>
        <w:tab w:val="clear" w:pos="8640"/>
      </w:tabs>
      <w:jc w:val="center"/>
      <w:rPr>
        <w:sz w:val="22"/>
        <w:szCs w:val="22"/>
      </w:rPr>
    </w:pPr>
    <w:r>
      <w:rPr>
        <w:noProof/>
        <w:sz w:val="22"/>
        <w:szCs w:val="22"/>
        <w:lang w:val="es-AR" w:eastAsia="es-AR"/>
      </w:rPr>
      <w:drawing>
        <wp:inline distT="0" distB="0" distL="0" distR="0" wp14:anchorId="13920BB0" wp14:editId="64D72AB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197A5CF" w14:textId="77777777" w:rsidR="00D42427" w:rsidRPr="00EC7D62" w:rsidRDefault="00F4327D" w:rsidP="00A50FCF">
    <w:pPr>
      <w:pStyle w:val="Header"/>
      <w:tabs>
        <w:tab w:val="clear" w:pos="4320"/>
        <w:tab w:val="clear" w:pos="8640"/>
      </w:tabs>
      <w:jc w:val="center"/>
      <w:rPr>
        <w:sz w:val="22"/>
        <w:szCs w:val="22"/>
      </w:rPr>
    </w:pPr>
    <w:r>
      <w:rPr>
        <w:noProof/>
        <w:sz w:val="22"/>
        <w:szCs w:val="22"/>
        <w:bdr w:val="nil"/>
      </w:rPr>
      <w:pict w14:anchorId="2D8D944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EF0D46"/>
    <w:multiLevelType w:val="hybridMultilevel"/>
    <w:tmpl w:val="A72246F4"/>
    <w:lvl w:ilvl="0" w:tplc="9588ED34">
      <w:start w:val="1"/>
      <w:numFmt w:val="upperLetter"/>
      <w:lvlText w:val="%1."/>
      <w:lvlJc w:val="left"/>
      <w:pPr>
        <w:ind w:left="1120" w:hanging="360"/>
      </w:pPr>
      <w:rPr>
        <w:rFonts w:asciiTheme="majorHAnsi" w:hAnsiTheme="majorHAnsi" w:hint="default"/>
        <w:i w:val="0"/>
        <w:sz w:val="20"/>
        <w:szCs w:val="20"/>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46C347F"/>
    <w:multiLevelType w:val="hybridMultilevel"/>
    <w:tmpl w:val="DD882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A1C2CB7"/>
    <w:multiLevelType w:val="hybridMultilevel"/>
    <w:tmpl w:val="C2B06AE6"/>
    <w:lvl w:ilvl="0" w:tplc="69DA3492">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696378"/>
    <w:multiLevelType w:val="hybridMultilevel"/>
    <w:tmpl w:val="4F60A392"/>
    <w:lvl w:ilvl="0" w:tplc="B28C4D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B54EF7"/>
    <w:multiLevelType w:val="hybridMultilevel"/>
    <w:tmpl w:val="A7DC49D0"/>
    <w:lvl w:ilvl="0" w:tplc="F76C922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E193A65"/>
    <w:multiLevelType w:val="hybridMultilevel"/>
    <w:tmpl w:val="B1EAE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F8006E"/>
    <w:multiLevelType w:val="hybridMultilevel"/>
    <w:tmpl w:val="2FD45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4310266"/>
    <w:multiLevelType w:val="hybridMultilevel"/>
    <w:tmpl w:val="68702AB8"/>
    <w:lvl w:ilvl="0" w:tplc="3B30325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535BE6"/>
    <w:multiLevelType w:val="hybridMultilevel"/>
    <w:tmpl w:val="F63AD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4"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5"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65E3453"/>
    <w:multiLevelType w:val="hybridMultilevel"/>
    <w:tmpl w:val="4740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8AD48C3"/>
    <w:multiLevelType w:val="hybridMultilevel"/>
    <w:tmpl w:val="B1EAE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AFE2F09"/>
    <w:multiLevelType w:val="hybridMultilevel"/>
    <w:tmpl w:val="2A208D40"/>
    <w:lvl w:ilvl="0" w:tplc="6AA846D0">
      <w:start w:val="1"/>
      <w:numFmt w:val="upp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5CCA77EF"/>
    <w:multiLevelType w:val="hybridMultilevel"/>
    <w:tmpl w:val="417E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7D4B9D"/>
    <w:multiLevelType w:val="hybridMultilevel"/>
    <w:tmpl w:val="568EE572"/>
    <w:lvl w:ilvl="0" w:tplc="FDB23628">
      <w:start w:val="1"/>
      <w:numFmt w:val="decimal"/>
      <w:pStyle w:val="parrafos"/>
      <w:lvlText w:val="%1."/>
      <w:lvlJc w:val="left"/>
      <w:pPr>
        <w:ind w:left="360" w:hanging="360"/>
      </w:pPr>
      <w:rPr>
        <w:rFonts w:ascii="Cambria" w:hAnsi="Cambria" w:hint="default"/>
        <w:b w:val="0"/>
        <w:i w:val="0"/>
        <w:color w:val="auto"/>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EF22933"/>
    <w:multiLevelType w:val="hybridMultilevel"/>
    <w:tmpl w:val="4B0A3AB6"/>
    <w:lvl w:ilvl="0" w:tplc="D18679A8">
      <w:start w:val="1"/>
      <w:numFmt w:val="upperRoman"/>
      <w:pStyle w:val="Heading1"/>
      <w:lvlText w:val="%1."/>
      <w:lvlJc w:val="left"/>
      <w:pPr>
        <w:ind w:left="760" w:hanging="720"/>
      </w:pPr>
      <w:rPr>
        <w:rFonts w:hint="default"/>
        <w:color w:val="auto"/>
        <w:sz w:val="20"/>
        <w:szCs w:val="2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6"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6FA144AF"/>
    <w:multiLevelType w:val="hybridMultilevel"/>
    <w:tmpl w:val="4F60A392"/>
    <w:lvl w:ilvl="0" w:tplc="B28C4D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DE5059D"/>
    <w:multiLevelType w:val="hybridMultilevel"/>
    <w:tmpl w:val="01CE98EA"/>
    <w:lvl w:ilvl="0" w:tplc="C5FCF642">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64"/>
  </w:num>
  <w:num w:numId="4">
    <w:abstractNumId w:val="26"/>
  </w:num>
  <w:num w:numId="5">
    <w:abstractNumId w:val="58"/>
  </w:num>
  <w:num w:numId="6">
    <w:abstractNumId w:val="33"/>
  </w:num>
  <w:num w:numId="7">
    <w:abstractNumId w:val="7"/>
  </w:num>
  <w:num w:numId="8">
    <w:abstractNumId w:val="18"/>
  </w:num>
  <w:num w:numId="9">
    <w:abstractNumId w:val="50"/>
  </w:num>
  <w:num w:numId="10">
    <w:abstractNumId w:val="0"/>
  </w:num>
  <w:num w:numId="11">
    <w:abstractNumId w:val="45"/>
  </w:num>
  <w:num w:numId="12">
    <w:abstractNumId w:val="46"/>
  </w:num>
  <w:num w:numId="13">
    <w:abstractNumId w:val="51"/>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20"/>
  </w:num>
  <w:num w:numId="26">
    <w:abstractNumId w:val="22"/>
  </w:num>
  <w:num w:numId="27">
    <w:abstractNumId w:val="27"/>
  </w:num>
  <w:num w:numId="28">
    <w:abstractNumId w:val="28"/>
  </w:num>
  <w:num w:numId="29">
    <w:abstractNumId w:val="29"/>
  </w:num>
  <w:num w:numId="30">
    <w:abstractNumId w:val="32"/>
  </w:num>
  <w:num w:numId="31">
    <w:abstractNumId w:val="34"/>
  </w:num>
  <w:num w:numId="32">
    <w:abstractNumId w:val="35"/>
  </w:num>
  <w:num w:numId="33">
    <w:abstractNumId w:val="36"/>
  </w:num>
  <w:num w:numId="34">
    <w:abstractNumId w:val="37"/>
  </w:num>
  <w:num w:numId="35">
    <w:abstractNumId w:val="38"/>
  </w:num>
  <w:num w:numId="36">
    <w:abstractNumId w:val="40"/>
  </w:num>
  <w:num w:numId="37">
    <w:abstractNumId w:val="41"/>
  </w:num>
  <w:num w:numId="38">
    <w:abstractNumId w:val="43"/>
  </w:num>
  <w:num w:numId="39">
    <w:abstractNumId w:val="47"/>
  </w:num>
  <w:num w:numId="40">
    <w:abstractNumId w:val="48"/>
  </w:num>
  <w:num w:numId="41">
    <w:abstractNumId w:val="57"/>
  </w:num>
  <w:num w:numId="42">
    <w:abstractNumId w:val="59"/>
  </w:num>
  <w:num w:numId="43">
    <w:abstractNumId w:val="60"/>
  </w:num>
  <w:num w:numId="44">
    <w:abstractNumId w:val="62"/>
  </w:num>
  <w:num w:numId="45">
    <w:abstractNumId w:val="63"/>
  </w:num>
  <w:num w:numId="46">
    <w:abstractNumId w:val="65"/>
  </w:num>
  <w:num w:numId="47">
    <w:abstractNumId w:val="66"/>
  </w:num>
  <w:num w:numId="48">
    <w:abstractNumId w:val="67"/>
  </w:num>
  <w:num w:numId="49">
    <w:abstractNumId w:val="69"/>
  </w:num>
  <w:num w:numId="50">
    <w:abstractNumId w:val="70"/>
  </w:num>
  <w:num w:numId="51">
    <w:abstractNumId w:val="25"/>
  </w:num>
  <w:num w:numId="52">
    <w:abstractNumId w:val="49"/>
  </w:num>
  <w:num w:numId="53">
    <w:abstractNumId w:val="52"/>
  </w:num>
  <w:num w:numId="54">
    <w:abstractNumId w:val="55"/>
  </w:num>
  <w:num w:numId="55">
    <w:abstractNumId w:val="30"/>
  </w:num>
  <w:num w:numId="56">
    <w:abstractNumId w:val="44"/>
  </w:num>
  <w:num w:numId="57">
    <w:abstractNumId w:val="2"/>
  </w:num>
  <w:num w:numId="58">
    <w:abstractNumId w:val="31"/>
  </w:num>
  <w:num w:numId="59">
    <w:abstractNumId w:val="17"/>
  </w:num>
  <w:num w:numId="60">
    <w:abstractNumId w:val="61"/>
    <w:lvlOverride w:ilvl="0">
      <w:startOverride w:val="1"/>
    </w:lvlOverride>
  </w:num>
  <w:num w:numId="61">
    <w:abstractNumId w:val="21"/>
  </w:num>
  <w:num w:numId="62">
    <w:abstractNumId w:val="19"/>
  </w:num>
  <w:num w:numId="63">
    <w:abstractNumId w:val="42"/>
  </w:num>
  <w:num w:numId="64">
    <w:abstractNumId w:val="24"/>
  </w:num>
  <w:num w:numId="65">
    <w:abstractNumId w:val="23"/>
  </w:num>
  <w:num w:numId="66">
    <w:abstractNumId w:val="54"/>
  </w:num>
  <w:num w:numId="67">
    <w:abstractNumId w:val="39"/>
  </w:num>
  <w:num w:numId="68">
    <w:abstractNumId w:val="6"/>
  </w:num>
  <w:num w:numId="69">
    <w:abstractNumId w:val="56"/>
  </w:num>
  <w:num w:numId="70">
    <w:abstractNumId w:val="68"/>
  </w:num>
  <w:num w:numId="71">
    <w:abstractNumId w:val="53"/>
  </w:num>
  <w:num w:numId="72">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removePersonalInformation/>
  <w:removeDateAndTime/>
  <w:defaultTabStop w:val="720"/>
  <w:hyphenationZone w:val="425"/>
  <w:characterSpacingControl w:val="doNotCompress"/>
  <w:hdrShapeDefaults>
    <o:shapedefaults v:ext="edit" spidmax="20482"/>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998"/>
    <w:rsid w:val="00006E1F"/>
    <w:rsid w:val="000070D7"/>
    <w:rsid w:val="000135E8"/>
    <w:rsid w:val="00015AE6"/>
    <w:rsid w:val="0001788C"/>
    <w:rsid w:val="00036C22"/>
    <w:rsid w:val="00040C3A"/>
    <w:rsid w:val="00042DAB"/>
    <w:rsid w:val="00045F44"/>
    <w:rsid w:val="0004741B"/>
    <w:rsid w:val="00064A83"/>
    <w:rsid w:val="000716C5"/>
    <w:rsid w:val="000749E0"/>
    <w:rsid w:val="00075E23"/>
    <w:rsid w:val="00077447"/>
    <w:rsid w:val="000779C4"/>
    <w:rsid w:val="000801B5"/>
    <w:rsid w:val="0008368B"/>
    <w:rsid w:val="0009344A"/>
    <w:rsid w:val="00094C09"/>
    <w:rsid w:val="00094D13"/>
    <w:rsid w:val="000A392E"/>
    <w:rsid w:val="000A51B7"/>
    <w:rsid w:val="000A575F"/>
    <w:rsid w:val="000A6F41"/>
    <w:rsid w:val="000B226C"/>
    <w:rsid w:val="000B4611"/>
    <w:rsid w:val="000B6A0B"/>
    <w:rsid w:val="000C59DF"/>
    <w:rsid w:val="000D10DB"/>
    <w:rsid w:val="000E5EB5"/>
    <w:rsid w:val="000E70BF"/>
    <w:rsid w:val="000F35ED"/>
    <w:rsid w:val="000F5C96"/>
    <w:rsid w:val="00102255"/>
    <w:rsid w:val="00103A26"/>
    <w:rsid w:val="00107131"/>
    <w:rsid w:val="0010736F"/>
    <w:rsid w:val="00113F73"/>
    <w:rsid w:val="0012154C"/>
    <w:rsid w:val="00121CC2"/>
    <w:rsid w:val="00133EE5"/>
    <w:rsid w:val="00143C3F"/>
    <w:rsid w:val="00151F45"/>
    <w:rsid w:val="00153218"/>
    <w:rsid w:val="00153B44"/>
    <w:rsid w:val="00162C21"/>
    <w:rsid w:val="00167A34"/>
    <w:rsid w:val="00173A03"/>
    <w:rsid w:val="00182C16"/>
    <w:rsid w:val="00187396"/>
    <w:rsid w:val="0019140B"/>
    <w:rsid w:val="001979D6"/>
    <w:rsid w:val="001A6B88"/>
    <w:rsid w:val="001A6C35"/>
    <w:rsid w:val="001A7870"/>
    <w:rsid w:val="001C1B41"/>
    <w:rsid w:val="001C5895"/>
    <w:rsid w:val="001C7E79"/>
    <w:rsid w:val="001D02AC"/>
    <w:rsid w:val="001D65EF"/>
    <w:rsid w:val="001D7DBF"/>
    <w:rsid w:val="001E2641"/>
    <w:rsid w:val="001E674B"/>
    <w:rsid w:val="0020307F"/>
    <w:rsid w:val="0021152A"/>
    <w:rsid w:val="00211EEF"/>
    <w:rsid w:val="002168CC"/>
    <w:rsid w:val="00222ABD"/>
    <w:rsid w:val="00222DA4"/>
    <w:rsid w:val="002250A3"/>
    <w:rsid w:val="00235217"/>
    <w:rsid w:val="00246D1F"/>
    <w:rsid w:val="00247403"/>
    <w:rsid w:val="002474BA"/>
    <w:rsid w:val="00247542"/>
    <w:rsid w:val="00250549"/>
    <w:rsid w:val="002567A0"/>
    <w:rsid w:val="00266720"/>
    <w:rsid w:val="00266B61"/>
    <w:rsid w:val="0026712A"/>
    <w:rsid w:val="002704DB"/>
    <w:rsid w:val="00272114"/>
    <w:rsid w:val="00272388"/>
    <w:rsid w:val="002738B3"/>
    <w:rsid w:val="00273912"/>
    <w:rsid w:val="0028235D"/>
    <w:rsid w:val="0029568F"/>
    <w:rsid w:val="002965D3"/>
    <w:rsid w:val="002A0AAE"/>
    <w:rsid w:val="002A0FDD"/>
    <w:rsid w:val="002A18B1"/>
    <w:rsid w:val="002A3805"/>
    <w:rsid w:val="002A5820"/>
    <w:rsid w:val="002C397E"/>
    <w:rsid w:val="002C6542"/>
    <w:rsid w:val="002D2B26"/>
    <w:rsid w:val="002D36C1"/>
    <w:rsid w:val="002D7EA2"/>
    <w:rsid w:val="002E0425"/>
    <w:rsid w:val="002E187C"/>
    <w:rsid w:val="002F22D4"/>
    <w:rsid w:val="002F2544"/>
    <w:rsid w:val="002F3149"/>
    <w:rsid w:val="00301FC6"/>
    <w:rsid w:val="00302733"/>
    <w:rsid w:val="0030439C"/>
    <w:rsid w:val="003072ED"/>
    <w:rsid w:val="00307F50"/>
    <w:rsid w:val="00314078"/>
    <w:rsid w:val="0031535D"/>
    <w:rsid w:val="00326C0F"/>
    <w:rsid w:val="0033169F"/>
    <w:rsid w:val="003403A5"/>
    <w:rsid w:val="00346C95"/>
    <w:rsid w:val="0035534A"/>
    <w:rsid w:val="00356185"/>
    <w:rsid w:val="003562AB"/>
    <w:rsid w:val="00360380"/>
    <w:rsid w:val="0036143B"/>
    <w:rsid w:val="00365414"/>
    <w:rsid w:val="0037519E"/>
    <w:rsid w:val="003759E0"/>
    <w:rsid w:val="00382053"/>
    <w:rsid w:val="003825E2"/>
    <w:rsid w:val="00384A58"/>
    <w:rsid w:val="00386CF0"/>
    <w:rsid w:val="003929BE"/>
    <w:rsid w:val="003A11D2"/>
    <w:rsid w:val="003A2AD7"/>
    <w:rsid w:val="003A595F"/>
    <w:rsid w:val="003A6852"/>
    <w:rsid w:val="003C14C0"/>
    <w:rsid w:val="003C62BA"/>
    <w:rsid w:val="003C676B"/>
    <w:rsid w:val="003D19C6"/>
    <w:rsid w:val="003D3BC2"/>
    <w:rsid w:val="003D45A7"/>
    <w:rsid w:val="003E0A18"/>
    <w:rsid w:val="003E6CA1"/>
    <w:rsid w:val="003F18B7"/>
    <w:rsid w:val="003F293D"/>
    <w:rsid w:val="00407A7B"/>
    <w:rsid w:val="004116D8"/>
    <w:rsid w:val="004165C2"/>
    <w:rsid w:val="004167AA"/>
    <w:rsid w:val="00416B1D"/>
    <w:rsid w:val="00422269"/>
    <w:rsid w:val="00426AAC"/>
    <w:rsid w:val="00426F57"/>
    <w:rsid w:val="00430166"/>
    <w:rsid w:val="00435F93"/>
    <w:rsid w:val="004404F4"/>
    <w:rsid w:val="00441ECB"/>
    <w:rsid w:val="00443A6B"/>
    <w:rsid w:val="00444E4B"/>
    <w:rsid w:val="00445190"/>
    <w:rsid w:val="00451989"/>
    <w:rsid w:val="004549AB"/>
    <w:rsid w:val="00461CA8"/>
    <w:rsid w:val="00463AD4"/>
    <w:rsid w:val="00467B7E"/>
    <w:rsid w:val="004764B6"/>
    <w:rsid w:val="0047702A"/>
    <w:rsid w:val="00477592"/>
    <w:rsid w:val="00486F1C"/>
    <w:rsid w:val="00487664"/>
    <w:rsid w:val="0049419D"/>
    <w:rsid w:val="004B0707"/>
    <w:rsid w:val="004B0EF1"/>
    <w:rsid w:val="004B57F4"/>
    <w:rsid w:val="004C20D2"/>
    <w:rsid w:val="004C4B62"/>
    <w:rsid w:val="004C54C9"/>
    <w:rsid w:val="004D4B6B"/>
    <w:rsid w:val="004D593D"/>
    <w:rsid w:val="004D6025"/>
    <w:rsid w:val="004D6E6A"/>
    <w:rsid w:val="004E2649"/>
    <w:rsid w:val="004E7C30"/>
    <w:rsid w:val="004F01D5"/>
    <w:rsid w:val="004F257D"/>
    <w:rsid w:val="00501399"/>
    <w:rsid w:val="00503948"/>
    <w:rsid w:val="00503E12"/>
    <w:rsid w:val="0050633D"/>
    <w:rsid w:val="00506895"/>
    <w:rsid w:val="00507BC4"/>
    <w:rsid w:val="00510227"/>
    <w:rsid w:val="005128E4"/>
    <w:rsid w:val="005133DB"/>
    <w:rsid w:val="00525560"/>
    <w:rsid w:val="00531240"/>
    <w:rsid w:val="0053193A"/>
    <w:rsid w:val="00531E85"/>
    <w:rsid w:val="00536F43"/>
    <w:rsid w:val="00544C49"/>
    <w:rsid w:val="0054762E"/>
    <w:rsid w:val="005509DF"/>
    <w:rsid w:val="005516A1"/>
    <w:rsid w:val="00560E68"/>
    <w:rsid w:val="00564754"/>
    <w:rsid w:val="00567AA0"/>
    <w:rsid w:val="0057402A"/>
    <w:rsid w:val="005771D0"/>
    <w:rsid w:val="0058027C"/>
    <w:rsid w:val="005808D5"/>
    <w:rsid w:val="0059063D"/>
    <w:rsid w:val="0059191A"/>
    <w:rsid w:val="005921FF"/>
    <w:rsid w:val="005A130F"/>
    <w:rsid w:val="005A6D0E"/>
    <w:rsid w:val="005B4C7F"/>
    <w:rsid w:val="005B52B0"/>
    <w:rsid w:val="005B6806"/>
    <w:rsid w:val="005C4225"/>
    <w:rsid w:val="005C5928"/>
    <w:rsid w:val="005D15F6"/>
    <w:rsid w:val="005E5134"/>
    <w:rsid w:val="005F0DAD"/>
    <w:rsid w:val="005F0F33"/>
    <w:rsid w:val="00600DEB"/>
    <w:rsid w:val="0060278E"/>
    <w:rsid w:val="00603BDE"/>
    <w:rsid w:val="0061466B"/>
    <w:rsid w:val="00622338"/>
    <w:rsid w:val="00627C9F"/>
    <w:rsid w:val="00630526"/>
    <w:rsid w:val="006311E9"/>
    <w:rsid w:val="00632354"/>
    <w:rsid w:val="00632A62"/>
    <w:rsid w:val="00642810"/>
    <w:rsid w:val="006502F4"/>
    <w:rsid w:val="00652333"/>
    <w:rsid w:val="00653213"/>
    <w:rsid w:val="00655D24"/>
    <w:rsid w:val="00660A1B"/>
    <w:rsid w:val="00662052"/>
    <w:rsid w:val="00665102"/>
    <w:rsid w:val="0068009E"/>
    <w:rsid w:val="006827CD"/>
    <w:rsid w:val="006843AA"/>
    <w:rsid w:val="00686A63"/>
    <w:rsid w:val="00692219"/>
    <w:rsid w:val="006A17D2"/>
    <w:rsid w:val="006A557C"/>
    <w:rsid w:val="006A5971"/>
    <w:rsid w:val="006A73E6"/>
    <w:rsid w:val="006B2D5C"/>
    <w:rsid w:val="006B4CE2"/>
    <w:rsid w:val="006C4EB1"/>
    <w:rsid w:val="006E0166"/>
    <w:rsid w:val="006E67E2"/>
    <w:rsid w:val="006E742B"/>
    <w:rsid w:val="006E7B34"/>
    <w:rsid w:val="0070697F"/>
    <w:rsid w:val="00716029"/>
    <w:rsid w:val="0072199C"/>
    <w:rsid w:val="00722674"/>
    <w:rsid w:val="00722C9F"/>
    <w:rsid w:val="007253B8"/>
    <w:rsid w:val="007322E7"/>
    <w:rsid w:val="00735575"/>
    <w:rsid w:val="0073741F"/>
    <w:rsid w:val="007506D5"/>
    <w:rsid w:val="007541E7"/>
    <w:rsid w:val="00755F36"/>
    <w:rsid w:val="0076643F"/>
    <w:rsid w:val="00770713"/>
    <w:rsid w:val="007741BF"/>
    <w:rsid w:val="00776B35"/>
    <w:rsid w:val="00776FB7"/>
    <w:rsid w:val="00777F63"/>
    <w:rsid w:val="0078416C"/>
    <w:rsid w:val="00790411"/>
    <w:rsid w:val="007912C1"/>
    <w:rsid w:val="007A5817"/>
    <w:rsid w:val="007B60E9"/>
    <w:rsid w:val="007B6CC3"/>
    <w:rsid w:val="007C3334"/>
    <w:rsid w:val="007C4E9F"/>
    <w:rsid w:val="007D0D74"/>
    <w:rsid w:val="007D2672"/>
    <w:rsid w:val="007D2B98"/>
    <w:rsid w:val="007D387A"/>
    <w:rsid w:val="007E21BC"/>
    <w:rsid w:val="007F055F"/>
    <w:rsid w:val="007F19C6"/>
    <w:rsid w:val="00802C1A"/>
    <w:rsid w:val="00803F1C"/>
    <w:rsid w:val="0080600E"/>
    <w:rsid w:val="008125B4"/>
    <w:rsid w:val="00816474"/>
    <w:rsid w:val="00817612"/>
    <w:rsid w:val="008338A4"/>
    <w:rsid w:val="00834752"/>
    <w:rsid w:val="00837C45"/>
    <w:rsid w:val="00844730"/>
    <w:rsid w:val="008457C2"/>
    <w:rsid w:val="00845885"/>
    <w:rsid w:val="00851434"/>
    <w:rsid w:val="00852590"/>
    <w:rsid w:val="00857A82"/>
    <w:rsid w:val="00860CC1"/>
    <w:rsid w:val="00860FD3"/>
    <w:rsid w:val="008639BC"/>
    <w:rsid w:val="008657E1"/>
    <w:rsid w:val="00873228"/>
    <w:rsid w:val="00873836"/>
    <w:rsid w:val="00875895"/>
    <w:rsid w:val="008779C3"/>
    <w:rsid w:val="00885737"/>
    <w:rsid w:val="00890650"/>
    <w:rsid w:val="008908D9"/>
    <w:rsid w:val="00890F4F"/>
    <w:rsid w:val="00895E49"/>
    <w:rsid w:val="00897E12"/>
    <w:rsid w:val="008A1DD5"/>
    <w:rsid w:val="008A7E0F"/>
    <w:rsid w:val="008B12F5"/>
    <w:rsid w:val="008B24F1"/>
    <w:rsid w:val="008C4755"/>
    <w:rsid w:val="008C5A4F"/>
    <w:rsid w:val="008C61D7"/>
    <w:rsid w:val="008D7486"/>
    <w:rsid w:val="008D74BF"/>
    <w:rsid w:val="008D768D"/>
    <w:rsid w:val="008E04A5"/>
    <w:rsid w:val="008E3759"/>
    <w:rsid w:val="008E399E"/>
    <w:rsid w:val="008F1912"/>
    <w:rsid w:val="008F6D50"/>
    <w:rsid w:val="009024C0"/>
    <w:rsid w:val="0090270B"/>
    <w:rsid w:val="009041DC"/>
    <w:rsid w:val="00904D8E"/>
    <w:rsid w:val="00904DED"/>
    <w:rsid w:val="0090515E"/>
    <w:rsid w:val="009072B1"/>
    <w:rsid w:val="00917B5A"/>
    <w:rsid w:val="00920A58"/>
    <w:rsid w:val="00920A8C"/>
    <w:rsid w:val="00927E42"/>
    <w:rsid w:val="00934A2C"/>
    <w:rsid w:val="00935A2D"/>
    <w:rsid w:val="00944424"/>
    <w:rsid w:val="00957061"/>
    <w:rsid w:val="00964274"/>
    <w:rsid w:val="00964D5E"/>
    <w:rsid w:val="0096666B"/>
    <w:rsid w:val="0096706E"/>
    <w:rsid w:val="0097352B"/>
    <w:rsid w:val="00975C4E"/>
    <w:rsid w:val="00981374"/>
    <w:rsid w:val="00981FBA"/>
    <w:rsid w:val="009925EB"/>
    <w:rsid w:val="0099317A"/>
    <w:rsid w:val="00997BC5"/>
    <w:rsid w:val="009A10DE"/>
    <w:rsid w:val="009A4F41"/>
    <w:rsid w:val="009A597B"/>
    <w:rsid w:val="009B381B"/>
    <w:rsid w:val="009C2F93"/>
    <w:rsid w:val="009D1753"/>
    <w:rsid w:val="009D3539"/>
    <w:rsid w:val="009D7611"/>
    <w:rsid w:val="009E0B61"/>
    <w:rsid w:val="009E1E3D"/>
    <w:rsid w:val="009E53DE"/>
    <w:rsid w:val="009F3567"/>
    <w:rsid w:val="009F38D9"/>
    <w:rsid w:val="00A15793"/>
    <w:rsid w:val="00A166F0"/>
    <w:rsid w:val="00A21B6F"/>
    <w:rsid w:val="00A328B3"/>
    <w:rsid w:val="00A411C6"/>
    <w:rsid w:val="00A41F08"/>
    <w:rsid w:val="00A42343"/>
    <w:rsid w:val="00A439CD"/>
    <w:rsid w:val="00A50FCF"/>
    <w:rsid w:val="00A528D1"/>
    <w:rsid w:val="00A556A3"/>
    <w:rsid w:val="00A6037E"/>
    <w:rsid w:val="00A610CD"/>
    <w:rsid w:val="00A62BE3"/>
    <w:rsid w:val="00A7173E"/>
    <w:rsid w:val="00A87EC2"/>
    <w:rsid w:val="00A9284B"/>
    <w:rsid w:val="00AA09A2"/>
    <w:rsid w:val="00AA5F89"/>
    <w:rsid w:val="00AA7996"/>
    <w:rsid w:val="00AB3E51"/>
    <w:rsid w:val="00AC19CB"/>
    <w:rsid w:val="00AD3EE5"/>
    <w:rsid w:val="00AD4E6A"/>
    <w:rsid w:val="00AD4E74"/>
    <w:rsid w:val="00AE5488"/>
    <w:rsid w:val="00AE6F91"/>
    <w:rsid w:val="00AE76D3"/>
    <w:rsid w:val="00AE7E44"/>
    <w:rsid w:val="00AF5571"/>
    <w:rsid w:val="00AF55C7"/>
    <w:rsid w:val="00B00AA7"/>
    <w:rsid w:val="00B01835"/>
    <w:rsid w:val="00B0383C"/>
    <w:rsid w:val="00B07341"/>
    <w:rsid w:val="00B14D2A"/>
    <w:rsid w:val="00B24D84"/>
    <w:rsid w:val="00B26222"/>
    <w:rsid w:val="00B30539"/>
    <w:rsid w:val="00B314DB"/>
    <w:rsid w:val="00B361F2"/>
    <w:rsid w:val="00B3718B"/>
    <w:rsid w:val="00B4632A"/>
    <w:rsid w:val="00B46D71"/>
    <w:rsid w:val="00B50CD9"/>
    <w:rsid w:val="00B530F1"/>
    <w:rsid w:val="00B62C65"/>
    <w:rsid w:val="00B65DAC"/>
    <w:rsid w:val="00B74001"/>
    <w:rsid w:val="00B84DA6"/>
    <w:rsid w:val="00B85110"/>
    <w:rsid w:val="00B90237"/>
    <w:rsid w:val="00BA134B"/>
    <w:rsid w:val="00BA18EA"/>
    <w:rsid w:val="00BA276C"/>
    <w:rsid w:val="00BA2A38"/>
    <w:rsid w:val="00BA4C18"/>
    <w:rsid w:val="00BA7EF0"/>
    <w:rsid w:val="00BB0217"/>
    <w:rsid w:val="00BB306F"/>
    <w:rsid w:val="00BB42C0"/>
    <w:rsid w:val="00BC069C"/>
    <w:rsid w:val="00BC5201"/>
    <w:rsid w:val="00BC77A8"/>
    <w:rsid w:val="00BD21AD"/>
    <w:rsid w:val="00BD4B89"/>
    <w:rsid w:val="00BD5D18"/>
    <w:rsid w:val="00BD638B"/>
    <w:rsid w:val="00BE43FB"/>
    <w:rsid w:val="00BF02CB"/>
    <w:rsid w:val="00BF5F09"/>
    <w:rsid w:val="00BF6FD8"/>
    <w:rsid w:val="00C03355"/>
    <w:rsid w:val="00C03649"/>
    <w:rsid w:val="00C03680"/>
    <w:rsid w:val="00C051B4"/>
    <w:rsid w:val="00C054DF"/>
    <w:rsid w:val="00C05DBD"/>
    <w:rsid w:val="00C165C0"/>
    <w:rsid w:val="00C2076E"/>
    <w:rsid w:val="00C21762"/>
    <w:rsid w:val="00C220E9"/>
    <w:rsid w:val="00C23B3B"/>
    <w:rsid w:val="00C24543"/>
    <w:rsid w:val="00C256A2"/>
    <w:rsid w:val="00C27B23"/>
    <w:rsid w:val="00C33647"/>
    <w:rsid w:val="00C51515"/>
    <w:rsid w:val="00C54285"/>
    <w:rsid w:val="00C5660B"/>
    <w:rsid w:val="00C61B03"/>
    <w:rsid w:val="00C66B72"/>
    <w:rsid w:val="00C67CB1"/>
    <w:rsid w:val="00C85D37"/>
    <w:rsid w:val="00C9567A"/>
    <w:rsid w:val="00C97493"/>
    <w:rsid w:val="00C97DC5"/>
    <w:rsid w:val="00CA0F28"/>
    <w:rsid w:val="00CA3637"/>
    <w:rsid w:val="00CA7CC0"/>
    <w:rsid w:val="00CB212D"/>
    <w:rsid w:val="00CB2660"/>
    <w:rsid w:val="00CC21C0"/>
    <w:rsid w:val="00CC268F"/>
    <w:rsid w:val="00CC3E1E"/>
    <w:rsid w:val="00CC5E90"/>
    <w:rsid w:val="00CD046C"/>
    <w:rsid w:val="00CE073B"/>
    <w:rsid w:val="00CE076C"/>
    <w:rsid w:val="00CE097E"/>
    <w:rsid w:val="00CE5199"/>
    <w:rsid w:val="00CE66D5"/>
    <w:rsid w:val="00CF2F8C"/>
    <w:rsid w:val="00CF637A"/>
    <w:rsid w:val="00D050FD"/>
    <w:rsid w:val="00D059DE"/>
    <w:rsid w:val="00D13FCE"/>
    <w:rsid w:val="00D1535B"/>
    <w:rsid w:val="00D27EA6"/>
    <w:rsid w:val="00D306D1"/>
    <w:rsid w:val="00D3137D"/>
    <w:rsid w:val="00D34786"/>
    <w:rsid w:val="00D37BFC"/>
    <w:rsid w:val="00D42427"/>
    <w:rsid w:val="00D47A8E"/>
    <w:rsid w:val="00D52D14"/>
    <w:rsid w:val="00D55F9E"/>
    <w:rsid w:val="00D56213"/>
    <w:rsid w:val="00D66281"/>
    <w:rsid w:val="00D70056"/>
    <w:rsid w:val="00D701D3"/>
    <w:rsid w:val="00D712D3"/>
    <w:rsid w:val="00D71422"/>
    <w:rsid w:val="00D72DC6"/>
    <w:rsid w:val="00D7558D"/>
    <w:rsid w:val="00D77203"/>
    <w:rsid w:val="00D80892"/>
    <w:rsid w:val="00D81D92"/>
    <w:rsid w:val="00D855A5"/>
    <w:rsid w:val="00D87620"/>
    <w:rsid w:val="00DA7B5F"/>
    <w:rsid w:val="00DC11E7"/>
    <w:rsid w:val="00DC37CB"/>
    <w:rsid w:val="00DC5CC2"/>
    <w:rsid w:val="00DC7023"/>
    <w:rsid w:val="00DC769A"/>
    <w:rsid w:val="00DD3D86"/>
    <w:rsid w:val="00DD48FA"/>
    <w:rsid w:val="00DE51E0"/>
    <w:rsid w:val="00DE69D8"/>
    <w:rsid w:val="00DF0F65"/>
    <w:rsid w:val="00DF1EC4"/>
    <w:rsid w:val="00DF3574"/>
    <w:rsid w:val="00DF4010"/>
    <w:rsid w:val="00DF6F37"/>
    <w:rsid w:val="00E02825"/>
    <w:rsid w:val="00E0340B"/>
    <w:rsid w:val="00E04A90"/>
    <w:rsid w:val="00E0629B"/>
    <w:rsid w:val="00E14741"/>
    <w:rsid w:val="00E20818"/>
    <w:rsid w:val="00E219C7"/>
    <w:rsid w:val="00E24760"/>
    <w:rsid w:val="00E26B9F"/>
    <w:rsid w:val="00E27A7C"/>
    <w:rsid w:val="00E3341E"/>
    <w:rsid w:val="00E33E08"/>
    <w:rsid w:val="00E34196"/>
    <w:rsid w:val="00E43157"/>
    <w:rsid w:val="00E4526C"/>
    <w:rsid w:val="00E461CE"/>
    <w:rsid w:val="00E52EA9"/>
    <w:rsid w:val="00E544DB"/>
    <w:rsid w:val="00E55FCF"/>
    <w:rsid w:val="00E62FBC"/>
    <w:rsid w:val="00E67D27"/>
    <w:rsid w:val="00E70137"/>
    <w:rsid w:val="00E720CA"/>
    <w:rsid w:val="00E84EB5"/>
    <w:rsid w:val="00E85662"/>
    <w:rsid w:val="00E85ED7"/>
    <w:rsid w:val="00E8789F"/>
    <w:rsid w:val="00E92BEB"/>
    <w:rsid w:val="00E97B71"/>
    <w:rsid w:val="00EA3CFF"/>
    <w:rsid w:val="00EA3D34"/>
    <w:rsid w:val="00EA5DD9"/>
    <w:rsid w:val="00EB1E16"/>
    <w:rsid w:val="00EB31DB"/>
    <w:rsid w:val="00EB454D"/>
    <w:rsid w:val="00EC122B"/>
    <w:rsid w:val="00EC5E4B"/>
    <w:rsid w:val="00ED76BE"/>
    <w:rsid w:val="00EE238D"/>
    <w:rsid w:val="00EE23F5"/>
    <w:rsid w:val="00EF619B"/>
    <w:rsid w:val="00EF6A99"/>
    <w:rsid w:val="00F000DB"/>
    <w:rsid w:val="00F0084E"/>
    <w:rsid w:val="00F00B55"/>
    <w:rsid w:val="00F02AD1"/>
    <w:rsid w:val="00F02B7D"/>
    <w:rsid w:val="00F253CC"/>
    <w:rsid w:val="00F37106"/>
    <w:rsid w:val="00F4327D"/>
    <w:rsid w:val="00F44795"/>
    <w:rsid w:val="00F46AA9"/>
    <w:rsid w:val="00F519CF"/>
    <w:rsid w:val="00F55645"/>
    <w:rsid w:val="00F56BA5"/>
    <w:rsid w:val="00F576C4"/>
    <w:rsid w:val="00F6033E"/>
    <w:rsid w:val="00F60E22"/>
    <w:rsid w:val="00F70CCD"/>
    <w:rsid w:val="00F744E8"/>
    <w:rsid w:val="00F755C5"/>
    <w:rsid w:val="00F7628E"/>
    <w:rsid w:val="00F81395"/>
    <w:rsid w:val="00F824BE"/>
    <w:rsid w:val="00F860A9"/>
    <w:rsid w:val="00F86C90"/>
    <w:rsid w:val="00F917D1"/>
    <w:rsid w:val="00F92BE7"/>
    <w:rsid w:val="00F9518B"/>
    <w:rsid w:val="00F9653B"/>
    <w:rsid w:val="00FA2679"/>
    <w:rsid w:val="00FB1760"/>
    <w:rsid w:val="00FB2738"/>
    <w:rsid w:val="00FB62CF"/>
    <w:rsid w:val="00FB7CB2"/>
    <w:rsid w:val="00FC4A3E"/>
    <w:rsid w:val="00FC6815"/>
    <w:rsid w:val="00FD19CD"/>
    <w:rsid w:val="00FD1ABD"/>
    <w:rsid w:val="00FD3C3B"/>
    <w:rsid w:val="00FD6B79"/>
    <w:rsid w:val="00FE07DD"/>
    <w:rsid w:val="00FE0DD0"/>
    <w:rsid w:val="00FE3353"/>
    <w:rsid w:val="00FE510A"/>
    <w:rsid w:val="00FE6B45"/>
    <w:rsid w:val="00FF55F3"/>
    <w:rsid w:val="00FF5851"/>
    <w:rsid w:val="00FF5DC2"/>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0DF3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57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ListParagraph"/>
    <w:next w:val="Normal"/>
    <w:link w:val="Heading1Char"/>
    <w:uiPriority w:val="9"/>
    <w:qFormat/>
    <w:rsid w:val="0020307F"/>
    <w:pPr>
      <w:numPr>
        <w:numId w:val="54"/>
      </w:numPr>
      <w:suppressAutoHyphens/>
      <w:outlineLvl w:val="0"/>
    </w:pPr>
    <w:rPr>
      <w:rFonts w:asciiTheme="majorHAnsi" w:hAnsiTheme="majorHAnsi"/>
      <w:b/>
      <w:sz w:val="20"/>
      <w:szCs w:val="20"/>
      <w:lang w:val="es-ES_tradnl"/>
    </w:rPr>
  </w:style>
  <w:style w:type="paragraph" w:styleId="Heading2">
    <w:name w:val="heading 2"/>
    <w:basedOn w:val="ListParagraph"/>
    <w:next w:val="Normal"/>
    <w:link w:val="Heading2Char"/>
    <w:uiPriority w:val="9"/>
    <w:qFormat/>
    <w:rsid w:val="00B00AA7"/>
    <w:pPr>
      <w:numPr>
        <w:numId w:val="70"/>
      </w:numPr>
      <w:jc w:val="both"/>
      <w:outlineLvl w:val="1"/>
    </w:pPr>
    <w:rPr>
      <w:b/>
      <w:sz w:val="20"/>
      <w:szCs w:val="20"/>
      <w:lang w:val="es-ES"/>
    </w:rPr>
  </w:style>
  <w:style w:type="paragraph" w:styleId="Heading3">
    <w:name w:val="heading 3"/>
    <w:basedOn w:val="Normal"/>
    <w:next w:val="Normal"/>
    <w:link w:val="Heading3Char"/>
    <w:qFormat/>
    <w:rsid w:val="00FB1760"/>
    <w:pPr>
      <w:keepNext/>
      <w:spacing w:before="240" w:after="60"/>
      <w:outlineLvl w:val="2"/>
    </w:pPr>
    <w:rPr>
      <w:rFonts w:ascii="Cambria" w:hAnsi="Cambria" w:cs="Arial"/>
      <w:b/>
      <w:bCs/>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20307F"/>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890F4F"/>
    <w:pPr>
      <w:tabs>
        <w:tab w:val="left" w:pos="1440"/>
        <w:tab w:val="right" w:leader="dot" w:pos="9350"/>
      </w:tabs>
      <w:spacing w:after="100"/>
      <w:jc w:val="both"/>
    </w:pPr>
    <w:rPr>
      <w:rFonts w:ascii="Cambria" w:hAnsi="Cambria"/>
      <w:noProof/>
      <w:sz w:val="20"/>
      <w:szCs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B00AA7"/>
    <w:rPr>
      <w:rFonts w:ascii="Cambria" w:eastAsia="Cambria" w:hAnsi="Cambria" w:cs="Cambria"/>
      <w:b/>
      <w:color w:val="000000"/>
      <w:u w:color="000000"/>
    </w:rPr>
  </w:style>
  <w:style w:type="character" w:customStyle="1" w:styleId="Heading3Char">
    <w:name w:val="Heading 3 Char"/>
    <w:basedOn w:val="DefaultParagraphFont"/>
    <w:link w:val="Heading3"/>
    <w:rsid w:val="00FB1760"/>
    <w:rPr>
      <w:rFonts w:ascii="Cambria" w:eastAsia="Times New Roman" w:hAnsi="Cambria" w:cs="Arial"/>
      <w:b/>
      <w:bCs/>
      <w:bdr w:val="none" w:sz="0" w:space="0" w:color="auto"/>
      <w:lang w:val="es-ES_tradnl"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187396"/>
    <w:rPr>
      <w:rFonts w:ascii="Cambria" w:eastAsia="Cambria" w:hAnsi="Cambria" w:cs="Cambria"/>
      <w:color w:val="000000"/>
      <w:sz w:val="24"/>
      <w:szCs w:val="24"/>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426AAC"/>
    <w:pPr>
      <w:spacing w:after="160" w:line="240" w:lineRule="exact"/>
    </w:pPr>
    <w:rPr>
      <w:sz w:val="20"/>
      <w:szCs w:val="20"/>
      <w:vertAlign w:val="superscript"/>
      <w:lang w:val="es-ES" w:eastAsia="es-ES"/>
    </w:rPr>
  </w:style>
  <w:style w:type="paragraph" w:styleId="NormalWeb">
    <w:name w:val="Normal (Web)"/>
    <w:basedOn w:val="Normal"/>
    <w:uiPriority w:val="99"/>
    <w:unhideWhenUsed/>
    <w:rsid w:val="00153218"/>
    <w:pPr>
      <w:spacing w:before="100" w:beforeAutospacing="1" w:after="100" w:afterAutospacing="1"/>
    </w:pPr>
  </w:style>
  <w:style w:type="paragraph" w:styleId="NoSpacing">
    <w:name w:val="No Spacing"/>
    <w:uiPriority w:val="1"/>
    <w:qFormat/>
    <w:rsid w:val="00B74001"/>
    <w:rPr>
      <w:sz w:val="24"/>
      <w:szCs w:val="24"/>
      <w:lang w:val="en-US" w:eastAsia="en-US"/>
    </w:rPr>
  </w:style>
  <w:style w:type="paragraph" w:customStyle="1" w:styleId="parrafos">
    <w:name w:val="parrafos"/>
    <w:basedOn w:val="Normal"/>
    <w:link w:val="parrafosChar"/>
    <w:qFormat/>
    <w:rsid w:val="00D3137D"/>
    <w:pPr>
      <w:numPr>
        <w:numId w:val="66"/>
      </w:numPr>
      <w:tabs>
        <w:tab w:val="left" w:pos="360"/>
      </w:tabs>
      <w:jc w:val="both"/>
    </w:pPr>
    <w:rPr>
      <w:rFonts w:ascii="Cambria" w:hAnsi="Cambria"/>
      <w:color w:val="000000"/>
      <w:sz w:val="20"/>
      <w:szCs w:val="20"/>
      <w:lang w:val="es-VE"/>
    </w:rPr>
  </w:style>
  <w:style w:type="character" w:customStyle="1" w:styleId="parrafosChar">
    <w:name w:val="parrafos Char"/>
    <w:link w:val="parrafos"/>
    <w:rsid w:val="00D3137D"/>
    <w:rPr>
      <w:rFonts w:ascii="Cambria" w:eastAsia="Times New Roman" w:hAnsi="Cambria"/>
      <w:color w:val="000000"/>
      <w:bdr w:val="none" w:sz="0" w:space="0" w:color="auto"/>
      <w:lang w:val="es-VE" w:eastAsia="en-US"/>
    </w:rPr>
  </w:style>
  <w:style w:type="character" w:styleId="CommentReference">
    <w:name w:val="annotation reference"/>
    <w:basedOn w:val="DefaultParagraphFont"/>
    <w:uiPriority w:val="99"/>
    <w:semiHidden/>
    <w:unhideWhenUsed/>
    <w:rsid w:val="001E674B"/>
    <w:rPr>
      <w:sz w:val="16"/>
      <w:szCs w:val="16"/>
    </w:rPr>
  </w:style>
  <w:style w:type="paragraph" w:styleId="CommentText">
    <w:name w:val="annotation text"/>
    <w:basedOn w:val="Normal"/>
    <w:link w:val="CommentTextChar"/>
    <w:uiPriority w:val="99"/>
    <w:semiHidden/>
    <w:unhideWhenUsed/>
    <w:rsid w:val="001E674B"/>
    <w:rPr>
      <w:sz w:val="20"/>
      <w:szCs w:val="20"/>
    </w:rPr>
  </w:style>
  <w:style w:type="character" w:customStyle="1" w:styleId="CommentTextChar">
    <w:name w:val="Comment Text Char"/>
    <w:basedOn w:val="DefaultParagraphFont"/>
    <w:link w:val="CommentText"/>
    <w:uiPriority w:val="99"/>
    <w:semiHidden/>
    <w:rsid w:val="001E674B"/>
    <w:rPr>
      <w:lang w:val="en-US" w:eastAsia="en-US"/>
    </w:rPr>
  </w:style>
  <w:style w:type="paragraph" w:styleId="CommentSubject">
    <w:name w:val="annotation subject"/>
    <w:basedOn w:val="CommentText"/>
    <w:next w:val="CommentText"/>
    <w:link w:val="CommentSubjectChar"/>
    <w:uiPriority w:val="99"/>
    <w:semiHidden/>
    <w:unhideWhenUsed/>
    <w:rsid w:val="001E674B"/>
    <w:rPr>
      <w:b/>
      <w:bCs/>
    </w:rPr>
  </w:style>
  <w:style w:type="character" w:customStyle="1" w:styleId="CommentSubjectChar">
    <w:name w:val="Comment Subject Char"/>
    <w:basedOn w:val="CommentTextChar"/>
    <w:link w:val="CommentSubject"/>
    <w:uiPriority w:val="99"/>
    <w:semiHidden/>
    <w:rsid w:val="001E674B"/>
    <w:rPr>
      <w:b/>
      <w:bCs/>
      <w:lang w:val="en-US" w:eastAsia="en-US"/>
    </w:rPr>
  </w:style>
  <w:style w:type="paragraph" w:styleId="BodyText3">
    <w:name w:val="Body Text 3"/>
    <w:basedOn w:val="Normal"/>
    <w:link w:val="BodyText3Char"/>
    <w:uiPriority w:val="99"/>
    <w:semiHidden/>
    <w:unhideWhenUsed/>
    <w:rsid w:val="0090515E"/>
    <w:pPr>
      <w:spacing w:after="120"/>
    </w:pPr>
    <w:rPr>
      <w:sz w:val="16"/>
      <w:szCs w:val="16"/>
    </w:rPr>
  </w:style>
  <w:style w:type="character" w:customStyle="1" w:styleId="BodyText3Char">
    <w:name w:val="Body Text 3 Char"/>
    <w:basedOn w:val="DefaultParagraphFont"/>
    <w:link w:val="BodyText3"/>
    <w:uiPriority w:val="99"/>
    <w:semiHidden/>
    <w:rsid w:val="0090515E"/>
    <w:rPr>
      <w:rFonts w:eastAsia="Times New Roman"/>
      <w:sz w:val="16"/>
      <w:szCs w:val="16"/>
      <w:bdr w:val="none" w:sz="0" w:space="0" w:color="auto"/>
      <w:lang w:val="en-US" w:eastAsia="en-US"/>
    </w:rPr>
  </w:style>
  <w:style w:type="character" w:customStyle="1" w:styleId="UnresolvedMention1">
    <w:name w:val="Unresolved Mention1"/>
    <w:basedOn w:val="DefaultParagraphFont"/>
    <w:uiPriority w:val="99"/>
    <w:semiHidden/>
    <w:unhideWhenUsed/>
    <w:rsid w:val="00EA3CFF"/>
    <w:rPr>
      <w:color w:val="605E5C"/>
      <w:shd w:val="clear" w:color="auto" w:fill="E1DFDD"/>
    </w:rPr>
  </w:style>
  <w:style w:type="character" w:customStyle="1" w:styleId="FootnoteTextChar1">
    <w:name w:val="Footnote Text Char1"/>
    <w:aliases w:val="Footnote Text Char Char Char Char Char Char2,Footnote Text Char Char Char Char Char3,Footnote reference Char2,FA Fu Char2,Footnote Text Char Char Char Char3,Footnote Text Cha Char2,FA Fußnotentext Char2,FA Fuﬂnotentext Char2,Ca Char1"/>
    <w:uiPriority w:val="99"/>
    <w:locked/>
    <w:rsid w:val="00A62BE3"/>
    <w:rPr>
      <w:rFonts w:ascii="Calibri" w:eastAsia="Times New Roman" w:hAnsi="Calibri"/>
      <w:color w:val="000000"/>
      <w:u w:color="000000"/>
      <w:lang w:val="en-US"/>
    </w:rPr>
  </w:style>
  <w:style w:type="paragraph" w:styleId="TOCHeading">
    <w:name w:val="TOC Heading"/>
    <w:basedOn w:val="Heading1"/>
    <w:next w:val="Normal"/>
    <w:uiPriority w:val="39"/>
    <w:unhideWhenUsed/>
    <w:qFormat/>
    <w:rsid w:val="00BD5D18"/>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line="259" w:lineRule="auto"/>
      <w:outlineLvl w:val="9"/>
    </w:pPr>
    <w:rPr>
      <w:rFonts w:eastAsiaTheme="majorEastAsia" w:cstheme="majorBidi"/>
      <w:b w:val="0"/>
      <w:color w:val="365F91" w:themeColor="accent1" w:themeShade="BF"/>
      <w:sz w:val="32"/>
      <w:szCs w:val="3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7637">
      <w:bodyDiv w:val="1"/>
      <w:marLeft w:val="0"/>
      <w:marRight w:val="0"/>
      <w:marTop w:val="0"/>
      <w:marBottom w:val="0"/>
      <w:divBdr>
        <w:top w:val="none" w:sz="0" w:space="0" w:color="auto"/>
        <w:left w:val="none" w:sz="0" w:space="0" w:color="auto"/>
        <w:bottom w:val="none" w:sz="0" w:space="0" w:color="auto"/>
        <w:right w:val="none" w:sz="0" w:space="0" w:color="auto"/>
      </w:divBdr>
    </w:div>
    <w:div w:id="83959298">
      <w:bodyDiv w:val="1"/>
      <w:marLeft w:val="0"/>
      <w:marRight w:val="0"/>
      <w:marTop w:val="0"/>
      <w:marBottom w:val="0"/>
      <w:divBdr>
        <w:top w:val="none" w:sz="0" w:space="0" w:color="auto"/>
        <w:left w:val="none" w:sz="0" w:space="0" w:color="auto"/>
        <w:bottom w:val="none" w:sz="0" w:space="0" w:color="auto"/>
        <w:right w:val="none" w:sz="0" w:space="0" w:color="auto"/>
      </w:divBdr>
    </w:div>
    <w:div w:id="117993591">
      <w:bodyDiv w:val="1"/>
      <w:marLeft w:val="0"/>
      <w:marRight w:val="0"/>
      <w:marTop w:val="0"/>
      <w:marBottom w:val="0"/>
      <w:divBdr>
        <w:top w:val="none" w:sz="0" w:space="0" w:color="auto"/>
        <w:left w:val="none" w:sz="0" w:space="0" w:color="auto"/>
        <w:bottom w:val="none" w:sz="0" w:space="0" w:color="auto"/>
        <w:right w:val="none" w:sz="0" w:space="0" w:color="auto"/>
      </w:divBdr>
    </w:div>
    <w:div w:id="134417001">
      <w:bodyDiv w:val="1"/>
      <w:marLeft w:val="0"/>
      <w:marRight w:val="0"/>
      <w:marTop w:val="0"/>
      <w:marBottom w:val="0"/>
      <w:divBdr>
        <w:top w:val="none" w:sz="0" w:space="0" w:color="auto"/>
        <w:left w:val="none" w:sz="0" w:space="0" w:color="auto"/>
        <w:bottom w:val="none" w:sz="0" w:space="0" w:color="auto"/>
        <w:right w:val="none" w:sz="0" w:space="0" w:color="auto"/>
      </w:divBdr>
    </w:div>
    <w:div w:id="210312594">
      <w:bodyDiv w:val="1"/>
      <w:marLeft w:val="0"/>
      <w:marRight w:val="0"/>
      <w:marTop w:val="0"/>
      <w:marBottom w:val="0"/>
      <w:divBdr>
        <w:top w:val="none" w:sz="0" w:space="0" w:color="auto"/>
        <w:left w:val="none" w:sz="0" w:space="0" w:color="auto"/>
        <w:bottom w:val="none" w:sz="0" w:space="0" w:color="auto"/>
        <w:right w:val="none" w:sz="0" w:space="0" w:color="auto"/>
      </w:divBdr>
    </w:div>
    <w:div w:id="239604097">
      <w:bodyDiv w:val="1"/>
      <w:marLeft w:val="0"/>
      <w:marRight w:val="0"/>
      <w:marTop w:val="0"/>
      <w:marBottom w:val="0"/>
      <w:divBdr>
        <w:top w:val="none" w:sz="0" w:space="0" w:color="auto"/>
        <w:left w:val="none" w:sz="0" w:space="0" w:color="auto"/>
        <w:bottom w:val="none" w:sz="0" w:space="0" w:color="auto"/>
        <w:right w:val="none" w:sz="0" w:space="0" w:color="auto"/>
      </w:divBdr>
    </w:div>
    <w:div w:id="268049786">
      <w:bodyDiv w:val="1"/>
      <w:marLeft w:val="0"/>
      <w:marRight w:val="0"/>
      <w:marTop w:val="0"/>
      <w:marBottom w:val="0"/>
      <w:divBdr>
        <w:top w:val="none" w:sz="0" w:space="0" w:color="auto"/>
        <w:left w:val="none" w:sz="0" w:space="0" w:color="auto"/>
        <w:bottom w:val="none" w:sz="0" w:space="0" w:color="auto"/>
        <w:right w:val="none" w:sz="0" w:space="0" w:color="auto"/>
      </w:divBdr>
    </w:div>
    <w:div w:id="269314071">
      <w:bodyDiv w:val="1"/>
      <w:marLeft w:val="0"/>
      <w:marRight w:val="0"/>
      <w:marTop w:val="0"/>
      <w:marBottom w:val="0"/>
      <w:divBdr>
        <w:top w:val="none" w:sz="0" w:space="0" w:color="auto"/>
        <w:left w:val="none" w:sz="0" w:space="0" w:color="auto"/>
        <w:bottom w:val="none" w:sz="0" w:space="0" w:color="auto"/>
        <w:right w:val="none" w:sz="0" w:space="0" w:color="auto"/>
      </w:divBdr>
      <w:divsChild>
        <w:div w:id="1093428431">
          <w:marLeft w:val="0"/>
          <w:marRight w:val="0"/>
          <w:marTop w:val="0"/>
          <w:marBottom w:val="0"/>
          <w:divBdr>
            <w:top w:val="none" w:sz="0" w:space="0" w:color="auto"/>
            <w:left w:val="none" w:sz="0" w:space="0" w:color="auto"/>
            <w:bottom w:val="none" w:sz="0" w:space="0" w:color="auto"/>
            <w:right w:val="none" w:sz="0" w:space="0" w:color="auto"/>
          </w:divBdr>
          <w:divsChild>
            <w:div w:id="1262640656">
              <w:marLeft w:val="0"/>
              <w:marRight w:val="0"/>
              <w:marTop w:val="0"/>
              <w:marBottom w:val="0"/>
              <w:divBdr>
                <w:top w:val="none" w:sz="0" w:space="0" w:color="auto"/>
                <w:left w:val="none" w:sz="0" w:space="0" w:color="auto"/>
                <w:bottom w:val="none" w:sz="0" w:space="0" w:color="auto"/>
                <w:right w:val="none" w:sz="0" w:space="0" w:color="auto"/>
              </w:divBdr>
              <w:divsChild>
                <w:div w:id="11303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86791">
      <w:bodyDiv w:val="1"/>
      <w:marLeft w:val="0"/>
      <w:marRight w:val="0"/>
      <w:marTop w:val="0"/>
      <w:marBottom w:val="0"/>
      <w:divBdr>
        <w:top w:val="none" w:sz="0" w:space="0" w:color="auto"/>
        <w:left w:val="none" w:sz="0" w:space="0" w:color="auto"/>
        <w:bottom w:val="none" w:sz="0" w:space="0" w:color="auto"/>
        <w:right w:val="none" w:sz="0" w:space="0" w:color="auto"/>
      </w:divBdr>
    </w:div>
    <w:div w:id="347373473">
      <w:bodyDiv w:val="1"/>
      <w:marLeft w:val="0"/>
      <w:marRight w:val="0"/>
      <w:marTop w:val="0"/>
      <w:marBottom w:val="0"/>
      <w:divBdr>
        <w:top w:val="none" w:sz="0" w:space="0" w:color="auto"/>
        <w:left w:val="none" w:sz="0" w:space="0" w:color="auto"/>
        <w:bottom w:val="none" w:sz="0" w:space="0" w:color="auto"/>
        <w:right w:val="none" w:sz="0" w:space="0" w:color="auto"/>
      </w:divBdr>
    </w:div>
    <w:div w:id="367296123">
      <w:bodyDiv w:val="1"/>
      <w:marLeft w:val="0"/>
      <w:marRight w:val="0"/>
      <w:marTop w:val="0"/>
      <w:marBottom w:val="0"/>
      <w:divBdr>
        <w:top w:val="none" w:sz="0" w:space="0" w:color="auto"/>
        <w:left w:val="none" w:sz="0" w:space="0" w:color="auto"/>
        <w:bottom w:val="none" w:sz="0" w:space="0" w:color="auto"/>
        <w:right w:val="none" w:sz="0" w:space="0" w:color="auto"/>
      </w:divBdr>
    </w:div>
    <w:div w:id="380326257">
      <w:bodyDiv w:val="1"/>
      <w:marLeft w:val="0"/>
      <w:marRight w:val="0"/>
      <w:marTop w:val="0"/>
      <w:marBottom w:val="0"/>
      <w:divBdr>
        <w:top w:val="none" w:sz="0" w:space="0" w:color="auto"/>
        <w:left w:val="none" w:sz="0" w:space="0" w:color="auto"/>
        <w:bottom w:val="none" w:sz="0" w:space="0" w:color="auto"/>
        <w:right w:val="none" w:sz="0" w:space="0" w:color="auto"/>
      </w:divBdr>
    </w:div>
    <w:div w:id="407727288">
      <w:bodyDiv w:val="1"/>
      <w:marLeft w:val="0"/>
      <w:marRight w:val="0"/>
      <w:marTop w:val="0"/>
      <w:marBottom w:val="0"/>
      <w:divBdr>
        <w:top w:val="none" w:sz="0" w:space="0" w:color="auto"/>
        <w:left w:val="none" w:sz="0" w:space="0" w:color="auto"/>
        <w:bottom w:val="none" w:sz="0" w:space="0" w:color="auto"/>
        <w:right w:val="none" w:sz="0" w:space="0" w:color="auto"/>
      </w:divBdr>
    </w:div>
    <w:div w:id="413670815">
      <w:bodyDiv w:val="1"/>
      <w:marLeft w:val="0"/>
      <w:marRight w:val="0"/>
      <w:marTop w:val="0"/>
      <w:marBottom w:val="0"/>
      <w:divBdr>
        <w:top w:val="none" w:sz="0" w:space="0" w:color="auto"/>
        <w:left w:val="none" w:sz="0" w:space="0" w:color="auto"/>
        <w:bottom w:val="none" w:sz="0" w:space="0" w:color="auto"/>
        <w:right w:val="none" w:sz="0" w:space="0" w:color="auto"/>
      </w:divBdr>
    </w:div>
    <w:div w:id="495801660">
      <w:bodyDiv w:val="1"/>
      <w:marLeft w:val="0"/>
      <w:marRight w:val="0"/>
      <w:marTop w:val="0"/>
      <w:marBottom w:val="0"/>
      <w:divBdr>
        <w:top w:val="none" w:sz="0" w:space="0" w:color="auto"/>
        <w:left w:val="none" w:sz="0" w:space="0" w:color="auto"/>
        <w:bottom w:val="none" w:sz="0" w:space="0" w:color="auto"/>
        <w:right w:val="none" w:sz="0" w:space="0" w:color="auto"/>
      </w:divBdr>
    </w:div>
    <w:div w:id="583998250">
      <w:bodyDiv w:val="1"/>
      <w:marLeft w:val="0"/>
      <w:marRight w:val="0"/>
      <w:marTop w:val="0"/>
      <w:marBottom w:val="0"/>
      <w:divBdr>
        <w:top w:val="none" w:sz="0" w:space="0" w:color="auto"/>
        <w:left w:val="none" w:sz="0" w:space="0" w:color="auto"/>
        <w:bottom w:val="none" w:sz="0" w:space="0" w:color="auto"/>
        <w:right w:val="none" w:sz="0" w:space="0" w:color="auto"/>
      </w:divBdr>
    </w:div>
    <w:div w:id="758520318">
      <w:bodyDiv w:val="1"/>
      <w:marLeft w:val="0"/>
      <w:marRight w:val="0"/>
      <w:marTop w:val="0"/>
      <w:marBottom w:val="0"/>
      <w:divBdr>
        <w:top w:val="none" w:sz="0" w:space="0" w:color="auto"/>
        <w:left w:val="none" w:sz="0" w:space="0" w:color="auto"/>
        <w:bottom w:val="none" w:sz="0" w:space="0" w:color="auto"/>
        <w:right w:val="none" w:sz="0" w:space="0" w:color="auto"/>
      </w:divBdr>
    </w:div>
    <w:div w:id="836505865">
      <w:bodyDiv w:val="1"/>
      <w:marLeft w:val="0"/>
      <w:marRight w:val="0"/>
      <w:marTop w:val="0"/>
      <w:marBottom w:val="0"/>
      <w:divBdr>
        <w:top w:val="none" w:sz="0" w:space="0" w:color="auto"/>
        <w:left w:val="none" w:sz="0" w:space="0" w:color="auto"/>
        <w:bottom w:val="none" w:sz="0" w:space="0" w:color="auto"/>
        <w:right w:val="none" w:sz="0" w:space="0" w:color="auto"/>
      </w:divBdr>
    </w:div>
    <w:div w:id="876433075">
      <w:bodyDiv w:val="1"/>
      <w:marLeft w:val="0"/>
      <w:marRight w:val="0"/>
      <w:marTop w:val="0"/>
      <w:marBottom w:val="0"/>
      <w:divBdr>
        <w:top w:val="none" w:sz="0" w:space="0" w:color="auto"/>
        <w:left w:val="none" w:sz="0" w:space="0" w:color="auto"/>
        <w:bottom w:val="none" w:sz="0" w:space="0" w:color="auto"/>
        <w:right w:val="none" w:sz="0" w:space="0" w:color="auto"/>
      </w:divBdr>
    </w:div>
    <w:div w:id="1078359981">
      <w:bodyDiv w:val="1"/>
      <w:marLeft w:val="0"/>
      <w:marRight w:val="0"/>
      <w:marTop w:val="0"/>
      <w:marBottom w:val="0"/>
      <w:divBdr>
        <w:top w:val="none" w:sz="0" w:space="0" w:color="auto"/>
        <w:left w:val="none" w:sz="0" w:space="0" w:color="auto"/>
        <w:bottom w:val="none" w:sz="0" w:space="0" w:color="auto"/>
        <w:right w:val="none" w:sz="0" w:space="0" w:color="auto"/>
      </w:divBdr>
    </w:div>
    <w:div w:id="1100492576">
      <w:bodyDiv w:val="1"/>
      <w:marLeft w:val="0"/>
      <w:marRight w:val="0"/>
      <w:marTop w:val="0"/>
      <w:marBottom w:val="0"/>
      <w:divBdr>
        <w:top w:val="none" w:sz="0" w:space="0" w:color="auto"/>
        <w:left w:val="none" w:sz="0" w:space="0" w:color="auto"/>
        <w:bottom w:val="none" w:sz="0" w:space="0" w:color="auto"/>
        <w:right w:val="none" w:sz="0" w:space="0" w:color="auto"/>
      </w:divBdr>
      <w:divsChild>
        <w:div w:id="475535907">
          <w:marLeft w:val="0"/>
          <w:marRight w:val="0"/>
          <w:marTop w:val="0"/>
          <w:marBottom w:val="0"/>
          <w:divBdr>
            <w:top w:val="none" w:sz="0" w:space="0" w:color="auto"/>
            <w:left w:val="none" w:sz="0" w:space="0" w:color="auto"/>
            <w:bottom w:val="none" w:sz="0" w:space="0" w:color="auto"/>
            <w:right w:val="none" w:sz="0" w:space="0" w:color="auto"/>
          </w:divBdr>
          <w:divsChild>
            <w:div w:id="2091266592">
              <w:marLeft w:val="0"/>
              <w:marRight w:val="0"/>
              <w:marTop w:val="0"/>
              <w:marBottom w:val="0"/>
              <w:divBdr>
                <w:top w:val="none" w:sz="0" w:space="0" w:color="auto"/>
                <w:left w:val="none" w:sz="0" w:space="0" w:color="auto"/>
                <w:bottom w:val="none" w:sz="0" w:space="0" w:color="auto"/>
                <w:right w:val="none" w:sz="0" w:space="0" w:color="auto"/>
              </w:divBdr>
              <w:divsChild>
                <w:div w:id="1911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70187">
      <w:bodyDiv w:val="1"/>
      <w:marLeft w:val="0"/>
      <w:marRight w:val="0"/>
      <w:marTop w:val="0"/>
      <w:marBottom w:val="0"/>
      <w:divBdr>
        <w:top w:val="none" w:sz="0" w:space="0" w:color="auto"/>
        <w:left w:val="none" w:sz="0" w:space="0" w:color="auto"/>
        <w:bottom w:val="none" w:sz="0" w:space="0" w:color="auto"/>
        <w:right w:val="none" w:sz="0" w:space="0" w:color="auto"/>
      </w:divBdr>
    </w:div>
    <w:div w:id="1209295589">
      <w:bodyDiv w:val="1"/>
      <w:marLeft w:val="0"/>
      <w:marRight w:val="0"/>
      <w:marTop w:val="0"/>
      <w:marBottom w:val="0"/>
      <w:divBdr>
        <w:top w:val="none" w:sz="0" w:space="0" w:color="auto"/>
        <w:left w:val="none" w:sz="0" w:space="0" w:color="auto"/>
        <w:bottom w:val="none" w:sz="0" w:space="0" w:color="auto"/>
        <w:right w:val="none" w:sz="0" w:space="0" w:color="auto"/>
      </w:divBdr>
    </w:div>
    <w:div w:id="1241479476">
      <w:bodyDiv w:val="1"/>
      <w:marLeft w:val="0"/>
      <w:marRight w:val="0"/>
      <w:marTop w:val="0"/>
      <w:marBottom w:val="0"/>
      <w:divBdr>
        <w:top w:val="none" w:sz="0" w:space="0" w:color="auto"/>
        <w:left w:val="none" w:sz="0" w:space="0" w:color="auto"/>
        <w:bottom w:val="none" w:sz="0" w:space="0" w:color="auto"/>
        <w:right w:val="none" w:sz="0" w:space="0" w:color="auto"/>
      </w:divBdr>
      <w:divsChild>
        <w:div w:id="1485393494">
          <w:marLeft w:val="0"/>
          <w:marRight w:val="0"/>
          <w:marTop w:val="0"/>
          <w:marBottom w:val="0"/>
          <w:divBdr>
            <w:top w:val="none" w:sz="0" w:space="0" w:color="auto"/>
            <w:left w:val="none" w:sz="0" w:space="0" w:color="auto"/>
            <w:bottom w:val="none" w:sz="0" w:space="0" w:color="auto"/>
            <w:right w:val="none" w:sz="0" w:space="0" w:color="auto"/>
          </w:divBdr>
          <w:divsChild>
            <w:div w:id="168908775">
              <w:marLeft w:val="0"/>
              <w:marRight w:val="0"/>
              <w:marTop w:val="0"/>
              <w:marBottom w:val="0"/>
              <w:divBdr>
                <w:top w:val="none" w:sz="0" w:space="0" w:color="auto"/>
                <w:left w:val="none" w:sz="0" w:space="0" w:color="auto"/>
                <w:bottom w:val="none" w:sz="0" w:space="0" w:color="auto"/>
                <w:right w:val="none" w:sz="0" w:space="0" w:color="auto"/>
              </w:divBdr>
              <w:divsChild>
                <w:div w:id="3124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692">
      <w:bodyDiv w:val="1"/>
      <w:marLeft w:val="0"/>
      <w:marRight w:val="0"/>
      <w:marTop w:val="0"/>
      <w:marBottom w:val="0"/>
      <w:divBdr>
        <w:top w:val="none" w:sz="0" w:space="0" w:color="auto"/>
        <w:left w:val="none" w:sz="0" w:space="0" w:color="auto"/>
        <w:bottom w:val="none" w:sz="0" w:space="0" w:color="auto"/>
        <w:right w:val="none" w:sz="0" w:space="0" w:color="auto"/>
      </w:divBdr>
    </w:div>
    <w:div w:id="1334145574">
      <w:bodyDiv w:val="1"/>
      <w:marLeft w:val="0"/>
      <w:marRight w:val="0"/>
      <w:marTop w:val="0"/>
      <w:marBottom w:val="0"/>
      <w:divBdr>
        <w:top w:val="none" w:sz="0" w:space="0" w:color="auto"/>
        <w:left w:val="none" w:sz="0" w:space="0" w:color="auto"/>
        <w:bottom w:val="none" w:sz="0" w:space="0" w:color="auto"/>
        <w:right w:val="none" w:sz="0" w:space="0" w:color="auto"/>
      </w:divBdr>
    </w:div>
    <w:div w:id="1404990648">
      <w:bodyDiv w:val="1"/>
      <w:marLeft w:val="0"/>
      <w:marRight w:val="0"/>
      <w:marTop w:val="0"/>
      <w:marBottom w:val="0"/>
      <w:divBdr>
        <w:top w:val="none" w:sz="0" w:space="0" w:color="auto"/>
        <w:left w:val="none" w:sz="0" w:space="0" w:color="auto"/>
        <w:bottom w:val="none" w:sz="0" w:space="0" w:color="auto"/>
        <w:right w:val="none" w:sz="0" w:space="0" w:color="auto"/>
      </w:divBdr>
    </w:div>
    <w:div w:id="1474329040">
      <w:bodyDiv w:val="1"/>
      <w:marLeft w:val="0"/>
      <w:marRight w:val="0"/>
      <w:marTop w:val="0"/>
      <w:marBottom w:val="0"/>
      <w:divBdr>
        <w:top w:val="none" w:sz="0" w:space="0" w:color="auto"/>
        <w:left w:val="none" w:sz="0" w:space="0" w:color="auto"/>
        <w:bottom w:val="none" w:sz="0" w:space="0" w:color="auto"/>
        <w:right w:val="none" w:sz="0" w:space="0" w:color="auto"/>
      </w:divBdr>
    </w:div>
    <w:div w:id="1519126140">
      <w:bodyDiv w:val="1"/>
      <w:marLeft w:val="0"/>
      <w:marRight w:val="0"/>
      <w:marTop w:val="0"/>
      <w:marBottom w:val="0"/>
      <w:divBdr>
        <w:top w:val="none" w:sz="0" w:space="0" w:color="auto"/>
        <w:left w:val="none" w:sz="0" w:space="0" w:color="auto"/>
        <w:bottom w:val="none" w:sz="0" w:space="0" w:color="auto"/>
        <w:right w:val="none" w:sz="0" w:space="0" w:color="auto"/>
      </w:divBdr>
    </w:div>
    <w:div w:id="1647469544">
      <w:bodyDiv w:val="1"/>
      <w:marLeft w:val="0"/>
      <w:marRight w:val="0"/>
      <w:marTop w:val="0"/>
      <w:marBottom w:val="0"/>
      <w:divBdr>
        <w:top w:val="none" w:sz="0" w:space="0" w:color="auto"/>
        <w:left w:val="none" w:sz="0" w:space="0" w:color="auto"/>
        <w:bottom w:val="none" w:sz="0" w:space="0" w:color="auto"/>
        <w:right w:val="none" w:sz="0" w:space="0" w:color="auto"/>
      </w:divBdr>
    </w:div>
    <w:div w:id="1665162849">
      <w:bodyDiv w:val="1"/>
      <w:marLeft w:val="0"/>
      <w:marRight w:val="0"/>
      <w:marTop w:val="0"/>
      <w:marBottom w:val="0"/>
      <w:divBdr>
        <w:top w:val="none" w:sz="0" w:space="0" w:color="auto"/>
        <w:left w:val="none" w:sz="0" w:space="0" w:color="auto"/>
        <w:bottom w:val="none" w:sz="0" w:space="0" w:color="auto"/>
        <w:right w:val="none" w:sz="0" w:space="0" w:color="auto"/>
      </w:divBdr>
    </w:div>
    <w:div w:id="1670014666">
      <w:bodyDiv w:val="1"/>
      <w:marLeft w:val="0"/>
      <w:marRight w:val="0"/>
      <w:marTop w:val="0"/>
      <w:marBottom w:val="0"/>
      <w:divBdr>
        <w:top w:val="none" w:sz="0" w:space="0" w:color="auto"/>
        <w:left w:val="none" w:sz="0" w:space="0" w:color="auto"/>
        <w:bottom w:val="none" w:sz="0" w:space="0" w:color="auto"/>
        <w:right w:val="none" w:sz="0" w:space="0" w:color="auto"/>
      </w:divBdr>
    </w:div>
    <w:div w:id="1707103290">
      <w:bodyDiv w:val="1"/>
      <w:marLeft w:val="0"/>
      <w:marRight w:val="0"/>
      <w:marTop w:val="0"/>
      <w:marBottom w:val="0"/>
      <w:divBdr>
        <w:top w:val="none" w:sz="0" w:space="0" w:color="auto"/>
        <w:left w:val="none" w:sz="0" w:space="0" w:color="auto"/>
        <w:bottom w:val="none" w:sz="0" w:space="0" w:color="auto"/>
        <w:right w:val="none" w:sz="0" w:space="0" w:color="auto"/>
      </w:divBdr>
    </w:div>
    <w:div w:id="1709915615">
      <w:bodyDiv w:val="1"/>
      <w:marLeft w:val="0"/>
      <w:marRight w:val="0"/>
      <w:marTop w:val="0"/>
      <w:marBottom w:val="0"/>
      <w:divBdr>
        <w:top w:val="none" w:sz="0" w:space="0" w:color="auto"/>
        <w:left w:val="none" w:sz="0" w:space="0" w:color="auto"/>
        <w:bottom w:val="none" w:sz="0" w:space="0" w:color="auto"/>
        <w:right w:val="none" w:sz="0" w:space="0" w:color="auto"/>
      </w:divBdr>
      <w:divsChild>
        <w:div w:id="52507667">
          <w:marLeft w:val="0"/>
          <w:marRight w:val="0"/>
          <w:marTop w:val="0"/>
          <w:marBottom w:val="0"/>
          <w:divBdr>
            <w:top w:val="none" w:sz="0" w:space="0" w:color="auto"/>
            <w:left w:val="none" w:sz="0" w:space="0" w:color="auto"/>
            <w:bottom w:val="none" w:sz="0" w:space="0" w:color="auto"/>
            <w:right w:val="none" w:sz="0" w:space="0" w:color="auto"/>
          </w:divBdr>
          <w:divsChild>
            <w:div w:id="1718579244">
              <w:marLeft w:val="0"/>
              <w:marRight w:val="0"/>
              <w:marTop w:val="0"/>
              <w:marBottom w:val="0"/>
              <w:divBdr>
                <w:top w:val="none" w:sz="0" w:space="0" w:color="auto"/>
                <w:left w:val="none" w:sz="0" w:space="0" w:color="auto"/>
                <w:bottom w:val="none" w:sz="0" w:space="0" w:color="auto"/>
                <w:right w:val="none" w:sz="0" w:space="0" w:color="auto"/>
              </w:divBdr>
              <w:divsChild>
                <w:div w:id="13894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48026">
      <w:bodyDiv w:val="1"/>
      <w:marLeft w:val="0"/>
      <w:marRight w:val="0"/>
      <w:marTop w:val="0"/>
      <w:marBottom w:val="0"/>
      <w:divBdr>
        <w:top w:val="none" w:sz="0" w:space="0" w:color="auto"/>
        <w:left w:val="none" w:sz="0" w:space="0" w:color="auto"/>
        <w:bottom w:val="none" w:sz="0" w:space="0" w:color="auto"/>
        <w:right w:val="none" w:sz="0" w:space="0" w:color="auto"/>
      </w:divBdr>
      <w:divsChild>
        <w:div w:id="1658876812">
          <w:marLeft w:val="0"/>
          <w:marRight w:val="0"/>
          <w:marTop w:val="0"/>
          <w:marBottom w:val="0"/>
          <w:divBdr>
            <w:top w:val="none" w:sz="0" w:space="0" w:color="auto"/>
            <w:left w:val="none" w:sz="0" w:space="0" w:color="auto"/>
            <w:bottom w:val="none" w:sz="0" w:space="0" w:color="auto"/>
            <w:right w:val="none" w:sz="0" w:space="0" w:color="auto"/>
          </w:divBdr>
          <w:divsChild>
            <w:div w:id="605819404">
              <w:marLeft w:val="0"/>
              <w:marRight w:val="0"/>
              <w:marTop w:val="0"/>
              <w:marBottom w:val="0"/>
              <w:divBdr>
                <w:top w:val="none" w:sz="0" w:space="0" w:color="auto"/>
                <w:left w:val="none" w:sz="0" w:space="0" w:color="auto"/>
                <w:bottom w:val="none" w:sz="0" w:space="0" w:color="auto"/>
                <w:right w:val="none" w:sz="0" w:space="0" w:color="auto"/>
              </w:divBdr>
              <w:divsChild>
                <w:div w:id="16781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9823443">
      <w:bodyDiv w:val="1"/>
      <w:marLeft w:val="0"/>
      <w:marRight w:val="0"/>
      <w:marTop w:val="0"/>
      <w:marBottom w:val="0"/>
      <w:divBdr>
        <w:top w:val="none" w:sz="0" w:space="0" w:color="auto"/>
        <w:left w:val="none" w:sz="0" w:space="0" w:color="auto"/>
        <w:bottom w:val="none" w:sz="0" w:space="0" w:color="auto"/>
        <w:right w:val="none" w:sz="0" w:space="0" w:color="auto"/>
      </w:divBdr>
    </w:div>
    <w:div w:id="1946159094">
      <w:bodyDiv w:val="1"/>
      <w:marLeft w:val="0"/>
      <w:marRight w:val="0"/>
      <w:marTop w:val="0"/>
      <w:marBottom w:val="0"/>
      <w:divBdr>
        <w:top w:val="none" w:sz="0" w:space="0" w:color="auto"/>
        <w:left w:val="none" w:sz="0" w:space="0" w:color="auto"/>
        <w:bottom w:val="none" w:sz="0" w:space="0" w:color="auto"/>
        <w:right w:val="none" w:sz="0" w:space="0" w:color="auto"/>
      </w:divBdr>
    </w:div>
    <w:div w:id="1946767436">
      <w:bodyDiv w:val="1"/>
      <w:marLeft w:val="0"/>
      <w:marRight w:val="0"/>
      <w:marTop w:val="0"/>
      <w:marBottom w:val="0"/>
      <w:divBdr>
        <w:top w:val="none" w:sz="0" w:space="0" w:color="auto"/>
        <w:left w:val="none" w:sz="0" w:space="0" w:color="auto"/>
        <w:bottom w:val="none" w:sz="0" w:space="0" w:color="auto"/>
        <w:right w:val="none" w:sz="0" w:space="0" w:color="auto"/>
      </w:divBdr>
    </w:div>
    <w:div w:id="2132674166">
      <w:bodyDiv w:val="1"/>
      <w:marLeft w:val="0"/>
      <w:marRight w:val="0"/>
      <w:marTop w:val="0"/>
      <w:marBottom w:val="0"/>
      <w:divBdr>
        <w:top w:val="none" w:sz="0" w:space="0" w:color="auto"/>
        <w:left w:val="none" w:sz="0" w:space="0" w:color="auto"/>
        <w:bottom w:val="none" w:sz="0" w:space="0" w:color="auto"/>
        <w:right w:val="none" w:sz="0" w:space="0" w:color="auto"/>
      </w:divBdr>
    </w:div>
    <w:div w:id="213459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2C54D-7EBF-4A78-954F-33E445E8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15506</Words>
  <Characters>88387</Characters>
  <Application>Microsoft Office Word</Application>
  <DocSecurity>0</DocSecurity>
  <Lines>736</Lines>
  <Paragraphs>207</Paragraphs>
  <ScaleCrop>false</ScaleCrop>
  <Company/>
  <LinksUpToDate>false</LinksUpToDate>
  <CharactersWithSpaces>103686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2021-07-12T19:42:00Z</dcterms:created>
  <dcterms:modified xsi:type="dcterms:W3CDTF">2021-07-12T19:42:00Z</dcterms:modified>
</cp:coreProperties>
</file>