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5E3" w:rsidRPr="00EC0D7E" w:rsidRDefault="00E254C2" w:rsidP="00A94D9B">
      <w:pPr>
        <w:jc w:val="center"/>
        <w:rPr>
          <w:rFonts w:ascii="Cambria" w:hAnsi="Cambria"/>
          <w:b/>
          <w:sz w:val="22"/>
          <w:szCs w:val="21"/>
          <w:lang w:val="es-ES_tradnl"/>
        </w:rPr>
      </w:pPr>
      <w:r w:rsidRPr="00EC0D7E">
        <w:rPr>
          <w:rFonts w:ascii="Cambria" w:hAnsi="Cambria"/>
          <w:b/>
          <w:sz w:val="22"/>
          <w:szCs w:val="21"/>
          <w:lang w:val="es-ES_tradnl"/>
        </w:rPr>
        <w:t>COMISIÓN INTERAMERICANA DE DERECHOS HUMANOS</w:t>
      </w:r>
    </w:p>
    <w:p w:rsidR="000B6171" w:rsidRPr="00EC0D7E" w:rsidRDefault="00E254C2" w:rsidP="000B6171">
      <w:pPr>
        <w:jc w:val="center"/>
        <w:rPr>
          <w:rFonts w:ascii="Cambria" w:hAnsi="Cambria"/>
          <w:b/>
          <w:sz w:val="22"/>
          <w:szCs w:val="21"/>
          <w:lang w:val="es-ES_tradnl"/>
        </w:rPr>
      </w:pPr>
      <w:r w:rsidRPr="00EC0D7E">
        <w:rPr>
          <w:rFonts w:ascii="Cambria" w:hAnsi="Cambria"/>
          <w:b/>
          <w:sz w:val="22"/>
          <w:szCs w:val="21"/>
          <w:lang w:val="es-ES_tradnl"/>
        </w:rPr>
        <w:t xml:space="preserve">RESOLUCIÓN </w:t>
      </w:r>
      <w:r w:rsidR="007D385D">
        <w:rPr>
          <w:rFonts w:ascii="Cambria" w:hAnsi="Cambria"/>
          <w:b/>
          <w:sz w:val="22"/>
          <w:szCs w:val="21"/>
          <w:lang w:val="es-ES_tradnl"/>
        </w:rPr>
        <w:t>31</w:t>
      </w:r>
      <w:r w:rsidR="007D385D" w:rsidRPr="00EC0D7E">
        <w:rPr>
          <w:rFonts w:ascii="Cambria" w:hAnsi="Cambria"/>
          <w:b/>
          <w:sz w:val="22"/>
          <w:szCs w:val="21"/>
          <w:lang w:val="es-ES_tradnl"/>
        </w:rPr>
        <w:t>/2018</w:t>
      </w:r>
      <w:r w:rsidR="007D385D">
        <w:rPr>
          <w:rFonts w:ascii="Cambria" w:hAnsi="Cambria"/>
          <w:b/>
          <w:sz w:val="22"/>
          <w:szCs w:val="21"/>
          <w:lang w:val="es-ES_tradnl"/>
        </w:rPr>
        <w:t xml:space="preserve"> </w:t>
      </w:r>
      <w:bookmarkStart w:id="0" w:name="_GoBack"/>
      <w:bookmarkEnd w:id="0"/>
    </w:p>
    <w:p w:rsidR="00E254C2" w:rsidRPr="00EC0D7E" w:rsidRDefault="00E254C2" w:rsidP="00A94D9B">
      <w:pPr>
        <w:jc w:val="center"/>
        <w:rPr>
          <w:rFonts w:ascii="Cambria" w:hAnsi="Cambria"/>
          <w:sz w:val="21"/>
          <w:szCs w:val="21"/>
          <w:lang w:val="es-ES_tradnl"/>
        </w:rPr>
      </w:pPr>
    </w:p>
    <w:p w:rsidR="004E33D0" w:rsidRPr="00EC0D7E" w:rsidRDefault="004E33D0" w:rsidP="00A94D9B">
      <w:pPr>
        <w:jc w:val="center"/>
        <w:rPr>
          <w:rFonts w:ascii="Cambria" w:hAnsi="Cambria"/>
          <w:sz w:val="22"/>
          <w:szCs w:val="26"/>
          <w:lang w:val="pt-BR"/>
        </w:rPr>
      </w:pPr>
      <w:r w:rsidRPr="00EC0D7E">
        <w:rPr>
          <w:rFonts w:ascii="Cambria" w:hAnsi="Cambria"/>
          <w:sz w:val="22"/>
          <w:szCs w:val="26"/>
          <w:lang w:val="pt-BR"/>
        </w:rPr>
        <w:t xml:space="preserve">Medida cautelar No. </w:t>
      </w:r>
      <w:r w:rsidR="00953DED" w:rsidRPr="00EC0D7E">
        <w:rPr>
          <w:rFonts w:ascii="Cambria" w:hAnsi="Cambria"/>
          <w:sz w:val="22"/>
          <w:szCs w:val="26"/>
          <w:lang w:val="pt-BR"/>
        </w:rPr>
        <w:t>739</w:t>
      </w:r>
      <w:r w:rsidRPr="00EC0D7E">
        <w:rPr>
          <w:rFonts w:ascii="Cambria" w:hAnsi="Cambria"/>
          <w:sz w:val="22"/>
          <w:szCs w:val="26"/>
          <w:lang w:val="pt-BR"/>
        </w:rPr>
        <w:t>-1</w:t>
      </w:r>
      <w:r w:rsidR="00953DED" w:rsidRPr="00EC0D7E">
        <w:rPr>
          <w:rFonts w:ascii="Cambria" w:hAnsi="Cambria"/>
          <w:sz w:val="22"/>
          <w:szCs w:val="26"/>
          <w:lang w:val="pt-BR"/>
        </w:rPr>
        <w:t>7</w:t>
      </w:r>
    </w:p>
    <w:p w:rsidR="00E254C2" w:rsidRPr="00EC0D7E" w:rsidRDefault="00C256A0" w:rsidP="00A94D9B">
      <w:pPr>
        <w:jc w:val="center"/>
        <w:rPr>
          <w:rFonts w:ascii="Cambria" w:hAnsi="Cambria"/>
          <w:sz w:val="26"/>
          <w:szCs w:val="26"/>
          <w:lang w:val="pt-BR"/>
        </w:rPr>
      </w:pPr>
      <w:r w:rsidRPr="00EC0D7E">
        <w:rPr>
          <w:rFonts w:ascii="Cambria" w:hAnsi="Cambria"/>
          <w:sz w:val="26"/>
          <w:szCs w:val="26"/>
          <w:lang w:val="pt-BR"/>
        </w:rPr>
        <w:t>Daniel Silva Orrego</w:t>
      </w:r>
      <w:r w:rsidR="00E254C2" w:rsidRPr="00EC0D7E">
        <w:rPr>
          <w:rFonts w:ascii="Cambria" w:hAnsi="Cambria"/>
          <w:sz w:val="26"/>
          <w:szCs w:val="26"/>
          <w:lang w:val="pt-BR"/>
        </w:rPr>
        <w:t xml:space="preserve"> respecto de </w:t>
      </w:r>
      <w:r w:rsidRPr="00EC0D7E">
        <w:rPr>
          <w:rFonts w:ascii="Cambria" w:hAnsi="Cambria"/>
          <w:sz w:val="26"/>
          <w:szCs w:val="26"/>
          <w:lang w:val="pt-BR"/>
        </w:rPr>
        <w:t>Colombia</w:t>
      </w:r>
      <w:r w:rsidR="007D385D">
        <w:rPr>
          <w:rStyle w:val="FootnoteReference"/>
          <w:rFonts w:ascii="Cambria" w:hAnsi="Cambria"/>
          <w:sz w:val="26"/>
          <w:szCs w:val="26"/>
          <w:lang w:val="pt-BR"/>
        </w:rPr>
        <w:footnoteReference w:id="1"/>
      </w:r>
    </w:p>
    <w:p w:rsidR="00377C04" w:rsidRPr="00EC0D7E" w:rsidRDefault="00F81D29" w:rsidP="00A94D9B">
      <w:pPr>
        <w:jc w:val="center"/>
        <w:rPr>
          <w:rFonts w:ascii="Cambria" w:hAnsi="Cambria"/>
          <w:sz w:val="20"/>
          <w:szCs w:val="21"/>
          <w:lang w:val="es-ES_tradnl"/>
        </w:rPr>
      </w:pPr>
      <w:r>
        <w:rPr>
          <w:rFonts w:ascii="Cambria" w:hAnsi="Cambria"/>
          <w:sz w:val="20"/>
          <w:szCs w:val="21"/>
          <w:lang w:val="es-ES_tradnl"/>
        </w:rPr>
        <w:t>5</w:t>
      </w:r>
      <w:r w:rsidR="00377C04" w:rsidRPr="00EC0D7E">
        <w:rPr>
          <w:rFonts w:ascii="Cambria" w:hAnsi="Cambria"/>
          <w:sz w:val="20"/>
          <w:szCs w:val="21"/>
          <w:lang w:val="es-ES_tradnl"/>
        </w:rPr>
        <w:t xml:space="preserve"> de </w:t>
      </w:r>
      <w:r>
        <w:rPr>
          <w:rFonts w:ascii="Cambria" w:hAnsi="Cambria"/>
          <w:sz w:val="20"/>
          <w:szCs w:val="21"/>
          <w:lang w:val="es-ES_tradnl"/>
        </w:rPr>
        <w:t>mayo</w:t>
      </w:r>
      <w:r w:rsidR="00500890" w:rsidRPr="00EC0D7E">
        <w:rPr>
          <w:rFonts w:ascii="Cambria" w:hAnsi="Cambria"/>
          <w:sz w:val="20"/>
          <w:szCs w:val="21"/>
          <w:lang w:val="es-ES_tradnl"/>
        </w:rPr>
        <w:t xml:space="preserve"> de 2018</w:t>
      </w:r>
      <w:r w:rsidR="00377C04" w:rsidRPr="00EC0D7E">
        <w:rPr>
          <w:rFonts w:ascii="Cambria" w:hAnsi="Cambria"/>
          <w:sz w:val="20"/>
          <w:szCs w:val="21"/>
          <w:lang w:val="es-ES_tradnl"/>
        </w:rPr>
        <w:t xml:space="preserve"> </w:t>
      </w:r>
    </w:p>
    <w:p w:rsidR="00377C04" w:rsidRPr="00EC0D7E" w:rsidRDefault="00377C04" w:rsidP="00A94D9B">
      <w:pPr>
        <w:jc w:val="center"/>
        <w:rPr>
          <w:rFonts w:ascii="Cambria" w:hAnsi="Cambria"/>
          <w:sz w:val="20"/>
          <w:szCs w:val="21"/>
          <w:lang w:val="es-ES_tradnl"/>
        </w:rPr>
      </w:pPr>
    </w:p>
    <w:p w:rsidR="00377C04" w:rsidRPr="00EC0D7E" w:rsidRDefault="000B6171" w:rsidP="00A94D9B">
      <w:pPr>
        <w:pStyle w:val="ListParagraph"/>
        <w:numPr>
          <w:ilvl w:val="0"/>
          <w:numId w:val="2"/>
        </w:numPr>
        <w:ind w:left="0" w:firstLine="360"/>
        <w:jc w:val="both"/>
        <w:rPr>
          <w:rFonts w:ascii="Cambria" w:hAnsi="Cambria"/>
          <w:b/>
          <w:sz w:val="21"/>
          <w:szCs w:val="21"/>
          <w:lang w:val="es-ES_tradnl"/>
        </w:rPr>
      </w:pPr>
      <w:r w:rsidRPr="00EC0D7E">
        <w:rPr>
          <w:rFonts w:ascii="Cambria" w:hAnsi="Cambria"/>
          <w:b/>
          <w:sz w:val="21"/>
          <w:szCs w:val="21"/>
          <w:lang w:val="es-ES_tradnl"/>
        </w:rPr>
        <w:t>INTRODUCCIÓN</w:t>
      </w:r>
    </w:p>
    <w:p w:rsidR="00377C04" w:rsidRPr="00EC0D7E" w:rsidRDefault="00377C04" w:rsidP="00A94D9B">
      <w:pPr>
        <w:jc w:val="both"/>
        <w:rPr>
          <w:rFonts w:ascii="Cambria" w:hAnsi="Cambria"/>
          <w:sz w:val="21"/>
          <w:szCs w:val="21"/>
          <w:lang w:val="es-ES_tradnl"/>
        </w:rPr>
      </w:pPr>
    </w:p>
    <w:p w:rsidR="001D66E4" w:rsidRPr="00EC0D7E" w:rsidRDefault="00377C04" w:rsidP="00A94D9B">
      <w:pPr>
        <w:pStyle w:val="ListParagraph"/>
        <w:numPr>
          <w:ilvl w:val="0"/>
          <w:numId w:val="1"/>
        </w:numPr>
        <w:ind w:left="0" w:firstLine="360"/>
        <w:jc w:val="both"/>
        <w:rPr>
          <w:rFonts w:ascii="Cambria" w:hAnsi="Cambria"/>
          <w:sz w:val="21"/>
          <w:szCs w:val="21"/>
          <w:lang w:val="es-ES_tradnl"/>
        </w:rPr>
      </w:pPr>
      <w:r w:rsidRPr="00EC0D7E">
        <w:rPr>
          <w:rFonts w:ascii="Cambria" w:hAnsi="Cambria"/>
          <w:sz w:val="21"/>
          <w:szCs w:val="21"/>
          <w:lang w:val="es-ES_tradnl"/>
        </w:rPr>
        <w:t xml:space="preserve">El </w:t>
      </w:r>
      <w:r w:rsidR="00C256A0" w:rsidRPr="00EC0D7E">
        <w:rPr>
          <w:rFonts w:ascii="Cambria" w:hAnsi="Cambria"/>
          <w:sz w:val="21"/>
          <w:szCs w:val="21"/>
          <w:lang w:val="es-ES_tradnl"/>
        </w:rPr>
        <w:t>6</w:t>
      </w:r>
      <w:r w:rsidRPr="00EC0D7E">
        <w:rPr>
          <w:rFonts w:ascii="Cambria" w:hAnsi="Cambria"/>
          <w:sz w:val="21"/>
          <w:szCs w:val="21"/>
          <w:lang w:val="es-ES_tradnl"/>
        </w:rPr>
        <w:t xml:space="preserve"> de </w:t>
      </w:r>
      <w:r w:rsidR="00C256A0" w:rsidRPr="00EC0D7E">
        <w:rPr>
          <w:rFonts w:ascii="Cambria" w:hAnsi="Cambria"/>
          <w:sz w:val="21"/>
          <w:szCs w:val="21"/>
          <w:lang w:val="es-ES_tradnl"/>
        </w:rPr>
        <w:t>octubre</w:t>
      </w:r>
      <w:r w:rsidRPr="00EC0D7E">
        <w:rPr>
          <w:rFonts w:ascii="Cambria" w:hAnsi="Cambria"/>
          <w:sz w:val="21"/>
          <w:szCs w:val="21"/>
          <w:lang w:val="es-ES_tradnl"/>
        </w:rPr>
        <w:t xml:space="preserve"> de 2017, la Comisión Inte</w:t>
      </w:r>
      <w:r w:rsidR="00500890" w:rsidRPr="00EC0D7E">
        <w:rPr>
          <w:rFonts w:ascii="Cambria" w:hAnsi="Cambria"/>
          <w:sz w:val="21"/>
          <w:szCs w:val="21"/>
          <w:lang w:val="es-ES_tradnl"/>
        </w:rPr>
        <w:t>ramericana de Derechos Humanos (</w:t>
      </w:r>
      <w:r w:rsidRPr="00EC0D7E">
        <w:rPr>
          <w:rFonts w:ascii="Cambria" w:hAnsi="Cambria"/>
          <w:sz w:val="21"/>
          <w:szCs w:val="21"/>
          <w:lang w:val="es-ES_tradnl"/>
        </w:rPr>
        <w:t>“la Comisión Interamericana”, “la Comisión” o “la CIDH”) recibió una solicitud de me</w:t>
      </w:r>
      <w:r w:rsidR="00DD696A" w:rsidRPr="00EC0D7E">
        <w:rPr>
          <w:rFonts w:ascii="Cambria" w:hAnsi="Cambria"/>
          <w:sz w:val="21"/>
          <w:szCs w:val="21"/>
          <w:lang w:val="es-ES_tradnl"/>
        </w:rPr>
        <w:t xml:space="preserve">didas cautelares presentada por </w:t>
      </w:r>
      <w:r w:rsidR="00C256A0" w:rsidRPr="00EC0D7E">
        <w:rPr>
          <w:rFonts w:ascii="Cambria" w:hAnsi="Cambria"/>
          <w:sz w:val="21"/>
          <w:szCs w:val="21"/>
          <w:lang w:val="es-ES_tradnl"/>
        </w:rPr>
        <w:t>el señor Daniel Silva Orrego a su favor</w:t>
      </w:r>
      <w:r w:rsidR="00500890" w:rsidRPr="00EC0D7E">
        <w:rPr>
          <w:rFonts w:ascii="Cambria" w:hAnsi="Cambria"/>
          <w:sz w:val="21"/>
          <w:szCs w:val="21"/>
          <w:lang w:val="es-ES_tradnl"/>
        </w:rPr>
        <w:t xml:space="preserve"> </w:t>
      </w:r>
      <w:r w:rsidRPr="00EC0D7E">
        <w:rPr>
          <w:rFonts w:ascii="Cambria" w:hAnsi="Cambria"/>
          <w:sz w:val="21"/>
          <w:szCs w:val="21"/>
          <w:lang w:val="es-ES_tradnl"/>
        </w:rPr>
        <w:t>(“</w:t>
      </w:r>
      <w:r w:rsidR="00C256A0" w:rsidRPr="00EC0D7E">
        <w:rPr>
          <w:rFonts w:ascii="Cambria" w:hAnsi="Cambria"/>
          <w:sz w:val="21"/>
          <w:szCs w:val="21"/>
          <w:lang w:val="es-ES_tradnl"/>
        </w:rPr>
        <w:t>el solicitante</w:t>
      </w:r>
      <w:r w:rsidRPr="00EC0D7E">
        <w:rPr>
          <w:rFonts w:ascii="Cambria" w:hAnsi="Cambria"/>
          <w:sz w:val="21"/>
          <w:szCs w:val="21"/>
          <w:lang w:val="es-ES_tradnl"/>
        </w:rPr>
        <w:t>”</w:t>
      </w:r>
      <w:r w:rsidR="00C256A0" w:rsidRPr="00EC0D7E">
        <w:rPr>
          <w:rFonts w:ascii="Cambria" w:hAnsi="Cambria"/>
          <w:sz w:val="21"/>
          <w:szCs w:val="21"/>
          <w:lang w:val="es-ES_tradnl"/>
        </w:rPr>
        <w:t xml:space="preserve"> o “propuesto beneficiario”</w:t>
      </w:r>
      <w:r w:rsidRPr="00EC0D7E">
        <w:rPr>
          <w:rFonts w:ascii="Cambria" w:hAnsi="Cambria"/>
          <w:sz w:val="21"/>
          <w:szCs w:val="21"/>
          <w:lang w:val="es-ES_tradnl"/>
        </w:rPr>
        <w:t xml:space="preserve">), instando a la Comisión que requiera a la República </w:t>
      </w:r>
      <w:r w:rsidR="00C256A0" w:rsidRPr="00EC0D7E">
        <w:rPr>
          <w:rFonts w:ascii="Cambria" w:hAnsi="Cambria"/>
          <w:sz w:val="21"/>
          <w:szCs w:val="21"/>
          <w:lang w:val="es-ES_tradnl"/>
        </w:rPr>
        <w:t>de Colombia</w:t>
      </w:r>
      <w:r w:rsidRPr="00EC0D7E">
        <w:rPr>
          <w:rFonts w:ascii="Cambria" w:hAnsi="Cambria"/>
          <w:sz w:val="21"/>
          <w:szCs w:val="21"/>
          <w:lang w:val="es-ES_tradnl"/>
        </w:rPr>
        <w:t xml:space="preserve"> (“el Estado” o “</w:t>
      </w:r>
      <w:r w:rsidR="00C256A0" w:rsidRPr="00EC0D7E">
        <w:rPr>
          <w:rFonts w:ascii="Cambria" w:hAnsi="Cambria"/>
          <w:sz w:val="21"/>
          <w:szCs w:val="21"/>
          <w:lang w:val="es-ES_tradnl"/>
        </w:rPr>
        <w:t>Colombia</w:t>
      </w:r>
      <w:r w:rsidRPr="00EC0D7E">
        <w:rPr>
          <w:rFonts w:ascii="Cambria" w:hAnsi="Cambria"/>
          <w:sz w:val="21"/>
          <w:szCs w:val="21"/>
          <w:lang w:val="es-ES_tradnl"/>
        </w:rPr>
        <w:t xml:space="preserve">”) la adopción de las medidas necesarias para </w:t>
      </w:r>
      <w:r w:rsidR="00DD696A" w:rsidRPr="00EC0D7E">
        <w:rPr>
          <w:rFonts w:ascii="Cambria" w:hAnsi="Cambria"/>
          <w:sz w:val="21"/>
          <w:szCs w:val="21"/>
          <w:lang w:val="es-ES_tradnl"/>
        </w:rPr>
        <w:t xml:space="preserve">proteger </w:t>
      </w:r>
      <w:r w:rsidR="00C256A0" w:rsidRPr="00EC0D7E">
        <w:rPr>
          <w:rFonts w:ascii="Cambria" w:hAnsi="Cambria"/>
          <w:sz w:val="21"/>
          <w:szCs w:val="21"/>
          <w:lang w:val="es-ES_tradnl"/>
        </w:rPr>
        <w:t xml:space="preserve">sus derechos a la vida e integridad personal. </w:t>
      </w:r>
      <w:r w:rsidRPr="00EC0D7E">
        <w:rPr>
          <w:rFonts w:ascii="Cambria" w:hAnsi="Cambria"/>
          <w:sz w:val="21"/>
          <w:szCs w:val="21"/>
          <w:lang w:val="es-ES_tradnl"/>
        </w:rPr>
        <w:t xml:space="preserve">Según </w:t>
      </w:r>
      <w:r w:rsidR="00C256A0" w:rsidRPr="00EC0D7E">
        <w:rPr>
          <w:rFonts w:ascii="Cambria" w:hAnsi="Cambria"/>
          <w:sz w:val="21"/>
          <w:szCs w:val="21"/>
          <w:lang w:val="es-ES_tradnl"/>
        </w:rPr>
        <w:t>la solicitud</w:t>
      </w:r>
      <w:r w:rsidRPr="00EC0D7E">
        <w:rPr>
          <w:rFonts w:ascii="Cambria" w:hAnsi="Cambria"/>
          <w:sz w:val="21"/>
          <w:szCs w:val="21"/>
          <w:lang w:val="es-ES_tradnl"/>
        </w:rPr>
        <w:t xml:space="preserve">, </w:t>
      </w:r>
      <w:r w:rsidR="00DD696A" w:rsidRPr="00EC0D7E">
        <w:rPr>
          <w:rFonts w:ascii="Cambria" w:hAnsi="Cambria"/>
          <w:sz w:val="21"/>
          <w:szCs w:val="21"/>
          <w:lang w:val="es-ES_tradnl"/>
        </w:rPr>
        <w:t xml:space="preserve">el </w:t>
      </w:r>
      <w:r w:rsidR="00CE4CD2" w:rsidRPr="00EC0D7E">
        <w:rPr>
          <w:rFonts w:ascii="Cambria" w:hAnsi="Cambria"/>
          <w:sz w:val="21"/>
          <w:szCs w:val="21"/>
          <w:lang w:val="es-ES_tradnl"/>
        </w:rPr>
        <w:t>propuesto beneficiario</w:t>
      </w:r>
      <w:r w:rsidR="00DD696A" w:rsidRPr="00EC0D7E">
        <w:rPr>
          <w:rFonts w:ascii="Cambria" w:hAnsi="Cambria"/>
          <w:sz w:val="21"/>
          <w:szCs w:val="21"/>
          <w:lang w:val="es-ES_tradnl"/>
        </w:rPr>
        <w:t xml:space="preserve"> </w:t>
      </w:r>
      <w:r w:rsidR="00C256A0" w:rsidRPr="00EC0D7E">
        <w:rPr>
          <w:rFonts w:ascii="Cambria" w:hAnsi="Cambria"/>
          <w:sz w:val="21"/>
          <w:szCs w:val="21"/>
          <w:lang w:val="es-ES_tradnl"/>
        </w:rPr>
        <w:t xml:space="preserve">enfrenta una situación de riesgo como consecuencia de sus labores periodísticas, aduciendo que su esquema de protección no sería </w:t>
      </w:r>
      <w:r w:rsidR="001E3A50" w:rsidRPr="00EC0D7E">
        <w:rPr>
          <w:rFonts w:ascii="Cambria" w:hAnsi="Cambria"/>
          <w:sz w:val="21"/>
          <w:szCs w:val="21"/>
          <w:lang w:val="es-ES_tradnl"/>
        </w:rPr>
        <w:t>efectivo</w:t>
      </w:r>
      <w:r w:rsidR="00F03BBF" w:rsidRPr="00EC0D7E">
        <w:rPr>
          <w:rFonts w:ascii="Cambria" w:hAnsi="Cambria"/>
          <w:sz w:val="21"/>
          <w:szCs w:val="21"/>
          <w:lang w:val="es-ES_tradnl"/>
        </w:rPr>
        <w:t xml:space="preserve"> e</w:t>
      </w:r>
      <w:r w:rsidR="00C256A0" w:rsidRPr="00EC0D7E">
        <w:rPr>
          <w:rFonts w:ascii="Cambria" w:hAnsi="Cambria"/>
          <w:sz w:val="21"/>
          <w:szCs w:val="21"/>
          <w:lang w:val="es-ES_tradnl"/>
        </w:rPr>
        <w:t xml:space="preserve"> idóneo.</w:t>
      </w:r>
    </w:p>
    <w:p w:rsidR="001D66E4" w:rsidRPr="00EC0D7E" w:rsidRDefault="001D66E4" w:rsidP="001D66E4">
      <w:pPr>
        <w:pStyle w:val="ListParagraph"/>
        <w:ind w:left="360"/>
        <w:jc w:val="both"/>
        <w:rPr>
          <w:rFonts w:ascii="Cambria" w:hAnsi="Cambria"/>
          <w:sz w:val="21"/>
          <w:szCs w:val="21"/>
          <w:lang w:val="es-ES_tradnl"/>
        </w:rPr>
      </w:pPr>
    </w:p>
    <w:p w:rsidR="001D66E4" w:rsidRPr="00EC0D7E" w:rsidRDefault="00F81D29" w:rsidP="00A94D9B">
      <w:pPr>
        <w:pStyle w:val="ListParagraph"/>
        <w:numPr>
          <w:ilvl w:val="0"/>
          <w:numId w:val="1"/>
        </w:numPr>
        <w:ind w:left="0" w:firstLine="360"/>
        <w:jc w:val="both"/>
        <w:rPr>
          <w:rFonts w:ascii="Cambria" w:hAnsi="Cambria"/>
          <w:sz w:val="21"/>
          <w:szCs w:val="21"/>
          <w:lang w:val="es-ES_tradnl"/>
        </w:rPr>
      </w:pPr>
      <w:r>
        <w:rPr>
          <w:rFonts w:ascii="Cambria" w:hAnsi="Cambria"/>
          <w:sz w:val="21"/>
          <w:szCs w:val="21"/>
          <w:lang w:val="es-ES_tradnl"/>
        </w:rPr>
        <w:t xml:space="preserve">Tras haber solicitado información al Estado </w:t>
      </w:r>
      <w:r w:rsidR="000B6171" w:rsidRPr="00EC0D7E">
        <w:rPr>
          <w:rFonts w:ascii="Cambria" w:hAnsi="Cambria"/>
          <w:sz w:val="21"/>
          <w:szCs w:val="21"/>
          <w:lang w:val="es-ES_tradnl"/>
        </w:rPr>
        <w:t>de conformidad con el artíc</w:t>
      </w:r>
      <w:r>
        <w:rPr>
          <w:rFonts w:ascii="Cambria" w:hAnsi="Cambria"/>
          <w:sz w:val="21"/>
          <w:szCs w:val="21"/>
          <w:lang w:val="es-ES_tradnl"/>
        </w:rPr>
        <w:t xml:space="preserve">ulo 25.5 del Reglamento, la Comisión recibió </w:t>
      </w:r>
      <w:r w:rsidR="007D385D">
        <w:rPr>
          <w:rFonts w:ascii="Cambria" w:hAnsi="Cambria"/>
          <w:sz w:val="21"/>
          <w:szCs w:val="21"/>
          <w:lang w:val="es-ES_tradnl"/>
        </w:rPr>
        <w:t>sus</w:t>
      </w:r>
      <w:r>
        <w:rPr>
          <w:rFonts w:ascii="Cambria" w:hAnsi="Cambria"/>
          <w:sz w:val="21"/>
          <w:szCs w:val="21"/>
          <w:lang w:val="es-ES_tradnl"/>
        </w:rPr>
        <w:t xml:space="preserve"> observaciones </w:t>
      </w:r>
      <w:r w:rsidR="00C256A0" w:rsidRPr="00EC0D7E">
        <w:rPr>
          <w:rFonts w:ascii="Cambria" w:hAnsi="Cambria"/>
          <w:sz w:val="21"/>
          <w:szCs w:val="21"/>
          <w:lang w:val="es-ES_tradnl"/>
        </w:rPr>
        <w:t xml:space="preserve">el 5 y 16 de marzo de 2018, y </w:t>
      </w:r>
      <w:r>
        <w:rPr>
          <w:rFonts w:ascii="Cambria" w:hAnsi="Cambria"/>
          <w:sz w:val="21"/>
          <w:szCs w:val="21"/>
          <w:lang w:val="es-ES_tradnl"/>
        </w:rPr>
        <w:t>las d</w:t>
      </w:r>
      <w:r w:rsidR="00C256A0" w:rsidRPr="00EC0D7E">
        <w:rPr>
          <w:rFonts w:ascii="Cambria" w:hAnsi="Cambria"/>
          <w:sz w:val="21"/>
          <w:szCs w:val="21"/>
          <w:lang w:val="es-ES_tradnl"/>
        </w:rPr>
        <w:t>el solicitante el 9 y 22 de febrero, 8 de marzo y 5 de abril de 2018.</w:t>
      </w:r>
    </w:p>
    <w:p w:rsidR="001D66E4" w:rsidRPr="00EC0D7E" w:rsidRDefault="001D66E4" w:rsidP="001D66E4">
      <w:pPr>
        <w:pStyle w:val="ListParagraph"/>
        <w:ind w:left="360"/>
        <w:jc w:val="both"/>
        <w:rPr>
          <w:rFonts w:ascii="Cambria" w:hAnsi="Cambria"/>
          <w:sz w:val="21"/>
          <w:szCs w:val="21"/>
          <w:lang w:val="es-ES_tradnl"/>
        </w:rPr>
      </w:pPr>
    </w:p>
    <w:p w:rsidR="001D66E4" w:rsidRPr="00EC0D7E" w:rsidRDefault="001D66E4" w:rsidP="001512EC">
      <w:pPr>
        <w:pStyle w:val="ListParagraph"/>
        <w:numPr>
          <w:ilvl w:val="0"/>
          <w:numId w:val="1"/>
        </w:numPr>
        <w:ind w:left="0" w:firstLine="360"/>
        <w:jc w:val="both"/>
        <w:rPr>
          <w:rFonts w:ascii="Cambria" w:hAnsi="Cambria"/>
          <w:sz w:val="21"/>
          <w:szCs w:val="21"/>
          <w:lang w:val="es-ES_tradnl"/>
        </w:rPr>
      </w:pPr>
      <w:r w:rsidRPr="00EC0D7E">
        <w:rPr>
          <w:rFonts w:ascii="Cambria" w:hAnsi="Cambria"/>
          <w:sz w:val="21"/>
          <w:szCs w:val="21"/>
          <w:lang w:val="es-ES_tradnl"/>
        </w:rPr>
        <w:t xml:space="preserve">Tras analizar las alegaciones de hecho y de derecho efectuadas por las partes, la Comisión considera que el señor Daniel Silva Orrego se encuentra en una situación de gravedad y urgencia, toda vez que sus derechos a la vida e integridad personal enfrentan un riesgo de daño irreparable. Por consiguiente, con base en el artículo 25 del Reglamento, </w:t>
      </w:r>
      <w:r w:rsidR="0052203A" w:rsidRPr="00EC0D7E">
        <w:rPr>
          <w:rFonts w:ascii="Cambria" w:hAnsi="Cambria"/>
          <w:sz w:val="21"/>
          <w:szCs w:val="21"/>
          <w:lang w:val="es-ES_tradnl"/>
        </w:rPr>
        <w:t>la Comisión requiere a Colombia que: a) adopte las medidas necesarias para garantizar los derechos a la vida e integridad personal del señor Daniel Silva Orrego. En particular, asegurándose que las medidas de protección correspondientes sean eficaces e idóneas, conforme los estándares internacionales aplicables; b) adopte las medidas necesarias para garantizar que el señor Daniel Silva Orrego pueda seguir desempeñand</w:t>
      </w:r>
      <w:r w:rsidR="00C7377C" w:rsidRPr="00EC0D7E">
        <w:rPr>
          <w:rFonts w:ascii="Cambria" w:hAnsi="Cambria"/>
          <w:sz w:val="21"/>
          <w:szCs w:val="21"/>
          <w:lang w:val="es-ES_tradnl"/>
        </w:rPr>
        <w:t>o sus labores como periodista</w:t>
      </w:r>
      <w:r w:rsidR="0052203A" w:rsidRPr="00EC0D7E">
        <w:rPr>
          <w:rFonts w:ascii="Cambria" w:hAnsi="Cambria"/>
          <w:sz w:val="21"/>
          <w:szCs w:val="21"/>
          <w:lang w:val="es-ES_tradnl"/>
        </w:rPr>
        <w:t xml:space="preserve"> sin ser objeto de amenazas, hostigamientos o actos de violencia en el ejercicio de las mismas; c) concierte las medidas a implementarse con el beneficiario y sus representantes; y d) informe sobre las acciones adelantadas a fin de investigar los presuntos hechos que dieron lugar a la adopción de la presente resolución </w:t>
      </w:r>
      <w:r w:rsidR="001512EC" w:rsidRPr="00EC0D7E">
        <w:rPr>
          <w:rFonts w:ascii="Cambria" w:hAnsi="Cambria"/>
          <w:sz w:val="21"/>
          <w:szCs w:val="21"/>
          <w:lang w:val="es-ES_tradnl"/>
        </w:rPr>
        <w:t xml:space="preserve">teniendo el contexto en que se insertarían, y </w:t>
      </w:r>
      <w:r w:rsidR="0052203A" w:rsidRPr="00EC0D7E">
        <w:rPr>
          <w:rFonts w:ascii="Cambria" w:hAnsi="Cambria"/>
          <w:sz w:val="21"/>
          <w:szCs w:val="21"/>
          <w:lang w:val="es-ES_tradnl"/>
        </w:rPr>
        <w:t>así evitar su repetición.</w:t>
      </w:r>
    </w:p>
    <w:p w:rsidR="00A46838" w:rsidRPr="00EC0D7E" w:rsidRDefault="00A46838" w:rsidP="00A94D9B">
      <w:pPr>
        <w:jc w:val="both"/>
        <w:rPr>
          <w:rFonts w:ascii="Cambria" w:hAnsi="Cambria"/>
          <w:sz w:val="21"/>
          <w:szCs w:val="21"/>
          <w:lang w:val="es-ES_tradnl"/>
        </w:rPr>
      </w:pPr>
    </w:p>
    <w:p w:rsidR="00A46838" w:rsidRPr="00EC0D7E" w:rsidRDefault="00A46838" w:rsidP="00A94D9B">
      <w:pPr>
        <w:pStyle w:val="ListParagraph"/>
        <w:numPr>
          <w:ilvl w:val="0"/>
          <w:numId w:val="2"/>
        </w:numPr>
        <w:ind w:left="0" w:firstLine="360"/>
        <w:jc w:val="both"/>
        <w:rPr>
          <w:rFonts w:ascii="Cambria" w:hAnsi="Cambria"/>
          <w:b/>
          <w:sz w:val="21"/>
          <w:szCs w:val="21"/>
          <w:lang w:val="es-ES_tradnl"/>
        </w:rPr>
      </w:pPr>
      <w:r w:rsidRPr="00EC0D7E">
        <w:rPr>
          <w:rFonts w:ascii="Cambria" w:hAnsi="Cambria"/>
          <w:b/>
          <w:sz w:val="21"/>
          <w:szCs w:val="21"/>
          <w:lang w:val="es-ES_tradnl"/>
        </w:rPr>
        <w:t xml:space="preserve">RESUMEN DE HECHOS Y ARGUMENTOS </w:t>
      </w:r>
    </w:p>
    <w:p w:rsidR="00A46838" w:rsidRPr="00EC0D7E" w:rsidRDefault="00A46838" w:rsidP="00A94D9B">
      <w:pPr>
        <w:jc w:val="both"/>
        <w:rPr>
          <w:rFonts w:ascii="Cambria" w:hAnsi="Cambria"/>
          <w:sz w:val="21"/>
          <w:szCs w:val="21"/>
          <w:lang w:val="es-ES_tradnl"/>
        </w:rPr>
      </w:pPr>
    </w:p>
    <w:p w:rsidR="00A46838" w:rsidRPr="00EC0D7E" w:rsidRDefault="00BF7D6A" w:rsidP="00A94D9B">
      <w:pPr>
        <w:pStyle w:val="ListParagraph"/>
        <w:numPr>
          <w:ilvl w:val="0"/>
          <w:numId w:val="3"/>
        </w:numPr>
        <w:ind w:left="0" w:firstLine="360"/>
        <w:jc w:val="both"/>
        <w:rPr>
          <w:rFonts w:ascii="Cambria" w:hAnsi="Cambria"/>
          <w:b/>
          <w:sz w:val="21"/>
          <w:szCs w:val="21"/>
          <w:lang w:val="es-ES_tradnl"/>
        </w:rPr>
      </w:pPr>
      <w:r w:rsidRPr="00EC0D7E">
        <w:rPr>
          <w:rFonts w:ascii="Cambria" w:hAnsi="Cambria"/>
          <w:b/>
          <w:sz w:val="21"/>
          <w:szCs w:val="21"/>
          <w:lang w:val="es-ES_tradnl"/>
        </w:rPr>
        <w:t xml:space="preserve">Información aportada por </w:t>
      </w:r>
      <w:r w:rsidR="00017369" w:rsidRPr="00EC0D7E">
        <w:rPr>
          <w:rFonts w:ascii="Cambria" w:hAnsi="Cambria"/>
          <w:b/>
          <w:sz w:val="21"/>
          <w:szCs w:val="21"/>
          <w:lang w:val="es-ES_tradnl"/>
        </w:rPr>
        <w:t>el solicitante</w:t>
      </w:r>
    </w:p>
    <w:p w:rsidR="00591283" w:rsidRPr="00EC0D7E" w:rsidRDefault="00591283" w:rsidP="00A94D9B">
      <w:pPr>
        <w:jc w:val="both"/>
        <w:rPr>
          <w:rFonts w:ascii="Cambria" w:hAnsi="Cambria"/>
          <w:sz w:val="21"/>
          <w:szCs w:val="21"/>
          <w:lang w:val="es-ES_tradnl"/>
        </w:rPr>
      </w:pPr>
    </w:p>
    <w:p w:rsidR="00017369" w:rsidRPr="00EC0D7E" w:rsidRDefault="00017369" w:rsidP="00017369">
      <w:pPr>
        <w:pStyle w:val="ListParagraph"/>
        <w:numPr>
          <w:ilvl w:val="0"/>
          <w:numId w:val="1"/>
        </w:numPr>
        <w:ind w:left="0" w:firstLine="360"/>
        <w:jc w:val="both"/>
        <w:rPr>
          <w:rFonts w:ascii="Cambria" w:eastAsia="Calibri" w:hAnsi="Cambria" w:cs="Times New Roman"/>
          <w:sz w:val="21"/>
          <w:szCs w:val="21"/>
          <w:lang w:val="es-ES_tradnl"/>
        </w:rPr>
      </w:pPr>
      <w:r w:rsidRPr="00EC0D7E">
        <w:rPr>
          <w:rFonts w:ascii="Cambria" w:eastAsia="Calibri" w:hAnsi="Cambria" w:cs="Times New Roman"/>
          <w:sz w:val="21"/>
          <w:szCs w:val="21"/>
          <w:lang w:val="es-ES_tradnl"/>
        </w:rPr>
        <w:t>El propuesto beneficiario se encontraría en una situación de riesgo con motivo del ejercicio de sus labores como periodista y columnista</w:t>
      </w:r>
      <w:r w:rsidRPr="00EC0D7E">
        <w:rPr>
          <w:rFonts w:ascii="Cambria" w:eastAsia="Calibri" w:hAnsi="Cambria" w:cs="Times New Roman"/>
          <w:sz w:val="21"/>
          <w:szCs w:val="21"/>
          <w:vertAlign w:val="superscript"/>
          <w:lang w:val="es-ES_tradnl"/>
        </w:rPr>
        <w:footnoteReference w:id="2"/>
      </w:r>
      <w:r w:rsidRPr="00EC0D7E">
        <w:rPr>
          <w:rFonts w:ascii="Cambria" w:eastAsia="Calibri" w:hAnsi="Cambria" w:cs="Times New Roman"/>
          <w:sz w:val="21"/>
          <w:szCs w:val="21"/>
          <w:lang w:val="es-ES_tradnl"/>
        </w:rPr>
        <w:t xml:space="preserve"> – en particular, debido a una serie de denuncias formuladas contra servidores públicos del departamento de Risaralda – por lo menos desde mediados de junio de 2016, fecha en la que habría interpuesto una solicitud ante la Unidad Nacional de Protección (UNP). Sin que la misma fuera aún decidida, en marzo de 2017 se habría implementado como medida de emergencia un </w:t>
      </w:r>
      <w:r w:rsidRPr="00EC0D7E">
        <w:rPr>
          <w:rFonts w:ascii="Cambria" w:hAnsi="Cambria"/>
          <w:sz w:val="21"/>
          <w:szCs w:val="21"/>
          <w:lang w:val="es-ES_tradnl"/>
        </w:rPr>
        <w:t>esquema</w:t>
      </w:r>
      <w:r w:rsidRPr="00EC0D7E">
        <w:rPr>
          <w:rFonts w:ascii="Cambria" w:eastAsia="Calibri" w:hAnsi="Cambria" w:cs="Times New Roman"/>
          <w:sz w:val="21"/>
          <w:szCs w:val="21"/>
          <w:lang w:val="es-ES_tradnl"/>
        </w:rPr>
        <w:t xml:space="preserve"> consistente en un escolta, un chaleco antibalas y un medio de comunicación, ello a raíz de que ese mismo mes el propuesto beneficiario recibiera una amenaza por parte de un sujeto </w:t>
      </w:r>
      <w:r w:rsidRPr="00EC0D7E">
        <w:rPr>
          <w:rFonts w:ascii="Cambria" w:eastAsia="Calibri" w:hAnsi="Cambria" w:cs="Times New Roman"/>
          <w:sz w:val="21"/>
          <w:szCs w:val="21"/>
          <w:lang w:val="es-ES_tradnl"/>
        </w:rPr>
        <w:lastRenderedPageBreak/>
        <w:t>no identificado que se apersonó en su domicilio con un revólver</w:t>
      </w:r>
      <w:r w:rsidRPr="00EC0D7E">
        <w:rPr>
          <w:rFonts w:ascii="Cambria" w:eastAsia="Calibri" w:hAnsi="Cambria" w:cs="Times New Roman"/>
          <w:sz w:val="21"/>
          <w:szCs w:val="21"/>
          <w:vertAlign w:val="superscript"/>
          <w:lang w:val="es-ES_tradnl"/>
        </w:rPr>
        <w:footnoteReference w:id="3"/>
      </w:r>
      <w:r w:rsidRPr="00EC0D7E">
        <w:rPr>
          <w:rFonts w:ascii="Cambria" w:eastAsia="Calibri" w:hAnsi="Cambria" w:cs="Times New Roman"/>
          <w:sz w:val="21"/>
          <w:szCs w:val="21"/>
          <w:lang w:val="es-ES_tradnl"/>
        </w:rPr>
        <w:t xml:space="preserve">. En mayo de 2017, la UNP habría resuelto ajustar tal esquema adjuntándose un vehículo convencional y otro escolta, calificando así su nivel de riesgo como “extraordinario”, conforme la normativa colombiana. Estas medidas habrían empezado a implementase el 20 de junio de 2017; mientras tanto, el 8 de junio de 2017 el propuesto beneficiario habría recibido una amenaza de muerte vía telefónica en relación con un proceso judicial en el municipio de Dosquebradas, Risaralda. </w:t>
      </w:r>
    </w:p>
    <w:p w:rsidR="00017369" w:rsidRPr="00EC0D7E" w:rsidRDefault="00017369" w:rsidP="00017369">
      <w:pPr>
        <w:ind w:left="360"/>
        <w:jc w:val="both"/>
        <w:rPr>
          <w:rFonts w:ascii="Cambria" w:eastAsia="Calibri" w:hAnsi="Cambria" w:cs="Times New Roman"/>
          <w:sz w:val="21"/>
          <w:szCs w:val="21"/>
          <w:lang w:val="es-ES_tradnl"/>
        </w:rPr>
      </w:pPr>
    </w:p>
    <w:p w:rsidR="00017369" w:rsidRPr="00EC0D7E" w:rsidRDefault="00017369" w:rsidP="00017369">
      <w:pPr>
        <w:pStyle w:val="ListParagraph"/>
        <w:numPr>
          <w:ilvl w:val="0"/>
          <w:numId w:val="1"/>
        </w:numPr>
        <w:ind w:left="0" w:firstLine="360"/>
        <w:jc w:val="both"/>
        <w:rPr>
          <w:rFonts w:ascii="Cambria" w:eastAsia="Calibri" w:hAnsi="Cambria" w:cs="Times New Roman"/>
          <w:sz w:val="21"/>
          <w:szCs w:val="21"/>
          <w:lang w:val="es-ES_tradnl"/>
        </w:rPr>
      </w:pPr>
      <w:r w:rsidRPr="00EC0D7E">
        <w:rPr>
          <w:rFonts w:ascii="Cambria" w:eastAsia="Calibri" w:hAnsi="Cambria" w:cs="Times New Roman"/>
          <w:sz w:val="21"/>
          <w:szCs w:val="21"/>
          <w:lang w:val="es-ES_tradnl"/>
        </w:rPr>
        <w:t xml:space="preserve">Al poco tiempo, el propuesto beneficiario habría reportado algunas irregularidades en el esquema de protección, habiéndose por ejemplo removido a uno de los escoltas en julio de 2017 por ausentarse en el trabajo y adoptar una actitud “displicente”, y a otro en septiembre de 2017, luego de que se detectara que dicha persona supuestamente filtraba información reservada del esquema a terceros ajenos, y por haber manifestado no conocer bien la ciudad de Pereira (capital de Risaralda); de hecho, el 18 de agosto el propuesto beneficiario y sus escoltas habrían sido objeto de “actividades de inteligencia” por parte de tres individuos. El 2 de octubre de 2017, el propuesto beneficiario habría interpuesto una </w:t>
      </w:r>
      <w:r w:rsidR="00747327" w:rsidRPr="00EC0D7E">
        <w:rPr>
          <w:rFonts w:ascii="Cambria" w:eastAsia="Calibri" w:hAnsi="Cambria" w:cs="Times New Roman"/>
          <w:sz w:val="21"/>
          <w:szCs w:val="21"/>
          <w:lang w:val="es-ES_tradnl"/>
        </w:rPr>
        <w:t>denuncia</w:t>
      </w:r>
      <w:r w:rsidRPr="00EC0D7E">
        <w:rPr>
          <w:rFonts w:ascii="Cambria" w:eastAsia="Calibri" w:hAnsi="Cambria" w:cs="Times New Roman"/>
          <w:sz w:val="21"/>
          <w:szCs w:val="21"/>
          <w:lang w:val="es-ES_tradnl"/>
        </w:rPr>
        <w:t xml:space="preserve"> contra un individuo por amenazas proferidas en una red social</w:t>
      </w:r>
      <w:r w:rsidRPr="00EC0D7E">
        <w:rPr>
          <w:rFonts w:ascii="Cambria" w:eastAsia="Calibri" w:hAnsi="Cambria" w:cs="Times New Roman"/>
          <w:sz w:val="21"/>
          <w:szCs w:val="21"/>
          <w:vertAlign w:val="superscript"/>
          <w:lang w:val="es-ES_tradnl"/>
        </w:rPr>
        <w:footnoteReference w:id="4"/>
      </w:r>
      <w:r w:rsidRPr="00EC0D7E">
        <w:rPr>
          <w:rFonts w:ascii="Cambria" w:eastAsia="Calibri" w:hAnsi="Cambria" w:cs="Times New Roman"/>
          <w:sz w:val="21"/>
          <w:szCs w:val="21"/>
          <w:lang w:val="es-ES_tradnl"/>
        </w:rPr>
        <w:t>, denunciando aquél que la UNP no mejoró las medidas de seguridad ni efectuado una reevaluación de su nivel de riesgo; en particular, el propuesto beneficiario reclamaba la entrega de un vehículo blindado ante el temor de ser objeto de un atentado mediante armas de largo alcance, con base en los eventos de riesgo arriba mencionados. Como información de contexto, el propuesto beneficiario igualmente señaló a la UNP que en septiembre de 2017 el Tribunal de lo Contencioso Administrativo de Risaralda emitió una sentencia contra el actual alcalde de Pereira en el marco de un proceso en el que participó como demandante</w:t>
      </w:r>
      <w:r w:rsidRPr="00EC0D7E">
        <w:rPr>
          <w:rFonts w:ascii="Cambria" w:eastAsia="Calibri" w:hAnsi="Cambria" w:cs="Times New Roman"/>
          <w:sz w:val="21"/>
          <w:szCs w:val="21"/>
          <w:vertAlign w:val="superscript"/>
          <w:lang w:val="es-ES_tradnl"/>
        </w:rPr>
        <w:footnoteReference w:id="5"/>
      </w:r>
      <w:r w:rsidRPr="00EC0D7E">
        <w:rPr>
          <w:rFonts w:ascii="Cambria" w:eastAsia="Calibri" w:hAnsi="Cambria" w:cs="Times New Roman"/>
          <w:sz w:val="21"/>
          <w:szCs w:val="21"/>
          <w:lang w:val="es-ES_tradnl"/>
        </w:rPr>
        <w:t xml:space="preserve">, perdiendo aquél su investidura. </w:t>
      </w:r>
    </w:p>
    <w:p w:rsidR="00017369" w:rsidRPr="00EC0D7E" w:rsidRDefault="00017369" w:rsidP="00017369">
      <w:pPr>
        <w:ind w:left="360"/>
        <w:jc w:val="both"/>
        <w:rPr>
          <w:rFonts w:ascii="Cambria" w:eastAsia="Calibri" w:hAnsi="Cambria" w:cs="Times New Roman"/>
          <w:sz w:val="21"/>
          <w:szCs w:val="21"/>
          <w:lang w:val="es-ES_tradnl"/>
        </w:rPr>
      </w:pPr>
    </w:p>
    <w:p w:rsidR="00017369" w:rsidRPr="00EC0D7E" w:rsidRDefault="00017369" w:rsidP="00017369">
      <w:pPr>
        <w:pStyle w:val="ListParagraph"/>
        <w:numPr>
          <w:ilvl w:val="0"/>
          <w:numId w:val="1"/>
        </w:numPr>
        <w:ind w:left="0" w:firstLine="360"/>
        <w:jc w:val="both"/>
        <w:rPr>
          <w:rFonts w:ascii="Cambria" w:eastAsia="Calibri" w:hAnsi="Cambria" w:cs="Times New Roman"/>
          <w:sz w:val="21"/>
          <w:szCs w:val="21"/>
          <w:lang w:val="es-ES_tradnl"/>
        </w:rPr>
      </w:pPr>
      <w:r w:rsidRPr="00EC0D7E">
        <w:rPr>
          <w:rFonts w:ascii="Cambria" w:eastAsia="Calibri" w:hAnsi="Cambria" w:cs="Times New Roman"/>
          <w:sz w:val="21"/>
          <w:szCs w:val="21"/>
          <w:lang w:val="es-ES_tradnl"/>
        </w:rPr>
        <w:t>El 27 de noviembre de 2017, los escoltas pertenecientes al esquema de protección del propuesto beneficiario habrían dirigido un escrito</w:t>
      </w:r>
      <w:r w:rsidRPr="00EC0D7E">
        <w:rPr>
          <w:rFonts w:ascii="Cambria" w:eastAsia="Calibri" w:hAnsi="Cambria" w:cs="Times New Roman"/>
          <w:sz w:val="21"/>
          <w:szCs w:val="21"/>
          <w:vertAlign w:val="superscript"/>
          <w:lang w:val="es-ES_tradnl"/>
        </w:rPr>
        <w:footnoteReference w:id="6"/>
      </w:r>
      <w:r w:rsidRPr="00EC0D7E">
        <w:rPr>
          <w:rFonts w:ascii="Cambria" w:eastAsia="Calibri" w:hAnsi="Cambria" w:cs="Times New Roman"/>
          <w:sz w:val="21"/>
          <w:szCs w:val="21"/>
          <w:lang w:val="es-ES_tradnl"/>
        </w:rPr>
        <w:t xml:space="preserve"> dirigido al Director General de la UNP, intimándole a que se refuerce el mismo, recogiendo los mismos argumentos y resaltando “[…] como mínimo […] el cambio de vehículo de convencional a blindado”, considerando que con su nuevo puesto como autoridad departamental de un partido político el propuesto beneficiario debe trasladarse constantemente a varios municipios</w:t>
      </w:r>
      <w:r w:rsidRPr="00EC0D7E">
        <w:rPr>
          <w:rFonts w:ascii="Cambria" w:eastAsia="Calibri" w:hAnsi="Cambria" w:cs="Times New Roman"/>
          <w:sz w:val="21"/>
          <w:szCs w:val="21"/>
          <w:vertAlign w:val="superscript"/>
          <w:lang w:val="es-ES_tradnl"/>
        </w:rPr>
        <w:footnoteReference w:id="7"/>
      </w:r>
      <w:r w:rsidRPr="00EC0D7E">
        <w:rPr>
          <w:rFonts w:ascii="Cambria" w:eastAsia="Calibri" w:hAnsi="Cambria" w:cs="Times New Roman"/>
          <w:sz w:val="21"/>
          <w:szCs w:val="21"/>
          <w:lang w:val="es-ES_tradnl"/>
        </w:rPr>
        <w:t xml:space="preserve">. Esta petición habría originado igualmente luego de que la empresa contratista que los emplea recibiera un oficio de parte de la “Coordinación de Hombres de Protección de la UNP” alertándoles sobre la necesidad de extremar las medidas de seguridad y usar permanentemente el chaleco antibalas. </w:t>
      </w:r>
    </w:p>
    <w:p w:rsidR="00017369" w:rsidRPr="00EC0D7E" w:rsidRDefault="00017369" w:rsidP="00017369">
      <w:pPr>
        <w:ind w:left="360"/>
        <w:jc w:val="both"/>
        <w:rPr>
          <w:rFonts w:ascii="Cambria" w:eastAsia="Calibri" w:hAnsi="Cambria" w:cs="Times New Roman"/>
          <w:sz w:val="21"/>
          <w:szCs w:val="21"/>
          <w:lang w:val="es-ES_tradnl"/>
        </w:rPr>
      </w:pPr>
    </w:p>
    <w:p w:rsidR="00017369" w:rsidRPr="00EC0D7E" w:rsidRDefault="00017369" w:rsidP="00017369">
      <w:pPr>
        <w:pStyle w:val="ListParagraph"/>
        <w:numPr>
          <w:ilvl w:val="0"/>
          <w:numId w:val="1"/>
        </w:numPr>
        <w:ind w:left="0" w:firstLine="360"/>
        <w:jc w:val="both"/>
        <w:rPr>
          <w:rFonts w:ascii="Cambria" w:eastAsia="Calibri" w:hAnsi="Cambria" w:cs="Times New Roman"/>
          <w:sz w:val="21"/>
          <w:szCs w:val="21"/>
          <w:lang w:val="es-ES_tradnl"/>
        </w:rPr>
      </w:pPr>
      <w:r w:rsidRPr="00EC0D7E">
        <w:rPr>
          <w:rFonts w:ascii="Cambria" w:eastAsia="Calibri" w:hAnsi="Cambria" w:cs="Times New Roman"/>
          <w:sz w:val="21"/>
          <w:szCs w:val="21"/>
          <w:lang w:val="es-ES_tradnl"/>
        </w:rPr>
        <w:t xml:space="preserve"> El 1 de diciembre de 2017, el propuesto beneficiario y sus escoltas habrían sido objeto de seguimientos por parte de dos sujetos en un centro comercial, quienes les tomaban fotografías con sus celulares</w:t>
      </w:r>
      <w:r w:rsidRPr="00EC0D7E">
        <w:rPr>
          <w:rFonts w:ascii="Cambria" w:eastAsia="Calibri" w:hAnsi="Cambria" w:cs="Times New Roman"/>
          <w:sz w:val="21"/>
          <w:szCs w:val="21"/>
          <w:vertAlign w:val="superscript"/>
          <w:lang w:val="es-ES_tradnl"/>
        </w:rPr>
        <w:footnoteReference w:id="8"/>
      </w:r>
      <w:r w:rsidRPr="00EC0D7E">
        <w:rPr>
          <w:rFonts w:ascii="Cambria" w:eastAsia="Calibri" w:hAnsi="Cambria" w:cs="Times New Roman"/>
          <w:sz w:val="21"/>
          <w:szCs w:val="21"/>
          <w:lang w:val="es-ES_tradnl"/>
        </w:rPr>
        <w:t>. El 22 de febrero de 2018, informó que la Corte Suprema de Justicia le notificó su decisión de abrir una investigación formal contra un aforado con base en hechos denunciados por él, lo cual podría aumentar su situación de riesgo. El 6 de marzo de 2018, el propuesto beneficiario habría sido informado que se encontró un documento en el ayuntamiento de Pereira con una amenaza dirigida a él</w:t>
      </w:r>
      <w:r w:rsidRPr="00EC0D7E">
        <w:rPr>
          <w:rFonts w:ascii="Cambria" w:eastAsia="Calibri" w:hAnsi="Cambria" w:cs="Times New Roman"/>
          <w:sz w:val="21"/>
          <w:szCs w:val="21"/>
          <w:vertAlign w:val="superscript"/>
          <w:lang w:val="es-ES_tradnl"/>
        </w:rPr>
        <w:footnoteReference w:id="9"/>
      </w:r>
      <w:r w:rsidRPr="00EC0D7E">
        <w:rPr>
          <w:rFonts w:ascii="Cambria" w:eastAsia="Calibri" w:hAnsi="Cambria" w:cs="Times New Roman"/>
          <w:sz w:val="21"/>
          <w:szCs w:val="21"/>
          <w:lang w:val="es-ES_tradnl"/>
        </w:rPr>
        <w:t xml:space="preserve">, en </w:t>
      </w:r>
      <w:r w:rsidRPr="00EC0D7E">
        <w:rPr>
          <w:rFonts w:ascii="Cambria" w:eastAsia="Calibri" w:hAnsi="Cambria" w:cs="Times New Roman"/>
          <w:sz w:val="21"/>
          <w:szCs w:val="21"/>
          <w:lang w:val="es-ES_tradnl"/>
        </w:rPr>
        <w:lastRenderedPageBreak/>
        <w:t xml:space="preserve">relación con otro proceso judicial que estaría impulsando sobre temas de propiedad rural. Visto el tenor y contenido del mensaje, el propuesto beneficiario sostiene que la misma está relacionada con unos seguimientos de los que habría sido objeto los días 16, 17 y 18 de febrero por parte de dos individuos motorizados. </w:t>
      </w:r>
    </w:p>
    <w:p w:rsidR="00017369" w:rsidRPr="00EC0D7E" w:rsidRDefault="00017369" w:rsidP="00017369">
      <w:pPr>
        <w:ind w:left="360"/>
        <w:jc w:val="both"/>
        <w:rPr>
          <w:rFonts w:ascii="Cambria" w:eastAsia="Calibri" w:hAnsi="Cambria" w:cs="Times New Roman"/>
          <w:sz w:val="21"/>
          <w:szCs w:val="21"/>
          <w:lang w:val="es-ES_tradnl"/>
        </w:rPr>
      </w:pPr>
    </w:p>
    <w:p w:rsidR="00017369" w:rsidRPr="00EC0D7E" w:rsidRDefault="00017369" w:rsidP="00017369">
      <w:pPr>
        <w:pStyle w:val="ListParagraph"/>
        <w:numPr>
          <w:ilvl w:val="0"/>
          <w:numId w:val="1"/>
        </w:numPr>
        <w:ind w:left="0" w:firstLine="360"/>
        <w:jc w:val="both"/>
        <w:rPr>
          <w:rFonts w:ascii="Cambria" w:eastAsia="Calibri" w:hAnsi="Cambria" w:cs="Times New Roman"/>
          <w:sz w:val="21"/>
          <w:szCs w:val="21"/>
          <w:lang w:val="es-ES_tradnl"/>
        </w:rPr>
      </w:pPr>
      <w:r w:rsidRPr="00EC0D7E">
        <w:rPr>
          <w:rFonts w:ascii="Cambria" w:eastAsia="Calibri" w:hAnsi="Cambria" w:cs="Times New Roman"/>
          <w:sz w:val="21"/>
          <w:szCs w:val="21"/>
          <w:lang w:val="es-ES_tradnl"/>
        </w:rPr>
        <w:t xml:space="preserve">Por último, en cuanto a las </w:t>
      </w:r>
      <w:r w:rsidR="00747327" w:rsidRPr="00EC0D7E">
        <w:rPr>
          <w:rFonts w:ascii="Cambria" w:eastAsia="Calibri" w:hAnsi="Cambria" w:cs="Times New Roman"/>
          <w:sz w:val="21"/>
          <w:szCs w:val="21"/>
          <w:lang w:val="es-ES_tradnl"/>
        </w:rPr>
        <w:t>denuncias</w:t>
      </w:r>
      <w:r w:rsidRPr="00EC0D7E">
        <w:rPr>
          <w:rFonts w:ascii="Cambria" w:eastAsia="Calibri" w:hAnsi="Cambria" w:cs="Times New Roman"/>
          <w:sz w:val="21"/>
          <w:szCs w:val="21"/>
          <w:lang w:val="es-ES_tradnl"/>
        </w:rPr>
        <w:t xml:space="preserve"> interpuestas, el propuesto beneficiario indicó que aún no se logró identificar a los presuntos autores.</w:t>
      </w:r>
    </w:p>
    <w:p w:rsidR="00017369" w:rsidRPr="00EC0D7E" w:rsidRDefault="00017369" w:rsidP="00017369">
      <w:pPr>
        <w:jc w:val="both"/>
        <w:rPr>
          <w:rFonts w:ascii="Cambria" w:eastAsia="Calibri" w:hAnsi="Cambria" w:cs="Times New Roman"/>
          <w:sz w:val="21"/>
          <w:szCs w:val="21"/>
          <w:lang w:val="es-ES_tradnl"/>
        </w:rPr>
      </w:pPr>
    </w:p>
    <w:p w:rsidR="00017369" w:rsidRPr="00EC0D7E" w:rsidRDefault="00017369" w:rsidP="00017369">
      <w:pPr>
        <w:pStyle w:val="ListParagraph"/>
        <w:numPr>
          <w:ilvl w:val="0"/>
          <w:numId w:val="3"/>
        </w:numPr>
        <w:ind w:left="0" w:firstLine="360"/>
        <w:jc w:val="both"/>
        <w:rPr>
          <w:rFonts w:ascii="Cambria" w:eastAsia="Calibri" w:hAnsi="Cambria" w:cs="Times New Roman"/>
          <w:b/>
          <w:sz w:val="21"/>
          <w:szCs w:val="21"/>
          <w:lang w:val="es-ES_tradnl"/>
        </w:rPr>
      </w:pPr>
      <w:r w:rsidRPr="00EC0D7E">
        <w:rPr>
          <w:rFonts w:ascii="Cambria" w:eastAsia="Calibri" w:hAnsi="Cambria" w:cs="Times New Roman"/>
          <w:b/>
          <w:sz w:val="21"/>
          <w:szCs w:val="21"/>
          <w:lang w:val="es-ES_tradnl"/>
        </w:rPr>
        <w:t>Respuesta del Estado</w:t>
      </w:r>
    </w:p>
    <w:p w:rsidR="00017369" w:rsidRPr="00EC0D7E" w:rsidRDefault="00017369" w:rsidP="00017369">
      <w:pPr>
        <w:jc w:val="both"/>
        <w:rPr>
          <w:rFonts w:ascii="Cambria" w:eastAsia="Calibri" w:hAnsi="Cambria" w:cs="Times New Roman"/>
          <w:sz w:val="21"/>
          <w:szCs w:val="21"/>
          <w:lang w:val="es-ES_tradnl"/>
        </w:rPr>
      </w:pPr>
    </w:p>
    <w:p w:rsidR="00017369" w:rsidRPr="00EC0D7E" w:rsidRDefault="006D0818" w:rsidP="00017369">
      <w:pPr>
        <w:pStyle w:val="ListParagraph"/>
        <w:numPr>
          <w:ilvl w:val="0"/>
          <w:numId w:val="1"/>
        </w:numPr>
        <w:ind w:left="0" w:firstLine="360"/>
        <w:jc w:val="both"/>
        <w:rPr>
          <w:rFonts w:ascii="Cambria" w:eastAsia="Calibri" w:hAnsi="Cambria" w:cs="Times New Roman"/>
          <w:sz w:val="21"/>
          <w:szCs w:val="21"/>
          <w:lang w:val="es-ES_tradnl"/>
        </w:rPr>
      </w:pPr>
      <w:r w:rsidRPr="00EC0D7E">
        <w:rPr>
          <w:rFonts w:ascii="Cambria" w:eastAsia="Calibri" w:hAnsi="Cambria" w:cs="Times New Roman"/>
          <w:sz w:val="21"/>
          <w:szCs w:val="21"/>
          <w:lang w:val="es-ES_tradnl"/>
        </w:rPr>
        <w:t xml:space="preserve">El Estado informó que el propuesto beneficiario goza de un esquema de protección “tipo 1” desde el 3 de mayo de 2017, consistente en un vehículo convencional, dos escoltas, un medio de comunicación y un chaleco antibalas. </w:t>
      </w:r>
      <w:r w:rsidR="00632C63" w:rsidRPr="00EC0D7E">
        <w:rPr>
          <w:rFonts w:ascii="Cambria" w:eastAsia="Calibri" w:hAnsi="Cambria" w:cs="Times New Roman"/>
          <w:sz w:val="21"/>
          <w:szCs w:val="21"/>
          <w:lang w:val="es-ES_tradnl"/>
        </w:rPr>
        <w:t xml:space="preserve">Por otra parte, indicó que las </w:t>
      </w:r>
      <w:r w:rsidR="00747327" w:rsidRPr="00EC0D7E">
        <w:rPr>
          <w:rFonts w:ascii="Cambria" w:eastAsia="Calibri" w:hAnsi="Cambria" w:cs="Times New Roman"/>
          <w:sz w:val="21"/>
          <w:szCs w:val="21"/>
          <w:lang w:val="es-ES_tradnl"/>
        </w:rPr>
        <w:t>denuncias</w:t>
      </w:r>
      <w:r w:rsidR="00632C63" w:rsidRPr="00EC0D7E">
        <w:rPr>
          <w:rFonts w:ascii="Cambria" w:eastAsia="Calibri" w:hAnsi="Cambria" w:cs="Times New Roman"/>
          <w:sz w:val="21"/>
          <w:szCs w:val="21"/>
          <w:lang w:val="es-ES_tradnl"/>
        </w:rPr>
        <w:t xml:space="preserve"> radicadas por “injuria presuntamente por Facebook” y “constreñimiento ilegal” (en relación a la alegada amenaza telefónica) están en fase de indagación, mientras que la investigación por los presuntos seguimientos en motocicletas, si bien en fase de indagación, estaría inactiva o archivada “por conducta atípica”. </w:t>
      </w:r>
    </w:p>
    <w:p w:rsidR="00632C63" w:rsidRPr="00EC0D7E" w:rsidRDefault="00632C63" w:rsidP="00632C63">
      <w:pPr>
        <w:pStyle w:val="ListParagraph"/>
        <w:ind w:left="360"/>
        <w:jc w:val="both"/>
        <w:rPr>
          <w:rFonts w:ascii="Cambria" w:eastAsia="Calibri" w:hAnsi="Cambria" w:cs="Times New Roman"/>
          <w:sz w:val="21"/>
          <w:szCs w:val="21"/>
          <w:lang w:val="es-ES_tradnl"/>
        </w:rPr>
      </w:pPr>
    </w:p>
    <w:p w:rsidR="00632C63" w:rsidRPr="00EC0D7E" w:rsidRDefault="00632C63" w:rsidP="00017369">
      <w:pPr>
        <w:pStyle w:val="ListParagraph"/>
        <w:numPr>
          <w:ilvl w:val="0"/>
          <w:numId w:val="1"/>
        </w:numPr>
        <w:ind w:left="0" w:firstLine="360"/>
        <w:jc w:val="both"/>
        <w:rPr>
          <w:rFonts w:ascii="Cambria" w:eastAsia="Calibri" w:hAnsi="Cambria" w:cs="Times New Roman"/>
          <w:sz w:val="21"/>
          <w:szCs w:val="21"/>
          <w:lang w:val="es-ES_tradnl"/>
        </w:rPr>
      </w:pPr>
      <w:r w:rsidRPr="00EC0D7E">
        <w:rPr>
          <w:rFonts w:ascii="Cambria" w:eastAsia="Calibri" w:hAnsi="Cambria" w:cs="Times New Roman"/>
          <w:sz w:val="21"/>
          <w:szCs w:val="21"/>
          <w:lang w:val="es-ES_tradnl"/>
        </w:rPr>
        <w:t>Adicionalmente, el Estado señaló que el procedimient</w:t>
      </w:r>
      <w:r w:rsidR="00AB592D" w:rsidRPr="00EC0D7E">
        <w:rPr>
          <w:rFonts w:ascii="Cambria" w:eastAsia="Calibri" w:hAnsi="Cambria" w:cs="Times New Roman"/>
          <w:sz w:val="21"/>
          <w:szCs w:val="21"/>
          <w:lang w:val="es-ES_tradnl"/>
        </w:rPr>
        <w:t xml:space="preserve">o de reevaluación </w:t>
      </w:r>
      <w:r w:rsidRPr="00EC0D7E">
        <w:rPr>
          <w:rFonts w:ascii="Cambria" w:eastAsia="Calibri" w:hAnsi="Cambria" w:cs="Times New Roman"/>
          <w:sz w:val="21"/>
          <w:szCs w:val="21"/>
          <w:lang w:val="es-ES_tradnl"/>
        </w:rPr>
        <w:t>finaliz</w:t>
      </w:r>
      <w:r w:rsidR="00AB592D" w:rsidRPr="00EC0D7E">
        <w:rPr>
          <w:rFonts w:ascii="Cambria" w:eastAsia="Calibri" w:hAnsi="Cambria" w:cs="Times New Roman"/>
          <w:sz w:val="21"/>
          <w:szCs w:val="21"/>
          <w:lang w:val="es-ES_tradnl"/>
        </w:rPr>
        <w:t xml:space="preserve">ó el 5 de enero de 2018: “[c]on respecto a los reportes de nuevos hechos, que considera el señor Silva modifican su situación de riesgo, la UNP realizó nuevas verificaciones, observando que la situación de riesgo evidenciada en el mes de mayo fue evaluada teniendo en cuenta las mismas variables que suponen los nuevos hechos reportados a final del año 2017 […]. Es pertinente señalar que las fuertes medidas de protección […] fueron asignadas en el mes de mayo de 2017 […], lo cual no implica que cada nuevo hecho genere una asignación de medidas adicionales. No obstante lo anterior, los nuevos hechos efectivamente ameritaron un nuevo monitoreo de su situación de riesgo, lo que efectivamente se hizo como se explicó anteriormente”. </w:t>
      </w:r>
      <w:r w:rsidR="00087BB3" w:rsidRPr="00EC0D7E">
        <w:rPr>
          <w:rFonts w:ascii="Cambria" w:eastAsia="Calibri" w:hAnsi="Cambria" w:cs="Times New Roman"/>
          <w:sz w:val="21"/>
          <w:szCs w:val="21"/>
          <w:lang w:val="es-ES_tradnl"/>
        </w:rPr>
        <w:t xml:space="preserve">Por último, el Estado mencionó el precedente del caso “Yarce y otras vs. Colombia” de la Corte Interamericana de Derechos Humanos, aduciendo al principio de complementariedad del Sistema Interamericano. </w:t>
      </w:r>
    </w:p>
    <w:p w:rsidR="000B6171" w:rsidRPr="00EC0D7E" w:rsidRDefault="000B6171" w:rsidP="00A94D9B">
      <w:pPr>
        <w:jc w:val="both"/>
        <w:rPr>
          <w:rFonts w:ascii="Cambria" w:eastAsia="Calibri" w:hAnsi="Cambria"/>
          <w:sz w:val="21"/>
          <w:szCs w:val="21"/>
          <w:lang w:val="es-ES_tradnl"/>
        </w:rPr>
      </w:pPr>
    </w:p>
    <w:p w:rsidR="00D13ED9" w:rsidRPr="00EC0D7E" w:rsidRDefault="00D13ED9" w:rsidP="00A94D9B">
      <w:pPr>
        <w:pStyle w:val="ListParagraph"/>
        <w:numPr>
          <w:ilvl w:val="0"/>
          <w:numId w:val="2"/>
        </w:numPr>
        <w:ind w:left="0" w:firstLine="360"/>
        <w:jc w:val="both"/>
        <w:rPr>
          <w:rFonts w:ascii="Cambria" w:eastAsia="Calibri" w:hAnsi="Cambria"/>
          <w:b/>
          <w:sz w:val="21"/>
          <w:szCs w:val="21"/>
          <w:lang w:val="es-ES_tradnl"/>
        </w:rPr>
      </w:pPr>
      <w:r w:rsidRPr="00EC0D7E">
        <w:rPr>
          <w:rFonts w:ascii="Cambria" w:eastAsia="Calibri" w:hAnsi="Cambria"/>
          <w:b/>
          <w:sz w:val="21"/>
          <w:szCs w:val="21"/>
          <w:lang w:val="es-ES_tradnl"/>
        </w:rPr>
        <w:t>ÁNALISIS DE LOS ELEMENTOS DE GRAVEDAD, URGENCIA E IRREPARABILIDAD</w:t>
      </w:r>
    </w:p>
    <w:p w:rsidR="00D13ED9" w:rsidRPr="00EC0D7E" w:rsidRDefault="00D13ED9" w:rsidP="00A94D9B">
      <w:pPr>
        <w:jc w:val="both"/>
        <w:rPr>
          <w:rFonts w:ascii="Cambria" w:eastAsia="Calibri" w:hAnsi="Cambria"/>
          <w:sz w:val="21"/>
          <w:szCs w:val="21"/>
          <w:lang w:val="es-ES_tradnl"/>
        </w:rPr>
      </w:pPr>
    </w:p>
    <w:p w:rsidR="0052203A" w:rsidRPr="00EC0D7E" w:rsidRDefault="0052203A" w:rsidP="0052203A">
      <w:pPr>
        <w:pStyle w:val="ListParagraph"/>
        <w:numPr>
          <w:ilvl w:val="0"/>
          <w:numId w:val="1"/>
        </w:numPr>
        <w:ind w:left="0" w:firstLine="360"/>
        <w:jc w:val="both"/>
        <w:rPr>
          <w:rFonts w:ascii="Cambria" w:eastAsia="Calibri" w:hAnsi="Cambria" w:cs="Times New Roman"/>
          <w:sz w:val="21"/>
          <w:szCs w:val="21"/>
          <w:lang w:val="es-MX"/>
        </w:rPr>
      </w:pPr>
      <w:r w:rsidRPr="00EC0D7E">
        <w:rPr>
          <w:rFonts w:ascii="Cambria" w:eastAsia="Calibri" w:hAnsi="Cambria" w:cs="Times New Roman"/>
          <w:sz w:val="21"/>
          <w:szCs w:val="21"/>
          <w:lang w:val="es-MX"/>
        </w:rPr>
        <w:t xml:space="preserve">El mecanismo de medidas cautelares es parte de la función de la Comisión de supervisar el cumplimiento con las obligaciones de derechos humanos establecidas en el artículo 106 de la Carta de la Organización de Estados Americanos. Estas funciones generales de supervisión están </w:t>
      </w:r>
      <w:r w:rsidRPr="00EC0D7E">
        <w:rPr>
          <w:rFonts w:ascii="Cambria" w:eastAsia="Calibri" w:hAnsi="Cambria" w:cs="Times New Roman"/>
          <w:sz w:val="21"/>
          <w:szCs w:val="21"/>
          <w:lang w:val="es-ES_tradnl"/>
        </w:rPr>
        <w:t>establecidas</w:t>
      </w:r>
      <w:r w:rsidRPr="00EC0D7E">
        <w:rPr>
          <w:rFonts w:ascii="Cambria" w:eastAsia="Calibri" w:hAnsi="Cambria" w:cs="Times New Roman"/>
          <w:sz w:val="21"/>
          <w:szCs w:val="21"/>
          <w:lang w:val="es-MX"/>
        </w:rPr>
        <w:t xml:space="preserve"> en el artículo 41 (b) de la Convención Americana sobre Derechos Humanos, recogido también en el artículo 18 (b) del Estatuto de la CIDH y el </w:t>
      </w:r>
      <w:r w:rsidRPr="00EC0D7E">
        <w:rPr>
          <w:rFonts w:ascii="Cambria" w:eastAsia="Times New Roman" w:hAnsi="Cambria" w:cs="Times New Roman"/>
          <w:color w:val="000000"/>
          <w:sz w:val="21"/>
          <w:szCs w:val="21"/>
          <w:lang w:val="es-US"/>
        </w:rPr>
        <w:t>mecanismo</w:t>
      </w:r>
      <w:r w:rsidRPr="00EC0D7E">
        <w:rPr>
          <w:rFonts w:ascii="Cambria" w:eastAsia="Calibri" w:hAnsi="Cambria" w:cs="Times New Roman"/>
          <w:sz w:val="21"/>
          <w:szCs w:val="21"/>
          <w:lang w:val="es-MX"/>
        </w:rPr>
        <w:t xml:space="preserve"> de medidas cautelares es descrito en el artículo 25 del Reglamento de la Comisión. De conformidad con ese artículo, la Comisión otorga medidas cautelares en situaciones que son graves y urgentes, y en cuales tales medidas son necesarias para prevenir un daño irreparable a las personas. </w:t>
      </w:r>
    </w:p>
    <w:p w:rsidR="0052203A" w:rsidRPr="00EC0D7E" w:rsidRDefault="0052203A" w:rsidP="0052203A">
      <w:pPr>
        <w:jc w:val="both"/>
        <w:rPr>
          <w:rFonts w:ascii="Cambria" w:eastAsia="Calibri" w:hAnsi="Cambria" w:cs="Times New Roman"/>
          <w:sz w:val="21"/>
          <w:szCs w:val="21"/>
          <w:lang w:val="es-MX"/>
        </w:rPr>
      </w:pPr>
    </w:p>
    <w:p w:rsidR="0052203A" w:rsidRPr="00EC0D7E" w:rsidRDefault="0052203A" w:rsidP="0052203A">
      <w:pPr>
        <w:pStyle w:val="ListParagraph"/>
        <w:numPr>
          <w:ilvl w:val="0"/>
          <w:numId w:val="1"/>
        </w:numPr>
        <w:ind w:left="0" w:firstLine="360"/>
        <w:jc w:val="both"/>
        <w:rPr>
          <w:rFonts w:ascii="Cambria" w:eastAsia="Calibri" w:hAnsi="Cambria" w:cs="Times New Roman"/>
          <w:sz w:val="21"/>
          <w:szCs w:val="21"/>
          <w:lang w:val="es-MX"/>
        </w:rPr>
      </w:pPr>
      <w:r w:rsidRPr="00EC0D7E">
        <w:rPr>
          <w:rFonts w:ascii="Cambria" w:eastAsia="Calibri" w:hAnsi="Cambria" w:cs="Times New Roman"/>
          <w:sz w:val="21"/>
          <w:szCs w:val="21"/>
          <w:lang w:val="es-MX"/>
        </w:rPr>
        <w:t xml:space="preserve">La Comisión Interamericana y la Corte Interamericana de Derechos Humanos (en adelante “la Corte Interamericana” o “Corte IDH”) han establecido de manera reiterada que las medidas cautelares y provisionales tienen un doble carácter, uno cautelar y otro tutelar. Respecto del carácter tutelar, las medidas buscan evitar un daño irreparable y preservar el ejercicio de los derechos humanos. Con respecto al carácter cautelar, las medidas cautelares tienen como propósito preservar una situación jurídica mientras está siendo considerada por la CIDH. El carácter cautelar tiene por objeto y fin preservar los derechos en posible riesgo hasta tanto se resuelva la petición que se encuentra bajo conocimiento en el Sistema Interamericano. Su objeto y fin son los de asegurar la integridad y la efectividad de la decisión de fondo y, de esta manera, evitar que se lesionen los derechos alegados, </w:t>
      </w:r>
      <w:r w:rsidRPr="00EC0D7E">
        <w:rPr>
          <w:rFonts w:ascii="Cambria" w:eastAsia="Calibri" w:hAnsi="Cambria" w:cs="Times New Roman"/>
          <w:sz w:val="21"/>
          <w:szCs w:val="21"/>
          <w:lang w:val="es-MX"/>
        </w:rPr>
        <w:lastRenderedPageBreak/>
        <w:t>situación que podría hacer inocua o desvirtuar el efecto útil (</w:t>
      </w:r>
      <w:r w:rsidRPr="00EC0D7E">
        <w:rPr>
          <w:rFonts w:ascii="Cambria" w:eastAsia="Calibri" w:hAnsi="Cambria" w:cs="Times New Roman"/>
          <w:i/>
          <w:sz w:val="21"/>
          <w:szCs w:val="21"/>
          <w:lang w:val="es-MX"/>
        </w:rPr>
        <w:t>effet utile</w:t>
      </w:r>
      <w:r w:rsidRPr="00EC0D7E">
        <w:rPr>
          <w:rFonts w:ascii="Cambria" w:eastAsia="Calibri" w:hAnsi="Cambria" w:cs="Times New Roman"/>
          <w:sz w:val="21"/>
          <w:szCs w:val="21"/>
          <w:lang w:val="es-MX"/>
        </w:rPr>
        <w:t xml:space="preserve">) de la decisión final. En tal sentido, las medidas cautelares o provisionales permiten así que el Estado en cuestión pueda cumplir la decisión final y, de ser necesario, cumplir con las reparaciones ordenadas. Para los efectos de tomar una decisión, y de acuerdo con el artículo 25.2 de su Reglamento, la Comisión considera que: </w:t>
      </w:r>
    </w:p>
    <w:p w:rsidR="0052203A" w:rsidRPr="00EC0D7E" w:rsidRDefault="0052203A" w:rsidP="0052203A">
      <w:pPr>
        <w:ind w:left="360"/>
        <w:jc w:val="both"/>
        <w:rPr>
          <w:rFonts w:ascii="Cambria" w:eastAsia="Calibri" w:hAnsi="Cambria" w:cs="Times New Roman"/>
          <w:sz w:val="21"/>
          <w:szCs w:val="21"/>
          <w:lang w:val="es-MX"/>
        </w:rPr>
      </w:pPr>
    </w:p>
    <w:p w:rsidR="0052203A" w:rsidRPr="00EC0D7E" w:rsidRDefault="0052203A" w:rsidP="0052203A">
      <w:pPr>
        <w:numPr>
          <w:ilvl w:val="0"/>
          <w:numId w:val="8"/>
        </w:numPr>
        <w:ind w:right="713"/>
        <w:jc w:val="both"/>
        <w:rPr>
          <w:rFonts w:ascii="Cambria" w:eastAsia="Calibri" w:hAnsi="Cambria" w:cs="Times New Roman"/>
          <w:sz w:val="18"/>
          <w:szCs w:val="21"/>
          <w:lang w:val="es-MX"/>
        </w:rPr>
      </w:pPr>
      <w:r w:rsidRPr="00EC0D7E">
        <w:rPr>
          <w:rFonts w:ascii="Cambria" w:eastAsia="Calibri" w:hAnsi="Cambria" w:cs="Times New Roman"/>
          <w:sz w:val="18"/>
          <w:szCs w:val="21"/>
          <w:lang w:val="es-MX"/>
        </w:rPr>
        <w:t xml:space="preserve">La “gravedad de la situación” implica el serio impacto que una acción u omisión puede tener sobre un derecho protegido o sobre el efecto eventual de una decisión pendiente en un caso o petición ante los órganos del Sistema Interamericano; </w:t>
      </w:r>
    </w:p>
    <w:p w:rsidR="0052203A" w:rsidRPr="00EC0D7E" w:rsidRDefault="0052203A" w:rsidP="0052203A">
      <w:pPr>
        <w:ind w:right="713"/>
        <w:jc w:val="both"/>
        <w:rPr>
          <w:rFonts w:ascii="Cambria" w:eastAsia="Calibri" w:hAnsi="Cambria" w:cs="Times New Roman"/>
          <w:sz w:val="18"/>
          <w:szCs w:val="21"/>
          <w:lang w:val="es-MX"/>
        </w:rPr>
      </w:pPr>
    </w:p>
    <w:p w:rsidR="0052203A" w:rsidRPr="00EC0D7E" w:rsidRDefault="0052203A" w:rsidP="0052203A">
      <w:pPr>
        <w:numPr>
          <w:ilvl w:val="0"/>
          <w:numId w:val="8"/>
        </w:numPr>
        <w:ind w:right="713"/>
        <w:jc w:val="both"/>
        <w:rPr>
          <w:rFonts w:ascii="Cambria" w:eastAsia="Calibri" w:hAnsi="Cambria" w:cs="Times New Roman"/>
          <w:sz w:val="18"/>
          <w:szCs w:val="21"/>
          <w:lang w:val="es-MX"/>
        </w:rPr>
      </w:pPr>
      <w:r w:rsidRPr="00EC0D7E">
        <w:rPr>
          <w:rFonts w:ascii="Cambria" w:eastAsia="Calibri" w:hAnsi="Cambria" w:cs="Times New Roman"/>
          <w:sz w:val="18"/>
          <w:szCs w:val="21"/>
          <w:lang w:val="es-MX"/>
        </w:rPr>
        <w:t xml:space="preserve">La “urgencia de la situación” se determina por medio de la información aportada, indicando el riesgo o la amenaza que puedan ser inminentes y materializarse, requiriendo de esa manera una acción preventiva o tutelar; y </w:t>
      </w:r>
    </w:p>
    <w:p w:rsidR="0052203A" w:rsidRPr="00EC0D7E" w:rsidRDefault="0052203A" w:rsidP="0052203A">
      <w:pPr>
        <w:ind w:right="713"/>
        <w:jc w:val="both"/>
        <w:rPr>
          <w:rFonts w:ascii="Cambria" w:eastAsia="Calibri" w:hAnsi="Cambria" w:cs="Times New Roman"/>
          <w:sz w:val="18"/>
          <w:szCs w:val="21"/>
          <w:lang w:val="es-MX"/>
        </w:rPr>
      </w:pPr>
    </w:p>
    <w:p w:rsidR="0052203A" w:rsidRPr="00EC0D7E" w:rsidRDefault="0052203A" w:rsidP="0052203A">
      <w:pPr>
        <w:numPr>
          <w:ilvl w:val="0"/>
          <w:numId w:val="8"/>
        </w:numPr>
        <w:ind w:right="713"/>
        <w:jc w:val="both"/>
        <w:rPr>
          <w:rFonts w:ascii="Cambria" w:eastAsia="Calibri" w:hAnsi="Cambria" w:cs="Times New Roman"/>
          <w:sz w:val="18"/>
          <w:szCs w:val="21"/>
          <w:lang w:val="es-MX"/>
        </w:rPr>
      </w:pPr>
      <w:r w:rsidRPr="00EC0D7E">
        <w:rPr>
          <w:rFonts w:ascii="Cambria" w:eastAsia="Calibri" w:hAnsi="Cambria" w:cs="Times New Roman"/>
          <w:sz w:val="18"/>
          <w:szCs w:val="21"/>
          <w:lang w:val="es-MX"/>
        </w:rPr>
        <w:t>El “daño irreparable” consiste en la afectación sobre derechos que, por su propia naturaleza, no son susceptibles de reparación, restauración o adecuada indemnización.</w:t>
      </w:r>
    </w:p>
    <w:p w:rsidR="0052203A" w:rsidRPr="00EC0D7E" w:rsidRDefault="0052203A" w:rsidP="0052203A">
      <w:pPr>
        <w:jc w:val="both"/>
        <w:rPr>
          <w:rFonts w:ascii="Cambria" w:eastAsia="Calibri" w:hAnsi="Cambria" w:cs="Times New Roman"/>
          <w:sz w:val="21"/>
          <w:szCs w:val="21"/>
          <w:lang w:val="es-MX"/>
        </w:rPr>
      </w:pPr>
    </w:p>
    <w:p w:rsidR="0052203A" w:rsidRPr="00EC0D7E" w:rsidRDefault="0052203A" w:rsidP="0052203A">
      <w:pPr>
        <w:numPr>
          <w:ilvl w:val="0"/>
          <w:numId w:val="1"/>
        </w:numPr>
        <w:ind w:left="0" w:firstLine="360"/>
        <w:contextualSpacing/>
        <w:jc w:val="both"/>
        <w:rPr>
          <w:rFonts w:ascii="Cambria" w:eastAsia="Calibri" w:hAnsi="Cambria" w:cs="Times New Roman"/>
          <w:sz w:val="21"/>
          <w:szCs w:val="21"/>
          <w:lang w:val="es-ES_tradnl"/>
        </w:rPr>
      </w:pPr>
      <w:r w:rsidRPr="00EC0D7E">
        <w:rPr>
          <w:rFonts w:ascii="Cambria" w:eastAsia="Calibri" w:hAnsi="Cambria" w:cs="Times New Roman"/>
          <w:sz w:val="21"/>
          <w:szCs w:val="21"/>
          <w:lang w:val="es-MX"/>
        </w:rPr>
        <w:t xml:space="preserve">En el análisis de los mencionados requisitos, la Comisión reitera que los hechos que motivan una solicitud de medidas cautelares no requieren estar plenamente comprobados, sino que la información proporcionada debe ser apreciada desde una perspectiva </w:t>
      </w:r>
      <w:r w:rsidRPr="00EC0D7E">
        <w:rPr>
          <w:rFonts w:ascii="Cambria" w:eastAsia="Calibri" w:hAnsi="Cambria" w:cs="Times New Roman"/>
          <w:i/>
          <w:sz w:val="21"/>
          <w:szCs w:val="21"/>
          <w:lang w:val="es-MX"/>
        </w:rPr>
        <w:t>prima facie</w:t>
      </w:r>
      <w:r w:rsidRPr="00EC0D7E">
        <w:rPr>
          <w:rFonts w:ascii="Cambria" w:eastAsia="Calibri" w:hAnsi="Cambria" w:cs="Times New Roman"/>
          <w:sz w:val="21"/>
          <w:szCs w:val="21"/>
          <w:lang w:val="es-MX"/>
        </w:rPr>
        <w:t xml:space="preserve"> que permita identificar una situación de gravedad y urgencia</w:t>
      </w:r>
      <w:r w:rsidRPr="00EC0D7E">
        <w:rPr>
          <w:rFonts w:ascii="Cambria" w:eastAsia="Calibri" w:hAnsi="Cambria" w:cs="Times New Roman"/>
          <w:sz w:val="21"/>
          <w:szCs w:val="21"/>
          <w:vertAlign w:val="superscript"/>
        </w:rPr>
        <w:footnoteReference w:id="10"/>
      </w:r>
      <w:r w:rsidRPr="00EC0D7E">
        <w:rPr>
          <w:rFonts w:ascii="Cambria" w:eastAsia="Calibri" w:hAnsi="Cambria" w:cs="Times New Roman"/>
          <w:sz w:val="21"/>
          <w:szCs w:val="21"/>
          <w:lang w:val="es-MX"/>
        </w:rPr>
        <w:t>.</w:t>
      </w:r>
    </w:p>
    <w:p w:rsidR="0052203A" w:rsidRPr="00EC0D7E" w:rsidRDefault="0052203A" w:rsidP="00A94D9B">
      <w:pPr>
        <w:pStyle w:val="ListParagraph"/>
        <w:ind w:left="360"/>
        <w:jc w:val="both"/>
        <w:rPr>
          <w:rFonts w:ascii="Cambria" w:eastAsia="Calibri" w:hAnsi="Cambria"/>
          <w:sz w:val="21"/>
          <w:szCs w:val="21"/>
          <w:lang w:val="es-ES_tradnl"/>
        </w:rPr>
      </w:pPr>
    </w:p>
    <w:p w:rsidR="00E32B05" w:rsidRPr="00EC0D7E" w:rsidRDefault="00010DD1" w:rsidP="005F2A4A">
      <w:pPr>
        <w:pStyle w:val="ListParagraph"/>
        <w:numPr>
          <w:ilvl w:val="0"/>
          <w:numId w:val="1"/>
        </w:numPr>
        <w:ind w:left="0" w:firstLine="360"/>
        <w:jc w:val="both"/>
        <w:rPr>
          <w:rFonts w:ascii="Cambria" w:hAnsi="Cambria"/>
          <w:sz w:val="21"/>
          <w:szCs w:val="21"/>
          <w:lang w:val="es-MX"/>
        </w:rPr>
      </w:pPr>
      <w:r w:rsidRPr="00EC0D7E">
        <w:rPr>
          <w:rFonts w:ascii="Cambria" w:hAnsi="Cambria"/>
          <w:sz w:val="21"/>
          <w:szCs w:val="21"/>
          <w:lang w:val="es-MX"/>
        </w:rPr>
        <w:t xml:space="preserve">En relación con el requisito de gravedad, la Comisión </w:t>
      </w:r>
      <w:r w:rsidR="00E32B05" w:rsidRPr="00EC0D7E">
        <w:rPr>
          <w:rFonts w:ascii="Cambria" w:hAnsi="Cambria"/>
          <w:sz w:val="21"/>
          <w:szCs w:val="21"/>
          <w:lang w:val="es-MX"/>
        </w:rPr>
        <w:t xml:space="preserve">observa </w:t>
      </w:r>
      <w:r w:rsidR="005F2A4A" w:rsidRPr="00EC0D7E">
        <w:rPr>
          <w:rFonts w:ascii="Cambria" w:hAnsi="Cambria"/>
          <w:sz w:val="21"/>
          <w:szCs w:val="21"/>
          <w:lang w:val="es-MX"/>
        </w:rPr>
        <w:t>que la situación de riesgo del propuesto beneficiario estaría relacionada principalmente con las labores desempeñadas en su calidad de periodista y la continuidad de determinados procesos judiciales con cierta repercusión mediática</w:t>
      </w:r>
      <w:r w:rsidR="005F2A4A" w:rsidRPr="00EC0D7E">
        <w:rPr>
          <w:rStyle w:val="FootnoteReference"/>
          <w:rFonts w:ascii="Cambria" w:hAnsi="Cambria"/>
          <w:sz w:val="21"/>
          <w:szCs w:val="21"/>
          <w:lang w:val="es-MX"/>
        </w:rPr>
        <w:footnoteReference w:id="11"/>
      </w:r>
      <w:r w:rsidR="005F2A4A" w:rsidRPr="00EC0D7E">
        <w:rPr>
          <w:rFonts w:ascii="Cambria" w:hAnsi="Cambria"/>
          <w:sz w:val="21"/>
          <w:szCs w:val="21"/>
          <w:lang w:val="es-MX"/>
        </w:rPr>
        <w:t xml:space="preserve"> contra funcionarios y políticos de alto perfil. </w:t>
      </w:r>
      <w:r w:rsidR="00874432" w:rsidRPr="00EC0D7E">
        <w:rPr>
          <w:rFonts w:ascii="Cambria" w:hAnsi="Cambria"/>
          <w:sz w:val="21"/>
          <w:szCs w:val="21"/>
          <w:lang w:val="es-MX"/>
        </w:rPr>
        <w:t>E</w:t>
      </w:r>
      <w:r w:rsidR="005F2A4A" w:rsidRPr="00EC0D7E">
        <w:rPr>
          <w:rFonts w:ascii="Cambria" w:hAnsi="Cambria"/>
          <w:sz w:val="21"/>
          <w:szCs w:val="21"/>
          <w:lang w:val="es-MX"/>
        </w:rPr>
        <w:t xml:space="preserve">n uno de estos casos ya se </w:t>
      </w:r>
      <w:r w:rsidR="00874432" w:rsidRPr="00EC0D7E">
        <w:rPr>
          <w:rFonts w:ascii="Cambria" w:hAnsi="Cambria"/>
          <w:sz w:val="21"/>
          <w:szCs w:val="21"/>
          <w:lang w:val="es-MX"/>
        </w:rPr>
        <w:t xml:space="preserve">habría emitido </w:t>
      </w:r>
      <w:r w:rsidR="005F2A4A" w:rsidRPr="00EC0D7E">
        <w:rPr>
          <w:rFonts w:ascii="Cambria" w:hAnsi="Cambria"/>
          <w:sz w:val="21"/>
          <w:szCs w:val="21"/>
          <w:lang w:val="es-MX"/>
        </w:rPr>
        <w:t xml:space="preserve">una sentencia condenatoria en primera instancia, mientras que otros todavía seguirían en curso, multiplicándose así los factores de riesgo a los cuales se expondría el propuesto beneficiario. En relación con este punto, la Comisión toma en cuenta que </w:t>
      </w:r>
      <w:r w:rsidR="00E32B05" w:rsidRPr="00EC0D7E">
        <w:rPr>
          <w:rFonts w:ascii="Cambria" w:hAnsi="Cambria"/>
          <w:sz w:val="21"/>
          <w:szCs w:val="21"/>
          <w:lang w:val="es-MX"/>
        </w:rPr>
        <w:t>la situación de periodistas y defensores de derechos humanos ha sido puest</w:t>
      </w:r>
      <w:r w:rsidR="00481518" w:rsidRPr="00EC0D7E">
        <w:rPr>
          <w:rFonts w:ascii="Cambria" w:hAnsi="Cambria"/>
          <w:sz w:val="21"/>
          <w:szCs w:val="21"/>
          <w:lang w:val="es-MX"/>
        </w:rPr>
        <w:t>a</w:t>
      </w:r>
      <w:r w:rsidR="00E32B05" w:rsidRPr="00EC0D7E">
        <w:rPr>
          <w:rFonts w:ascii="Cambria" w:hAnsi="Cambria"/>
          <w:sz w:val="21"/>
          <w:szCs w:val="21"/>
          <w:lang w:val="es-MX"/>
        </w:rPr>
        <w:t xml:space="preserve"> en evidencia en el </w:t>
      </w:r>
      <w:r w:rsidR="00034C07" w:rsidRPr="00EC0D7E">
        <w:rPr>
          <w:rFonts w:ascii="Cambria" w:hAnsi="Cambria"/>
          <w:sz w:val="21"/>
          <w:szCs w:val="21"/>
          <w:lang w:val="es-MX"/>
        </w:rPr>
        <w:t>marco de su informe anual 2017. S</w:t>
      </w:r>
      <w:r w:rsidR="00E32B05" w:rsidRPr="00EC0D7E">
        <w:rPr>
          <w:rFonts w:ascii="Cambria" w:hAnsi="Cambria"/>
          <w:sz w:val="21"/>
          <w:szCs w:val="21"/>
          <w:lang w:val="es-MX"/>
        </w:rPr>
        <w:t>egún información obtenida por la Relatoría Especial para la Libertad de Expresión</w:t>
      </w:r>
      <w:r w:rsidR="00A82D08" w:rsidRPr="00EC0D7E">
        <w:rPr>
          <w:rFonts w:ascii="Cambria" w:hAnsi="Cambria"/>
          <w:sz w:val="21"/>
          <w:szCs w:val="21"/>
          <w:lang w:val="es-MX"/>
        </w:rPr>
        <w:t xml:space="preserve"> de la CIDH</w:t>
      </w:r>
      <w:r w:rsidR="00E32B05" w:rsidRPr="00EC0D7E">
        <w:rPr>
          <w:rFonts w:ascii="Cambria" w:hAnsi="Cambria"/>
          <w:sz w:val="21"/>
          <w:szCs w:val="21"/>
          <w:lang w:val="es-MX"/>
        </w:rPr>
        <w:t>, se ha detectado un preocupante incremento de los actos de violencia registrados durante el año anterior</w:t>
      </w:r>
      <w:r w:rsidR="00481518" w:rsidRPr="00EC0D7E">
        <w:rPr>
          <w:rStyle w:val="FootnoteReference"/>
          <w:rFonts w:ascii="Cambria" w:hAnsi="Cambria"/>
          <w:sz w:val="21"/>
          <w:szCs w:val="21"/>
          <w:lang w:val="es-MX"/>
        </w:rPr>
        <w:footnoteReference w:id="12"/>
      </w:r>
      <w:r w:rsidR="00034C07" w:rsidRPr="00EC0D7E">
        <w:rPr>
          <w:rFonts w:ascii="Cambria" w:hAnsi="Cambria"/>
          <w:sz w:val="21"/>
          <w:szCs w:val="21"/>
          <w:lang w:val="es-MX"/>
        </w:rPr>
        <w:t xml:space="preserve"> – resaltándose por ejemplo</w:t>
      </w:r>
      <w:r w:rsidR="00E32B05" w:rsidRPr="00EC0D7E">
        <w:rPr>
          <w:rFonts w:ascii="Cambria" w:hAnsi="Cambria"/>
          <w:sz w:val="21"/>
          <w:szCs w:val="21"/>
          <w:lang w:val="es-MX"/>
        </w:rPr>
        <w:t xml:space="preserve"> </w:t>
      </w:r>
      <w:r w:rsidR="00481518" w:rsidRPr="00EC0D7E">
        <w:rPr>
          <w:rFonts w:ascii="Cambria" w:hAnsi="Cambria"/>
          <w:sz w:val="21"/>
          <w:szCs w:val="21"/>
          <w:lang w:val="es-MX"/>
        </w:rPr>
        <w:t>el presunto asesinato de un reportero gráfico en agosto de 2017 y de una periodista radial en octubre de 2017</w:t>
      </w:r>
      <w:r w:rsidR="00E649F2" w:rsidRPr="00EC0D7E">
        <w:rPr>
          <w:rStyle w:val="FootnoteReference"/>
          <w:rFonts w:ascii="Cambria" w:hAnsi="Cambria"/>
          <w:sz w:val="21"/>
          <w:szCs w:val="21"/>
          <w:lang w:val="es-MX"/>
        </w:rPr>
        <w:footnoteReference w:id="13"/>
      </w:r>
      <w:r w:rsidR="00034C07" w:rsidRPr="00EC0D7E">
        <w:rPr>
          <w:rFonts w:ascii="Cambria" w:hAnsi="Cambria"/>
          <w:sz w:val="21"/>
          <w:szCs w:val="21"/>
          <w:lang w:val="es-MX"/>
        </w:rPr>
        <w:t>, – en</w:t>
      </w:r>
      <w:r w:rsidR="00505B13" w:rsidRPr="00EC0D7E">
        <w:rPr>
          <w:rFonts w:ascii="Cambria" w:hAnsi="Cambria"/>
          <w:sz w:val="21"/>
          <w:szCs w:val="21"/>
          <w:lang w:val="es-MX"/>
        </w:rPr>
        <w:t xml:space="preserve"> un contexto de graves ataques con arma de fuego, amenazas e intimidaciones contra periodistas y otros trabajadores de medios de comunicación</w:t>
      </w:r>
      <w:r w:rsidR="00505B13" w:rsidRPr="00EC0D7E">
        <w:rPr>
          <w:rStyle w:val="FootnoteReference"/>
          <w:rFonts w:ascii="Cambria" w:hAnsi="Cambria"/>
          <w:sz w:val="21"/>
          <w:szCs w:val="21"/>
          <w:lang w:val="es-MX"/>
        </w:rPr>
        <w:footnoteReference w:id="14"/>
      </w:r>
      <w:r w:rsidR="00505B13" w:rsidRPr="00EC0D7E">
        <w:rPr>
          <w:rFonts w:ascii="Cambria" w:hAnsi="Cambria"/>
          <w:sz w:val="21"/>
          <w:szCs w:val="21"/>
          <w:lang w:val="es-MX"/>
        </w:rPr>
        <w:t xml:space="preserve">. </w:t>
      </w:r>
    </w:p>
    <w:p w:rsidR="0055042C" w:rsidRPr="00EC0D7E" w:rsidRDefault="0055042C" w:rsidP="0055042C">
      <w:pPr>
        <w:pStyle w:val="ListParagraph"/>
        <w:ind w:left="360"/>
        <w:jc w:val="both"/>
        <w:rPr>
          <w:rFonts w:ascii="Cambria" w:hAnsi="Cambria"/>
          <w:sz w:val="21"/>
          <w:szCs w:val="21"/>
          <w:lang w:val="es-MX"/>
        </w:rPr>
      </w:pPr>
    </w:p>
    <w:p w:rsidR="00CF5A0D" w:rsidRPr="00EC0D7E" w:rsidRDefault="00243F9B" w:rsidP="00CF5A0D">
      <w:pPr>
        <w:pStyle w:val="ListParagraph"/>
        <w:numPr>
          <w:ilvl w:val="0"/>
          <w:numId w:val="1"/>
        </w:numPr>
        <w:ind w:left="0" w:firstLine="360"/>
        <w:jc w:val="both"/>
        <w:rPr>
          <w:rFonts w:ascii="Cambria" w:hAnsi="Cambria"/>
          <w:sz w:val="21"/>
          <w:szCs w:val="21"/>
          <w:lang w:val="es-MX"/>
        </w:rPr>
      </w:pPr>
      <w:r w:rsidRPr="00EC0D7E">
        <w:rPr>
          <w:rFonts w:ascii="Cambria" w:hAnsi="Cambria"/>
          <w:sz w:val="21"/>
          <w:szCs w:val="21"/>
          <w:lang w:val="es-MX"/>
        </w:rPr>
        <w:t xml:space="preserve">En </w:t>
      </w:r>
      <w:r w:rsidR="008E6B7C" w:rsidRPr="00EC0D7E">
        <w:rPr>
          <w:rFonts w:ascii="Cambria" w:hAnsi="Cambria"/>
          <w:sz w:val="21"/>
          <w:szCs w:val="21"/>
          <w:lang w:val="es-MX"/>
        </w:rPr>
        <w:t>relación con los eventos de riesgo narrados</w:t>
      </w:r>
      <w:r w:rsidRPr="00EC0D7E">
        <w:rPr>
          <w:rFonts w:ascii="Cambria" w:hAnsi="Cambria"/>
          <w:sz w:val="21"/>
          <w:szCs w:val="21"/>
          <w:lang w:val="es-MX"/>
        </w:rPr>
        <w:t xml:space="preserve">, la Comisión nota que </w:t>
      </w:r>
      <w:r w:rsidR="00CF5A0D" w:rsidRPr="00EC0D7E">
        <w:rPr>
          <w:rFonts w:ascii="Cambria" w:hAnsi="Cambria"/>
          <w:sz w:val="21"/>
          <w:szCs w:val="21"/>
          <w:lang w:val="es-MX"/>
        </w:rPr>
        <w:t xml:space="preserve">el propuesto beneficiario habría sido objeto de amenazas y amedrentamientos que no habrían disminuido a lo largo de estos </w:t>
      </w:r>
      <w:r w:rsidR="00CF5A0D" w:rsidRPr="00EC0D7E">
        <w:rPr>
          <w:rFonts w:ascii="Cambria" w:hAnsi="Cambria"/>
          <w:sz w:val="21"/>
          <w:szCs w:val="21"/>
          <w:lang w:val="es-MX"/>
        </w:rPr>
        <w:lastRenderedPageBreak/>
        <w:t xml:space="preserve">últimos meses, sino que se habrían mantenido y repetido de forma constante, recrudeciendo recientemente hasta el punto de que el propuesto beneficiario </w:t>
      </w:r>
      <w:r w:rsidR="008E6B7C" w:rsidRPr="00EC0D7E">
        <w:rPr>
          <w:rFonts w:ascii="Cambria" w:hAnsi="Cambria"/>
          <w:sz w:val="21"/>
          <w:szCs w:val="21"/>
          <w:lang w:val="es-MX"/>
        </w:rPr>
        <w:t xml:space="preserve">presuntamente recibió </w:t>
      </w:r>
      <w:r w:rsidR="00CF5A0D" w:rsidRPr="00EC0D7E">
        <w:rPr>
          <w:rFonts w:ascii="Cambria" w:hAnsi="Cambria"/>
          <w:sz w:val="21"/>
          <w:szCs w:val="21"/>
          <w:lang w:val="es-MX"/>
        </w:rPr>
        <w:t>un mensaje amenazante bajo la forma de un ultimátum. En</w:t>
      </w:r>
      <w:r w:rsidR="008E6B7C" w:rsidRPr="00EC0D7E">
        <w:rPr>
          <w:rFonts w:ascii="Cambria" w:hAnsi="Cambria"/>
          <w:sz w:val="21"/>
          <w:szCs w:val="21"/>
          <w:lang w:val="es-MX"/>
        </w:rPr>
        <w:t>tre</w:t>
      </w:r>
      <w:r w:rsidR="00CF5A0D" w:rsidRPr="00EC0D7E">
        <w:rPr>
          <w:rFonts w:ascii="Cambria" w:hAnsi="Cambria"/>
          <w:sz w:val="21"/>
          <w:szCs w:val="21"/>
          <w:lang w:val="es-MX"/>
        </w:rPr>
        <w:t xml:space="preserve"> tales amenazas</w:t>
      </w:r>
      <w:r w:rsidR="008E6B7C" w:rsidRPr="00EC0D7E">
        <w:rPr>
          <w:rFonts w:ascii="Cambria" w:hAnsi="Cambria"/>
          <w:sz w:val="21"/>
          <w:szCs w:val="21"/>
          <w:lang w:val="es-MX"/>
        </w:rPr>
        <w:t xml:space="preserve">, </w:t>
      </w:r>
      <w:r w:rsidR="00CF5A0D" w:rsidRPr="00EC0D7E">
        <w:rPr>
          <w:rFonts w:ascii="Cambria" w:hAnsi="Cambria"/>
          <w:sz w:val="21"/>
          <w:szCs w:val="21"/>
          <w:lang w:val="es-MX"/>
        </w:rPr>
        <w:t>se habría hecho mención explícita a la posibilidad de una desaparición hasta en dos oportunidades y su desmembramiento (</w:t>
      </w:r>
      <w:r w:rsidR="00CF5A0D" w:rsidRPr="00EC0D7E">
        <w:rPr>
          <w:rFonts w:ascii="Cambria" w:hAnsi="Cambria"/>
          <w:i/>
          <w:sz w:val="21"/>
          <w:szCs w:val="21"/>
          <w:lang w:val="es-MX"/>
        </w:rPr>
        <w:t>vid</w:t>
      </w:r>
      <w:r w:rsidR="00CF5A0D" w:rsidRPr="00EC0D7E">
        <w:rPr>
          <w:rFonts w:ascii="Cambria" w:hAnsi="Cambria"/>
          <w:sz w:val="21"/>
          <w:szCs w:val="21"/>
          <w:lang w:val="es-MX"/>
        </w:rPr>
        <w:t xml:space="preserve">. </w:t>
      </w:r>
      <w:r w:rsidR="00CF5A0D" w:rsidRPr="00EC0D7E">
        <w:rPr>
          <w:rFonts w:ascii="Cambria" w:hAnsi="Cambria"/>
          <w:i/>
          <w:sz w:val="21"/>
          <w:szCs w:val="21"/>
          <w:lang w:val="es-MX"/>
        </w:rPr>
        <w:t>supra</w:t>
      </w:r>
      <w:r w:rsidR="0079012A">
        <w:rPr>
          <w:rFonts w:ascii="Cambria" w:hAnsi="Cambria"/>
          <w:sz w:val="21"/>
          <w:szCs w:val="21"/>
          <w:lang w:val="es-MX"/>
        </w:rPr>
        <w:t xml:space="preserve"> para. 5</w:t>
      </w:r>
      <w:r w:rsidR="00CF5A0D" w:rsidRPr="00EC0D7E">
        <w:rPr>
          <w:rFonts w:ascii="Cambria" w:hAnsi="Cambria"/>
          <w:sz w:val="21"/>
          <w:szCs w:val="21"/>
          <w:lang w:val="es-MX"/>
        </w:rPr>
        <w:t xml:space="preserve"> y </w:t>
      </w:r>
      <w:r w:rsidR="0079012A">
        <w:rPr>
          <w:rFonts w:ascii="Cambria" w:hAnsi="Cambria"/>
          <w:sz w:val="21"/>
          <w:szCs w:val="21"/>
          <w:lang w:val="es-MX"/>
        </w:rPr>
        <w:t>7</w:t>
      </w:r>
      <w:r w:rsidR="00CF5A0D" w:rsidRPr="00EC0D7E">
        <w:rPr>
          <w:rFonts w:ascii="Cambria" w:hAnsi="Cambria"/>
          <w:sz w:val="21"/>
          <w:szCs w:val="21"/>
          <w:lang w:val="es-MX"/>
        </w:rPr>
        <w:t>)</w:t>
      </w:r>
      <w:r w:rsidR="008E6B7C" w:rsidRPr="00EC0D7E">
        <w:rPr>
          <w:rFonts w:ascii="Cambria" w:hAnsi="Cambria"/>
          <w:sz w:val="21"/>
          <w:szCs w:val="21"/>
          <w:lang w:val="es-MX"/>
        </w:rPr>
        <w:t>. De la información aportada por el solicitante, la Comisión observa que se desprende también que los presuntos agresores tendrían conocimiento del domicilio y lugar del trabajo</w:t>
      </w:r>
      <w:r w:rsidR="007421DD" w:rsidRPr="00EC0D7E">
        <w:rPr>
          <w:rFonts w:ascii="Cambria" w:hAnsi="Cambria"/>
          <w:sz w:val="21"/>
          <w:szCs w:val="21"/>
          <w:lang w:val="es-MX"/>
        </w:rPr>
        <w:t xml:space="preserve">, sumándose lo anterior a </w:t>
      </w:r>
      <w:r w:rsidR="00CF5A0D" w:rsidRPr="00EC0D7E">
        <w:rPr>
          <w:rFonts w:ascii="Cambria" w:hAnsi="Cambria"/>
          <w:sz w:val="21"/>
          <w:szCs w:val="21"/>
          <w:lang w:val="es-MX"/>
        </w:rPr>
        <w:t xml:space="preserve">una serie de presuntos seguimientos y hostigamientos que habrían ocurrido durante estos últimos meses. </w:t>
      </w:r>
    </w:p>
    <w:p w:rsidR="00CF5A0D" w:rsidRPr="00EC0D7E" w:rsidRDefault="00CF5A0D" w:rsidP="00CF5A0D">
      <w:pPr>
        <w:pStyle w:val="ListParagraph"/>
        <w:rPr>
          <w:rFonts w:ascii="Cambria" w:hAnsi="Cambria"/>
          <w:sz w:val="21"/>
          <w:szCs w:val="21"/>
          <w:lang w:val="es-MX"/>
        </w:rPr>
      </w:pPr>
    </w:p>
    <w:p w:rsidR="00243F9B" w:rsidRPr="00EC0D7E" w:rsidRDefault="00CF5A0D" w:rsidP="00243F9B">
      <w:pPr>
        <w:pStyle w:val="ListParagraph"/>
        <w:numPr>
          <w:ilvl w:val="0"/>
          <w:numId w:val="1"/>
        </w:numPr>
        <w:ind w:left="0" w:firstLine="360"/>
        <w:jc w:val="both"/>
        <w:rPr>
          <w:rFonts w:ascii="Cambria" w:hAnsi="Cambria"/>
          <w:sz w:val="21"/>
          <w:szCs w:val="21"/>
          <w:lang w:val="es-MX"/>
        </w:rPr>
      </w:pPr>
      <w:r w:rsidRPr="00EC0D7E">
        <w:rPr>
          <w:rFonts w:ascii="Cambria" w:hAnsi="Cambria"/>
          <w:sz w:val="21"/>
          <w:szCs w:val="21"/>
          <w:lang w:val="es-MX"/>
        </w:rPr>
        <w:t xml:space="preserve"> </w:t>
      </w:r>
      <w:r w:rsidR="00243F9B" w:rsidRPr="00EC0D7E">
        <w:rPr>
          <w:rFonts w:ascii="Cambria" w:hAnsi="Cambria"/>
          <w:sz w:val="21"/>
          <w:szCs w:val="21"/>
          <w:lang w:val="es-MX"/>
        </w:rPr>
        <w:t>S</w:t>
      </w:r>
      <w:r w:rsidRPr="00EC0D7E">
        <w:rPr>
          <w:rFonts w:ascii="Cambria" w:hAnsi="Cambria"/>
          <w:sz w:val="21"/>
          <w:szCs w:val="21"/>
          <w:lang w:val="es-MX"/>
        </w:rPr>
        <w:t xml:space="preserve">egún el Estado, las autoridades competentes efectuaron una valoración de su situación de riesgo en enero de 2018, determinando que las medidas </w:t>
      </w:r>
      <w:r w:rsidR="00243F9B" w:rsidRPr="00EC0D7E">
        <w:rPr>
          <w:rFonts w:ascii="Cambria" w:hAnsi="Cambria"/>
          <w:sz w:val="21"/>
          <w:szCs w:val="21"/>
          <w:lang w:val="es-MX"/>
        </w:rPr>
        <w:t xml:space="preserve">con que cuenta </w:t>
      </w:r>
      <w:r w:rsidR="00931274" w:rsidRPr="00EC0D7E">
        <w:rPr>
          <w:rFonts w:ascii="Cambria" w:hAnsi="Cambria"/>
          <w:sz w:val="21"/>
          <w:szCs w:val="21"/>
          <w:lang w:val="es-MX"/>
        </w:rPr>
        <w:t xml:space="preserve">actualmente </w:t>
      </w:r>
      <w:r w:rsidR="00243F9B" w:rsidRPr="00EC0D7E">
        <w:rPr>
          <w:rFonts w:ascii="Cambria" w:hAnsi="Cambria"/>
          <w:sz w:val="21"/>
          <w:szCs w:val="21"/>
          <w:lang w:val="es-MX"/>
        </w:rPr>
        <w:t>para su protección</w:t>
      </w:r>
      <w:r w:rsidR="00931274" w:rsidRPr="00EC0D7E">
        <w:rPr>
          <w:rFonts w:ascii="Cambria" w:hAnsi="Cambria"/>
          <w:sz w:val="21"/>
          <w:szCs w:val="21"/>
          <w:lang w:val="es-MX"/>
        </w:rPr>
        <w:t xml:space="preserve"> (</w:t>
      </w:r>
      <w:r w:rsidR="00931274" w:rsidRPr="00EC0D7E">
        <w:rPr>
          <w:rFonts w:ascii="Cambria" w:hAnsi="Cambria"/>
          <w:i/>
          <w:sz w:val="21"/>
          <w:szCs w:val="21"/>
          <w:lang w:val="es-MX"/>
        </w:rPr>
        <w:t>vid</w:t>
      </w:r>
      <w:r w:rsidR="00931274" w:rsidRPr="00EC0D7E">
        <w:rPr>
          <w:rFonts w:ascii="Cambria" w:hAnsi="Cambria"/>
          <w:sz w:val="21"/>
          <w:szCs w:val="21"/>
          <w:lang w:val="es-MX"/>
        </w:rPr>
        <w:t xml:space="preserve">. </w:t>
      </w:r>
      <w:r w:rsidR="00931274" w:rsidRPr="00EC0D7E">
        <w:rPr>
          <w:rFonts w:ascii="Cambria" w:hAnsi="Cambria"/>
          <w:i/>
          <w:sz w:val="21"/>
          <w:szCs w:val="21"/>
          <w:lang w:val="es-MX"/>
        </w:rPr>
        <w:t>supra</w:t>
      </w:r>
      <w:r w:rsidR="00931274" w:rsidRPr="00EC0D7E">
        <w:rPr>
          <w:rFonts w:ascii="Cambria" w:hAnsi="Cambria"/>
          <w:sz w:val="21"/>
          <w:szCs w:val="21"/>
          <w:lang w:val="es-MX"/>
        </w:rPr>
        <w:t xml:space="preserve"> para. 9)</w:t>
      </w:r>
      <w:r w:rsidR="00243F9B" w:rsidRPr="00EC0D7E">
        <w:rPr>
          <w:rFonts w:ascii="Cambria" w:hAnsi="Cambria"/>
          <w:sz w:val="21"/>
          <w:szCs w:val="21"/>
          <w:lang w:val="es-MX"/>
        </w:rPr>
        <w:t xml:space="preserve"> serían </w:t>
      </w:r>
      <w:r w:rsidRPr="00EC0D7E">
        <w:rPr>
          <w:rFonts w:ascii="Cambria" w:hAnsi="Cambria"/>
          <w:sz w:val="21"/>
          <w:szCs w:val="21"/>
          <w:lang w:val="es-MX"/>
        </w:rPr>
        <w:t xml:space="preserve">eficaces e idóneas, bajo el argumento que los incidentes reportados a finales del año 2017 responderían a las mismas variables que en su día justificaron el esquema del propuesto beneficiario. Sin perjuicio de lo anterior, la Comisión nota </w:t>
      </w:r>
      <w:r w:rsidR="00243F9B" w:rsidRPr="00EC0D7E">
        <w:rPr>
          <w:rFonts w:ascii="Cambria" w:hAnsi="Cambria"/>
          <w:sz w:val="21"/>
          <w:szCs w:val="21"/>
          <w:lang w:val="es-MX"/>
        </w:rPr>
        <w:t xml:space="preserve">que pese a la implementación del mencionado esquema </w:t>
      </w:r>
      <w:r w:rsidR="00662D4F" w:rsidRPr="00EC0D7E">
        <w:rPr>
          <w:rFonts w:ascii="Cambria" w:hAnsi="Cambria"/>
          <w:sz w:val="21"/>
          <w:szCs w:val="21"/>
          <w:lang w:val="es-MX"/>
        </w:rPr>
        <w:t xml:space="preserve">y la revaloración que se habría realizado, </w:t>
      </w:r>
      <w:r w:rsidR="00243F9B" w:rsidRPr="00EC0D7E">
        <w:rPr>
          <w:rFonts w:ascii="Cambria" w:hAnsi="Cambria"/>
          <w:sz w:val="21"/>
          <w:szCs w:val="21"/>
          <w:lang w:val="es-MX"/>
        </w:rPr>
        <w:t xml:space="preserve">se habrían presentado nuevos </w:t>
      </w:r>
      <w:r w:rsidRPr="00EC0D7E">
        <w:rPr>
          <w:rFonts w:ascii="Cambria" w:hAnsi="Cambria"/>
          <w:sz w:val="21"/>
          <w:szCs w:val="21"/>
          <w:lang w:val="es-MX"/>
        </w:rPr>
        <w:t xml:space="preserve">incidentes de riesgo, el último en marzo de 2018. </w:t>
      </w:r>
      <w:r w:rsidR="00243F9B" w:rsidRPr="00EC0D7E">
        <w:rPr>
          <w:rFonts w:ascii="Cambria" w:hAnsi="Cambria"/>
          <w:sz w:val="21"/>
          <w:szCs w:val="21"/>
          <w:lang w:val="es-MX"/>
        </w:rPr>
        <w:t xml:space="preserve">Asimismo, la Comisión observa que el Estado no </w:t>
      </w:r>
      <w:r w:rsidR="00931274" w:rsidRPr="00EC0D7E">
        <w:rPr>
          <w:rFonts w:ascii="Cambria" w:hAnsi="Cambria"/>
          <w:sz w:val="21"/>
          <w:szCs w:val="21"/>
          <w:lang w:val="es-MX"/>
        </w:rPr>
        <w:t>presentó el</w:t>
      </w:r>
      <w:r w:rsidR="007421DD" w:rsidRPr="00EC0D7E">
        <w:rPr>
          <w:rFonts w:ascii="Cambria" w:hAnsi="Cambria"/>
          <w:sz w:val="21"/>
          <w:szCs w:val="21"/>
          <w:lang w:val="es-MX"/>
        </w:rPr>
        <w:t xml:space="preserve"> estudio de riesgo ni</w:t>
      </w:r>
      <w:r w:rsidR="00931274" w:rsidRPr="00EC0D7E">
        <w:rPr>
          <w:rFonts w:ascii="Cambria" w:hAnsi="Cambria"/>
          <w:sz w:val="21"/>
          <w:szCs w:val="21"/>
          <w:lang w:val="es-MX"/>
        </w:rPr>
        <w:t xml:space="preserve"> </w:t>
      </w:r>
      <w:r w:rsidR="00243F9B" w:rsidRPr="00EC0D7E">
        <w:rPr>
          <w:rFonts w:ascii="Cambria" w:hAnsi="Cambria"/>
          <w:sz w:val="21"/>
          <w:szCs w:val="21"/>
          <w:lang w:val="es-MX"/>
        </w:rPr>
        <w:t xml:space="preserve">argumentó cómo se llegó a </w:t>
      </w:r>
      <w:r w:rsidR="00931274" w:rsidRPr="00EC0D7E">
        <w:rPr>
          <w:rFonts w:ascii="Cambria" w:hAnsi="Cambria"/>
          <w:sz w:val="21"/>
          <w:szCs w:val="21"/>
          <w:lang w:val="es-MX"/>
        </w:rPr>
        <w:t xml:space="preserve">la </w:t>
      </w:r>
      <w:r w:rsidR="00243F9B" w:rsidRPr="00EC0D7E">
        <w:rPr>
          <w:rFonts w:ascii="Cambria" w:hAnsi="Cambria"/>
          <w:sz w:val="21"/>
          <w:szCs w:val="21"/>
          <w:lang w:val="es-MX"/>
        </w:rPr>
        <w:t xml:space="preserve">determinación </w:t>
      </w:r>
      <w:r w:rsidR="00931274" w:rsidRPr="00EC0D7E">
        <w:rPr>
          <w:rFonts w:ascii="Cambria" w:hAnsi="Cambria"/>
          <w:sz w:val="21"/>
          <w:szCs w:val="21"/>
          <w:lang w:val="es-MX"/>
        </w:rPr>
        <w:t xml:space="preserve">de efectividad o idoneidad del esquema de protección </w:t>
      </w:r>
      <w:r w:rsidR="00243F9B" w:rsidRPr="00EC0D7E">
        <w:rPr>
          <w:rFonts w:ascii="Cambria" w:hAnsi="Cambria"/>
          <w:sz w:val="21"/>
          <w:szCs w:val="21"/>
          <w:lang w:val="es-MX"/>
        </w:rPr>
        <w:t>en la actualidad.</w:t>
      </w:r>
    </w:p>
    <w:p w:rsidR="00243F9B" w:rsidRPr="00EC0D7E" w:rsidRDefault="00243F9B" w:rsidP="00243F9B">
      <w:pPr>
        <w:pStyle w:val="ListParagraph"/>
        <w:ind w:left="360"/>
        <w:jc w:val="both"/>
        <w:rPr>
          <w:rFonts w:ascii="Cambria" w:hAnsi="Cambria"/>
          <w:sz w:val="21"/>
          <w:szCs w:val="21"/>
          <w:lang w:val="es-MX"/>
        </w:rPr>
      </w:pPr>
    </w:p>
    <w:p w:rsidR="002D3F1E" w:rsidRPr="00EC0D7E" w:rsidRDefault="00931274" w:rsidP="006C09B9">
      <w:pPr>
        <w:pStyle w:val="ListParagraph"/>
        <w:numPr>
          <w:ilvl w:val="0"/>
          <w:numId w:val="1"/>
        </w:numPr>
        <w:ind w:left="0" w:firstLine="360"/>
        <w:jc w:val="both"/>
        <w:rPr>
          <w:rFonts w:ascii="Cambria" w:hAnsi="Cambria"/>
          <w:sz w:val="21"/>
          <w:szCs w:val="21"/>
          <w:lang w:val="es-MX"/>
        </w:rPr>
      </w:pPr>
      <w:r w:rsidRPr="00EC0D7E">
        <w:rPr>
          <w:rFonts w:ascii="Cambria" w:hAnsi="Cambria"/>
          <w:sz w:val="21"/>
          <w:szCs w:val="21"/>
          <w:lang w:val="es-MX"/>
        </w:rPr>
        <w:t>En relación con este aspecto</w:t>
      </w:r>
      <w:r w:rsidR="00243F9B" w:rsidRPr="00EC0D7E">
        <w:rPr>
          <w:rFonts w:ascii="Cambria" w:hAnsi="Cambria"/>
          <w:sz w:val="21"/>
          <w:szCs w:val="21"/>
          <w:lang w:val="es-MX"/>
        </w:rPr>
        <w:t>, l</w:t>
      </w:r>
      <w:r w:rsidR="00CF5A0D" w:rsidRPr="00EC0D7E">
        <w:rPr>
          <w:rFonts w:ascii="Cambria" w:hAnsi="Cambria"/>
          <w:sz w:val="21"/>
          <w:szCs w:val="21"/>
          <w:lang w:val="es-MX"/>
        </w:rPr>
        <w:t xml:space="preserve">a Comisión </w:t>
      </w:r>
      <w:r w:rsidR="00243F9B" w:rsidRPr="00EC0D7E">
        <w:rPr>
          <w:rFonts w:ascii="Cambria" w:hAnsi="Cambria"/>
          <w:sz w:val="21"/>
          <w:szCs w:val="21"/>
          <w:lang w:val="es-MX"/>
        </w:rPr>
        <w:t xml:space="preserve">nota que </w:t>
      </w:r>
      <w:r w:rsidR="00F206E1" w:rsidRPr="00EC0D7E">
        <w:rPr>
          <w:rFonts w:ascii="Cambria" w:hAnsi="Cambria"/>
          <w:sz w:val="21"/>
          <w:szCs w:val="21"/>
          <w:lang w:val="es-MX"/>
        </w:rPr>
        <w:t xml:space="preserve">el solicitante ha alegado que el esquema indicado no resultaría </w:t>
      </w:r>
      <w:r w:rsidR="00662D4F" w:rsidRPr="00EC0D7E">
        <w:rPr>
          <w:rFonts w:ascii="Cambria" w:hAnsi="Cambria"/>
          <w:sz w:val="21"/>
          <w:szCs w:val="21"/>
          <w:lang w:val="es-MX"/>
        </w:rPr>
        <w:t xml:space="preserve">efectivo </w:t>
      </w:r>
      <w:r w:rsidR="00F206E1" w:rsidRPr="00EC0D7E">
        <w:rPr>
          <w:rFonts w:ascii="Cambria" w:hAnsi="Cambria"/>
          <w:sz w:val="21"/>
          <w:szCs w:val="21"/>
          <w:lang w:val="es-MX"/>
        </w:rPr>
        <w:t xml:space="preserve">para su situación </w:t>
      </w:r>
      <w:r w:rsidR="006C09B9" w:rsidRPr="00EC0D7E">
        <w:rPr>
          <w:rFonts w:ascii="Cambria" w:hAnsi="Cambria"/>
          <w:sz w:val="21"/>
          <w:szCs w:val="21"/>
          <w:lang w:val="es-MX"/>
        </w:rPr>
        <w:t xml:space="preserve">debido a la recurrencia de los eventos de riesgo y que podría </w:t>
      </w:r>
      <w:r w:rsidR="00662D4F" w:rsidRPr="00EC0D7E">
        <w:rPr>
          <w:rFonts w:ascii="Cambria" w:hAnsi="Cambria"/>
          <w:sz w:val="21"/>
          <w:szCs w:val="21"/>
          <w:lang w:val="es-MX"/>
        </w:rPr>
        <w:t xml:space="preserve">no ser idóneo en vista de la posibilidad </w:t>
      </w:r>
      <w:r w:rsidR="00F206E1" w:rsidRPr="00EC0D7E">
        <w:rPr>
          <w:rFonts w:ascii="Cambria" w:hAnsi="Cambria"/>
          <w:sz w:val="21"/>
          <w:szCs w:val="21"/>
          <w:lang w:val="es-MX"/>
        </w:rPr>
        <w:t xml:space="preserve">de un ataque </w:t>
      </w:r>
      <w:r w:rsidRPr="00EC0D7E">
        <w:rPr>
          <w:rFonts w:ascii="Cambria" w:hAnsi="Cambria"/>
          <w:sz w:val="21"/>
          <w:szCs w:val="21"/>
          <w:lang w:val="es-MX"/>
        </w:rPr>
        <w:t xml:space="preserve">con armas de </w:t>
      </w:r>
      <w:r w:rsidR="007A214B" w:rsidRPr="00EC0D7E">
        <w:rPr>
          <w:rFonts w:ascii="Cambria" w:hAnsi="Cambria"/>
          <w:sz w:val="21"/>
          <w:szCs w:val="21"/>
          <w:lang w:val="es-MX"/>
        </w:rPr>
        <w:t>largo alcance</w:t>
      </w:r>
      <w:r w:rsidRPr="00EC0D7E">
        <w:rPr>
          <w:rFonts w:ascii="Cambria" w:hAnsi="Cambria"/>
          <w:sz w:val="21"/>
          <w:szCs w:val="21"/>
          <w:lang w:val="es-MX"/>
        </w:rPr>
        <w:t xml:space="preserve">, siendo </w:t>
      </w:r>
      <w:r w:rsidR="007A214B" w:rsidRPr="00EC0D7E">
        <w:rPr>
          <w:rFonts w:ascii="Cambria" w:hAnsi="Cambria"/>
          <w:sz w:val="21"/>
          <w:szCs w:val="21"/>
          <w:lang w:val="es-MX"/>
        </w:rPr>
        <w:t xml:space="preserve">que </w:t>
      </w:r>
      <w:r w:rsidR="00F206E1" w:rsidRPr="00EC0D7E">
        <w:rPr>
          <w:rFonts w:ascii="Cambria" w:hAnsi="Cambria"/>
          <w:sz w:val="21"/>
          <w:szCs w:val="21"/>
          <w:lang w:val="es-MX"/>
        </w:rPr>
        <w:t xml:space="preserve">requeriría </w:t>
      </w:r>
      <w:r w:rsidRPr="00EC0D7E">
        <w:rPr>
          <w:rFonts w:ascii="Cambria" w:hAnsi="Cambria"/>
          <w:sz w:val="21"/>
          <w:szCs w:val="21"/>
          <w:lang w:val="es-MX"/>
        </w:rPr>
        <w:t xml:space="preserve">protección reforzada durante sus </w:t>
      </w:r>
      <w:r w:rsidR="00F206E1" w:rsidRPr="00EC0D7E">
        <w:rPr>
          <w:rFonts w:ascii="Cambria" w:hAnsi="Cambria"/>
          <w:sz w:val="21"/>
          <w:szCs w:val="21"/>
          <w:lang w:val="es-MX"/>
        </w:rPr>
        <w:t>traslados frecuentes a través de varios municipios de la zona</w:t>
      </w:r>
      <w:r w:rsidR="006C09B9" w:rsidRPr="00EC0D7E">
        <w:rPr>
          <w:rFonts w:ascii="Cambria" w:hAnsi="Cambria"/>
          <w:sz w:val="21"/>
          <w:szCs w:val="21"/>
          <w:lang w:val="es-MX"/>
        </w:rPr>
        <w:t xml:space="preserve">. La Comisión </w:t>
      </w:r>
      <w:r w:rsidR="007421DD" w:rsidRPr="00EC0D7E">
        <w:rPr>
          <w:rFonts w:ascii="Cambria" w:hAnsi="Cambria"/>
          <w:sz w:val="21"/>
          <w:szCs w:val="21"/>
          <w:lang w:val="es-MX"/>
        </w:rPr>
        <w:t>advierte</w:t>
      </w:r>
      <w:r w:rsidR="006C09B9" w:rsidRPr="00EC0D7E">
        <w:rPr>
          <w:rFonts w:ascii="Cambria" w:hAnsi="Cambria"/>
          <w:sz w:val="21"/>
          <w:szCs w:val="21"/>
          <w:lang w:val="es-MX"/>
        </w:rPr>
        <w:t xml:space="preserve"> en relación con este punto que el solicitante </w:t>
      </w:r>
      <w:r w:rsidR="007421DD" w:rsidRPr="00EC0D7E">
        <w:rPr>
          <w:rFonts w:ascii="Cambria" w:hAnsi="Cambria"/>
          <w:sz w:val="21"/>
          <w:szCs w:val="21"/>
          <w:lang w:val="es-MX"/>
        </w:rPr>
        <w:t>informó haber</w:t>
      </w:r>
      <w:r w:rsidR="007A214B" w:rsidRPr="00EC0D7E">
        <w:rPr>
          <w:rFonts w:ascii="Cambria" w:hAnsi="Cambria"/>
          <w:sz w:val="21"/>
          <w:szCs w:val="21"/>
          <w:lang w:val="es-MX"/>
        </w:rPr>
        <w:t xml:space="preserve"> sido hostigado por parte de personas motorizadas</w:t>
      </w:r>
      <w:r w:rsidR="007421DD" w:rsidRPr="00EC0D7E">
        <w:rPr>
          <w:rFonts w:ascii="Cambria" w:hAnsi="Cambria"/>
          <w:sz w:val="21"/>
          <w:szCs w:val="21"/>
          <w:lang w:val="es-MX"/>
        </w:rPr>
        <w:t xml:space="preserve"> y que sus propios escoltas</w:t>
      </w:r>
      <w:r w:rsidR="00823CFC" w:rsidRPr="00EC0D7E">
        <w:rPr>
          <w:rFonts w:ascii="Cambria" w:hAnsi="Cambria"/>
          <w:sz w:val="21"/>
          <w:szCs w:val="21"/>
          <w:lang w:val="es-MX"/>
        </w:rPr>
        <w:t>, según los documentos contenidos en el expediente, firmaron</w:t>
      </w:r>
      <w:r w:rsidR="007421DD" w:rsidRPr="00EC0D7E">
        <w:rPr>
          <w:rFonts w:ascii="Cambria" w:hAnsi="Cambria"/>
          <w:sz w:val="21"/>
          <w:szCs w:val="21"/>
          <w:lang w:val="es-MX"/>
        </w:rPr>
        <w:t xml:space="preserve"> un oficio dirigido al Director General de la UNP </w:t>
      </w:r>
      <w:r w:rsidR="00823CFC" w:rsidRPr="00EC0D7E">
        <w:rPr>
          <w:rFonts w:ascii="Cambria" w:hAnsi="Cambria"/>
          <w:sz w:val="21"/>
          <w:szCs w:val="21"/>
          <w:lang w:val="es-MX"/>
        </w:rPr>
        <w:t>alertando sobre</w:t>
      </w:r>
      <w:r w:rsidR="007421DD" w:rsidRPr="00EC0D7E">
        <w:rPr>
          <w:rFonts w:ascii="Cambria" w:hAnsi="Cambria"/>
          <w:sz w:val="21"/>
          <w:szCs w:val="21"/>
          <w:lang w:val="es-MX"/>
        </w:rPr>
        <w:t xml:space="preserve"> la </w:t>
      </w:r>
      <w:r w:rsidR="006C09B9" w:rsidRPr="00EC0D7E">
        <w:rPr>
          <w:rFonts w:ascii="Cambria" w:hAnsi="Cambria"/>
          <w:sz w:val="21"/>
          <w:szCs w:val="21"/>
          <w:lang w:val="es-MX"/>
        </w:rPr>
        <w:t xml:space="preserve">necesidad de reforzar el esquema </w:t>
      </w:r>
      <w:r w:rsidR="00823CFC" w:rsidRPr="00EC0D7E">
        <w:rPr>
          <w:rFonts w:ascii="Cambria" w:hAnsi="Cambria"/>
          <w:sz w:val="21"/>
          <w:szCs w:val="21"/>
          <w:lang w:val="es-MX"/>
        </w:rPr>
        <w:t xml:space="preserve">de protección. </w:t>
      </w:r>
    </w:p>
    <w:p w:rsidR="002D3F1E" w:rsidRPr="00EC0D7E" w:rsidRDefault="002D3F1E" w:rsidP="002D3F1E">
      <w:pPr>
        <w:pStyle w:val="ListParagraph"/>
        <w:rPr>
          <w:rFonts w:ascii="Cambria" w:hAnsi="Cambria"/>
          <w:sz w:val="21"/>
          <w:szCs w:val="21"/>
          <w:lang w:val="es-MX"/>
        </w:rPr>
      </w:pPr>
    </w:p>
    <w:p w:rsidR="00F206E1" w:rsidRPr="00EC0D7E" w:rsidRDefault="00931274" w:rsidP="006C09B9">
      <w:pPr>
        <w:pStyle w:val="ListParagraph"/>
        <w:numPr>
          <w:ilvl w:val="0"/>
          <w:numId w:val="1"/>
        </w:numPr>
        <w:ind w:left="0" w:firstLine="360"/>
        <w:jc w:val="both"/>
        <w:rPr>
          <w:rFonts w:ascii="Cambria" w:hAnsi="Cambria"/>
          <w:sz w:val="21"/>
          <w:szCs w:val="21"/>
          <w:lang w:val="es-MX"/>
        </w:rPr>
      </w:pPr>
      <w:r w:rsidRPr="00EC0D7E">
        <w:rPr>
          <w:rFonts w:ascii="Cambria" w:hAnsi="Cambria"/>
          <w:sz w:val="21"/>
          <w:szCs w:val="21"/>
          <w:lang w:val="es-MX"/>
        </w:rPr>
        <w:t>L</w:t>
      </w:r>
      <w:r w:rsidR="00874432" w:rsidRPr="00EC0D7E">
        <w:rPr>
          <w:rFonts w:ascii="Cambria" w:hAnsi="Cambria"/>
          <w:sz w:val="21"/>
          <w:szCs w:val="21"/>
          <w:lang w:val="es-MX"/>
        </w:rPr>
        <w:t xml:space="preserve">a Comisión no cuenta con información </w:t>
      </w:r>
      <w:r w:rsidR="006C09B9" w:rsidRPr="00EC0D7E">
        <w:rPr>
          <w:rFonts w:ascii="Cambria" w:hAnsi="Cambria"/>
          <w:sz w:val="21"/>
          <w:szCs w:val="21"/>
          <w:lang w:val="es-MX"/>
        </w:rPr>
        <w:t>so</w:t>
      </w:r>
      <w:r w:rsidR="00DF7AA7" w:rsidRPr="00EC0D7E">
        <w:rPr>
          <w:rFonts w:ascii="Cambria" w:hAnsi="Cambria"/>
          <w:sz w:val="21"/>
          <w:szCs w:val="21"/>
          <w:lang w:val="es-MX"/>
        </w:rPr>
        <w:t>bre la respuesta a dicho oficio</w:t>
      </w:r>
      <w:r w:rsidR="006C09B9" w:rsidRPr="00EC0D7E">
        <w:rPr>
          <w:rFonts w:ascii="Cambria" w:hAnsi="Cambria"/>
          <w:sz w:val="21"/>
          <w:szCs w:val="21"/>
          <w:lang w:val="es-MX"/>
        </w:rPr>
        <w:t xml:space="preserve"> y observa a su vez </w:t>
      </w:r>
      <w:r w:rsidR="00874432" w:rsidRPr="00EC0D7E">
        <w:rPr>
          <w:rFonts w:ascii="Cambria" w:hAnsi="Cambria"/>
          <w:sz w:val="21"/>
          <w:szCs w:val="21"/>
          <w:lang w:val="es-MX"/>
        </w:rPr>
        <w:t xml:space="preserve">que los </w:t>
      </w:r>
      <w:r w:rsidR="001630B7" w:rsidRPr="00EC0D7E">
        <w:rPr>
          <w:rFonts w:ascii="Cambria" w:hAnsi="Cambria"/>
          <w:sz w:val="21"/>
          <w:szCs w:val="21"/>
          <w:lang w:val="es-MX"/>
        </w:rPr>
        <w:t xml:space="preserve">presuntos </w:t>
      </w:r>
      <w:r w:rsidR="00662D4F" w:rsidRPr="00EC0D7E">
        <w:rPr>
          <w:rFonts w:ascii="Cambria" w:hAnsi="Cambria"/>
          <w:sz w:val="21"/>
          <w:szCs w:val="21"/>
          <w:lang w:val="es-MX"/>
        </w:rPr>
        <w:t xml:space="preserve">responsables </w:t>
      </w:r>
      <w:r w:rsidR="001630B7" w:rsidRPr="00EC0D7E">
        <w:rPr>
          <w:rFonts w:ascii="Cambria" w:hAnsi="Cambria"/>
          <w:sz w:val="21"/>
          <w:szCs w:val="21"/>
          <w:lang w:val="es-MX"/>
        </w:rPr>
        <w:t xml:space="preserve">de </w:t>
      </w:r>
      <w:r w:rsidR="00662D4F" w:rsidRPr="00EC0D7E">
        <w:rPr>
          <w:rFonts w:ascii="Cambria" w:hAnsi="Cambria"/>
          <w:sz w:val="21"/>
          <w:szCs w:val="21"/>
          <w:lang w:val="es-MX"/>
        </w:rPr>
        <w:t>las amenazas y hostigamientos no habrían sido sancionados</w:t>
      </w:r>
      <w:r w:rsidR="00874432" w:rsidRPr="00EC0D7E">
        <w:rPr>
          <w:rFonts w:ascii="Cambria" w:hAnsi="Cambria"/>
          <w:sz w:val="21"/>
          <w:szCs w:val="21"/>
          <w:lang w:val="es-MX"/>
        </w:rPr>
        <w:t xml:space="preserve">, </w:t>
      </w:r>
      <w:r w:rsidR="00DF7AA7" w:rsidRPr="00EC0D7E">
        <w:rPr>
          <w:rFonts w:ascii="Cambria" w:hAnsi="Cambria"/>
          <w:sz w:val="21"/>
          <w:szCs w:val="21"/>
          <w:lang w:val="es-MX"/>
        </w:rPr>
        <w:t>recordando la importancia de que se lleve a cabo una investigación efectiva a fin de mitigar</w:t>
      </w:r>
      <w:r w:rsidR="00EC0D7E" w:rsidRPr="00EC0D7E">
        <w:rPr>
          <w:rFonts w:ascii="Cambria" w:hAnsi="Cambria"/>
          <w:sz w:val="21"/>
          <w:szCs w:val="21"/>
          <w:lang w:val="es-MX"/>
        </w:rPr>
        <w:t xml:space="preserve"> la situación de riesgo</w:t>
      </w:r>
      <w:r w:rsidR="002D3F1E" w:rsidRPr="00EC0D7E">
        <w:rPr>
          <w:rFonts w:ascii="Cambria" w:hAnsi="Cambria"/>
          <w:sz w:val="21"/>
          <w:szCs w:val="21"/>
          <w:lang w:val="es-MX"/>
        </w:rPr>
        <w:t xml:space="preserve">. </w:t>
      </w:r>
    </w:p>
    <w:p w:rsidR="00F206E1" w:rsidRPr="00EC0D7E" w:rsidRDefault="00F206E1" w:rsidP="00F206E1">
      <w:pPr>
        <w:pStyle w:val="ListParagraph"/>
        <w:ind w:left="360"/>
        <w:jc w:val="both"/>
        <w:rPr>
          <w:rFonts w:ascii="Cambria" w:hAnsi="Cambria"/>
          <w:sz w:val="21"/>
          <w:szCs w:val="21"/>
          <w:lang w:val="es-MX"/>
        </w:rPr>
      </w:pPr>
    </w:p>
    <w:p w:rsidR="00243F9B" w:rsidRPr="00EC0D7E" w:rsidRDefault="00243F9B" w:rsidP="00243F9B">
      <w:pPr>
        <w:pStyle w:val="ListParagraph"/>
        <w:numPr>
          <w:ilvl w:val="0"/>
          <w:numId w:val="1"/>
        </w:numPr>
        <w:ind w:left="0" w:firstLine="360"/>
        <w:jc w:val="both"/>
        <w:rPr>
          <w:rFonts w:ascii="Cambria" w:hAnsi="Cambria"/>
          <w:sz w:val="21"/>
          <w:szCs w:val="21"/>
          <w:lang w:val="es-MX"/>
        </w:rPr>
      </w:pPr>
      <w:r w:rsidRPr="00EC0D7E">
        <w:rPr>
          <w:rFonts w:ascii="Cambria" w:hAnsi="Cambria"/>
          <w:sz w:val="21"/>
          <w:szCs w:val="21"/>
          <w:lang w:val="es-MX"/>
        </w:rPr>
        <w:t xml:space="preserve">En vista de </w:t>
      </w:r>
      <w:r w:rsidR="00874432" w:rsidRPr="00EC0D7E">
        <w:rPr>
          <w:rFonts w:ascii="Cambria" w:hAnsi="Cambria"/>
          <w:sz w:val="21"/>
          <w:szCs w:val="21"/>
          <w:lang w:val="es-MX"/>
        </w:rPr>
        <w:t xml:space="preserve">todo </w:t>
      </w:r>
      <w:r w:rsidRPr="00EC0D7E">
        <w:rPr>
          <w:rFonts w:ascii="Cambria" w:hAnsi="Cambria"/>
          <w:sz w:val="21"/>
          <w:szCs w:val="21"/>
          <w:lang w:val="es-MX"/>
        </w:rPr>
        <w:t xml:space="preserve">lo anterior, si bien la Comisión reconoce los esfuerzos adoptados por el Estado de Colombia para la protección del propuesto beneficiario, estima que </w:t>
      </w:r>
      <w:r w:rsidR="001D2814" w:rsidRPr="00EC0D7E">
        <w:rPr>
          <w:rFonts w:ascii="Cambria" w:hAnsi="Cambria"/>
          <w:sz w:val="21"/>
          <w:szCs w:val="21"/>
          <w:lang w:val="es-MX"/>
        </w:rPr>
        <w:t xml:space="preserve">la situación de riesgo del propuesto beneficiario </w:t>
      </w:r>
      <w:r w:rsidR="007A214B" w:rsidRPr="00EC0D7E">
        <w:rPr>
          <w:rFonts w:ascii="Cambria" w:hAnsi="Cambria"/>
          <w:sz w:val="21"/>
          <w:szCs w:val="21"/>
          <w:lang w:val="es-MX"/>
        </w:rPr>
        <w:t xml:space="preserve">sería sostenida </w:t>
      </w:r>
      <w:r w:rsidR="005F2A4A" w:rsidRPr="00EC0D7E">
        <w:rPr>
          <w:rFonts w:ascii="Cambria" w:hAnsi="Cambria"/>
          <w:sz w:val="21"/>
          <w:szCs w:val="21"/>
          <w:lang w:val="es-MX"/>
        </w:rPr>
        <w:t xml:space="preserve">e </w:t>
      </w:r>
      <w:r w:rsidR="007A214B" w:rsidRPr="00EC0D7E">
        <w:rPr>
          <w:rFonts w:ascii="Cambria" w:hAnsi="Cambria"/>
          <w:sz w:val="21"/>
          <w:szCs w:val="21"/>
          <w:lang w:val="es-MX"/>
        </w:rPr>
        <w:t xml:space="preserve">incluso </w:t>
      </w:r>
      <w:r w:rsidR="005F2A4A" w:rsidRPr="00EC0D7E">
        <w:rPr>
          <w:rFonts w:ascii="Cambria" w:hAnsi="Cambria"/>
          <w:sz w:val="21"/>
          <w:szCs w:val="21"/>
          <w:lang w:val="es-MX"/>
        </w:rPr>
        <w:t xml:space="preserve">susceptible de recrudecerse </w:t>
      </w:r>
      <w:r w:rsidR="007A214B" w:rsidRPr="00EC0D7E">
        <w:rPr>
          <w:rFonts w:ascii="Cambria" w:hAnsi="Cambria"/>
          <w:sz w:val="21"/>
          <w:szCs w:val="21"/>
          <w:lang w:val="es-MX"/>
        </w:rPr>
        <w:t xml:space="preserve">en el tiempo, </w:t>
      </w:r>
      <w:r w:rsidRPr="00EC0D7E">
        <w:rPr>
          <w:rFonts w:ascii="Cambria" w:hAnsi="Cambria"/>
          <w:sz w:val="21"/>
          <w:szCs w:val="21"/>
          <w:lang w:val="es-MX"/>
        </w:rPr>
        <w:t xml:space="preserve">de tal forma que </w:t>
      </w:r>
      <w:r w:rsidR="001630B7" w:rsidRPr="00EC0D7E">
        <w:rPr>
          <w:rFonts w:ascii="Cambria" w:hAnsi="Cambria"/>
          <w:sz w:val="21"/>
          <w:szCs w:val="21"/>
          <w:lang w:val="es-MX"/>
        </w:rPr>
        <w:t xml:space="preserve">los </w:t>
      </w:r>
      <w:r w:rsidRPr="00EC0D7E">
        <w:rPr>
          <w:rFonts w:ascii="Cambria" w:hAnsi="Cambria"/>
          <w:sz w:val="21"/>
          <w:szCs w:val="21"/>
          <w:lang w:val="es-MX"/>
        </w:rPr>
        <w:t xml:space="preserve">derechos a la vida e integridad personal del propuesto beneficiario se encuentran </w:t>
      </w:r>
      <w:r w:rsidRPr="00EC0D7E">
        <w:rPr>
          <w:rFonts w:ascii="Cambria" w:hAnsi="Cambria"/>
          <w:i/>
          <w:sz w:val="21"/>
          <w:szCs w:val="21"/>
          <w:lang w:val="es-MX"/>
        </w:rPr>
        <w:t>prima facie</w:t>
      </w:r>
      <w:r w:rsidRPr="00EC0D7E">
        <w:rPr>
          <w:rFonts w:ascii="Cambria" w:hAnsi="Cambria"/>
          <w:sz w:val="21"/>
          <w:szCs w:val="21"/>
          <w:lang w:val="es-MX"/>
        </w:rPr>
        <w:t xml:space="preserve"> en una situación de </w:t>
      </w:r>
      <w:r w:rsidR="001630B7" w:rsidRPr="00EC0D7E">
        <w:rPr>
          <w:rFonts w:ascii="Cambria" w:hAnsi="Cambria"/>
          <w:sz w:val="21"/>
          <w:szCs w:val="21"/>
          <w:lang w:val="es-MX"/>
        </w:rPr>
        <w:t xml:space="preserve">grave </w:t>
      </w:r>
      <w:r w:rsidRPr="00EC0D7E">
        <w:rPr>
          <w:rFonts w:ascii="Cambria" w:hAnsi="Cambria"/>
          <w:sz w:val="21"/>
          <w:szCs w:val="21"/>
          <w:lang w:val="es-MX"/>
        </w:rPr>
        <w:t>riesgo</w:t>
      </w:r>
      <w:r w:rsidR="005F2A4A" w:rsidRPr="00EC0D7E">
        <w:rPr>
          <w:rFonts w:ascii="Cambria" w:hAnsi="Cambria"/>
          <w:sz w:val="21"/>
          <w:szCs w:val="21"/>
          <w:lang w:val="es-MX"/>
        </w:rPr>
        <w:t xml:space="preserve">, resultando </w:t>
      </w:r>
      <w:r w:rsidR="00134E00" w:rsidRPr="00EC0D7E">
        <w:rPr>
          <w:rFonts w:ascii="Cambria" w:hAnsi="Cambria"/>
          <w:sz w:val="21"/>
          <w:szCs w:val="21"/>
          <w:lang w:val="es-MX"/>
        </w:rPr>
        <w:t xml:space="preserve">pertinente </w:t>
      </w:r>
      <w:r w:rsidR="005F2A4A" w:rsidRPr="00EC0D7E">
        <w:rPr>
          <w:rFonts w:ascii="Cambria" w:hAnsi="Cambria"/>
          <w:sz w:val="21"/>
          <w:szCs w:val="21"/>
          <w:lang w:val="es-MX"/>
        </w:rPr>
        <w:t>la a</w:t>
      </w:r>
      <w:r w:rsidR="001630B7" w:rsidRPr="00EC0D7E">
        <w:rPr>
          <w:rFonts w:ascii="Cambria" w:hAnsi="Cambria"/>
          <w:sz w:val="21"/>
          <w:szCs w:val="21"/>
          <w:lang w:val="es-MX"/>
        </w:rPr>
        <w:t xml:space="preserve">dopción de medidas cautelares. </w:t>
      </w:r>
    </w:p>
    <w:p w:rsidR="00243F9B" w:rsidRPr="00EC0D7E" w:rsidRDefault="00243F9B" w:rsidP="00243F9B">
      <w:pPr>
        <w:pStyle w:val="ListParagraph"/>
        <w:rPr>
          <w:rFonts w:ascii="Cambria" w:hAnsi="Cambria"/>
          <w:sz w:val="21"/>
          <w:szCs w:val="21"/>
          <w:lang w:val="es-MX"/>
        </w:rPr>
      </w:pPr>
    </w:p>
    <w:p w:rsidR="005F2A4A" w:rsidRPr="00EC0D7E" w:rsidRDefault="00007FC4" w:rsidP="00A94D9B">
      <w:pPr>
        <w:pStyle w:val="ListParagraph"/>
        <w:numPr>
          <w:ilvl w:val="0"/>
          <w:numId w:val="1"/>
        </w:numPr>
        <w:ind w:left="0" w:firstLine="360"/>
        <w:jc w:val="both"/>
        <w:rPr>
          <w:rFonts w:ascii="Cambria" w:hAnsi="Cambria"/>
          <w:sz w:val="21"/>
          <w:szCs w:val="21"/>
          <w:lang w:val="es-MX"/>
        </w:rPr>
      </w:pPr>
      <w:r w:rsidRPr="00EC0D7E">
        <w:rPr>
          <w:rFonts w:ascii="Cambria" w:hAnsi="Cambria"/>
          <w:sz w:val="21"/>
          <w:szCs w:val="21"/>
          <w:lang w:val="es-MX"/>
        </w:rPr>
        <w:t xml:space="preserve">En relación con el requisito de urgencia, la Comisión </w:t>
      </w:r>
      <w:r w:rsidR="00DF5EF3" w:rsidRPr="00EC0D7E">
        <w:rPr>
          <w:rFonts w:ascii="Cambria" w:hAnsi="Cambria"/>
          <w:sz w:val="21"/>
          <w:szCs w:val="21"/>
          <w:lang w:val="es-MX"/>
        </w:rPr>
        <w:t>considera</w:t>
      </w:r>
      <w:r w:rsidRPr="00EC0D7E">
        <w:rPr>
          <w:rFonts w:ascii="Cambria" w:hAnsi="Cambria"/>
          <w:sz w:val="21"/>
          <w:szCs w:val="21"/>
          <w:lang w:val="es-MX"/>
        </w:rPr>
        <w:t xml:space="preserve"> que </w:t>
      </w:r>
      <w:r w:rsidR="00492DA7" w:rsidRPr="00EC0D7E">
        <w:rPr>
          <w:rFonts w:ascii="Cambria" w:hAnsi="Cambria"/>
          <w:sz w:val="21"/>
          <w:szCs w:val="21"/>
          <w:lang w:val="es-MX"/>
        </w:rPr>
        <w:t>l</w:t>
      </w:r>
      <w:r w:rsidR="00F4043B" w:rsidRPr="00EC0D7E">
        <w:rPr>
          <w:rFonts w:ascii="Cambria" w:hAnsi="Cambria"/>
          <w:sz w:val="21"/>
          <w:szCs w:val="21"/>
          <w:lang w:val="es-MX"/>
        </w:rPr>
        <w:t>os elementos contenidos en la solicitud sugieren la posibilidad de que el propuesto beneficiario enfrente la materialización de un daño a sus derechos. Ello</w:t>
      </w:r>
      <w:r w:rsidR="00134E00" w:rsidRPr="00EC0D7E">
        <w:rPr>
          <w:rFonts w:ascii="Cambria" w:hAnsi="Cambria"/>
          <w:sz w:val="21"/>
          <w:szCs w:val="21"/>
          <w:lang w:val="es-MX"/>
        </w:rPr>
        <w:t>,</w:t>
      </w:r>
      <w:r w:rsidR="00F4043B" w:rsidRPr="00EC0D7E">
        <w:rPr>
          <w:rFonts w:ascii="Cambria" w:hAnsi="Cambria"/>
          <w:sz w:val="21"/>
          <w:szCs w:val="21"/>
          <w:lang w:val="es-MX"/>
        </w:rPr>
        <w:t xml:space="preserve"> debido a los indicios sobre l</w:t>
      </w:r>
      <w:r w:rsidR="00492DA7" w:rsidRPr="00EC0D7E">
        <w:rPr>
          <w:rFonts w:ascii="Cambria" w:hAnsi="Cambria"/>
          <w:sz w:val="21"/>
          <w:szCs w:val="21"/>
          <w:lang w:val="es-MX"/>
        </w:rPr>
        <w:t xml:space="preserve">a </w:t>
      </w:r>
      <w:r w:rsidR="00DF5EF3" w:rsidRPr="00EC0D7E">
        <w:rPr>
          <w:rFonts w:ascii="Cambria" w:hAnsi="Cambria"/>
          <w:sz w:val="21"/>
          <w:szCs w:val="21"/>
          <w:lang w:val="es-MX"/>
        </w:rPr>
        <w:t>persistencia de la alegada situación de riesgo</w:t>
      </w:r>
      <w:r w:rsidR="00F4043B" w:rsidRPr="00EC0D7E">
        <w:rPr>
          <w:rFonts w:ascii="Cambria" w:hAnsi="Cambria"/>
          <w:sz w:val="21"/>
          <w:szCs w:val="21"/>
          <w:lang w:val="es-MX"/>
        </w:rPr>
        <w:t>, el contenido y</w:t>
      </w:r>
      <w:r w:rsidR="00DF5EF3" w:rsidRPr="00EC0D7E">
        <w:rPr>
          <w:rFonts w:ascii="Cambria" w:hAnsi="Cambria"/>
          <w:sz w:val="21"/>
          <w:szCs w:val="21"/>
          <w:lang w:val="es-MX"/>
        </w:rPr>
        <w:t xml:space="preserve"> tenor de las últimas amenazas proferidas</w:t>
      </w:r>
      <w:r w:rsidR="00F4043B" w:rsidRPr="00EC0D7E">
        <w:rPr>
          <w:rFonts w:ascii="Cambria" w:hAnsi="Cambria"/>
          <w:sz w:val="21"/>
          <w:szCs w:val="21"/>
          <w:lang w:val="es-MX"/>
        </w:rPr>
        <w:t xml:space="preserve">, y la </w:t>
      </w:r>
      <w:r w:rsidR="00C04A39" w:rsidRPr="00EC0D7E">
        <w:rPr>
          <w:rFonts w:ascii="Cambria" w:hAnsi="Cambria"/>
          <w:sz w:val="21"/>
          <w:szCs w:val="21"/>
          <w:lang w:val="es-MX"/>
        </w:rPr>
        <w:t xml:space="preserve">continuidad </w:t>
      </w:r>
      <w:r w:rsidR="00F4043B" w:rsidRPr="00EC0D7E">
        <w:rPr>
          <w:rFonts w:ascii="Cambria" w:hAnsi="Cambria"/>
          <w:sz w:val="21"/>
          <w:szCs w:val="21"/>
          <w:lang w:val="es-MX"/>
        </w:rPr>
        <w:t xml:space="preserve">tanto </w:t>
      </w:r>
      <w:r w:rsidR="00C04A39" w:rsidRPr="00EC0D7E">
        <w:rPr>
          <w:rFonts w:ascii="Cambria" w:hAnsi="Cambria"/>
          <w:sz w:val="21"/>
          <w:szCs w:val="21"/>
          <w:lang w:val="es-MX"/>
        </w:rPr>
        <w:t xml:space="preserve">de las labores del propuesto beneficiario </w:t>
      </w:r>
      <w:r w:rsidR="00F4043B" w:rsidRPr="00EC0D7E">
        <w:rPr>
          <w:rFonts w:ascii="Cambria" w:hAnsi="Cambria"/>
          <w:sz w:val="21"/>
          <w:szCs w:val="21"/>
          <w:lang w:val="es-MX"/>
        </w:rPr>
        <w:t>como</w:t>
      </w:r>
      <w:r w:rsidR="00C04A39" w:rsidRPr="00EC0D7E">
        <w:rPr>
          <w:rFonts w:ascii="Cambria" w:hAnsi="Cambria"/>
          <w:sz w:val="21"/>
          <w:szCs w:val="21"/>
          <w:lang w:val="es-MX"/>
        </w:rPr>
        <w:t xml:space="preserve"> de los procesos judiciales mencionados</w:t>
      </w:r>
      <w:r w:rsidR="00F4043B" w:rsidRPr="00EC0D7E">
        <w:rPr>
          <w:rFonts w:ascii="Cambria" w:hAnsi="Cambria"/>
          <w:sz w:val="21"/>
          <w:szCs w:val="21"/>
          <w:lang w:val="es-MX"/>
        </w:rPr>
        <w:t xml:space="preserve">. Asimismo, la Comisión toma en cuenta el </w:t>
      </w:r>
      <w:r w:rsidR="00F4043B" w:rsidRPr="00EC0D7E">
        <w:rPr>
          <w:rFonts w:ascii="Cambria" w:hAnsi="Cambria"/>
          <w:i/>
          <w:sz w:val="21"/>
          <w:szCs w:val="21"/>
          <w:lang w:val="es-MX"/>
        </w:rPr>
        <w:t>modus operandi</w:t>
      </w:r>
      <w:r w:rsidR="00F4043B" w:rsidRPr="00EC0D7E">
        <w:rPr>
          <w:rFonts w:ascii="Cambria" w:hAnsi="Cambria"/>
          <w:sz w:val="21"/>
          <w:szCs w:val="21"/>
          <w:lang w:val="es-MX"/>
        </w:rPr>
        <w:t xml:space="preserve"> seguido por los presuntos agresores, quienes disponiendo de los medios para trasladarse y seguir al propuesto beneficiario con relativa facilidad, </w:t>
      </w:r>
      <w:r w:rsidR="001630B7" w:rsidRPr="00EC0D7E">
        <w:rPr>
          <w:rFonts w:ascii="Cambria" w:hAnsi="Cambria"/>
          <w:sz w:val="21"/>
          <w:szCs w:val="21"/>
          <w:lang w:val="es-MX"/>
        </w:rPr>
        <w:t xml:space="preserve">poseyendo </w:t>
      </w:r>
      <w:r w:rsidR="00F4043B" w:rsidRPr="00EC0D7E">
        <w:rPr>
          <w:rFonts w:ascii="Cambria" w:hAnsi="Cambria"/>
          <w:sz w:val="21"/>
          <w:szCs w:val="21"/>
          <w:lang w:val="es-MX"/>
        </w:rPr>
        <w:t xml:space="preserve">armas de fuego y conociendo la ubicación de su domicilio, podrían atentar de múltiples maneras en su contra. </w:t>
      </w:r>
    </w:p>
    <w:p w:rsidR="00134E00" w:rsidRPr="00EC0D7E" w:rsidRDefault="00134E00" w:rsidP="00134E00">
      <w:pPr>
        <w:pStyle w:val="ListParagraph"/>
        <w:ind w:left="360"/>
        <w:jc w:val="both"/>
        <w:rPr>
          <w:rFonts w:ascii="Cambria" w:hAnsi="Cambria"/>
          <w:sz w:val="21"/>
          <w:szCs w:val="21"/>
          <w:lang w:val="es-MX"/>
        </w:rPr>
      </w:pPr>
    </w:p>
    <w:p w:rsidR="00465746" w:rsidRPr="00EC0D7E" w:rsidRDefault="00874432" w:rsidP="00FA2DC6">
      <w:pPr>
        <w:pStyle w:val="ListParagraph"/>
        <w:numPr>
          <w:ilvl w:val="0"/>
          <w:numId w:val="1"/>
        </w:numPr>
        <w:ind w:left="0" w:firstLine="360"/>
        <w:jc w:val="both"/>
        <w:rPr>
          <w:rFonts w:ascii="Cambria" w:hAnsi="Cambria"/>
          <w:sz w:val="21"/>
          <w:szCs w:val="21"/>
          <w:lang w:val="es-MX"/>
        </w:rPr>
      </w:pPr>
      <w:r w:rsidRPr="00EC0D7E">
        <w:rPr>
          <w:rFonts w:ascii="Cambria" w:hAnsi="Cambria"/>
          <w:sz w:val="21"/>
          <w:szCs w:val="21"/>
          <w:lang w:val="es-MX"/>
        </w:rPr>
        <w:lastRenderedPageBreak/>
        <w:t>En consecuencia</w:t>
      </w:r>
      <w:r w:rsidR="00F4043B" w:rsidRPr="00EC0D7E">
        <w:rPr>
          <w:rFonts w:ascii="Cambria" w:hAnsi="Cambria"/>
          <w:sz w:val="21"/>
          <w:szCs w:val="21"/>
          <w:lang w:val="es-MX"/>
        </w:rPr>
        <w:t xml:space="preserve">, la Comisión entiende que </w:t>
      </w:r>
      <w:r w:rsidR="00EC0D7E" w:rsidRPr="00EC0D7E">
        <w:rPr>
          <w:rFonts w:ascii="Cambria" w:hAnsi="Cambria"/>
          <w:sz w:val="21"/>
          <w:szCs w:val="21"/>
          <w:lang w:val="es-MX"/>
        </w:rPr>
        <w:t xml:space="preserve">es </w:t>
      </w:r>
      <w:r w:rsidR="00DF5EF3" w:rsidRPr="00EC0D7E">
        <w:rPr>
          <w:rFonts w:ascii="Cambria" w:hAnsi="Cambria"/>
          <w:sz w:val="21"/>
          <w:szCs w:val="21"/>
          <w:lang w:val="es-MX"/>
        </w:rPr>
        <w:t xml:space="preserve">necesario que las autoridades </w:t>
      </w:r>
      <w:r w:rsidR="00134E00" w:rsidRPr="00EC0D7E">
        <w:rPr>
          <w:rFonts w:ascii="Cambria" w:hAnsi="Cambria"/>
          <w:sz w:val="21"/>
          <w:szCs w:val="21"/>
          <w:lang w:val="es-MX"/>
        </w:rPr>
        <w:t>aseguren</w:t>
      </w:r>
      <w:r w:rsidR="00DF7AA7" w:rsidRPr="00EC0D7E">
        <w:rPr>
          <w:rFonts w:ascii="Cambria" w:hAnsi="Cambria"/>
          <w:sz w:val="21"/>
          <w:szCs w:val="21"/>
          <w:lang w:val="es-MX"/>
        </w:rPr>
        <w:t xml:space="preserve"> la efectividad e idoneidad de</w:t>
      </w:r>
      <w:r w:rsidR="00134E00" w:rsidRPr="00EC0D7E">
        <w:rPr>
          <w:rFonts w:ascii="Cambria" w:hAnsi="Cambria"/>
          <w:sz w:val="21"/>
          <w:szCs w:val="21"/>
          <w:lang w:val="es-MX"/>
        </w:rPr>
        <w:t xml:space="preserve"> las medidas de </w:t>
      </w:r>
      <w:r w:rsidR="00CB1622" w:rsidRPr="00EC0D7E">
        <w:rPr>
          <w:rFonts w:ascii="Cambria" w:hAnsi="Cambria"/>
          <w:sz w:val="21"/>
          <w:szCs w:val="21"/>
          <w:lang w:val="es-MX"/>
        </w:rPr>
        <w:t>protección</w:t>
      </w:r>
      <w:r w:rsidR="00134E00" w:rsidRPr="00EC0D7E">
        <w:rPr>
          <w:rStyle w:val="FootnoteReference"/>
          <w:rFonts w:ascii="Cambria" w:hAnsi="Cambria"/>
          <w:sz w:val="21"/>
          <w:szCs w:val="21"/>
          <w:lang w:val="es-MX"/>
        </w:rPr>
        <w:footnoteReference w:id="15"/>
      </w:r>
      <w:r w:rsidR="00DF5EF3" w:rsidRPr="00EC0D7E">
        <w:rPr>
          <w:rFonts w:ascii="Cambria" w:hAnsi="Cambria"/>
          <w:sz w:val="21"/>
          <w:szCs w:val="21"/>
          <w:lang w:val="es-MX"/>
        </w:rPr>
        <w:t xml:space="preserve">. </w:t>
      </w:r>
      <w:r w:rsidR="0051297C" w:rsidRPr="00EC0D7E">
        <w:rPr>
          <w:rFonts w:ascii="Cambria" w:hAnsi="Cambria"/>
          <w:sz w:val="21"/>
          <w:szCs w:val="21"/>
          <w:lang w:val="es-MX"/>
        </w:rPr>
        <w:t>En este sentido</w:t>
      </w:r>
      <w:r w:rsidR="00DF7AA7" w:rsidRPr="00EC0D7E">
        <w:rPr>
          <w:rFonts w:ascii="Cambria" w:hAnsi="Cambria"/>
          <w:sz w:val="21"/>
          <w:szCs w:val="21"/>
          <w:lang w:val="es-MX"/>
        </w:rPr>
        <w:t>,</w:t>
      </w:r>
      <w:r w:rsidR="0051297C" w:rsidRPr="00EC0D7E">
        <w:rPr>
          <w:rFonts w:ascii="Cambria" w:hAnsi="Cambria"/>
          <w:sz w:val="21"/>
          <w:szCs w:val="21"/>
          <w:lang w:val="es-MX"/>
        </w:rPr>
        <w:t xml:space="preserve"> </w:t>
      </w:r>
      <w:r w:rsidR="00134E00" w:rsidRPr="00EC0D7E">
        <w:rPr>
          <w:rFonts w:ascii="Cambria" w:hAnsi="Cambria"/>
          <w:sz w:val="21"/>
          <w:szCs w:val="21"/>
          <w:lang w:val="es-MX"/>
        </w:rPr>
        <w:t xml:space="preserve">resulta </w:t>
      </w:r>
      <w:r w:rsidR="0051297C" w:rsidRPr="00EC0D7E">
        <w:rPr>
          <w:rFonts w:ascii="Cambria" w:hAnsi="Cambria"/>
          <w:sz w:val="21"/>
          <w:szCs w:val="21"/>
          <w:lang w:val="es-MX"/>
        </w:rPr>
        <w:t>pertinente que el Estado realice una evaluación de riesgo</w:t>
      </w:r>
      <w:r w:rsidR="00ED4156" w:rsidRPr="00EC0D7E">
        <w:rPr>
          <w:rStyle w:val="FootnoteReference"/>
          <w:rFonts w:ascii="Cambria" w:hAnsi="Cambria"/>
          <w:sz w:val="21"/>
          <w:szCs w:val="21"/>
          <w:lang w:val="es-MX"/>
        </w:rPr>
        <w:footnoteReference w:id="16"/>
      </w:r>
      <w:r w:rsidR="00040B70" w:rsidRPr="00EC0D7E">
        <w:rPr>
          <w:rFonts w:ascii="Cambria" w:hAnsi="Cambria"/>
          <w:sz w:val="21"/>
          <w:szCs w:val="21"/>
          <w:lang w:val="es-MX"/>
        </w:rPr>
        <w:t xml:space="preserve"> tomando</w:t>
      </w:r>
      <w:r w:rsidR="00ED4156" w:rsidRPr="00EC0D7E">
        <w:rPr>
          <w:rFonts w:ascii="Cambria" w:hAnsi="Cambria"/>
          <w:sz w:val="21"/>
          <w:szCs w:val="21"/>
          <w:lang w:val="es-MX"/>
        </w:rPr>
        <w:t xml:space="preserve"> </w:t>
      </w:r>
      <w:r w:rsidR="005F2A4A" w:rsidRPr="00EC0D7E">
        <w:rPr>
          <w:rFonts w:ascii="Cambria" w:hAnsi="Cambria"/>
          <w:sz w:val="21"/>
          <w:szCs w:val="21"/>
          <w:lang w:val="es-MX"/>
        </w:rPr>
        <w:t>en cuenta la situación particular del señor Silva Orrego</w:t>
      </w:r>
      <w:r w:rsidR="00040B70" w:rsidRPr="00EC0D7E">
        <w:rPr>
          <w:rFonts w:ascii="Cambria" w:hAnsi="Cambria"/>
          <w:sz w:val="21"/>
          <w:szCs w:val="21"/>
          <w:lang w:val="es-MX"/>
        </w:rPr>
        <w:t xml:space="preserve"> y, entre otros, aspectos tales como</w:t>
      </w:r>
      <w:r w:rsidR="00ED4156" w:rsidRPr="00EC0D7E">
        <w:rPr>
          <w:rFonts w:ascii="Cambria" w:hAnsi="Cambria"/>
          <w:sz w:val="21"/>
          <w:szCs w:val="21"/>
          <w:lang w:val="es-MX"/>
        </w:rPr>
        <w:t>: su calidad de periodista</w:t>
      </w:r>
      <w:r w:rsidR="00662D4F" w:rsidRPr="00EC0D7E">
        <w:rPr>
          <w:rFonts w:ascii="Cambria" w:hAnsi="Cambria"/>
          <w:sz w:val="21"/>
          <w:szCs w:val="21"/>
          <w:lang w:val="es-MX"/>
        </w:rPr>
        <w:t xml:space="preserve"> y</w:t>
      </w:r>
      <w:r w:rsidR="00ED4156" w:rsidRPr="00EC0D7E">
        <w:rPr>
          <w:rFonts w:ascii="Cambria" w:hAnsi="Cambria"/>
          <w:sz w:val="21"/>
          <w:szCs w:val="21"/>
          <w:lang w:val="es-MX"/>
        </w:rPr>
        <w:t xml:space="preserve"> </w:t>
      </w:r>
      <w:r w:rsidR="00662D4F" w:rsidRPr="00EC0D7E">
        <w:rPr>
          <w:rFonts w:ascii="Cambria" w:hAnsi="Cambria"/>
          <w:sz w:val="21"/>
          <w:szCs w:val="21"/>
          <w:lang w:val="es-MX"/>
        </w:rPr>
        <w:t xml:space="preserve">presidente departamental de un partido político, </w:t>
      </w:r>
      <w:r w:rsidR="00ED4156" w:rsidRPr="00EC0D7E">
        <w:rPr>
          <w:rFonts w:ascii="Cambria" w:hAnsi="Cambria"/>
          <w:sz w:val="21"/>
          <w:szCs w:val="21"/>
          <w:lang w:val="es-MX"/>
        </w:rPr>
        <w:t xml:space="preserve">los </w:t>
      </w:r>
      <w:r w:rsidR="005F2A4A" w:rsidRPr="00EC0D7E">
        <w:rPr>
          <w:rFonts w:ascii="Cambria" w:hAnsi="Cambria"/>
          <w:sz w:val="21"/>
          <w:szCs w:val="21"/>
          <w:lang w:val="es-MX"/>
        </w:rPr>
        <w:t>traslados a distintas partes del territorio</w:t>
      </w:r>
      <w:r w:rsidR="0051297C" w:rsidRPr="00EC0D7E">
        <w:rPr>
          <w:rFonts w:ascii="Cambria" w:hAnsi="Cambria"/>
          <w:sz w:val="21"/>
          <w:szCs w:val="21"/>
          <w:lang w:val="es-MX"/>
        </w:rPr>
        <w:t xml:space="preserve"> </w:t>
      </w:r>
      <w:r w:rsidR="00ED4156" w:rsidRPr="00EC0D7E">
        <w:rPr>
          <w:rFonts w:ascii="Cambria" w:hAnsi="Cambria"/>
          <w:sz w:val="21"/>
          <w:szCs w:val="21"/>
          <w:lang w:val="es-MX"/>
        </w:rPr>
        <w:t xml:space="preserve">que realizaría como resultado de sus labores, </w:t>
      </w:r>
      <w:r w:rsidRPr="00EC0D7E">
        <w:rPr>
          <w:rFonts w:ascii="Cambria" w:hAnsi="Cambria"/>
          <w:sz w:val="21"/>
          <w:szCs w:val="21"/>
          <w:lang w:val="es-MX"/>
        </w:rPr>
        <w:t>el conocimiento que tendrían los agresores sobre su persona</w:t>
      </w:r>
      <w:r w:rsidR="00E02CAB" w:rsidRPr="00EC0D7E">
        <w:rPr>
          <w:rFonts w:ascii="Cambria" w:hAnsi="Cambria"/>
          <w:sz w:val="21"/>
          <w:szCs w:val="21"/>
          <w:lang w:val="es-MX"/>
        </w:rPr>
        <w:t xml:space="preserve"> </w:t>
      </w:r>
      <w:r w:rsidR="00ED4156" w:rsidRPr="00EC0D7E">
        <w:rPr>
          <w:rFonts w:ascii="Cambria" w:hAnsi="Cambria"/>
          <w:sz w:val="21"/>
          <w:szCs w:val="21"/>
          <w:lang w:val="es-MX"/>
        </w:rPr>
        <w:t xml:space="preserve">y domicilio y la solicitud presentada por los escoltas para reforzar dicho esquema. </w:t>
      </w:r>
    </w:p>
    <w:p w:rsidR="00465746" w:rsidRPr="00EC0D7E" w:rsidRDefault="00465746" w:rsidP="00465746">
      <w:pPr>
        <w:pStyle w:val="ListParagraph"/>
        <w:rPr>
          <w:rFonts w:ascii="Cambria" w:hAnsi="Cambria"/>
          <w:sz w:val="21"/>
          <w:szCs w:val="21"/>
          <w:lang w:val="es-MX"/>
        </w:rPr>
      </w:pPr>
    </w:p>
    <w:p w:rsidR="00FA2DC6" w:rsidRPr="00EC0D7E" w:rsidRDefault="00FA2DC6" w:rsidP="00FA2DC6">
      <w:pPr>
        <w:pStyle w:val="ListParagraph"/>
        <w:numPr>
          <w:ilvl w:val="0"/>
          <w:numId w:val="1"/>
        </w:numPr>
        <w:ind w:left="0" w:firstLine="360"/>
        <w:jc w:val="both"/>
        <w:rPr>
          <w:rFonts w:ascii="Cambria" w:hAnsi="Cambria"/>
          <w:sz w:val="21"/>
          <w:szCs w:val="21"/>
          <w:lang w:val="es-MX"/>
        </w:rPr>
      </w:pPr>
      <w:r w:rsidRPr="00EC0D7E">
        <w:rPr>
          <w:rFonts w:ascii="Cambria" w:hAnsi="Cambria"/>
          <w:sz w:val="21"/>
          <w:szCs w:val="21"/>
          <w:lang w:val="es-MX"/>
        </w:rPr>
        <w:t>Asimismo, la Comisión recuerda que el Estado debe</w:t>
      </w:r>
      <w:r w:rsidR="00A10887">
        <w:rPr>
          <w:rFonts w:ascii="Cambria" w:hAnsi="Cambria"/>
          <w:sz w:val="21"/>
          <w:szCs w:val="21"/>
          <w:lang w:val="es-MX"/>
        </w:rPr>
        <w:t xml:space="preserve"> </w:t>
      </w:r>
      <w:r w:rsidRPr="00EC0D7E">
        <w:rPr>
          <w:rFonts w:ascii="Cambria" w:hAnsi="Cambria"/>
          <w:sz w:val="21"/>
          <w:szCs w:val="21"/>
          <w:lang w:val="es-MX"/>
        </w:rPr>
        <w:t>“[r]ealizar investigaciones serias,</w:t>
      </w:r>
      <w:r w:rsidR="00465746" w:rsidRPr="00EC0D7E">
        <w:rPr>
          <w:rFonts w:ascii="Cambria" w:hAnsi="Cambria"/>
          <w:sz w:val="21"/>
          <w:szCs w:val="21"/>
          <w:lang w:val="es-MX"/>
        </w:rPr>
        <w:t xml:space="preserve"> imparciales y efectivas sobre […]</w:t>
      </w:r>
      <w:r w:rsidR="00A10887">
        <w:rPr>
          <w:rFonts w:ascii="Cambria" w:hAnsi="Cambria"/>
          <w:sz w:val="21"/>
          <w:szCs w:val="21"/>
          <w:lang w:val="es-MX"/>
        </w:rPr>
        <w:t xml:space="preserve"> </w:t>
      </w:r>
      <w:r w:rsidRPr="00EC0D7E">
        <w:rPr>
          <w:rFonts w:ascii="Cambria" w:hAnsi="Cambria"/>
          <w:sz w:val="21"/>
          <w:szCs w:val="21"/>
          <w:lang w:val="es-MX"/>
        </w:rPr>
        <w:t>agresiones, amenazas y actos de intimidación cometidos contra periodistas y trabajadores d</w:t>
      </w:r>
      <w:r w:rsidR="00465746" w:rsidRPr="00EC0D7E">
        <w:rPr>
          <w:rFonts w:ascii="Cambria" w:hAnsi="Cambria"/>
          <w:sz w:val="21"/>
          <w:szCs w:val="21"/>
          <w:lang w:val="es-MX"/>
        </w:rPr>
        <w:t>e medios de comunicación social”, de manera pronta y diligente</w:t>
      </w:r>
      <w:r w:rsidR="00465746" w:rsidRPr="00EC0D7E">
        <w:rPr>
          <w:rStyle w:val="FootnoteReference"/>
          <w:rFonts w:ascii="Cambria" w:hAnsi="Cambria"/>
          <w:sz w:val="21"/>
          <w:szCs w:val="21"/>
          <w:lang w:val="es-MX"/>
        </w:rPr>
        <w:footnoteReference w:id="17"/>
      </w:r>
      <w:r w:rsidR="00465746" w:rsidRPr="00EC0D7E">
        <w:rPr>
          <w:rFonts w:ascii="Cambria" w:hAnsi="Cambria"/>
          <w:sz w:val="21"/>
          <w:szCs w:val="21"/>
          <w:lang w:val="es-MX"/>
        </w:rPr>
        <w:t>, resultando necesaria una adecuada coordinación entre las autoridades responsables de implementar las medidas de protección con aquellas encargadas de la investigación</w:t>
      </w:r>
      <w:r w:rsidR="00465746" w:rsidRPr="00EC0D7E">
        <w:rPr>
          <w:rStyle w:val="FootnoteReference"/>
          <w:rFonts w:ascii="Cambria" w:hAnsi="Cambria"/>
          <w:sz w:val="21"/>
          <w:szCs w:val="21"/>
          <w:lang w:val="es-MX"/>
        </w:rPr>
        <w:footnoteReference w:id="18"/>
      </w:r>
      <w:r w:rsidR="00465746" w:rsidRPr="00EC0D7E">
        <w:rPr>
          <w:rFonts w:ascii="Cambria" w:hAnsi="Cambria"/>
          <w:sz w:val="21"/>
          <w:szCs w:val="21"/>
          <w:lang w:val="es-MX"/>
        </w:rPr>
        <w:t>.</w:t>
      </w:r>
    </w:p>
    <w:p w:rsidR="00BC6B3D" w:rsidRPr="00EC0D7E" w:rsidRDefault="00BC6B3D" w:rsidP="00A94D9B">
      <w:pPr>
        <w:jc w:val="both"/>
        <w:rPr>
          <w:rFonts w:ascii="Cambria" w:hAnsi="Cambria"/>
          <w:sz w:val="21"/>
          <w:szCs w:val="21"/>
          <w:lang w:val="es-MX"/>
        </w:rPr>
      </w:pPr>
    </w:p>
    <w:p w:rsidR="00A762CE" w:rsidRPr="00EC0D7E" w:rsidRDefault="00007FC4" w:rsidP="00492DA7">
      <w:pPr>
        <w:pStyle w:val="ListParagraph"/>
        <w:numPr>
          <w:ilvl w:val="0"/>
          <w:numId w:val="1"/>
        </w:numPr>
        <w:ind w:left="0" w:firstLine="360"/>
        <w:jc w:val="both"/>
        <w:rPr>
          <w:rFonts w:ascii="Cambria" w:hAnsi="Cambria"/>
          <w:sz w:val="21"/>
          <w:szCs w:val="21"/>
          <w:lang w:val="es-MX"/>
        </w:rPr>
      </w:pPr>
      <w:r w:rsidRPr="00EC0D7E">
        <w:rPr>
          <w:rFonts w:ascii="Cambria" w:hAnsi="Cambria"/>
          <w:sz w:val="21"/>
          <w:szCs w:val="21"/>
          <w:lang w:val="es-MX"/>
        </w:rPr>
        <w:t>Finalmente, en cuanto al requisito de irreparabilidad, la Comisión considera que se encuentra cumplido, ya que la posible afectación a los derechos a la vida e</w:t>
      </w:r>
      <w:r w:rsidR="00040B70" w:rsidRPr="00EC0D7E">
        <w:rPr>
          <w:rFonts w:ascii="Cambria" w:hAnsi="Cambria"/>
          <w:sz w:val="21"/>
          <w:szCs w:val="21"/>
          <w:lang w:val="es-MX"/>
        </w:rPr>
        <w:t xml:space="preserve"> integridad personal constituye</w:t>
      </w:r>
      <w:r w:rsidRPr="00EC0D7E">
        <w:rPr>
          <w:rFonts w:ascii="Cambria" w:hAnsi="Cambria"/>
          <w:sz w:val="21"/>
          <w:szCs w:val="21"/>
          <w:lang w:val="es-MX"/>
        </w:rPr>
        <w:t xml:space="preserve"> la máxima situación de irreparabilidad</w:t>
      </w:r>
      <w:r w:rsidR="00E96471" w:rsidRPr="00EC0D7E">
        <w:rPr>
          <w:rFonts w:ascii="Cambria" w:hAnsi="Cambria"/>
          <w:sz w:val="21"/>
          <w:szCs w:val="21"/>
          <w:lang w:val="es-MX"/>
        </w:rPr>
        <w:t>.</w:t>
      </w:r>
      <w:r w:rsidR="00E96471" w:rsidRPr="00EC0D7E">
        <w:rPr>
          <w:rFonts w:ascii="Cambria" w:hAnsi="Cambria"/>
          <w:sz w:val="21"/>
          <w:szCs w:val="21"/>
          <w:lang w:val="es-ES_tradnl"/>
        </w:rPr>
        <w:t xml:space="preserve"> </w:t>
      </w:r>
      <w:r w:rsidR="00796D76" w:rsidRPr="00EC0D7E">
        <w:rPr>
          <w:rFonts w:ascii="Cambria" w:hAnsi="Cambria"/>
          <w:sz w:val="21"/>
          <w:szCs w:val="21"/>
          <w:lang w:val="es-ES_tradnl"/>
        </w:rPr>
        <w:t>La Comisión toma en cuenta asimismo el impacto que tendrían los eventos de riesgos narrados en el ejercicio de la libertad de expresión del propuesto beneficiario.</w:t>
      </w:r>
    </w:p>
    <w:p w:rsidR="00007FC4" w:rsidRPr="00EC0D7E" w:rsidRDefault="00007FC4" w:rsidP="00A94D9B">
      <w:pPr>
        <w:jc w:val="both"/>
        <w:rPr>
          <w:rFonts w:ascii="Cambria" w:hAnsi="Cambria"/>
          <w:sz w:val="21"/>
          <w:szCs w:val="21"/>
          <w:lang w:val="es-MX"/>
        </w:rPr>
      </w:pPr>
    </w:p>
    <w:p w:rsidR="00007FC4" w:rsidRPr="00EC0D7E" w:rsidRDefault="00007FC4" w:rsidP="00A94D9B">
      <w:pPr>
        <w:numPr>
          <w:ilvl w:val="0"/>
          <w:numId w:val="11"/>
        </w:numPr>
        <w:jc w:val="both"/>
        <w:rPr>
          <w:rFonts w:ascii="Cambria" w:hAnsi="Cambria"/>
          <w:b/>
          <w:bCs/>
          <w:sz w:val="21"/>
          <w:szCs w:val="21"/>
          <w:lang w:val="es-AR"/>
        </w:rPr>
      </w:pPr>
      <w:r w:rsidRPr="00EC0D7E">
        <w:rPr>
          <w:rFonts w:ascii="Cambria" w:hAnsi="Cambria"/>
          <w:b/>
          <w:bCs/>
          <w:sz w:val="21"/>
          <w:szCs w:val="21"/>
          <w:lang w:val="es-AR"/>
        </w:rPr>
        <w:t>BENEFICIARIOS</w:t>
      </w:r>
    </w:p>
    <w:p w:rsidR="00007FC4" w:rsidRPr="00EC0D7E" w:rsidRDefault="00007FC4" w:rsidP="00A94D9B">
      <w:pPr>
        <w:jc w:val="both"/>
        <w:rPr>
          <w:rFonts w:ascii="Cambria" w:hAnsi="Cambria"/>
          <w:sz w:val="21"/>
          <w:szCs w:val="21"/>
          <w:lang w:val="es-AR"/>
        </w:rPr>
      </w:pPr>
    </w:p>
    <w:p w:rsidR="0052203A" w:rsidRPr="00EC0D7E" w:rsidRDefault="00007FC4" w:rsidP="00A94D9B">
      <w:pPr>
        <w:pStyle w:val="ListParagraph"/>
        <w:numPr>
          <w:ilvl w:val="0"/>
          <w:numId w:val="1"/>
        </w:numPr>
        <w:ind w:left="0" w:firstLine="360"/>
        <w:jc w:val="both"/>
        <w:rPr>
          <w:rFonts w:ascii="Cambria" w:hAnsi="Cambria"/>
          <w:sz w:val="21"/>
          <w:szCs w:val="21"/>
          <w:lang w:val="es-MX"/>
        </w:rPr>
      </w:pPr>
      <w:r w:rsidRPr="00EC0D7E">
        <w:rPr>
          <w:rFonts w:ascii="Cambria" w:hAnsi="Cambria"/>
          <w:sz w:val="21"/>
          <w:szCs w:val="21"/>
          <w:lang w:val="es-MX"/>
        </w:rPr>
        <w:t xml:space="preserve">La Comisión declara que </w:t>
      </w:r>
      <w:r w:rsidR="008E2BB1" w:rsidRPr="00EC0D7E">
        <w:rPr>
          <w:rFonts w:ascii="Cambria" w:hAnsi="Cambria"/>
          <w:sz w:val="21"/>
          <w:szCs w:val="21"/>
          <w:lang w:val="es-MX"/>
        </w:rPr>
        <w:t>el</w:t>
      </w:r>
      <w:r w:rsidRPr="00EC0D7E">
        <w:rPr>
          <w:rFonts w:ascii="Cambria" w:hAnsi="Cambria"/>
          <w:sz w:val="21"/>
          <w:szCs w:val="21"/>
          <w:lang w:val="es-MX"/>
        </w:rPr>
        <w:t xml:space="preserve"> beneficiario de</w:t>
      </w:r>
      <w:r w:rsidR="008E2BB1" w:rsidRPr="00EC0D7E">
        <w:rPr>
          <w:rFonts w:ascii="Cambria" w:hAnsi="Cambria"/>
          <w:sz w:val="21"/>
          <w:szCs w:val="21"/>
          <w:lang w:val="es-MX"/>
        </w:rPr>
        <w:t xml:space="preserve"> la presente medida cautelar es el señor </w:t>
      </w:r>
      <w:r w:rsidR="00DF5EF3" w:rsidRPr="00EC0D7E">
        <w:rPr>
          <w:rFonts w:ascii="Cambria" w:hAnsi="Cambria"/>
          <w:sz w:val="21"/>
          <w:szCs w:val="21"/>
          <w:lang w:val="es-ES_tradnl"/>
        </w:rPr>
        <w:t>Daniel Silva Orrego</w:t>
      </w:r>
      <w:r w:rsidR="008E2BB1" w:rsidRPr="00EC0D7E">
        <w:rPr>
          <w:rFonts w:ascii="Cambria" w:hAnsi="Cambria"/>
          <w:sz w:val="21"/>
          <w:szCs w:val="21"/>
          <w:lang w:val="es-MX"/>
        </w:rPr>
        <w:t>, quien se encuentra</w:t>
      </w:r>
      <w:r w:rsidRPr="00EC0D7E">
        <w:rPr>
          <w:rFonts w:ascii="Cambria" w:hAnsi="Cambria"/>
          <w:sz w:val="21"/>
          <w:szCs w:val="21"/>
          <w:lang w:val="es-MX"/>
        </w:rPr>
        <w:t xml:space="preserve"> debidamente identificado en el presente procedimiento. </w:t>
      </w:r>
    </w:p>
    <w:p w:rsidR="0052203A" w:rsidRPr="00EC0D7E" w:rsidRDefault="0052203A" w:rsidP="00A94D9B">
      <w:pPr>
        <w:jc w:val="both"/>
        <w:rPr>
          <w:rFonts w:ascii="Cambria" w:hAnsi="Cambria"/>
          <w:sz w:val="21"/>
          <w:szCs w:val="21"/>
          <w:lang w:val="es-MX"/>
        </w:rPr>
      </w:pPr>
    </w:p>
    <w:p w:rsidR="00007FC4" w:rsidRPr="00EC0D7E" w:rsidRDefault="00007FC4" w:rsidP="00A94D9B">
      <w:pPr>
        <w:numPr>
          <w:ilvl w:val="0"/>
          <w:numId w:val="11"/>
        </w:numPr>
        <w:jc w:val="both"/>
        <w:rPr>
          <w:rFonts w:ascii="Cambria" w:hAnsi="Cambria"/>
          <w:b/>
          <w:bCs/>
          <w:sz w:val="21"/>
          <w:szCs w:val="21"/>
          <w:lang w:val="es-AR"/>
        </w:rPr>
      </w:pPr>
      <w:r w:rsidRPr="00EC0D7E">
        <w:rPr>
          <w:rFonts w:ascii="Cambria" w:hAnsi="Cambria"/>
          <w:b/>
          <w:bCs/>
          <w:sz w:val="21"/>
          <w:szCs w:val="21"/>
          <w:lang w:val="es-AR"/>
        </w:rPr>
        <w:t>DECISIÓN</w:t>
      </w:r>
    </w:p>
    <w:p w:rsidR="00007FC4" w:rsidRPr="00EC0D7E" w:rsidRDefault="00007FC4" w:rsidP="00A94D9B">
      <w:pPr>
        <w:jc w:val="both"/>
        <w:rPr>
          <w:rFonts w:ascii="Cambria" w:hAnsi="Cambria"/>
          <w:sz w:val="21"/>
          <w:szCs w:val="21"/>
          <w:lang w:val="es-AR"/>
        </w:rPr>
      </w:pPr>
    </w:p>
    <w:p w:rsidR="00007FC4" w:rsidRPr="00EC0D7E" w:rsidRDefault="00007FC4" w:rsidP="00A94D9B">
      <w:pPr>
        <w:pStyle w:val="ListParagraph"/>
        <w:numPr>
          <w:ilvl w:val="0"/>
          <w:numId w:val="1"/>
        </w:numPr>
        <w:ind w:left="0" w:firstLine="360"/>
        <w:jc w:val="both"/>
        <w:rPr>
          <w:rFonts w:ascii="Cambria" w:hAnsi="Cambria"/>
          <w:sz w:val="21"/>
          <w:szCs w:val="21"/>
          <w:lang w:val="es-MX"/>
        </w:rPr>
      </w:pPr>
      <w:r w:rsidRPr="00EC0D7E">
        <w:rPr>
          <w:rFonts w:ascii="Cambria" w:hAnsi="Cambria"/>
          <w:sz w:val="21"/>
          <w:szCs w:val="21"/>
          <w:lang w:val="es-MX"/>
        </w:rPr>
        <w:t xml:space="preserve">La Comisión considera que el presente asunto reúne </w:t>
      </w:r>
      <w:r w:rsidRPr="00EC0D7E">
        <w:rPr>
          <w:rFonts w:ascii="Cambria" w:hAnsi="Cambria"/>
          <w:i/>
          <w:sz w:val="21"/>
          <w:szCs w:val="21"/>
          <w:lang w:val="es-MX"/>
        </w:rPr>
        <w:t>prima facie</w:t>
      </w:r>
      <w:r w:rsidRPr="00EC0D7E">
        <w:rPr>
          <w:rFonts w:ascii="Cambria" w:hAnsi="Cambria"/>
          <w:sz w:val="21"/>
          <w:szCs w:val="21"/>
          <w:lang w:val="es-MX"/>
        </w:rPr>
        <w:t xml:space="preserve"> los requisitos de gravedad, urgencia e irreparabilidad contenidos en el artículo 25 de su Reglamento. En consecuencia, la Comisión solicita </w:t>
      </w:r>
      <w:r w:rsidR="00DF5EF3" w:rsidRPr="00EC0D7E">
        <w:rPr>
          <w:rFonts w:ascii="Cambria" w:hAnsi="Cambria"/>
          <w:sz w:val="21"/>
          <w:szCs w:val="21"/>
          <w:lang w:val="es-MX"/>
        </w:rPr>
        <w:t>a Colombia</w:t>
      </w:r>
      <w:r w:rsidRPr="00EC0D7E">
        <w:rPr>
          <w:rFonts w:ascii="Cambria" w:hAnsi="Cambria"/>
          <w:sz w:val="21"/>
          <w:szCs w:val="21"/>
          <w:lang w:val="es-MX"/>
        </w:rPr>
        <w:t xml:space="preserve"> que:</w:t>
      </w:r>
    </w:p>
    <w:p w:rsidR="00F22460" w:rsidRPr="00EC0D7E" w:rsidRDefault="00F22460" w:rsidP="00A94D9B">
      <w:pPr>
        <w:jc w:val="both"/>
        <w:rPr>
          <w:rFonts w:ascii="Cambria" w:hAnsi="Cambria"/>
          <w:sz w:val="21"/>
          <w:szCs w:val="21"/>
          <w:lang w:val="es-MX"/>
        </w:rPr>
      </w:pPr>
    </w:p>
    <w:p w:rsidR="00F22460" w:rsidRPr="00EC0D7E" w:rsidRDefault="00F22460" w:rsidP="00DF5EF3">
      <w:pPr>
        <w:pStyle w:val="ListParagraph"/>
        <w:numPr>
          <w:ilvl w:val="0"/>
          <w:numId w:val="22"/>
        </w:numPr>
        <w:jc w:val="both"/>
        <w:rPr>
          <w:rFonts w:ascii="Cambria" w:hAnsi="Cambria"/>
          <w:sz w:val="21"/>
          <w:szCs w:val="21"/>
          <w:lang w:val="es-MX"/>
        </w:rPr>
      </w:pPr>
      <w:r w:rsidRPr="00EC0D7E">
        <w:rPr>
          <w:rFonts w:ascii="Cambria" w:hAnsi="Cambria"/>
          <w:sz w:val="21"/>
          <w:szCs w:val="21"/>
          <w:lang w:val="es-MX"/>
        </w:rPr>
        <w:t>adopte las medid</w:t>
      </w:r>
      <w:r w:rsidR="006A34D7" w:rsidRPr="00EC0D7E">
        <w:rPr>
          <w:rFonts w:ascii="Cambria" w:hAnsi="Cambria"/>
          <w:sz w:val="21"/>
          <w:szCs w:val="21"/>
          <w:lang w:val="es-MX"/>
        </w:rPr>
        <w:t>as necesarias para garantizar los derechos a la</w:t>
      </w:r>
      <w:r w:rsidRPr="00EC0D7E">
        <w:rPr>
          <w:rFonts w:ascii="Cambria" w:hAnsi="Cambria"/>
          <w:sz w:val="21"/>
          <w:szCs w:val="21"/>
          <w:lang w:val="es-MX"/>
        </w:rPr>
        <w:t xml:space="preserve"> vida e integridad personal del señor </w:t>
      </w:r>
      <w:r w:rsidR="00DF5EF3" w:rsidRPr="00EC0D7E">
        <w:rPr>
          <w:rFonts w:ascii="Cambria" w:hAnsi="Cambria"/>
          <w:sz w:val="21"/>
          <w:szCs w:val="21"/>
          <w:lang w:val="es-ES_tradnl"/>
        </w:rPr>
        <w:t>Daniel Silva Orrego</w:t>
      </w:r>
      <w:r w:rsidR="00A26A56" w:rsidRPr="00EC0D7E">
        <w:rPr>
          <w:rFonts w:ascii="Cambria" w:hAnsi="Cambria"/>
          <w:sz w:val="21"/>
          <w:szCs w:val="21"/>
          <w:lang w:val="es-MX"/>
        </w:rPr>
        <w:t xml:space="preserve">. </w:t>
      </w:r>
      <w:r w:rsidR="006A34D7" w:rsidRPr="00EC0D7E">
        <w:rPr>
          <w:rFonts w:ascii="Cambria" w:hAnsi="Cambria"/>
          <w:sz w:val="21"/>
          <w:szCs w:val="21"/>
          <w:lang w:val="es-MX"/>
        </w:rPr>
        <w:t>En particular, asegurándose que las medidas de protección correspondientes sean eficaces e idóneas, conforme los estándares internacionales aplicables;</w:t>
      </w:r>
    </w:p>
    <w:p w:rsidR="006A34D7" w:rsidRPr="00EC0D7E" w:rsidRDefault="006A34D7" w:rsidP="006A34D7">
      <w:pPr>
        <w:pStyle w:val="ListParagraph"/>
        <w:jc w:val="both"/>
        <w:rPr>
          <w:rFonts w:ascii="Cambria" w:hAnsi="Cambria"/>
          <w:sz w:val="21"/>
          <w:szCs w:val="21"/>
          <w:lang w:val="es-MX"/>
        </w:rPr>
      </w:pPr>
    </w:p>
    <w:p w:rsidR="006A34D7" w:rsidRPr="00EC0D7E" w:rsidRDefault="006A34D7" w:rsidP="006A34D7">
      <w:pPr>
        <w:pStyle w:val="ListParagraph"/>
        <w:numPr>
          <w:ilvl w:val="0"/>
          <w:numId w:val="22"/>
        </w:numPr>
        <w:jc w:val="both"/>
        <w:rPr>
          <w:rFonts w:ascii="Cambria" w:hAnsi="Cambria"/>
          <w:sz w:val="21"/>
          <w:szCs w:val="21"/>
          <w:lang w:val="es-MX"/>
        </w:rPr>
      </w:pPr>
      <w:r w:rsidRPr="00EC0D7E">
        <w:rPr>
          <w:rFonts w:ascii="Cambria" w:hAnsi="Cambria"/>
          <w:sz w:val="21"/>
          <w:szCs w:val="21"/>
          <w:lang w:val="es-MX"/>
        </w:rPr>
        <w:t>adopte las medidas necesarias para garantizar que el señor Daniel Silva Orrego pueda seguir desempeña</w:t>
      </w:r>
      <w:r w:rsidR="00C7377C" w:rsidRPr="00EC0D7E">
        <w:rPr>
          <w:rFonts w:ascii="Cambria" w:hAnsi="Cambria"/>
          <w:sz w:val="21"/>
          <w:szCs w:val="21"/>
          <w:lang w:val="es-MX"/>
        </w:rPr>
        <w:t>ndo sus labores como periodista</w:t>
      </w:r>
      <w:r w:rsidRPr="00EC0D7E">
        <w:rPr>
          <w:rFonts w:ascii="Cambria" w:hAnsi="Cambria"/>
          <w:sz w:val="21"/>
          <w:szCs w:val="21"/>
          <w:lang w:val="es-MX"/>
        </w:rPr>
        <w:t xml:space="preserve"> sin ser objeto de amenazas, hostigamientos o actos de violencia en el ejercicio de las mismas;</w:t>
      </w:r>
    </w:p>
    <w:p w:rsidR="00F22460" w:rsidRPr="00EC0D7E" w:rsidRDefault="00F22460" w:rsidP="00A26A56">
      <w:pPr>
        <w:jc w:val="both"/>
        <w:rPr>
          <w:rFonts w:ascii="Cambria" w:hAnsi="Cambria"/>
          <w:sz w:val="21"/>
          <w:szCs w:val="21"/>
          <w:lang w:val="es-MX"/>
        </w:rPr>
      </w:pPr>
    </w:p>
    <w:p w:rsidR="00F22460" w:rsidRPr="00EC0D7E" w:rsidRDefault="00F22460" w:rsidP="00F22460">
      <w:pPr>
        <w:pStyle w:val="ListParagraph"/>
        <w:numPr>
          <w:ilvl w:val="0"/>
          <w:numId w:val="22"/>
        </w:numPr>
        <w:jc w:val="both"/>
        <w:rPr>
          <w:rFonts w:ascii="Cambria" w:hAnsi="Cambria"/>
          <w:sz w:val="21"/>
          <w:szCs w:val="21"/>
          <w:lang w:val="es-MX"/>
        </w:rPr>
      </w:pPr>
      <w:r w:rsidRPr="00EC0D7E">
        <w:rPr>
          <w:rFonts w:ascii="Cambria" w:hAnsi="Cambria"/>
          <w:sz w:val="21"/>
          <w:szCs w:val="21"/>
          <w:lang w:val="es-ES_tradnl"/>
        </w:rPr>
        <w:t>concierte las medidas a implementarse con el beneficiario y sus representantes; y</w:t>
      </w:r>
    </w:p>
    <w:p w:rsidR="00F22460" w:rsidRPr="00EC0D7E" w:rsidRDefault="00F22460" w:rsidP="00F22460">
      <w:pPr>
        <w:pStyle w:val="ListParagraph"/>
        <w:jc w:val="both"/>
        <w:rPr>
          <w:rFonts w:ascii="Cambria" w:hAnsi="Cambria"/>
          <w:sz w:val="21"/>
          <w:szCs w:val="21"/>
          <w:lang w:val="es-MX"/>
        </w:rPr>
      </w:pPr>
    </w:p>
    <w:p w:rsidR="00007FC4" w:rsidRPr="00EC0D7E" w:rsidRDefault="00F22460" w:rsidP="00F22460">
      <w:pPr>
        <w:pStyle w:val="ListParagraph"/>
        <w:numPr>
          <w:ilvl w:val="0"/>
          <w:numId w:val="22"/>
        </w:numPr>
        <w:jc w:val="both"/>
        <w:rPr>
          <w:rFonts w:ascii="Cambria" w:hAnsi="Cambria"/>
          <w:sz w:val="21"/>
          <w:szCs w:val="21"/>
          <w:lang w:val="es-MX"/>
        </w:rPr>
      </w:pPr>
      <w:r w:rsidRPr="00EC0D7E">
        <w:rPr>
          <w:rFonts w:ascii="Cambria" w:hAnsi="Cambria"/>
          <w:sz w:val="21"/>
          <w:szCs w:val="21"/>
          <w:lang w:val="es-ES_tradnl"/>
        </w:rPr>
        <w:t>informe sobre las acciones adelantadas a fin de investigar los presuntos hechos que dieron lugar a la adopción de la presente resolución</w:t>
      </w:r>
      <w:r w:rsidR="00FA2DC6" w:rsidRPr="00EC0D7E">
        <w:rPr>
          <w:rFonts w:ascii="Cambria" w:hAnsi="Cambria"/>
          <w:sz w:val="21"/>
          <w:szCs w:val="21"/>
          <w:lang w:val="es-ES_tradnl"/>
        </w:rPr>
        <w:t xml:space="preserve">, teniendo el contexto en que se insertarían, </w:t>
      </w:r>
      <w:r w:rsidRPr="00EC0D7E">
        <w:rPr>
          <w:rFonts w:ascii="Cambria" w:hAnsi="Cambria"/>
          <w:sz w:val="21"/>
          <w:szCs w:val="21"/>
          <w:lang w:val="es-ES_tradnl"/>
        </w:rPr>
        <w:t>y así evitar su repetición.</w:t>
      </w:r>
    </w:p>
    <w:p w:rsidR="00F22460" w:rsidRPr="00EC0D7E" w:rsidRDefault="00F22460" w:rsidP="00F22460">
      <w:pPr>
        <w:pStyle w:val="ListParagraph"/>
        <w:jc w:val="both"/>
        <w:rPr>
          <w:rFonts w:ascii="Cambria" w:hAnsi="Cambria"/>
          <w:sz w:val="21"/>
          <w:szCs w:val="21"/>
          <w:lang w:val="es-MX"/>
        </w:rPr>
      </w:pPr>
    </w:p>
    <w:p w:rsidR="00007FC4" w:rsidRPr="00EC0D7E" w:rsidRDefault="00007FC4" w:rsidP="00A94D9B">
      <w:pPr>
        <w:pStyle w:val="ListParagraph"/>
        <w:numPr>
          <w:ilvl w:val="0"/>
          <w:numId w:val="1"/>
        </w:numPr>
        <w:ind w:left="0" w:firstLine="360"/>
        <w:jc w:val="both"/>
        <w:rPr>
          <w:rFonts w:ascii="Cambria" w:hAnsi="Cambria"/>
          <w:sz w:val="21"/>
          <w:szCs w:val="21"/>
          <w:lang w:val="es-AR"/>
        </w:rPr>
      </w:pPr>
      <w:r w:rsidRPr="00EC0D7E">
        <w:rPr>
          <w:rFonts w:ascii="Cambria" w:hAnsi="Cambria"/>
          <w:sz w:val="21"/>
          <w:szCs w:val="21"/>
          <w:lang w:val="es-ES"/>
        </w:rPr>
        <w:t xml:space="preserve">La Comisión solicita al Gobierno de </w:t>
      </w:r>
      <w:r w:rsidR="006A34D7" w:rsidRPr="00EC0D7E">
        <w:rPr>
          <w:rFonts w:ascii="Cambria" w:hAnsi="Cambria"/>
          <w:sz w:val="21"/>
          <w:szCs w:val="21"/>
          <w:lang w:val="es-ES"/>
        </w:rPr>
        <w:t>Colombia</w:t>
      </w:r>
      <w:r w:rsidRPr="00EC0D7E">
        <w:rPr>
          <w:rFonts w:ascii="Cambria" w:hAnsi="Cambria"/>
          <w:sz w:val="21"/>
          <w:szCs w:val="21"/>
          <w:lang w:val="es-ES"/>
        </w:rPr>
        <w:t xml:space="preserve"> que informe, dentro del plazo de </w:t>
      </w:r>
      <w:r w:rsidR="00A26A56" w:rsidRPr="00EC0D7E">
        <w:rPr>
          <w:rFonts w:ascii="Cambria" w:hAnsi="Cambria"/>
          <w:sz w:val="21"/>
          <w:szCs w:val="21"/>
          <w:lang w:val="es-ES"/>
        </w:rPr>
        <w:t>15</w:t>
      </w:r>
      <w:r w:rsidRPr="00EC0D7E">
        <w:rPr>
          <w:rFonts w:ascii="Cambria" w:hAnsi="Cambria"/>
          <w:sz w:val="21"/>
          <w:szCs w:val="21"/>
          <w:lang w:val="es-ES"/>
        </w:rPr>
        <w:t xml:space="preserve"> días</w:t>
      </w:r>
      <w:r w:rsidR="00F22460" w:rsidRPr="00EC0D7E">
        <w:rPr>
          <w:rFonts w:ascii="Cambria" w:hAnsi="Cambria"/>
          <w:sz w:val="21"/>
          <w:szCs w:val="21"/>
          <w:lang w:val="es-ES"/>
        </w:rPr>
        <w:t>,</w:t>
      </w:r>
      <w:r w:rsidRPr="00EC0D7E">
        <w:rPr>
          <w:rFonts w:ascii="Cambria" w:hAnsi="Cambria"/>
          <w:sz w:val="21"/>
          <w:szCs w:val="21"/>
          <w:lang w:val="es-ES"/>
        </w:rPr>
        <w:t xml:space="preserve"> contados a partir de la fecha de la presente resolución, sobre la adopción de las medidas cautelares requeridas y actualizar dicha información en forma periódica. </w:t>
      </w:r>
    </w:p>
    <w:p w:rsidR="00007FC4" w:rsidRPr="00EC0D7E" w:rsidRDefault="00007FC4" w:rsidP="00A94D9B">
      <w:pPr>
        <w:ind w:left="360"/>
        <w:jc w:val="both"/>
        <w:rPr>
          <w:rFonts w:ascii="Cambria" w:hAnsi="Cambria"/>
          <w:sz w:val="21"/>
          <w:szCs w:val="21"/>
          <w:lang w:val="es-AR"/>
        </w:rPr>
      </w:pPr>
    </w:p>
    <w:p w:rsidR="00007FC4" w:rsidRPr="00EC0D7E" w:rsidRDefault="00007FC4" w:rsidP="00A94D9B">
      <w:pPr>
        <w:pStyle w:val="ListParagraph"/>
        <w:numPr>
          <w:ilvl w:val="0"/>
          <w:numId w:val="1"/>
        </w:numPr>
        <w:ind w:left="0" w:firstLine="360"/>
        <w:jc w:val="both"/>
        <w:rPr>
          <w:rFonts w:ascii="Cambria" w:hAnsi="Cambria"/>
          <w:sz w:val="21"/>
          <w:szCs w:val="21"/>
          <w:lang w:val="es-AR"/>
        </w:rPr>
      </w:pPr>
      <w:r w:rsidRPr="00EC0D7E">
        <w:rPr>
          <w:rFonts w:ascii="Cambria" w:hAnsi="Cambria"/>
          <w:sz w:val="21"/>
          <w:szCs w:val="21"/>
          <w:lang w:val="es-ES"/>
        </w:rPr>
        <w:t>La Comisión resalta que</w:t>
      </w:r>
      <w:r w:rsidR="00F22460" w:rsidRPr="00EC0D7E">
        <w:rPr>
          <w:rFonts w:ascii="Cambria" w:hAnsi="Cambria"/>
          <w:sz w:val="21"/>
          <w:szCs w:val="21"/>
          <w:lang w:val="es-ES"/>
        </w:rPr>
        <w:t>,</w:t>
      </w:r>
      <w:r w:rsidRPr="00EC0D7E">
        <w:rPr>
          <w:rFonts w:ascii="Cambria" w:hAnsi="Cambria"/>
          <w:sz w:val="21"/>
          <w:szCs w:val="21"/>
          <w:lang w:val="es-ES"/>
        </w:rPr>
        <w:t xml:space="preserve"> de acuerdo con el artículo 25 (8) de su Reglamento, el otorgamiento</w:t>
      </w:r>
      <w:r w:rsidR="00F22460" w:rsidRPr="00EC0D7E">
        <w:rPr>
          <w:rFonts w:ascii="Cambria" w:hAnsi="Cambria"/>
          <w:sz w:val="21"/>
          <w:szCs w:val="21"/>
          <w:lang w:val="es-ES"/>
        </w:rPr>
        <w:t xml:space="preserve"> de la presente medida cautelar</w:t>
      </w:r>
      <w:r w:rsidRPr="00EC0D7E">
        <w:rPr>
          <w:rFonts w:ascii="Cambria" w:hAnsi="Cambria"/>
          <w:sz w:val="21"/>
          <w:szCs w:val="21"/>
          <w:lang w:val="es-ES"/>
        </w:rPr>
        <w:t xml:space="preserve"> y su adopción por el Estado no constituyen prejuzgamiento sobre violación alguna a los derechos protegidos en la </w:t>
      </w:r>
      <w:r w:rsidR="006A34D7" w:rsidRPr="00EC0D7E">
        <w:rPr>
          <w:rFonts w:ascii="Cambria" w:hAnsi="Cambria"/>
          <w:sz w:val="21"/>
          <w:szCs w:val="21"/>
          <w:lang w:val="es-ES"/>
        </w:rPr>
        <w:t xml:space="preserve">Convención Americana </w:t>
      </w:r>
      <w:r w:rsidRPr="00EC0D7E">
        <w:rPr>
          <w:rFonts w:ascii="Cambria" w:hAnsi="Cambria"/>
          <w:sz w:val="21"/>
          <w:szCs w:val="21"/>
          <w:lang w:val="es-ES"/>
        </w:rPr>
        <w:t xml:space="preserve">y otros instrumentos aplicables. </w:t>
      </w:r>
    </w:p>
    <w:p w:rsidR="00007FC4" w:rsidRPr="00EC0D7E" w:rsidRDefault="00007FC4" w:rsidP="00A94D9B">
      <w:pPr>
        <w:ind w:left="360"/>
        <w:jc w:val="both"/>
        <w:rPr>
          <w:rFonts w:ascii="Cambria" w:hAnsi="Cambria"/>
          <w:sz w:val="21"/>
          <w:szCs w:val="21"/>
          <w:lang w:val="es-AR"/>
        </w:rPr>
      </w:pPr>
    </w:p>
    <w:p w:rsidR="00007FC4" w:rsidRPr="00EC0D7E" w:rsidRDefault="00007FC4" w:rsidP="00A94D9B">
      <w:pPr>
        <w:pStyle w:val="ListParagraph"/>
        <w:numPr>
          <w:ilvl w:val="0"/>
          <w:numId w:val="1"/>
        </w:numPr>
        <w:ind w:left="0" w:firstLine="360"/>
        <w:jc w:val="both"/>
        <w:rPr>
          <w:rFonts w:ascii="Cambria" w:hAnsi="Cambria"/>
          <w:sz w:val="21"/>
          <w:szCs w:val="21"/>
          <w:lang w:val="es-AR"/>
        </w:rPr>
      </w:pPr>
      <w:r w:rsidRPr="00EC0D7E">
        <w:rPr>
          <w:rFonts w:ascii="Cambria" w:hAnsi="Cambria"/>
          <w:sz w:val="21"/>
          <w:szCs w:val="21"/>
          <w:lang w:val="es-AR"/>
        </w:rPr>
        <w:t xml:space="preserve">La Comisión </w:t>
      </w:r>
      <w:r w:rsidR="00040B70" w:rsidRPr="00EC0D7E">
        <w:rPr>
          <w:rFonts w:ascii="Cambria" w:hAnsi="Cambria"/>
          <w:sz w:val="21"/>
          <w:szCs w:val="21"/>
          <w:lang w:val="es-AR"/>
        </w:rPr>
        <w:t>instruye a</w:t>
      </w:r>
      <w:r w:rsidRPr="00EC0D7E">
        <w:rPr>
          <w:rFonts w:ascii="Cambria" w:hAnsi="Cambria"/>
          <w:sz w:val="21"/>
          <w:szCs w:val="21"/>
          <w:lang w:val="es-AR"/>
        </w:rPr>
        <w:t xml:space="preserve"> la Secretaría Ejecutiva de la CIDH </w:t>
      </w:r>
      <w:r w:rsidR="00040B70" w:rsidRPr="00EC0D7E">
        <w:rPr>
          <w:rFonts w:ascii="Cambria" w:hAnsi="Cambria"/>
          <w:sz w:val="21"/>
          <w:szCs w:val="21"/>
          <w:lang w:val="es-AR"/>
        </w:rPr>
        <w:t xml:space="preserve">que </w:t>
      </w:r>
      <w:r w:rsidRPr="00EC0D7E">
        <w:rPr>
          <w:rFonts w:ascii="Cambria" w:hAnsi="Cambria"/>
          <w:sz w:val="21"/>
          <w:szCs w:val="21"/>
          <w:lang w:val="es-AR"/>
        </w:rPr>
        <w:t xml:space="preserve">notifique la presente resolución al Estado de </w:t>
      </w:r>
      <w:r w:rsidR="006A34D7" w:rsidRPr="00EC0D7E">
        <w:rPr>
          <w:rFonts w:ascii="Cambria" w:hAnsi="Cambria"/>
          <w:sz w:val="21"/>
          <w:szCs w:val="21"/>
          <w:lang w:val="es-ES"/>
        </w:rPr>
        <w:t>Colombia</w:t>
      </w:r>
      <w:r w:rsidR="006A34D7" w:rsidRPr="00EC0D7E">
        <w:rPr>
          <w:rFonts w:ascii="Cambria" w:hAnsi="Cambria"/>
          <w:sz w:val="21"/>
          <w:szCs w:val="21"/>
          <w:lang w:val="es-AR"/>
        </w:rPr>
        <w:t xml:space="preserve"> y al solicitante</w:t>
      </w:r>
      <w:r w:rsidRPr="00EC0D7E">
        <w:rPr>
          <w:rFonts w:ascii="Cambria" w:hAnsi="Cambria"/>
          <w:sz w:val="21"/>
          <w:szCs w:val="21"/>
          <w:lang w:val="es-AR"/>
        </w:rPr>
        <w:t>.</w:t>
      </w:r>
    </w:p>
    <w:p w:rsidR="00007FC4" w:rsidRPr="00EC0D7E" w:rsidRDefault="00007FC4" w:rsidP="00A94D9B">
      <w:pPr>
        <w:ind w:left="360"/>
        <w:jc w:val="both"/>
        <w:rPr>
          <w:rFonts w:ascii="Cambria" w:hAnsi="Cambria"/>
          <w:sz w:val="21"/>
          <w:szCs w:val="21"/>
          <w:lang w:val="es-AR"/>
        </w:rPr>
      </w:pPr>
    </w:p>
    <w:p w:rsidR="00007FC4" w:rsidRDefault="00007FC4" w:rsidP="00A94D9B">
      <w:pPr>
        <w:pStyle w:val="ListParagraph"/>
        <w:numPr>
          <w:ilvl w:val="0"/>
          <w:numId w:val="1"/>
        </w:numPr>
        <w:ind w:left="0" w:firstLine="360"/>
        <w:jc w:val="both"/>
        <w:rPr>
          <w:rFonts w:ascii="Cambria" w:hAnsi="Cambria"/>
          <w:sz w:val="21"/>
          <w:szCs w:val="21"/>
          <w:lang w:val="es-AR"/>
        </w:rPr>
      </w:pPr>
      <w:r w:rsidRPr="00EC0D7E">
        <w:rPr>
          <w:rFonts w:ascii="Cambria" w:hAnsi="Cambria"/>
          <w:sz w:val="21"/>
          <w:szCs w:val="21"/>
          <w:lang w:val="es-ES"/>
        </w:rPr>
        <w:t>Aprobado</w:t>
      </w:r>
      <w:r w:rsidRPr="00EC0D7E">
        <w:rPr>
          <w:rFonts w:ascii="Cambria" w:hAnsi="Cambria"/>
          <w:sz w:val="21"/>
          <w:szCs w:val="21"/>
          <w:lang w:val="es-AR"/>
        </w:rPr>
        <w:t xml:space="preserve"> el </w:t>
      </w:r>
      <w:r w:rsidR="00A10887">
        <w:rPr>
          <w:rFonts w:ascii="Cambria" w:hAnsi="Cambria"/>
          <w:sz w:val="21"/>
          <w:szCs w:val="21"/>
          <w:lang w:val="es-AR"/>
        </w:rPr>
        <w:t>5</w:t>
      </w:r>
      <w:r w:rsidRPr="00EC0D7E">
        <w:rPr>
          <w:rFonts w:ascii="Cambria" w:hAnsi="Cambria"/>
          <w:sz w:val="21"/>
          <w:szCs w:val="21"/>
          <w:lang w:val="es-AR"/>
        </w:rPr>
        <w:t xml:space="preserve"> de </w:t>
      </w:r>
      <w:r w:rsidR="00A10887">
        <w:rPr>
          <w:rFonts w:ascii="Cambria" w:hAnsi="Cambria"/>
          <w:sz w:val="21"/>
          <w:szCs w:val="21"/>
          <w:lang w:val="es-AR"/>
        </w:rPr>
        <w:t>mayo</w:t>
      </w:r>
      <w:r w:rsidRPr="00EC0D7E">
        <w:rPr>
          <w:rFonts w:ascii="Cambria" w:hAnsi="Cambria"/>
          <w:sz w:val="21"/>
          <w:szCs w:val="21"/>
          <w:lang w:val="es-AR"/>
        </w:rPr>
        <w:t xml:space="preserve"> de 201</w:t>
      </w:r>
      <w:r w:rsidR="00A26A56" w:rsidRPr="00EC0D7E">
        <w:rPr>
          <w:rFonts w:ascii="Cambria" w:hAnsi="Cambria"/>
          <w:sz w:val="21"/>
          <w:szCs w:val="21"/>
          <w:lang w:val="es-AR"/>
        </w:rPr>
        <w:t>8</w:t>
      </w:r>
      <w:r w:rsidRPr="00EC0D7E">
        <w:rPr>
          <w:rFonts w:ascii="Cambria" w:hAnsi="Cambria"/>
          <w:sz w:val="21"/>
          <w:szCs w:val="21"/>
          <w:lang w:val="es-AR"/>
        </w:rPr>
        <w:t xml:space="preserve"> por: </w:t>
      </w:r>
      <w:r w:rsidR="00A10887">
        <w:rPr>
          <w:rFonts w:ascii="Cambria" w:hAnsi="Cambria"/>
          <w:sz w:val="21"/>
          <w:szCs w:val="21"/>
          <w:lang w:val="es-AR"/>
        </w:rPr>
        <w:t>Margarette May Macaulay, Presidenta; Esmeralda Arosemena de Troitiño, Primera Vicepresidenta; Francisco José Eguiguren Praeli; Joel Hernández García; Antonia Urrejola Noguera; Flávia Piovesan, miembros de la CIDH.</w:t>
      </w:r>
    </w:p>
    <w:p w:rsidR="00A10887" w:rsidRDefault="00A10887" w:rsidP="00A10887">
      <w:pPr>
        <w:jc w:val="both"/>
        <w:rPr>
          <w:rFonts w:ascii="Cambria" w:hAnsi="Cambria"/>
          <w:sz w:val="21"/>
          <w:szCs w:val="21"/>
          <w:lang w:val="es-AR"/>
        </w:rPr>
      </w:pPr>
    </w:p>
    <w:p w:rsidR="00A10887" w:rsidRDefault="00A10887" w:rsidP="00A10887">
      <w:pPr>
        <w:jc w:val="both"/>
        <w:rPr>
          <w:rFonts w:ascii="Cambria" w:hAnsi="Cambria"/>
          <w:sz w:val="21"/>
          <w:szCs w:val="21"/>
          <w:lang w:val="es-AR"/>
        </w:rPr>
      </w:pPr>
    </w:p>
    <w:p w:rsidR="00A10887" w:rsidRDefault="00A10887" w:rsidP="00A10887">
      <w:pPr>
        <w:jc w:val="both"/>
        <w:rPr>
          <w:rFonts w:ascii="Cambria" w:hAnsi="Cambria"/>
          <w:sz w:val="21"/>
          <w:szCs w:val="21"/>
          <w:lang w:val="es-AR"/>
        </w:rPr>
      </w:pPr>
    </w:p>
    <w:p w:rsidR="00A10887" w:rsidRDefault="00A10887" w:rsidP="00A10887">
      <w:pPr>
        <w:jc w:val="both"/>
        <w:rPr>
          <w:rFonts w:ascii="Cambria" w:hAnsi="Cambria"/>
          <w:sz w:val="21"/>
          <w:szCs w:val="21"/>
          <w:lang w:val="es-AR"/>
        </w:rPr>
      </w:pPr>
    </w:p>
    <w:p w:rsidR="00A10887" w:rsidRDefault="00A10887" w:rsidP="00A10887">
      <w:pPr>
        <w:jc w:val="both"/>
        <w:rPr>
          <w:rFonts w:ascii="Cambria" w:hAnsi="Cambria"/>
          <w:sz w:val="21"/>
          <w:szCs w:val="21"/>
          <w:lang w:val="es-AR"/>
        </w:rPr>
      </w:pPr>
    </w:p>
    <w:p w:rsidR="00A10887" w:rsidRDefault="00A10887" w:rsidP="00A10887">
      <w:pPr>
        <w:jc w:val="center"/>
        <w:rPr>
          <w:rFonts w:ascii="Cambria" w:hAnsi="Cambria"/>
          <w:sz w:val="21"/>
          <w:szCs w:val="21"/>
          <w:lang w:val="es-AR"/>
        </w:rPr>
      </w:pPr>
    </w:p>
    <w:p w:rsidR="00A10887" w:rsidRDefault="00A10887" w:rsidP="00A10887">
      <w:pPr>
        <w:jc w:val="center"/>
        <w:rPr>
          <w:rFonts w:ascii="Cambria" w:hAnsi="Cambria"/>
          <w:sz w:val="21"/>
          <w:szCs w:val="21"/>
          <w:lang w:val="es-AR"/>
        </w:rPr>
      </w:pPr>
    </w:p>
    <w:p w:rsidR="00A10887" w:rsidRDefault="00A10887" w:rsidP="00A10887">
      <w:pPr>
        <w:jc w:val="center"/>
        <w:rPr>
          <w:rFonts w:ascii="Cambria" w:hAnsi="Cambria"/>
          <w:sz w:val="21"/>
          <w:szCs w:val="21"/>
          <w:lang w:val="es-AR"/>
        </w:rPr>
      </w:pPr>
      <w:r>
        <w:rPr>
          <w:rFonts w:ascii="Cambria" w:hAnsi="Cambria"/>
          <w:sz w:val="21"/>
          <w:szCs w:val="21"/>
          <w:lang w:val="es-AR"/>
        </w:rPr>
        <w:t>Elizabeth Abi-Mershed</w:t>
      </w:r>
    </w:p>
    <w:p w:rsidR="00A10887" w:rsidRPr="00A10887" w:rsidRDefault="00A10887" w:rsidP="00A10887">
      <w:pPr>
        <w:jc w:val="center"/>
        <w:rPr>
          <w:rFonts w:ascii="Cambria" w:hAnsi="Cambria"/>
          <w:sz w:val="21"/>
          <w:szCs w:val="21"/>
          <w:lang w:val="es-AR"/>
        </w:rPr>
      </w:pPr>
      <w:r>
        <w:rPr>
          <w:rFonts w:ascii="Cambria" w:hAnsi="Cambria"/>
          <w:sz w:val="21"/>
          <w:szCs w:val="21"/>
          <w:lang w:val="es-AR"/>
        </w:rPr>
        <w:t>Secretaria Ejecutiva Adjunta</w:t>
      </w:r>
    </w:p>
    <w:p w:rsidR="00071D13" w:rsidRDefault="00071D13" w:rsidP="00071D13">
      <w:pPr>
        <w:jc w:val="both"/>
        <w:rPr>
          <w:rFonts w:ascii="Cambria" w:hAnsi="Cambria"/>
          <w:sz w:val="21"/>
          <w:szCs w:val="21"/>
          <w:lang w:val="es-AR"/>
        </w:rPr>
      </w:pPr>
    </w:p>
    <w:p w:rsidR="00071D13" w:rsidRDefault="00071D13" w:rsidP="00071D13">
      <w:pPr>
        <w:jc w:val="both"/>
        <w:rPr>
          <w:rFonts w:ascii="Cambria" w:hAnsi="Cambria"/>
          <w:sz w:val="21"/>
          <w:szCs w:val="21"/>
          <w:lang w:val="es-AR"/>
        </w:rPr>
      </w:pPr>
    </w:p>
    <w:p w:rsidR="00007FC4" w:rsidRPr="00007FC4" w:rsidRDefault="00007FC4" w:rsidP="00A94D9B">
      <w:pPr>
        <w:jc w:val="both"/>
        <w:rPr>
          <w:rFonts w:ascii="Cambria" w:hAnsi="Cambria"/>
          <w:sz w:val="21"/>
          <w:szCs w:val="21"/>
          <w:lang w:val="es-MX"/>
        </w:rPr>
      </w:pPr>
    </w:p>
    <w:p w:rsidR="00007FC4" w:rsidRPr="004D39D1" w:rsidRDefault="00007FC4" w:rsidP="00A94D9B">
      <w:pPr>
        <w:ind w:left="360"/>
        <w:jc w:val="both"/>
        <w:rPr>
          <w:rFonts w:ascii="Cambria" w:hAnsi="Cambria"/>
          <w:sz w:val="21"/>
          <w:szCs w:val="21"/>
          <w:lang w:val="es-MX"/>
        </w:rPr>
      </w:pPr>
    </w:p>
    <w:p w:rsidR="00762197" w:rsidRPr="00600793" w:rsidRDefault="00762197" w:rsidP="00A94D9B">
      <w:pPr>
        <w:pStyle w:val="ListParagraph"/>
        <w:ind w:left="360"/>
        <w:jc w:val="both"/>
        <w:rPr>
          <w:rFonts w:ascii="Cambria" w:hAnsi="Cambria"/>
          <w:sz w:val="21"/>
          <w:szCs w:val="21"/>
          <w:lang w:val="es-MX"/>
        </w:rPr>
      </w:pPr>
    </w:p>
    <w:p w:rsidR="00817419" w:rsidRPr="00D13ED9" w:rsidRDefault="00817419" w:rsidP="00A94D9B">
      <w:pPr>
        <w:pStyle w:val="ListParagraph"/>
        <w:ind w:left="360"/>
        <w:jc w:val="both"/>
        <w:rPr>
          <w:rFonts w:ascii="Cambria" w:eastAsia="Calibri" w:hAnsi="Cambria"/>
          <w:sz w:val="21"/>
          <w:szCs w:val="21"/>
          <w:lang w:val="es-ES_tradnl"/>
        </w:rPr>
      </w:pPr>
    </w:p>
    <w:sectPr w:rsidR="00817419" w:rsidRPr="00D13ED9" w:rsidSect="00C522E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34D" w:rsidRDefault="000C034D" w:rsidP="00BF7D6A">
      <w:r>
        <w:separator/>
      </w:r>
    </w:p>
  </w:endnote>
  <w:endnote w:type="continuationSeparator" w:id="0">
    <w:p w:rsidR="000C034D" w:rsidRDefault="000C034D" w:rsidP="00BF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Batang">
    <w:altName w:val="바탕"/>
    <w:panose1 w:val="02030600000101010101"/>
    <w:charset w:val="81"/>
    <w:family w:val="auto"/>
    <w:notTrueType/>
    <w:pitch w:val="fixed"/>
    <w:sig w:usb0="00000001" w:usb1="09060000" w:usb2="00000010" w:usb3="00000000" w:csb0="00080000"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06" w:rsidRDefault="00E87006" w:rsidP="009575E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87006" w:rsidRDefault="00E870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06" w:rsidRPr="00C522EB" w:rsidRDefault="00E87006" w:rsidP="009575E3">
    <w:pPr>
      <w:pStyle w:val="Footer"/>
      <w:framePr w:wrap="none" w:vAnchor="text" w:hAnchor="margin" w:xAlign="center" w:y="1"/>
      <w:rPr>
        <w:rStyle w:val="PageNumber"/>
        <w:rFonts w:asciiTheme="majorHAnsi" w:hAnsiTheme="majorHAnsi"/>
        <w:sz w:val="16"/>
      </w:rPr>
    </w:pPr>
    <w:r w:rsidRPr="00C522EB">
      <w:rPr>
        <w:rStyle w:val="PageNumber"/>
        <w:rFonts w:asciiTheme="majorHAnsi" w:hAnsiTheme="majorHAnsi"/>
        <w:sz w:val="16"/>
      </w:rPr>
      <w:fldChar w:fldCharType="begin"/>
    </w:r>
    <w:r w:rsidRPr="00C522EB">
      <w:rPr>
        <w:rStyle w:val="PageNumber"/>
        <w:rFonts w:asciiTheme="majorHAnsi" w:hAnsiTheme="majorHAnsi"/>
        <w:sz w:val="16"/>
      </w:rPr>
      <w:instrText xml:space="preserve">PAGE  </w:instrText>
    </w:r>
    <w:r w:rsidRPr="00C522EB">
      <w:rPr>
        <w:rStyle w:val="PageNumber"/>
        <w:rFonts w:asciiTheme="majorHAnsi" w:hAnsiTheme="majorHAnsi"/>
        <w:sz w:val="16"/>
      </w:rPr>
      <w:fldChar w:fldCharType="separate"/>
    </w:r>
    <w:r w:rsidR="00823060">
      <w:rPr>
        <w:rStyle w:val="PageNumber"/>
        <w:rFonts w:asciiTheme="majorHAnsi" w:hAnsiTheme="majorHAnsi"/>
        <w:noProof/>
        <w:sz w:val="16"/>
      </w:rPr>
      <w:t>- 1 -</w:t>
    </w:r>
    <w:r w:rsidRPr="00C522EB">
      <w:rPr>
        <w:rStyle w:val="PageNumber"/>
        <w:rFonts w:asciiTheme="majorHAnsi" w:hAnsiTheme="majorHAnsi"/>
        <w:sz w:val="16"/>
      </w:rPr>
      <w:fldChar w:fldCharType="end"/>
    </w:r>
  </w:p>
  <w:p w:rsidR="00E87006" w:rsidRDefault="00E870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87" w:rsidRDefault="00A10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34D" w:rsidRDefault="000C034D" w:rsidP="00BF7D6A">
      <w:r>
        <w:separator/>
      </w:r>
    </w:p>
  </w:footnote>
  <w:footnote w:type="continuationSeparator" w:id="0">
    <w:p w:rsidR="000C034D" w:rsidRDefault="000C034D" w:rsidP="00BF7D6A">
      <w:r>
        <w:continuationSeparator/>
      </w:r>
    </w:p>
  </w:footnote>
  <w:footnote w:id="1">
    <w:p w:rsidR="007D385D" w:rsidRPr="007D385D" w:rsidRDefault="007D385D" w:rsidP="007D385D">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De conformidad con el artículo 17.2.a del Reglamento de la CIDH, el Comisionado Luis Ernesto Vargas Silva, de nacionalidad colombiana, no participó en el debate o deliberación del presente asunto.</w:t>
      </w:r>
    </w:p>
  </w:footnote>
  <w:footnote w:id="2">
    <w:p w:rsidR="00017369" w:rsidRPr="007D385D" w:rsidRDefault="00017369" w:rsidP="007D385D">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Adicionalmente, el 14 de octubre de 2017 habría sido elegido como Presidente Departamental del partido político de oposición “Polo Democrático Alternativo” en Risaralda. </w:t>
      </w:r>
    </w:p>
  </w:footnote>
  <w:footnote w:id="3">
    <w:p w:rsidR="00017369" w:rsidRPr="007D385D" w:rsidRDefault="00017369" w:rsidP="0079012A">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“Vea malparido, no queremos más investigaciones ni denuncias suyas. Queda advertido”. </w:t>
      </w:r>
    </w:p>
  </w:footnote>
  <w:footnote w:id="4">
    <w:p w:rsidR="00017369" w:rsidRPr="007D385D" w:rsidRDefault="00017369" w:rsidP="0079012A">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“De parte mia me pongo a disposicion con amigos y socios para aniquilar este abogado escoria dr gallo cuente conmigo para desaparecer este abogado las ratas se acaban con veneno!” (sic.). </w:t>
      </w:r>
    </w:p>
  </w:footnote>
  <w:footnote w:id="5">
    <w:p w:rsidR="00017369" w:rsidRPr="007D385D" w:rsidRDefault="00017369" w:rsidP="0079012A">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El propuesto beneficiario indicó también una lista de procesos de alto perfil en los cuales habría participado, en algunos incluso como demandante. Asimismo, su situación de riesgo y amenazas habrían sido recogidas por varios periódicos a nivel local y nacional. </w:t>
      </w:r>
    </w:p>
  </w:footnote>
  <w:footnote w:id="6">
    <w:p w:rsidR="00017369" w:rsidRPr="007D385D" w:rsidRDefault="00017369" w:rsidP="0079012A">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Se anexa a la solicitud. </w:t>
      </w:r>
    </w:p>
  </w:footnote>
  <w:footnote w:id="7">
    <w:p w:rsidR="00017369" w:rsidRPr="007D385D" w:rsidRDefault="00017369" w:rsidP="0079012A">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El 21 de diciembre de 2017, el propuesto beneficiario habría solicitado un vehículo con mayor cilindraje, respondiendo la UNP que no había disponibilidad. </w:t>
      </w:r>
    </w:p>
  </w:footnote>
  <w:footnote w:id="8">
    <w:p w:rsidR="00017369" w:rsidRPr="007D385D" w:rsidRDefault="00017369" w:rsidP="0079012A">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Se adjuntaron fotografías tomadas por cámaras de seguridad. </w:t>
      </w:r>
    </w:p>
  </w:footnote>
  <w:footnote w:id="9">
    <w:p w:rsidR="00017369" w:rsidRPr="007D385D" w:rsidRDefault="00017369" w:rsidP="0079012A">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“Perro hijo de puta siga investigando y denunciando lo del lote de santa rosa y vera que lo desaparecemos y picamos. Sapo malparido ya sabe. Le estamos siguiendo la pista” (sic.). </w:t>
      </w:r>
    </w:p>
  </w:footnote>
  <w:footnote w:id="10">
    <w:p w:rsidR="0052203A" w:rsidRPr="007D385D" w:rsidRDefault="0052203A" w:rsidP="0079012A">
      <w:pPr>
        <w:pStyle w:val="FootnoteText"/>
        <w:spacing w:after="0" w:line="240" w:lineRule="auto"/>
        <w:rPr>
          <w:rFonts w:asciiTheme="majorHAnsi" w:hAnsiTheme="majorHAnsi"/>
          <w:sz w:val="16"/>
          <w:szCs w:val="16"/>
          <w:lang w:val="es-MX"/>
        </w:rPr>
      </w:pPr>
      <w:r w:rsidRPr="007D385D">
        <w:rPr>
          <w:rStyle w:val="FootnoteReference"/>
          <w:rFonts w:asciiTheme="majorHAnsi" w:hAnsiTheme="majorHAnsi"/>
          <w:sz w:val="16"/>
          <w:szCs w:val="16"/>
        </w:rPr>
        <w:footnoteRef/>
      </w:r>
      <w:r w:rsidRPr="007D385D">
        <w:rPr>
          <w:rFonts w:asciiTheme="majorHAnsi" w:hAnsiTheme="majorHAnsi"/>
          <w:sz w:val="16"/>
          <w:szCs w:val="16"/>
          <w:lang w:val="es-MX"/>
        </w:rPr>
        <w:t xml:space="preserve"> Al respecto, por ejemplo, refiriéndose a las medidas provisionales, la Corte Interamericana ha considerado que tal estándar requiere un mínimo de detalle e información que permitan apreciar </w:t>
      </w:r>
      <w:r w:rsidRPr="007D385D">
        <w:rPr>
          <w:rFonts w:asciiTheme="majorHAnsi" w:hAnsiTheme="majorHAnsi"/>
          <w:i/>
          <w:sz w:val="16"/>
          <w:szCs w:val="16"/>
          <w:lang w:val="es-MX"/>
        </w:rPr>
        <w:t xml:space="preserve">prima facie </w:t>
      </w:r>
      <w:r w:rsidRPr="007D385D">
        <w:rPr>
          <w:rFonts w:asciiTheme="majorHAnsi" w:hAnsiTheme="majorHAnsi"/>
          <w:sz w:val="16"/>
          <w:szCs w:val="16"/>
          <w:lang w:val="es-MX"/>
        </w:rPr>
        <w:t xml:space="preserve">la situación de riesgo y urgencia. Corte IDH, </w:t>
      </w:r>
      <w:r w:rsidRPr="007D385D">
        <w:rPr>
          <w:rFonts w:asciiTheme="majorHAnsi" w:hAnsiTheme="majorHAnsi"/>
          <w:i/>
          <w:sz w:val="16"/>
          <w:szCs w:val="16"/>
          <w:lang w:val="es-MX"/>
        </w:rPr>
        <w:t>Asunto de los niños y adolescentes privados de libertad en el “Complexo do Tatuapé” de la Fundação CASA</w:t>
      </w:r>
      <w:r w:rsidRPr="007D385D">
        <w:rPr>
          <w:rFonts w:asciiTheme="majorHAnsi" w:hAnsiTheme="majorHAnsi"/>
          <w:sz w:val="16"/>
          <w:szCs w:val="16"/>
          <w:lang w:val="es-MX"/>
        </w:rPr>
        <w:t>. Solicitud de ampliación de medidas provisionales. Medidas Provisionales respecto de Brasil. Resolución de la Corte Interamericana de Derechos Humanos de 4 de julio de 2006. Considerando 23.</w:t>
      </w:r>
    </w:p>
  </w:footnote>
  <w:footnote w:id="11">
    <w:p w:rsidR="005F2A4A" w:rsidRPr="007D385D" w:rsidRDefault="005F2A4A" w:rsidP="0079012A">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Revista Semana, “El estudiante de Pereira que ha tumbado un senador y seis concejales” (28 de marzo de 2017), disponible en: http://www.semana.com/nacion/articulo/pereira-daniel-silva-orrego-demanda-senador-soto/519961; El Diario, “Nueva demanda contra el Alcalde de Pereira” (18 de agosto de 2017), disponible en: http://www.eldiario.com.co/seccion/POL%C3%8DTICA/nueva-demanda-contra-el-alcalde-de-pereira1708.html; El Tiempo, “Procuraduría pide confirmar pérdida de investidura a alcalde Gallo” (8 de febrero de 2018), disponible en: http://www.eltiempo.com/colombia/otras-ciudades/procuraduria-pide-que-se-confirme-perdida-de-investidura-a-alcalde-de-pereira-180294. </w:t>
      </w:r>
    </w:p>
  </w:footnote>
  <w:footnote w:id="12">
    <w:p w:rsidR="00481518" w:rsidRPr="007D385D" w:rsidRDefault="00481518" w:rsidP="0079012A">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CIDH, Informe Anual de la Relatoría Especial para la Libertad de Expresión, OEA/Ser.L/V/II., Doc. 210/17, 31 de diciembre de 2017, para. 265. Disponible en: http://www.oas.org/es/cidh/docs/anual/2017/docs/AnexoRELE.pdf. </w:t>
      </w:r>
    </w:p>
  </w:footnote>
  <w:footnote w:id="13">
    <w:p w:rsidR="00E649F2" w:rsidRPr="007D385D" w:rsidRDefault="00E649F2" w:rsidP="0079012A">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CIDH, Relatoría Especial para la Libertad de Expresión, “Relatoría llama a investigar y determinar las circunstancias del asesinato de la periodista comunitaria Efigenia Vásquez”, comunicado de prensa de 30 de octubre de 2017. Disponible en: http://www.oas.org/es/cidh/expresion/showarticle.asp?artID=1080&amp;lID=2. </w:t>
      </w:r>
    </w:p>
  </w:footnote>
  <w:footnote w:id="14">
    <w:p w:rsidR="00505B13" w:rsidRPr="007D385D" w:rsidRDefault="00505B13" w:rsidP="0079012A">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ES_tradnl"/>
        </w:rPr>
        <w:t xml:space="preserve"> CIDH, Informe Anual de la Relatoría Especial para la Libertad de Expresión, para. </w:t>
      </w:r>
      <w:r w:rsidR="00034C07" w:rsidRPr="007D385D">
        <w:rPr>
          <w:rFonts w:asciiTheme="majorHAnsi" w:hAnsiTheme="majorHAnsi"/>
          <w:sz w:val="16"/>
          <w:szCs w:val="16"/>
          <w:lang w:val="es-ES_tradnl"/>
        </w:rPr>
        <w:t xml:space="preserve">278 y siguientes. </w:t>
      </w:r>
    </w:p>
  </w:footnote>
  <w:footnote w:id="15">
    <w:p w:rsidR="00134E00" w:rsidRPr="007D385D" w:rsidRDefault="00134E00" w:rsidP="00A10887">
      <w:pPr>
        <w:pStyle w:val="FootnoteText"/>
        <w:spacing w:after="0" w:line="240" w:lineRule="auto"/>
        <w:rPr>
          <w:rFonts w:asciiTheme="majorHAnsi" w:hAnsiTheme="majorHAnsi"/>
          <w:sz w:val="16"/>
          <w:szCs w:val="16"/>
          <w:lang w:val="es-ES_tradnl"/>
        </w:rPr>
      </w:pPr>
      <w:r w:rsidRPr="007D385D">
        <w:rPr>
          <w:rStyle w:val="FootnoteReference"/>
          <w:rFonts w:asciiTheme="majorHAnsi" w:hAnsiTheme="majorHAnsi"/>
          <w:sz w:val="16"/>
          <w:szCs w:val="16"/>
        </w:rPr>
        <w:footnoteRef/>
      </w:r>
      <w:r w:rsidRPr="007D385D">
        <w:rPr>
          <w:rFonts w:asciiTheme="majorHAnsi" w:hAnsiTheme="majorHAnsi"/>
          <w:sz w:val="16"/>
          <w:szCs w:val="16"/>
          <w:lang w:val="es-MX"/>
        </w:rPr>
        <w:t xml:space="preserve"> La Comisión recuerda que las medidas de protección para personas defensoras en riesgo deben ser adecuadas y efectivas debiendo ser, por su propia naturaleza, apropiadas para protegerlas y con la capacidad de producir el resultado para el cual han sido concebidas, de manera que el riesgo enfrentado cese. Asimismo, los Estados deben poner en marcha mecanismos que les permitan evaluar periódicamente si las medidas adoptadas están produciendo el resultado esperado, debiendo ser modificadas según la variación de la intensidad del riesgo. CIDH, Hacia una política integral de protección a personas defensoras de derechos humanos, OEA/Ser.L/V/II., Doc. 207/17, 29 diciembre 2017, para. 284 y 286. Disponible en: http://www.oas.org/es/cidh/informes/pdfs/Proteccion-Personas-Defensoras.pdf.</w:t>
      </w:r>
      <w:r w:rsidRPr="007D385D">
        <w:rPr>
          <w:rFonts w:asciiTheme="majorHAnsi" w:hAnsiTheme="majorHAnsi"/>
          <w:sz w:val="16"/>
          <w:szCs w:val="16"/>
          <w:lang w:val="es-ES_tradnl"/>
        </w:rPr>
        <w:t xml:space="preserve"> </w:t>
      </w:r>
    </w:p>
  </w:footnote>
  <w:footnote w:id="16">
    <w:p w:rsidR="00ED4156" w:rsidRPr="007D385D" w:rsidRDefault="00ED4156" w:rsidP="00A10887">
      <w:pPr>
        <w:pStyle w:val="FootnoteText"/>
        <w:spacing w:after="0" w:line="240" w:lineRule="auto"/>
        <w:rPr>
          <w:rFonts w:asciiTheme="majorHAnsi" w:hAnsiTheme="majorHAnsi"/>
          <w:sz w:val="16"/>
          <w:szCs w:val="16"/>
          <w:lang w:val="es-MX"/>
        </w:rPr>
      </w:pPr>
      <w:r w:rsidRPr="007D385D">
        <w:rPr>
          <w:rStyle w:val="FootnoteReference"/>
          <w:rFonts w:asciiTheme="majorHAnsi" w:hAnsiTheme="majorHAnsi"/>
          <w:sz w:val="16"/>
          <w:szCs w:val="16"/>
        </w:rPr>
        <w:footnoteRef/>
      </w:r>
      <w:r w:rsidRPr="007D385D">
        <w:rPr>
          <w:rFonts w:asciiTheme="majorHAnsi" w:hAnsiTheme="majorHAnsi"/>
          <w:sz w:val="16"/>
          <w:szCs w:val="16"/>
          <w:lang w:val="es-MX"/>
        </w:rPr>
        <w:t xml:space="preserve"> En relación con este aspecto, la Comisión toma en cuenta que, por ejemplo, la Corte Interamericana de Derechos Humanos ha considerado pertinente requerir al Estado de Colombia </w:t>
      </w:r>
      <w:r w:rsidR="00DF7AA7" w:rsidRPr="007D385D">
        <w:rPr>
          <w:rFonts w:asciiTheme="majorHAnsi" w:hAnsiTheme="majorHAnsi"/>
          <w:sz w:val="16"/>
          <w:szCs w:val="16"/>
          <w:lang w:val="es-MX"/>
        </w:rPr>
        <w:t>realizar</w:t>
      </w:r>
      <w:r w:rsidRPr="007D385D">
        <w:rPr>
          <w:rFonts w:asciiTheme="majorHAnsi" w:hAnsiTheme="majorHAnsi"/>
          <w:sz w:val="16"/>
          <w:szCs w:val="16"/>
          <w:lang w:val="es-MX"/>
        </w:rPr>
        <w:t xml:space="preserve"> una evaluación de riesgo de los beneficiarios de medidas provisionales a efectos de supervisar la implementación de las medidas cautelares. Corte ID</w:t>
      </w:r>
      <w:r w:rsidRPr="007D385D">
        <w:rPr>
          <w:rStyle w:val="Strong"/>
          <w:rFonts w:asciiTheme="majorHAnsi" w:hAnsiTheme="majorHAnsi"/>
          <w:b w:val="0"/>
          <w:color w:val="000000"/>
          <w:sz w:val="16"/>
          <w:szCs w:val="16"/>
          <w:shd w:val="clear" w:color="auto" w:fill="FFFFFF"/>
          <w:lang w:val="es-MX"/>
        </w:rPr>
        <w:t>H,  Asunto Danilo Rueda respecto de Colombia. Medidas Provisionales. Resolución de la Corte Interamericana de Derechos Humanos de 28 de mayo de 2014. Considerando 24.</w:t>
      </w:r>
    </w:p>
  </w:footnote>
  <w:footnote w:id="17">
    <w:p w:rsidR="00465746" w:rsidRPr="007D385D" w:rsidRDefault="00465746" w:rsidP="007D385D">
      <w:pPr>
        <w:pStyle w:val="FootnoteText"/>
        <w:spacing w:after="0" w:line="240" w:lineRule="auto"/>
        <w:rPr>
          <w:rFonts w:asciiTheme="majorHAnsi" w:hAnsiTheme="majorHAnsi"/>
          <w:sz w:val="16"/>
          <w:szCs w:val="16"/>
          <w:lang w:val="es-MX"/>
        </w:rPr>
      </w:pPr>
      <w:r w:rsidRPr="007D385D">
        <w:rPr>
          <w:rStyle w:val="FootnoteReference"/>
          <w:rFonts w:asciiTheme="majorHAnsi" w:hAnsiTheme="majorHAnsi"/>
          <w:sz w:val="16"/>
          <w:szCs w:val="16"/>
        </w:rPr>
        <w:footnoteRef/>
      </w:r>
      <w:r w:rsidRPr="007D385D">
        <w:rPr>
          <w:rFonts w:asciiTheme="majorHAnsi" w:hAnsiTheme="majorHAnsi"/>
          <w:sz w:val="16"/>
          <w:szCs w:val="16"/>
          <w:lang w:val="es-MX"/>
        </w:rPr>
        <w:t xml:space="preserve"> CIDH, </w:t>
      </w:r>
      <w:r w:rsidRPr="007D385D">
        <w:rPr>
          <w:rFonts w:asciiTheme="majorHAnsi" w:hAnsiTheme="majorHAnsi"/>
          <w:i/>
          <w:sz w:val="16"/>
          <w:szCs w:val="16"/>
          <w:lang w:val="es-MX"/>
        </w:rPr>
        <w:t xml:space="preserve">Violencia contra periodistas y trabajadores de medios: Estándares interamericanos y prácticas nacionales sobre prevención, protección y procuración de justicia, </w:t>
      </w:r>
      <w:r w:rsidRPr="007D385D">
        <w:rPr>
          <w:rFonts w:asciiTheme="majorHAnsi" w:hAnsiTheme="majorHAnsi"/>
          <w:sz w:val="16"/>
          <w:szCs w:val="16"/>
          <w:lang w:val="es-MX"/>
        </w:rPr>
        <w:t xml:space="preserve">31 de diciembre de 2013, </w:t>
      </w:r>
      <w:r w:rsidR="00A10887">
        <w:rPr>
          <w:rFonts w:asciiTheme="majorHAnsi" w:hAnsiTheme="majorHAnsi"/>
          <w:sz w:val="16"/>
          <w:szCs w:val="16"/>
          <w:lang w:val="es-MX"/>
        </w:rPr>
        <w:t>para</w:t>
      </w:r>
      <w:r w:rsidRPr="007D385D">
        <w:rPr>
          <w:rFonts w:asciiTheme="majorHAnsi" w:hAnsiTheme="majorHAnsi"/>
          <w:sz w:val="16"/>
          <w:szCs w:val="16"/>
          <w:lang w:val="es-MX"/>
        </w:rPr>
        <w:t>. 160.</w:t>
      </w:r>
    </w:p>
  </w:footnote>
  <w:footnote w:id="18">
    <w:p w:rsidR="00465746" w:rsidRPr="007D385D" w:rsidRDefault="00465746" w:rsidP="007D385D">
      <w:pPr>
        <w:pStyle w:val="FootnoteText"/>
        <w:spacing w:after="0" w:line="240" w:lineRule="auto"/>
        <w:rPr>
          <w:rFonts w:asciiTheme="majorHAnsi" w:hAnsiTheme="majorHAnsi"/>
          <w:sz w:val="16"/>
          <w:szCs w:val="16"/>
          <w:lang w:val="es-MX"/>
        </w:rPr>
      </w:pPr>
      <w:r w:rsidRPr="007D385D">
        <w:rPr>
          <w:rStyle w:val="FootnoteReference"/>
          <w:rFonts w:asciiTheme="majorHAnsi" w:hAnsiTheme="majorHAnsi"/>
          <w:sz w:val="16"/>
          <w:szCs w:val="16"/>
        </w:rPr>
        <w:footnoteRef/>
      </w:r>
      <w:r w:rsidRPr="007D385D">
        <w:rPr>
          <w:rFonts w:asciiTheme="majorHAnsi" w:hAnsiTheme="majorHAnsi"/>
          <w:sz w:val="16"/>
          <w:szCs w:val="16"/>
          <w:lang w:val="es-MX"/>
        </w:rPr>
        <w:t xml:space="preserve"> CIDH, </w:t>
      </w:r>
      <w:r w:rsidRPr="007D385D">
        <w:rPr>
          <w:rFonts w:asciiTheme="majorHAnsi" w:hAnsiTheme="majorHAnsi"/>
          <w:i/>
          <w:sz w:val="16"/>
          <w:szCs w:val="16"/>
          <w:lang w:val="es-MX"/>
        </w:rPr>
        <w:t xml:space="preserve">Violencia contra periodistas y trabajadores de medios: Estándares interamericanos y prácticas nacionales sobre prevención, protección y procuración de justicia, </w:t>
      </w:r>
      <w:r w:rsidRPr="007D385D">
        <w:rPr>
          <w:rFonts w:asciiTheme="majorHAnsi" w:hAnsiTheme="majorHAnsi"/>
          <w:sz w:val="16"/>
          <w:szCs w:val="16"/>
          <w:lang w:val="es-MX"/>
        </w:rPr>
        <w:t xml:space="preserve">31 de diciembre de 2013, </w:t>
      </w:r>
      <w:r w:rsidR="00A10887">
        <w:rPr>
          <w:rFonts w:asciiTheme="majorHAnsi" w:hAnsiTheme="majorHAnsi"/>
          <w:sz w:val="16"/>
          <w:szCs w:val="16"/>
          <w:lang w:val="es-MX"/>
        </w:rPr>
        <w:t>para</w:t>
      </w:r>
      <w:r w:rsidRPr="007D385D">
        <w:rPr>
          <w:rFonts w:asciiTheme="majorHAnsi" w:hAnsiTheme="majorHAnsi"/>
          <w:sz w:val="16"/>
          <w:szCs w:val="16"/>
          <w:lang w:val="es-MX"/>
        </w:rPr>
        <w:t>. 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87" w:rsidRDefault="00A108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006" w:rsidRPr="006A2671" w:rsidRDefault="00E87006" w:rsidP="006A2671">
    <w:pPr>
      <w:tabs>
        <w:tab w:val="left" w:pos="4040"/>
        <w:tab w:val="left" w:pos="4333"/>
        <w:tab w:val="center" w:pos="4680"/>
        <w:tab w:val="right" w:pos="9360"/>
      </w:tabs>
      <w:jc w:val="both"/>
      <w:rPr>
        <w:rFonts w:ascii="Calibri" w:eastAsia="Calibri" w:hAnsi="Calibri" w:cs="Times New Roman"/>
        <w:sz w:val="22"/>
        <w:szCs w:val="22"/>
      </w:rPr>
    </w:pPr>
    <w:r>
      <w:rPr>
        <w:rFonts w:ascii="Calibri" w:eastAsia="Calibri" w:hAnsi="Calibri" w:cs="Times New Roman"/>
        <w:noProof/>
        <w:sz w:val="22"/>
        <w:szCs w:val="22"/>
      </w:rPr>
      <w:drawing>
        <wp:inline distT="0" distB="0" distL="0" distR="0" wp14:anchorId="6D875AB7" wp14:editId="7CB00EDF">
          <wp:extent cx="2355850" cy="450850"/>
          <wp:effectExtent l="0" t="0" r="6350" b="6350"/>
          <wp:docPr id="3" name="Picture 3"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5850" cy="450850"/>
                  </a:xfrm>
                  <a:prstGeom prst="rect">
                    <a:avLst/>
                  </a:prstGeom>
                  <a:noFill/>
                  <a:ln>
                    <a:noFill/>
                  </a:ln>
                </pic:spPr>
              </pic:pic>
            </a:graphicData>
          </a:graphic>
        </wp:inline>
      </w:drawing>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sidRPr="006A2671">
      <w:rPr>
        <w:rFonts w:ascii="Calibri" w:eastAsia="Calibri" w:hAnsi="Calibri" w:cs="Times New Roman"/>
        <w:sz w:val="22"/>
        <w:szCs w:val="22"/>
      </w:rPr>
      <w:tab/>
    </w:r>
    <w:r>
      <w:rPr>
        <w:rFonts w:ascii="Calibri" w:eastAsia="Calibri" w:hAnsi="Calibri" w:cs="Times New Roman"/>
        <w:noProof/>
        <w:sz w:val="22"/>
        <w:szCs w:val="22"/>
      </w:rPr>
      <w:drawing>
        <wp:inline distT="0" distB="0" distL="0" distR="0" wp14:anchorId="09376C8A" wp14:editId="2E4B906C">
          <wp:extent cx="2101850" cy="539750"/>
          <wp:effectExtent l="0" t="0" r="0" b="0"/>
          <wp:docPr id="4" name="Picture 4" descr="I:\Prensa y Difusión\Templates\LogosNuevosOEA\principal\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ensa y Difusión\Templates\LogosNuevosOEA\principal\OAS_Seal_ESP_Principal_.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1850" cy="539750"/>
                  </a:xfrm>
                  <a:prstGeom prst="rect">
                    <a:avLst/>
                  </a:prstGeom>
                  <a:noFill/>
                  <a:ln>
                    <a:noFill/>
                  </a:ln>
                </pic:spPr>
              </pic:pic>
            </a:graphicData>
          </a:graphic>
        </wp:inline>
      </w:drawing>
    </w:r>
  </w:p>
  <w:p w:rsidR="00E87006" w:rsidRPr="006A2671" w:rsidRDefault="00E87006" w:rsidP="006A2671">
    <w:pPr>
      <w:pBdr>
        <w:bottom w:val="single" w:sz="6" w:space="1" w:color="auto"/>
      </w:pBdr>
      <w:tabs>
        <w:tab w:val="center" w:pos="4680"/>
        <w:tab w:val="right" w:pos="9360"/>
      </w:tabs>
      <w:rPr>
        <w:rFonts w:ascii="Calibri" w:eastAsia="Batang" w:hAnsi="Calibri" w:cs="Times New Roman"/>
        <w:sz w:val="22"/>
        <w:szCs w:val="22"/>
        <w:lang w:val="es-ES"/>
      </w:rPr>
    </w:pPr>
  </w:p>
  <w:p w:rsidR="00E87006" w:rsidRDefault="00E87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887" w:rsidRDefault="00A108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0C9B"/>
    <w:multiLevelType w:val="hybridMultilevel"/>
    <w:tmpl w:val="81D8E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7A0DB8"/>
    <w:multiLevelType w:val="hybridMultilevel"/>
    <w:tmpl w:val="14E4AE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55919"/>
    <w:multiLevelType w:val="hybridMultilevel"/>
    <w:tmpl w:val="F34A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56959"/>
    <w:multiLevelType w:val="hybridMultilevel"/>
    <w:tmpl w:val="6EF64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3A75F3"/>
    <w:multiLevelType w:val="hybridMultilevel"/>
    <w:tmpl w:val="59FA2E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D3BE1"/>
    <w:multiLevelType w:val="hybridMultilevel"/>
    <w:tmpl w:val="D26E5AE0"/>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B4B73"/>
    <w:multiLevelType w:val="hybridMultilevel"/>
    <w:tmpl w:val="7ECCBA6A"/>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C54703"/>
    <w:multiLevelType w:val="hybridMultilevel"/>
    <w:tmpl w:val="E26862D6"/>
    <w:lvl w:ilvl="0" w:tplc="7F8CB8B4">
      <w:start w:val="16"/>
      <w:numFmt w:val="decimal"/>
      <w:lvlText w:val="%1."/>
      <w:lvlJc w:val="center"/>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163AB2"/>
    <w:multiLevelType w:val="hybridMultilevel"/>
    <w:tmpl w:val="466E68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9B30FF3"/>
    <w:multiLevelType w:val="hybridMultilevel"/>
    <w:tmpl w:val="86B2F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DE0DC6"/>
    <w:multiLevelType w:val="hybridMultilevel"/>
    <w:tmpl w:val="A5D43F6A"/>
    <w:lvl w:ilvl="0" w:tplc="4F2E27A2">
      <w:start w:val="1"/>
      <w:numFmt w:val="decimal"/>
      <w:lvlText w:val="%1."/>
      <w:lvlJc w:val="center"/>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0A6E7C"/>
    <w:multiLevelType w:val="hybridMultilevel"/>
    <w:tmpl w:val="CF86BE78"/>
    <w:lvl w:ilvl="0" w:tplc="066E1E74">
      <w:start w:val="2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C4EDF"/>
    <w:multiLevelType w:val="hybridMultilevel"/>
    <w:tmpl w:val="CF0CB516"/>
    <w:lvl w:ilvl="0" w:tplc="8BEC457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D31842"/>
    <w:multiLevelType w:val="hybridMultilevel"/>
    <w:tmpl w:val="6996FAF4"/>
    <w:lvl w:ilvl="0" w:tplc="AC48C3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A26FB9"/>
    <w:multiLevelType w:val="hybridMultilevel"/>
    <w:tmpl w:val="B7ACC1D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E964D8F"/>
    <w:multiLevelType w:val="hybridMultilevel"/>
    <w:tmpl w:val="42C84F84"/>
    <w:lvl w:ilvl="0" w:tplc="9E60591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E6FA9"/>
    <w:multiLevelType w:val="hybridMultilevel"/>
    <w:tmpl w:val="A6325E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130B23"/>
    <w:multiLevelType w:val="hybridMultilevel"/>
    <w:tmpl w:val="F9C6C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8F36EE"/>
    <w:multiLevelType w:val="hybridMultilevel"/>
    <w:tmpl w:val="F106FE68"/>
    <w:lvl w:ilvl="0" w:tplc="33046F8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1B21E5"/>
    <w:multiLevelType w:val="hybridMultilevel"/>
    <w:tmpl w:val="F2D8EA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75795A"/>
    <w:multiLevelType w:val="hybridMultilevel"/>
    <w:tmpl w:val="87729218"/>
    <w:lvl w:ilvl="0" w:tplc="80C0B3D0">
      <w:start w:val="26"/>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530582"/>
    <w:multiLevelType w:val="hybridMultilevel"/>
    <w:tmpl w:val="153E6A2C"/>
    <w:lvl w:ilvl="0" w:tplc="384E9386">
      <w:start w:val="28"/>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5F5156"/>
    <w:multiLevelType w:val="hybridMultilevel"/>
    <w:tmpl w:val="3BF8E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7"/>
  </w:num>
  <w:num w:numId="4">
    <w:abstractNumId w:val="5"/>
  </w:num>
  <w:num w:numId="5">
    <w:abstractNumId w:val="1"/>
  </w:num>
  <w:num w:numId="6">
    <w:abstractNumId w:val="4"/>
  </w:num>
  <w:num w:numId="7">
    <w:abstractNumId w:val="19"/>
  </w:num>
  <w:num w:numId="8">
    <w:abstractNumId w:val="14"/>
  </w:num>
  <w:num w:numId="9">
    <w:abstractNumId w:val="8"/>
  </w:num>
  <w:num w:numId="10">
    <w:abstractNumId w:val="7"/>
  </w:num>
  <w:num w:numId="11">
    <w:abstractNumId w:val="15"/>
  </w:num>
  <w:num w:numId="12">
    <w:abstractNumId w:val="20"/>
  </w:num>
  <w:num w:numId="13">
    <w:abstractNumId w:val="22"/>
  </w:num>
  <w:num w:numId="14">
    <w:abstractNumId w:val="21"/>
  </w:num>
  <w:num w:numId="15">
    <w:abstractNumId w:val="11"/>
  </w:num>
  <w:num w:numId="16">
    <w:abstractNumId w:val="0"/>
  </w:num>
  <w:num w:numId="17">
    <w:abstractNumId w:val="12"/>
  </w:num>
  <w:num w:numId="18">
    <w:abstractNumId w:val="13"/>
  </w:num>
  <w:num w:numId="19">
    <w:abstractNumId w:val="9"/>
  </w:num>
  <w:num w:numId="20">
    <w:abstractNumId w:val="6"/>
  </w:num>
  <w:num w:numId="21">
    <w:abstractNumId w:val="10"/>
  </w:num>
  <w:num w:numId="22">
    <w:abstractNumId w:val="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00"/>
    <w:rsid w:val="00007FC4"/>
    <w:rsid w:val="00010DD1"/>
    <w:rsid w:val="00017369"/>
    <w:rsid w:val="0002059F"/>
    <w:rsid w:val="00034C07"/>
    <w:rsid w:val="00037B2A"/>
    <w:rsid w:val="00040B70"/>
    <w:rsid w:val="000505C9"/>
    <w:rsid w:val="000551C7"/>
    <w:rsid w:val="00066234"/>
    <w:rsid w:val="00071D13"/>
    <w:rsid w:val="000837BC"/>
    <w:rsid w:val="00087BB3"/>
    <w:rsid w:val="000A1D59"/>
    <w:rsid w:val="000B6171"/>
    <w:rsid w:val="000C034D"/>
    <w:rsid w:val="000C238D"/>
    <w:rsid w:val="000C526A"/>
    <w:rsid w:val="000D138E"/>
    <w:rsid w:val="000D278D"/>
    <w:rsid w:val="000D43FA"/>
    <w:rsid w:val="000E485A"/>
    <w:rsid w:val="001006B4"/>
    <w:rsid w:val="0010178B"/>
    <w:rsid w:val="0011184F"/>
    <w:rsid w:val="00130D09"/>
    <w:rsid w:val="00131977"/>
    <w:rsid w:val="00133AF3"/>
    <w:rsid w:val="00134E00"/>
    <w:rsid w:val="001410E6"/>
    <w:rsid w:val="001512EC"/>
    <w:rsid w:val="00162C89"/>
    <w:rsid w:val="001630B7"/>
    <w:rsid w:val="00164CF4"/>
    <w:rsid w:val="00172E00"/>
    <w:rsid w:val="00191493"/>
    <w:rsid w:val="00193DD5"/>
    <w:rsid w:val="001A2B2B"/>
    <w:rsid w:val="001D08C6"/>
    <w:rsid w:val="001D2814"/>
    <w:rsid w:val="001D66E4"/>
    <w:rsid w:val="001E3A50"/>
    <w:rsid w:val="001F0D27"/>
    <w:rsid w:val="00215E2E"/>
    <w:rsid w:val="00222851"/>
    <w:rsid w:val="00232B64"/>
    <w:rsid w:val="00243F9B"/>
    <w:rsid w:val="002456DF"/>
    <w:rsid w:val="002678B2"/>
    <w:rsid w:val="002840D0"/>
    <w:rsid w:val="002855E4"/>
    <w:rsid w:val="002A2043"/>
    <w:rsid w:val="002A2528"/>
    <w:rsid w:val="002C1B38"/>
    <w:rsid w:val="002D3F1E"/>
    <w:rsid w:val="002D4ADD"/>
    <w:rsid w:val="002E6021"/>
    <w:rsid w:val="003063D1"/>
    <w:rsid w:val="00306BB2"/>
    <w:rsid w:val="003235DC"/>
    <w:rsid w:val="00327E7C"/>
    <w:rsid w:val="003412A1"/>
    <w:rsid w:val="00355841"/>
    <w:rsid w:val="00377C04"/>
    <w:rsid w:val="00384E4E"/>
    <w:rsid w:val="003970C5"/>
    <w:rsid w:val="003B2B56"/>
    <w:rsid w:val="003B3BCA"/>
    <w:rsid w:val="003B525E"/>
    <w:rsid w:val="003C2E2F"/>
    <w:rsid w:val="003D6B59"/>
    <w:rsid w:val="0041473A"/>
    <w:rsid w:val="00442F51"/>
    <w:rsid w:val="00445CD8"/>
    <w:rsid w:val="00446A73"/>
    <w:rsid w:val="00465746"/>
    <w:rsid w:val="00470F1B"/>
    <w:rsid w:val="0047459E"/>
    <w:rsid w:val="004769D8"/>
    <w:rsid w:val="00481518"/>
    <w:rsid w:val="00482F11"/>
    <w:rsid w:val="00486D6F"/>
    <w:rsid w:val="00492CBA"/>
    <w:rsid w:val="00492DA7"/>
    <w:rsid w:val="004A1671"/>
    <w:rsid w:val="004A3B1F"/>
    <w:rsid w:val="004A5567"/>
    <w:rsid w:val="004B33AC"/>
    <w:rsid w:val="004B3926"/>
    <w:rsid w:val="004B63CB"/>
    <w:rsid w:val="004C241A"/>
    <w:rsid w:val="004E33D0"/>
    <w:rsid w:val="00500890"/>
    <w:rsid w:val="00505B13"/>
    <w:rsid w:val="00506A08"/>
    <w:rsid w:val="0051297C"/>
    <w:rsid w:val="0052203A"/>
    <w:rsid w:val="005300D7"/>
    <w:rsid w:val="0055042C"/>
    <w:rsid w:val="0055086A"/>
    <w:rsid w:val="005544F0"/>
    <w:rsid w:val="005602AE"/>
    <w:rsid w:val="00564F1B"/>
    <w:rsid w:val="00574D7E"/>
    <w:rsid w:val="00586786"/>
    <w:rsid w:val="00591283"/>
    <w:rsid w:val="005A153B"/>
    <w:rsid w:val="005B5BBA"/>
    <w:rsid w:val="005E295E"/>
    <w:rsid w:val="005F2A4A"/>
    <w:rsid w:val="005F72EE"/>
    <w:rsid w:val="00603D9D"/>
    <w:rsid w:val="00604BD0"/>
    <w:rsid w:val="006069E0"/>
    <w:rsid w:val="00632C63"/>
    <w:rsid w:val="00633288"/>
    <w:rsid w:val="006340C2"/>
    <w:rsid w:val="006415E6"/>
    <w:rsid w:val="006512ED"/>
    <w:rsid w:val="00662D4F"/>
    <w:rsid w:val="00666BE7"/>
    <w:rsid w:val="00682D76"/>
    <w:rsid w:val="00692B74"/>
    <w:rsid w:val="00693D8D"/>
    <w:rsid w:val="006A2671"/>
    <w:rsid w:val="006A34D7"/>
    <w:rsid w:val="006B7000"/>
    <w:rsid w:val="006C08C0"/>
    <w:rsid w:val="006C09B9"/>
    <w:rsid w:val="006D0818"/>
    <w:rsid w:val="00701D7F"/>
    <w:rsid w:val="007037E7"/>
    <w:rsid w:val="00717EB0"/>
    <w:rsid w:val="00723E9B"/>
    <w:rsid w:val="007242C5"/>
    <w:rsid w:val="0073061A"/>
    <w:rsid w:val="007319C8"/>
    <w:rsid w:val="00732085"/>
    <w:rsid w:val="007368DB"/>
    <w:rsid w:val="00741876"/>
    <w:rsid w:val="007421DD"/>
    <w:rsid w:val="00747327"/>
    <w:rsid w:val="00747AF6"/>
    <w:rsid w:val="00762197"/>
    <w:rsid w:val="007807D0"/>
    <w:rsid w:val="0078597D"/>
    <w:rsid w:val="0079012A"/>
    <w:rsid w:val="007908F0"/>
    <w:rsid w:val="00796D76"/>
    <w:rsid w:val="007A214B"/>
    <w:rsid w:val="007B6CD5"/>
    <w:rsid w:val="007B74E9"/>
    <w:rsid w:val="007C1C5D"/>
    <w:rsid w:val="007D0F45"/>
    <w:rsid w:val="007D1FE8"/>
    <w:rsid w:val="007D385D"/>
    <w:rsid w:val="007E26A9"/>
    <w:rsid w:val="007E3013"/>
    <w:rsid w:val="007E6572"/>
    <w:rsid w:val="007F5604"/>
    <w:rsid w:val="00810658"/>
    <w:rsid w:val="00817419"/>
    <w:rsid w:val="00823060"/>
    <w:rsid w:val="00823CFC"/>
    <w:rsid w:val="00840C90"/>
    <w:rsid w:val="00845537"/>
    <w:rsid w:val="00872A42"/>
    <w:rsid w:val="00874432"/>
    <w:rsid w:val="00875295"/>
    <w:rsid w:val="008B59B3"/>
    <w:rsid w:val="008B6783"/>
    <w:rsid w:val="008C393C"/>
    <w:rsid w:val="008D2649"/>
    <w:rsid w:val="008D4D96"/>
    <w:rsid w:val="008E1700"/>
    <w:rsid w:val="008E2BB1"/>
    <w:rsid w:val="008E6B7C"/>
    <w:rsid w:val="008F10CE"/>
    <w:rsid w:val="008F2F4A"/>
    <w:rsid w:val="008F64E6"/>
    <w:rsid w:val="009230A8"/>
    <w:rsid w:val="00931274"/>
    <w:rsid w:val="00936583"/>
    <w:rsid w:val="00953DED"/>
    <w:rsid w:val="009575E3"/>
    <w:rsid w:val="009617D9"/>
    <w:rsid w:val="009621A7"/>
    <w:rsid w:val="0097190F"/>
    <w:rsid w:val="009A17CE"/>
    <w:rsid w:val="009A2EF0"/>
    <w:rsid w:val="009A5571"/>
    <w:rsid w:val="009C1FEF"/>
    <w:rsid w:val="009D533D"/>
    <w:rsid w:val="00A10887"/>
    <w:rsid w:val="00A127A8"/>
    <w:rsid w:val="00A26A56"/>
    <w:rsid w:val="00A27B73"/>
    <w:rsid w:val="00A46838"/>
    <w:rsid w:val="00A5157F"/>
    <w:rsid w:val="00A53FC6"/>
    <w:rsid w:val="00A620B6"/>
    <w:rsid w:val="00A6670C"/>
    <w:rsid w:val="00A762CE"/>
    <w:rsid w:val="00A82D08"/>
    <w:rsid w:val="00A858AE"/>
    <w:rsid w:val="00A8691F"/>
    <w:rsid w:val="00A8746F"/>
    <w:rsid w:val="00A9083A"/>
    <w:rsid w:val="00A94D9B"/>
    <w:rsid w:val="00A9768A"/>
    <w:rsid w:val="00AA537C"/>
    <w:rsid w:val="00AB32C3"/>
    <w:rsid w:val="00AB592D"/>
    <w:rsid w:val="00B079E8"/>
    <w:rsid w:val="00B17EC3"/>
    <w:rsid w:val="00B2177F"/>
    <w:rsid w:val="00B41F82"/>
    <w:rsid w:val="00B44B4A"/>
    <w:rsid w:val="00B531F8"/>
    <w:rsid w:val="00B56231"/>
    <w:rsid w:val="00B80C35"/>
    <w:rsid w:val="00B8428A"/>
    <w:rsid w:val="00B927E1"/>
    <w:rsid w:val="00B94D0D"/>
    <w:rsid w:val="00BB3E11"/>
    <w:rsid w:val="00BB60D8"/>
    <w:rsid w:val="00BB7B00"/>
    <w:rsid w:val="00BC5A46"/>
    <w:rsid w:val="00BC6B3D"/>
    <w:rsid w:val="00BD06D7"/>
    <w:rsid w:val="00BE43D4"/>
    <w:rsid w:val="00BF7D6A"/>
    <w:rsid w:val="00C04A39"/>
    <w:rsid w:val="00C256A0"/>
    <w:rsid w:val="00C260F5"/>
    <w:rsid w:val="00C35C86"/>
    <w:rsid w:val="00C428DB"/>
    <w:rsid w:val="00C42D65"/>
    <w:rsid w:val="00C522EB"/>
    <w:rsid w:val="00C57327"/>
    <w:rsid w:val="00C7377C"/>
    <w:rsid w:val="00C80267"/>
    <w:rsid w:val="00C83E97"/>
    <w:rsid w:val="00C972C8"/>
    <w:rsid w:val="00CB094E"/>
    <w:rsid w:val="00CB1622"/>
    <w:rsid w:val="00CB2E75"/>
    <w:rsid w:val="00CC56E0"/>
    <w:rsid w:val="00CE0F9A"/>
    <w:rsid w:val="00CE4CD2"/>
    <w:rsid w:val="00CF5A0D"/>
    <w:rsid w:val="00D041B3"/>
    <w:rsid w:val="00D13ED9"/>
    <w:rsid w:val="00D30A9F"/>
    <w:rsid w:val="00D56BDF"/>
    <w:rsid w:val="00D72377"/>
    <w:rsid w:val="00D800B7"/>
    <w:rsid w:val="00D91611"/>
    <w:rsid w:val="00D93AD1"/>
    <w:rsid w:val="00DD2E21"/>
    <w:rsid w:val="00DD696A"/>
    <w:rsid w:val="00DE0F21"/>
    <w:rsid w:val="00DF2575"/>
    <w:rsid w:val="00DF5EF3"/>
    <w:rsid w:val="00DF73E9"/>
    <w:rsid w:val="00DF7AA7"/>
    <w:rsid w:val="00E02CAB"/>
    <w:rsid w:val="00E1075D"/>
    <w:rsid w:val="00E1467B"/>
    <w:rsid w:val="00E254C2"/>
    <w:rsid w:val="00E32B05"/>
    <w:rsid w:val="00E34524"/>
    <w:rsid w:val="00E36F33"/>
    <w:rsid w:val="00E52109"/>
    <w:rsid w:val="00E55298"/>
    <w:rsid w:val="00E62C87"/>
    <w:rsid w:val="00E631E8"/>
    <w:rsid w:val="00E649F2"/>
    <w:rsid w:val="00E6656D"/>
    <w:rsid w:val="00E70D44"/>
    <w:rsid w:val="00E77D31"/>
    <w:rsid w:val="00E80805"/>
    <w:rsid w:val="00E87006"/>
    <w:rsid w:val="00E96471"/>
    <w:rsid w:val="00E96C80"/>
    <w:rsid w:val="00EA3DE7"/>
    <w:rsid w:val="00EC0D7E"/>
    <w:rsid w:val="00ED4156"/>
    <w:rsid w:val="00ED6093"/>
    <w:rsid w:val="00EE1D13"/>
    <w:rsid w:val="00EF4EB0"/>
    <w:rsid w:val="00EF6427"/>
    <w:rsid w:val="00F03BBF"/>
    <w:rsid w:val="00F206E1"/>
    <w:rsid w:val="00F22460"/>
    <w:rsid w:val="00F2752D"/>
    <w:rsid w:val="00F33A3E"/>
    <w:rsid w:val="00F4043B"/>
    <w:rsid w:val="00F720AC"/>
    <w:rsid w:val="00F720EF"/>
    <w:rsid w:val="00F76188"/>
    <w:rsid w:val="00F81D29"/>
    <w:rsid w:val="00F900B3"/>
    <w:rsid w:val="00FA2DC6"/>
    <w:rsid w:val="00FB44A6"/>
    <w:rsid w:val="00FC69E3"/>
    <w:rsid w:val="00FF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219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C04"/>
    <w:pPr>
      <w:ind w:left="720"/>
      <w:contextualSpacing/>
    </w:pPr>
  </w:style>
  <w:style w:type="paragraph" w:styleId="Header">
    <w:name w:val="header"/>
    <w:basedOn w:val="Normal"/>
    <w:link w:val="HeaderChar"/>
    <w:uiPriority w:val="99"/>
    <w:unhideWhenUsed/>
    <w:rsid w:val="00BF7D6A"/>
    <w:pPr>
      <w:tabs>
        <w:tab w:val="center" w:pos="4680"/>
        <w:tab w:val="right" w:pos="9360"/>
      </w:tabs>
    </w:pPr>
  </w:style>
  <w:style w:type="character" w:customStyle="1" w:styleId="HeaderChar">
    <w:name w:val="Header Char"/>
    <w:basedOn w:val="DefaultParagraphFont"/>
    <w:link w:val="Header"/>
    <w:uiPriority w:val="99"/>
    <w:rsid w:val="00BF7D6A"/>
  </w:style>
  <w:style w:type="paragraph" w:styleId="Footer">
    <w:name w:val="footer"/>
    <w:basedOn w:val="Normal"/>
    <w:link w:val="FooterChar"/>
    <w:uiPriority w:val="99"/>
    <w:unhideWhenUsed/>
    <w:rsid w:val="00BF7D6A"/>
    <w:pPr>
      <w:tabs>
        <w:tab w:val="center" w:pos="4680"/>
        <w:tab w:val="right" w:pos="9360"/>
      </w:tabs>
    </w:pPr>
  </w:style>
  <w:style w:type="character" w:customStyle="1" w:styleId="FooterChar">
    <w:name w:val="Footer Char"/>
    <w:basedOn w:val="DefaultParagraphFont"/>
    <w:link w:val="Footer"/>
    <w:uiPriority w:val="99"/>
    <w:rsid w:val="00BF7D6A"/>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unhideWhenUsed/>
    <w:qFormat/>
    <w:rsid w:val="00586786"/>
    <w:pPr>
      <w:spacing w:after="200" w:line="276"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uiPriority w:val="99"/>
    <w:rsid w:val="00586786"/>
    <w:rPr>
      <w:rFonts w:ascii="Calibri" w:eastAsia="Calibri" w:hAnsi="Calibri" w:cs="Times New Roman"/>
      <w:sz w:val="20"/>
      <w:szCs w:val="20"/>
    </w:rPr>
  </w:style>
  <w:style w:type="character" w:styleId="FootnoteReference">
    <w:name w:val="footnote reference"/>
    <w:aliases w:val="Footnotes refss,Texto de nota al pie,referencia nota al pie,BVI fnr,Appel note de bas de page,Footnote symbol,Footnote,Footnote number,f,Ref. de nota al pie.,4_G,16 Point,Superscript 6 Point,Texto nota al pie,Ref. de nota al pi,Ref,f1"/>
    <w:link w:val="Appelnotedebasde"/>
    <w:unhideWhenUsed/>
    <w:qFormat/>
    <w:rsid w:val="00586786"/>
    <w:rPr>
      <w:vertAlign w:val="superscript"/>
    </w:rPr>
  </w:style>
  <w:style w:type="character" w:styleId="PageNumber">
    <w:name w:val="page number"/>
    <w:basedOn w:val="DefaultParagraphFont"/>
    <w:uiPriority w:val="99"/>
    <w:semiHidden/>
    <w:unhideWhenUsed/>
    <w:rsid w:val="00C522EB"/>
  </w:style>
  <w:style w:type="paragraph" w:customStyle="1" w:styleId="Appelnotedebasde">
    <w:name w:val="Appel note de bas de..."/>
    <w:basedOn w:val="Normal"/>
    <w:link w:val="FootnoteReference"/>
    <w:uiPriority w:val="99"/>
    <w:rsid w:val="00010DD1"/>
    <w:pPr>
      <w:spacing w:after="160" w:line="240" w:lineRule="exact"/>
    </w:pPr>
    <w:rPr>
      <w:vertAlign w:val="superscript"/>
    </w:rPr>
  </w:style>
  <w:style w:type="character" w:customStyle="1" w:styleId="Heading1Char">
    <w:name w:val="Heading 1 Char"/>
    <w:basedOn w:val="DefaultParagraphFont"/>
    <w:link w:val="Heading1"/>
    <w:uiPriority w:val="9"/>
    <w:rsid w:val="007621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2197"/>
    <w:rPr>
      <w:color w:val="0563C1" w:themeColor="hyperlink"/>
      <w:u w:val="single"/>
    </w:rPr>
  </w:style>
  <w:style w:type="paragraph" w:styleId="BalloonText">
    <w:name w:val="Balloon Text"/>
    <w:basedOn w:val="Normal"/>
    <w:link w:val="BalloonTextChar"/>
    <w:uiPriority w:val="99"/>
    <w:semiHidden/>
    <w:unhideWhenUsed/>
    <w:rsid w:val="00A27B73"/>
    <w:rPr>
      <w:rFonts w:ascii="Tahoma" w:hAnsi="Tahoma" w:cs="Tahoma"/>
      <w:sz w:val="16"/>
      <w:szCs w:val="16"/>
    </w:rPr>
  </w:style>
  <w:style w:type="character" w:customStyle="1" w:styleId="BalloonTextChar">
    <w:name w:val="Balloon Text Char"/>
    <w:basedOn w:val="DefaultParagraphFont"/>
    <w:link w:val="BalloonText"/>
    <w:uiPriority w:val="99"/>
    <w:semiHidden/>
    <w:rsid w:val="00A27B73"/>
    <w:rPr>
      <w:rFonts w:ascii="Tahoma" w:hAnsi="Tahoma" w:cs="Tahoma"/>
      <w:sz w:val="16"/>
      <w:szCs w:val="16"/>
    </w:rPr>
  </w:style>
  <w:style w:type="character" w:customStyle="1" w:styleId="apple-converted-space">
    <w:name w:val="apple-converted-space"/>
    <w:rsid w:val="002A2043"/>
  </w:style>
  <w:style w:type="paragraph" w:styleId="NormalWeb">
    <w:name w:val="Normal (Web)"/>
    <w:basedOn w:val="Normal"/>
    <w:uiPriority w:val="99"/>
    <w:semiHidden/>
    <w:unhideWhenUsed/>
    <w:rsid w:val="00BB7B00"/>
    <w:pPr>
      <w:spacing w:before="100" w:beforeAutospacing="1" w:after="100" w:afterAutospacing="1"/>
    </w:pPr>
    <w:rPr>
      <w:rFonts w:ascii="Times" w:hAnsi="Times" w:cs="Times New Roman"/>
      <w:sz w:val="20"/>
      <w:szCs w:val="20"/>
      <w:lang w:val="es-MX"/>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5300D7"/>
    <w:pPr>
      <w:spacing w:before="200" w:after="160" w:line="240" w:lineRule="exact"/>
    </w:pPr>
    <w:rPr>
      <w:rFonts w:ascii="Calibri" w:eastAsia="Calibri" w:hAnsi="Calibri" w:cs="Times New Roman"/>
      <w:sz w:val="20"/>
      <w:szCs w:val="20"/>
      <w:vertAlign w:val="superscript"/>
    </w:rPr>
  </w:style>
  <w:style w:type="character" w:styleId="Strong">
    <w:name w:val="Strong"/>
    <w:uiPriority w:val="22"/>
    <w:qFormat/>
    <w:rsid w:val="005300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6827">
      <w:bodyDiv w:val="1"/>
      <w:marLeft w:val="0"/>
      <w:marRight w:val="0"/>
      <w:marTop w:val="0"/>
      <w:marBottom w:val="0"/>
      <w:divBdr>
        <w:top w:val="none" w:sz="0" w:space="0" w:color="auto"/>
        <w:left w:val="none" w:sz="0" w:space="0" w:color="auto"/>
        <w:bottom w:val="none" w:sz="0" w:space="0" w:color="auto"/>
        <w:right w:val="none" w:sz="0" w:space="0" w:color="auto"/>
      </w:divBdr>
    </w:div>
    <w:div w:id="130708221">
      <w:bodyDiv w:val="1"/>
      <w:marLeft w:val="0"/>
      <w:marRight w:val="0"/>
      <w:marTop w:val="0"/>
      <w:marBottom w:val="0"/>
      <w:divBdr>
        <w:top w:val="none" w:sz="0" w:space="0" w:color="auto"/>
        <w:left w:val="none" w:sz="0" w:space="0" w:color="auto"/>
        <w:bottom w:val="none" w:sz="0" w:space="0" w:color="auto"/>
        <w:right w:val="none" w:sz="0" w:space="0" w:color="auto"/>
      </w:divBdr>
      <w:divsChild>
        <w:div w:id="1735473607">
          <w:marLeft w:val="0"/>
          <w:marRight w:val="0"/>
          <w:marTop w:val="280"/>
          <w:marBottom w:val="280"/>
          <w:divBdr>
            <w:top w:val="none" w:sz="0" w:space="0" w:color="auto"/>
            <w:left w:val="none" w:sz="0" w:space="0" w:color="auto"/>
            <w:bottom w:val="none" w:sz="0" w:space="0" w:color="auto"/>
            <w:right w:val="none" w:sz="0" w:space="0" w:color="auto"/>
          </w:divBdr>
        </w:div>
        <w:div w:id="690109742">
          <w:marLeft w:val="0"/>
          <w:marRight w:val="0"/>
          <w:marTop w:val="280"/>
          <w:marBottom w:val="280"/>
          <w:divBdr>
            <w:top w:val="none" w:sz="0" w:space="0" w:color="auto"/>
            <w:left w:val="none" w:sz="0" w:space="0" w:color="auto"/>
            <w:bottom w:val="none" w:sz="0" w:space="0" w:color="auto"/>
            <w:right w:val="none" w:sz="0" w:space="0" w:color="auto"/>
          </w:divBdr>
        </w:div>
        <w:div w:id="476847732">
          <w:marLeft w:val="0"/>
          <w:marRight w:val="0"/>
          <w:marTop w:val="280"/>
          <w:marBottom w:val="280"/>
          <w:divBdr>
            <w:top w:val="none" w:sz="0" w:space="0" w:color="auto"/>
            <w:left w:val="none" w:sz="0" w:space="0" w:color="auto"/>
            <w:bottom w:val="none" w:sz="0" w:space="0" w:color="auto"/>
            <w:right w:val="none" w:sz="0" w:space="0" w:color="auto"/>
          </w:divBdr>
        </w:div>
        <w:div w:id="1326202923">
          <w:marLeft w:val="0"/>
          <w:marRight w:val="0"/>
          <w:marTop w:val="280"/>
          <w:marBottom w:val="280"/>
          <w:divBdr>
            <w:top w:val="none" w:sz="0" w:space="0" w:color="auto"/>
            <w:left w:val="none" w:sz="0" w:space="0" w:color="auto"/>
            <w:bottom w:val="none" w:sz="0" w:space="0" w:color="auto"/>
            <w:right w:val="none" w:sz="0" w:space="0" w:color="auto"/>
          </w:divBdr>
        </w:div>
        <w:div w:id="1203904111">
          <w:marLeft w:val="0"/>
          <w:marRight w:val="0"/>
          <w:marTop w:val="280"/>
          <w:marBottom w:val="280"/>
          <w:divBdr>
            <w:top w:val="none" w:sz="0" w:space="0" w:color="auto"/>
            <w:left w:val="none" w:sz="0" w:space="0" w:color="auto"/>
            <w:bottom w:val="none" w:sz="0" w:space="0" w:color="auto"/>
            <w:right w:val="none" w:sz="0" w:space="0" w:color="auto"/>
          </w:divBdr>
        </w:div>
        <w:div w:id="567424683">
          <w:marLeft w:val="0"/>
          <w:marRight w:val="0"/>
          <w:marTop w:val="280"/>
          <w:marBottom w:val="280"/>
          <w:divBdr>
            <w:top w:val="none" w:sz="0" w:space="0" w:color="auto"/>
            <w:left w:val="none" w:sz="0" w:space="0" w:color="auto"/>
            <w:bottom w:val="none" w:sz="0" w:space="0" w:color="auto"/>
            <w:right w:val="none" w:sz="0" w:space="0" w:color="auto"/>
          </w:divBdr>
        </w:div>
        <w:div w:id="1711303181">
          <w:marLeft w:val="0"/>
          <w:marRight w:val="0"/>
          <w:marTop w:val="280"/>
          <w:marBottom w:val="280"/>
          <w:divBdr>
            <w:top w:val="none" w:sz="0" w:space="0" w:color="auto"/>
            <w:left w:val="none" w:sz="0" w:space="0" w:color="auto"/>
            <w:bottom w:val="none" w:sz="0" w:space="0" w:color="auto"/>
            <w:right w:val="none" w:sz="0" w:space="0" w:color="auto"/>
          </w:divBdr>
        </w:div>
        <w:div w:id="760026352">
          <w:marLeft w:val="0"/>
          <w:marRight w:val="0"/>
          <w:marTop w:val="280"/>
          <w:marBottom w:val="280"/>
          <w:divBdr>
            <w:top w:val="none" w:sz="0" w:space="0" w:color="auto"/>
            <w:left w:val="none" w:sz="0" w:space="0" w:color="auto"/>
            <w:bottom w:val="none" w:sz="0" w:space="0" w:color="auto"/>
            <w:right w:val="none" w:sz="0" w:space="0" w:color="auto"/>
          </w:divBdr>
        </w:div>
        <w:div w:id="1307392913">
          <w:marLeft w:val="0"/>
          <w:marRight w:val="0"/>
          <w:marTop w:val="280"/>
          <w:marBottom w:val="280"/>
          <w:divBdr>
            <w:top w:val="none" w:sz="0" w:space="0" w:color="auto"/>
            <w:left w:val="none" w:sz="0" w:space="0" w:color="auto"/>
            <w:bottom w:val="none" w:sz="0" w:space="0" w:color="auto"/>
            <w:right w:val="none" w:sz="0" w:space="0" w:color="auto"/>
          </w:divBdr>
        </w:div>
        <w:div w:id="951862000">
          <w:marLeft w:val="0"/>
          <w:marRight w:val="0"/>
          <w:marTop w:val="280"/>
          <w:marBottom w:val="280"/>
          <w:divBdr>
            <w:top w:val="none" w:sz="0" w:space="0" w:color="auto"/>
            <w:left w:val="none" w:sz="0" w:space="0" w:color="auto"/>
            <w:bottom w:val="none" w:sz="0" w:space="0" w:color="auto"/>
            <w:right w:val="none" w:sz="0" w:space="0" w:color="auto"/>
          </w:divBdr>
        </w:div>
        <w:div w:id="409469352">
          <w:marLeft w:val="0"/>
          <w:marRight w:val="0"/>
          <w:marTop w:val="280"/>
          <w:marBottom w:val="280"/>
          <w:divBdr>
            <w:top w:val="none" w:sz="0" w:space="0" w:color="auto"/>
            <w:left w:val="none" w:sz="0" w:space="0" w:color="auto"/>
            <w:bottom w:val="none" w:sz="0" w:space="0" w:color="auto"/>
            <w:right w:val="none" w:sz="0" w:space="0" w:color="auto"/>
          </w:divBdr>
        </w:div>
        <w:div w:id="152726947">
          <w:marLeft w:val="0"/>
          <w:marRight w:val="0"/>
          <w:marTop w:val="280"/>
          <w:marBottom w:val="280"/>
          <w:divBdr>
            <w:top w:val="none" w:sz="0" w:space="0" w:color="auto"/>
            <w:left w:val="none" w:sz="0" w:space="0" w:color="auto"/>
            <w:bottom w:val="none" w:sz="0" w:space="0" w:color="auto"/>
            <w:right w:val="none" w:sz="0" w:space="0" w:color="auto"/>
          </w:divBdr>
        </w:div>
        <w:div w:id="629747989">
          <w:marLeft w:val="0"/>
          <w:marRight w:val="0"/>
          <w:marTop w:val="280"/>
          <w:marBottom w:val="280"/>
          <w:divBdr>
            <w:top w:val="none" w:sz="0" w:space="0" w:color="auto"/>
            <w:left w:val="none" w:sz="0" w:space="0" w:color="auto"/>
            <w:bottom w:val="none" w:sz="0" w:space="0" w:color="auto"/>
            <w:right w:val="none" w:sz="0" w:space="0" w:color="auto"/>
          </w:divBdr>
        </w:div>
      </w:divsChild>
    </w:div>
    <w:div w:id="495344581">
      <w:bodyDiv w:val="1"/>
      <w:marLeft w:val="0"/>
      <w:marRight w:val="0"/>
      <w:marTop w:val="0"/>
      <w:marBottom w:val="0"/>
      <w:divBdr>
        <w:top w:val="none" w:sz="0" w:space="0" w:color="auto"/>
        <w:left w:val="none" w:sz="0" w:space="0" w:color="auto"/>
        <w:bottom w:val="none" w:sz="0" w:space="0" w:color="auto"/>
        <w:right w:val="none" w:sz="0" w:space="0" w:color="auto"/>
      </w:divBdr>
    </w:div>
    <w:div w:id="551695812">
      <w:bodyDiv w:val="1"/>
      <w:marLeft w:val="0"/>
      <w:marRight w:val="0"/>
      <w:marTop w:val="0"/>
      <w:marBottom w:val="0"/>
      <w:divBdr>
        <w:top w:val="none" w:sz="0" w:space="0" w:color="auto"/>
        <w:left w:val="none" w:sz="0" w:space="0" w:color="auto"/>
        <w:bottom w:val="none" w:sz="0" w:space="0" w:color="auto"/>
        <w:right w:val="none" w:sz="0" w:space="0" w:color="auto"/>
      </w:divBdr>
    </w:div>
    <w:div w:id="629363917">
      <w:bodyDiv w:val="1"/>
      <w:marLeft w:val="0"/>
      <w:marRight w:val="0"/>
      <w:marTop w:val="0"/>
      <w:marBottom w:val="0"/>
      <w:divBdr>
        <w:top w:val="none" w:sz="0" w:space="0" w:color="auto"/>
        <w:left w:val="none" w:sz="0" w:space="0" w:color="auto"/>
        <w:bottom w:val="none" w:sz="0" w:space="0" w:color="auto"/>
        <w:right w:val="none" w:sz="0" w:space="0" w:color="auto"/>
      </w:divBdr>
    </w:div>
    <w:div w:id="732772909">
      <w:bodyDiv w:val="1"/>
      <w:marLeft w:val="0"/>
      <w:marRight w:val="0"/>
      <w:marTop w:val="0"/>
      <w:marBottom w:val="0"/>
      <w:divBdr>
        <w:top w:val="none" w:sz="0" w:space="0" w:color="auto"/>
        <w:left w:val="none" w:sz="0" w:space="0" w:color="auto"/>
        <w:bottom w:val="none" w:sz="0" w:space="0" w:color="auto"/>
        <w:right w:val="none" w:sz="0" w:space="0" w:color="auto"/>
      </w:divBdr>
    </w:div>
    <w:div w:id="835222254">
      <w:bodyDiv w:val="1"/>
      <w:marLeft w:val="0"/>
      <w:marRight w:val="0"/>
      <w:marTop w:val="0"/>
      <w:marBottom w:val="0"/>
      <w:divBdr>
        <w:top w:val="none" w:sz="0" w:space="0" w:color="auto"/>
        <w:left w:val="none" w:sz="0" w:space="0" w:color="auto"/>
        <w:bottom w:val="none" w:sz="0" w:space="0" w:color="auto"/>
        <w:right w:val="none" w:sz="0" w:space="0" w:color="auto"/>
      </w:divBdr>
    </w:div>
    <w:div w:id="1653018930">
      <w:bodyDiv w:val="1"/>
      <w:marLeft w:val="0"/>
      <w:marRight w:val="0"/>
      <w:marTop w:val="0"/>
      <w:marBottom w:val="0"/>
      <w:divBdr>
        <w:top w:val="none" w:sz="0" w:space="0" w:color="auto"/>
        <w:left w:val="none" w:sz="0" w:space="0" w:color="auto"/>
        <w:bottom w:val="none" w:sz="0" w:space="0" w:color="auto"/>
        <w:right w:val="none" w:sz="0" w:space="0" w:color="auto"/>
      </w:divBdr>
    </w:div>
    <w:div w:id="1956450068">
      <w:bodyDiv w:val="1"/>
      <w:marLeft w:val="0"/>
      <w:marRight w:val="0"/>
      <w:marTop w:val="0"/>
      <w:marBottom w:val="0"/>
      <w:divBdr>
        <w:top w:val="none" w:sz="0" w:space="0" w:color="auto"/>
        <w:left w:val="none" w:sz="0" w:space="0" w:color="auto"/>
        <w:bottom w:val="none" w:sz="0" w:space="0" w:color="auto"/>
        <w:right w:val="none" w:sz="0" w:space="0" w:color="auto"/>
      </w:divBdr>
    </w:div>
    <w:div w:id="2071465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8763F2B-1827-4DAA-9D9D-61F13A11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3065</Words>
  <Characters>17476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Furugh Nahib</dc:creator>
  <cp:lastModifiedBy>%username%</cp:lastModifiedBy>
  <cp:revision>3</cp:revision>
  <cp:lastPrinted>2018-04-18T19:25:00Z</cp:lastPrinted>
  <dcterms:created xsi:type="dcterms:W3CDTF">2018-05-11T15:45:00Z</dcterms:created>
  <dcterms:modified xsi:type="dcterms:W3CDTF">2018-05-11T18:38:00Z</dcterms:modified>
</cp:coreProperties>
</file>