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2D" w:rsidRDefault="00C4252D" w:rsidP="00082FC9">
      <w:pPr>
        <w:shd w:val="clear" w:color="auto" w:fill="FFFFFF"/>
        <w:spacing w:after="0" w:line="240" w:lineRule="auto"/>
        <w:jc w:val="center"/>
        <w:rPr>
          <w:rFonts w:ascii="Cambria" w:hAnsi="Cambria"/>
          <w:b/>
          <w:sz w:val="32"/>
          <w:szCs w:val="32"/>
          <w:lang w:val="es-US"/>
        </w:rPr>
      </w:pPr>
    </w:p>
    <w:p w:rsidR="00082FC9" w:rsidRPr="00A94413" w:rsidRDefault="00082FC9" w:rsidP="00082FC9">
      <w:pPr>
        <w:shd w:val="clear" w:color="auto" w:fill="FFFFFF"/>
        <w:spacing w:after="0" w:line="240" w:lineRule="auto"/>
        <w:jc w:val="center"/>
        <w:rPr>
          <w:rFonts w:ascii="Cambria" w:hAnsi="Cambria"/>
          <w:b/>
          <w:sz w:val="32"/>
          <w:szCs w:val="32"/>
          <w:lang w:val="es-US"/>
        </w:rPr>
      </w:pPr>
      <w:r w:rsidRPr="00A94413">
        <w:rPr>
          <w:rFonts w:ascii="Cambria" w:hAnsi="Cambria"/>
          <w:b/>
          <w:sz w:val="32"/>
          <w:szCs w:val="32"/>
          <w:lang w:val="es-US"/>
        </w:rPr>
        <w:t>CAPÍTULO V</w:t>
      </w:r>
    </w:p>
    <w:p w:rsidR="00082FC9" w:rsidRPr="00A94413" w:rsidRDefault="00082FC9" w:rsidP="00082FC9">
      <w:pPr>
        <w:shd w:val="clear" w:color="auto" w:fill="FFFFFF"/>
        <w:spacing w:after="0" w:line="240" w:lineRule="auto"/>
        <w:jc w:val="center"/>
        <w:rPr>
          <w:rFonts w:ascii="Cambria" w:hAnsi="Cambria"/>
          <w:b/>
          <w:sz w:val="32"/>
          <w:szCs w:val="32"/>
          <w:lang w:val="es-US"/>
        </w:rPr>
      </w:pPr>
    </w:p>
    <w:p w:rsidR="00082FC9" w:rsidRPr="007063B3" w:rsidRDefault="00082FC9" w:rsidP="00082FC9">
      <w:pPr>
        <w:shd w:val="clear" w:color="auto" w:fill="FFFFFF"/>
        <w:spacing w:after="0" w:line="240" w:lineRule="auto"/>
        <w:jc w:val="center"/>
        <w:rPr>
          <w:rFonts w:ascii="Cambria" w:hAnsi="Cambria"/>
          <w:b/>
          <w:sz w:val="32"/>
          <w:szCs w:val="32"/>
          <w:lang w:val="es-ES_tradnl"/>
        </w:rPr>
      </w:pPr>
      <w:r w:rsidRPr="00082FC9">
        <w:rPr>
          <w:rFonts w:ascii="Cambria" w:hAnsi="Cambria"/>
          <w:b/>
          <w:sz w:val="32"/>
          <w:szCs w:val="32"/>
          <w:lang w:val="es-ES_tradnl"/>
        </w:rPr>
        <w:t>SEGUIMIENTO DE RECOMENDACIONES FORMULADAS POR LA CIDH EN SUS INFORMES DE PAÍS O TEMÁTICOS</w:t>
      </w:r>
    </w:p>
    <w:p w:rsidR="00082FC9" w:rsidRPr="007063B3" w:rsidRDefault="00082FC9" w:rsidP="00082FC9">
      <w:pPr>
        <w:shd w:val="clear" w:color="auto" w:fill="FFFFFF"/>
        <w:spacing w:after="0" w:line="240" w:lineRule="auto"/>
        <w:jc w:val="center"/>
        <w:rPr>
          <w:rFonts w:ascii="Cambria" w:hAnsi="Cambria"/>
          <w:b/>
          <w:lang w:val="es-ES_tradnl"/>
        </w:rPr>
      </w:pPr>
    </w:p>
    <w:p w:rsidR="00082FC9" w:rsidRPr="007063B3" w:rsidRDefault="00082FC9" w:rsidP="00082FC9">
      <w:pPr>
        <w:spacing w:after="0" w:line="240" w:lineRule="auto"/>
        <w:jc w:val="both"/>
        <w:rPr>
          <w:rFonts w:ascii="Calibri" w:eastAsia="Calibri" w:hAnsi="Calibri" w:cs="Times New Roman"/>
          <w:lang w:val="es-US"/>
        </w:rPr>
      </w:pPr>
    </w:p>
    <w:p w:rsidR="00082FC9" w:rsidRPr="007063B3" w:rsidRDefault="00082FC9" w:rsidP="00082FC9">
      <w:pPr>
        <w:spacing w:after="0" w:line="240" w:lineRule="auto"/>
        <w:ind w:firstLine="720"/>
        <w:jc w:val="both"/>
        <w:rPr>
          <w:rFonts w:ascii="Cambria" w:eastAsia="Calibri" w:hAnsi="Cambria" w:cs="Times New Roman"/>
          <w:b/>
          <w:sz w:val="20"/>
          <w:szCs w:val="20"/>
          <w:lang w:val="es-ES"/>
        </w:rPr>
      </w:pPr>
      <w:r w:rsidRPr="007063B3">
        <w:rPr>
          <w:rFonts w:ascii="Cambria" w:eastAsia="Calibri" w:hAnsi="Cambria" w:cs="Times New Roman"/>
          <w:b/>
          <w:sz w:val="20"/>
          <w:szCs w:val="20"/>
          <w:lang w:val="es-ES"/>
        </w:rPr>
        <w:t xml:space="preserve">INTRODUCCION </w:t>
      </w:r>
    </w:p>
    <w:p w:rsidR="00082FC9" w:rsidRPr="007063B3" w:rsidRDefault="00082FC9" w:rsidP="00082FC9">
      <w:pPr>
        <w:spacing w:after="0" w:line="240" w:lineRule="auto"/>
        <w:ind w:firstLine="720"/>
        <w:jc w:val="both"/>
        <w:rPr>
          <w:rFonts w:ascii="Cambria" w:eastAsia="Calibri" w:hAnsi="Cambria" w:cs="Times New Roman"/>
          <w:b/>
          <w:sz w:val="20"/>
          <w:szCs w:val="20"/>
          <w:lang w:val="es-ES"/>
        </w:rPr>
      </w:pPr>
    </w:p>
    <w:p w:rsidR="00082FC9" w:rsidRPr="00C4252D" w:rsidRDefault="00082FC9" w:rsidP="00C4252D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ind w:left="0" w:firstLine="720"/>
        <w:jc w:val="both"/>
        <w:rPr>
          <w:rFonts w:ascii="Cambria" w:eastAsia="Calibri" w:hAnsi="Cambria"/>
          <w:color w:val="000000"/>
          <w:spacing w:val="-3"/>
          <w:sz w:val="20"/>
          <w:szCs w:val="20"/>
          <w:lang w:val="es-ES"/>
        </w:rPr>
      </w:pPr>
      <w:r w:rsidRPr="00C4252D">
        <w:rPr>
          <w:rFonts w:ascii="Cambria" w:eastAsia="Calibri" w:hAnsi="Cambria"/>
          <w:color w:val="000000"/>
          <w:spacing w:val="-3"/>
          <w:sz w:val="20"/>
          <w:szCs w:val="20"/>
          <w:lang w:val="es-ES"/>
        </w:rPr>
        <w:t xml:space="preserve">En este Capítulo, la CIDH </w:t>
      </w:r>
      <w:r w:rsidR="00BC4EA0" w:rsidRPr="00C4252D">
        <w:rPr>
          <w:rFonts w:ascii="Cambria" w:eastAsia="Times New Roman" w:hAnsi="Cambria"/>
          <w:sz w:val="20"/>
          <w:szCs w:val="20"/>
          <w:lang w:val="es-ES"/>
        </w:rPr>
        <w:t>dio seguimiento a las medidas adoptadas para dar cumplimiento a las recomendaciones formuladas en los informes de país o temáticos, o en informes publica</w:t>
      </w:r>
      <w:r w:rsidR="00A94413" w:rsidRPr="00C4252D">
        <w:rPr>
          <w:rFonts w:ascii="Cambria" w:eastAsia="Times New Roman" w:hAnsi="Cambria"/>
          <w:sz w:val="20"/>
          <w:szCs w:val="20"/>
          <w:lang w:val="es-ES"/>
        </w:rPr>
        <w:t xml:space="preserve">dos previamente en el Capítulo </w:t>
      </w:r>
      <w:r w:rsidR="003727A9" w:rsidRPr="00C4252D">
        <w:rPr>
          <w:rFonts w:ascii="Cambria" w:eastAsia="Times New Roman" w:hAnsi="Cambria"/>
          <w:sz w:val="20"/>
          <w:szCs w:val="20"/>
          <w:lang w:val="es-ES"/>
        </w:rPr>
        <w:t>I</w:t>
      </w:r>
      <w:r w:rsidR="00BC4EA0" w:rsidRPr="00C4252D">
        <w:rPr>
          <w:rFonts w:ascii="Cambria" w:eastAsia="Times New Roman" w:hAnsi="Cambria"/>
          <w:sz w:val="20"/>
          <w:szCs w:val="20"/>
          <w:lang w:val="es-ES"/>
        </w:rPr>
        <w:t>V</w:t>
      </w:r>
      <w:r w:rsidR="003727A9" w:rsidRPr="00C4252D">
        <w:rPr>
          <w:rFonts w:ascii="Cambria" w:eastAsia="Times New Roman" w:hAnsi="Cambria"/>
          <w:sz w:val="20"/>
          <w:szCs w:val="20"/>
          <w:lang w:val="es-ES"/>
        </w:rPr>
        <w:t>.B</w:t>
      </w:r>
      <w:r w:rsidR="00A94413" w:rsidRPr="00C4252D">
        <w:rPr>
          <w:rFonts w:ascii="Cambria" w:eastAsia="Times New Roman" w:hAnsi="Cambria"/>
          <w:sz w:val="20"/>
          <w:szCs w:val="20"/>
          <w:lang w:val="es-ES"/>
        </w:rPr>
        <w:t xml:space="preserve"> de su Informe A</w:t>
      </w:r>
      <w:r w:rsidR="00E157BC" w:rsidRPr="00C4252D">
        <w:rPr>
          <w:rFonts w:ascii="Cambria" w:eastAsia="Times New Roman" w:hAnsi="Cambria"/>
          <w:sz w:val="20"/>
          <w:szCs w:val="20"/>
          <w:lang w:val="es-ES"/>
        </w:rPr>
        <w:t>nual</w:t>
      </w:r>
      <w:r w:rsidR="00BC4EA0" w:rsidRPr="00C4252D">
        <w:rPr>
          <w:rFonts w:ascii="Cambria" w:eastAsia="Times New Roman" w:hAnsi="Cambria"/>
          <w:sz w:val="20"/>
          <w:szCs w:val="20"/>
          <w:lang w:val="es-ES"/>
        </w:rPr>
        <w:t xml:space="preserve">, </w:t>
      </w:r>
      <w:r w:rsidRPr="00C4252D">
        <w:rPr>
          <w:rFonts w:ascii="Cambria" w:eastAsia="Times New Roman" w:hAnsi="Cambria"/>
          <w:sz w:val="20"/>
          <w:szCs w:val="20"/>
          <w:lang w:val="es-ES"/>
        </w:rPr>
        <w:t>e</w:t>
      </w:r>
      <w:r w:rsidRPr="00C4252D">
        <w:rPr>
          <w:rFonts w:ascii="Cambria" w:eastAsia="Calibri" w:hAnsi="Cambria"/>
          <w:color w:val="000000"/>
          <w:spacing w:val="-3"/>
          <w:sz w:val="20"/>
          <w:szCs w:val="20"/>
          <w:lang w:val="es-ES"/>
        </w:rPr>
        <w:t>n cumplimiento del artículo 59 de su Reglamento</w:t>
      </w:r>
      <w:r w:rsidRPr="007063B3">
        <w:rPr>
          <w:vertAlign w:val="superscript"/>
        </w:rPr>
        <w:footnoteReference w:id="1"/>
      </w:r>
      <w:r w:rsidRPr="00C4252D">
        <w:rPr>
          <w:rFonts w:ascii="Cambria" w:eastAsia="Times New Roman" w:hAnsi="Cambria"/>
          <w:sz w:val="20"/>
          <w:szCs w:val="20"/>
          <w:lang w:val="es-ES"/>
        </w:rPr>
        <w:t xml:space="preserve">. Conforme a dicha disposición Reglamentaria, la CIDH </w:t>
      </w:r>
      <w:r w:rsidR="00ED5F46" w:rsidRPr="00C4252D">
        <w:rPr>
          <w:rFonts w:ascii="Cambria" w:eastAsia="Times New Roman" w:hAnsi="Cambria"/>
          <w:sz w:val="20"/>
          <w:szCs w:val="20"/>
          <w:lang w:val="es-ES"/>
        </w:rPr>
        <w:t xml:space="preserve">destacó </w:t>
      </w:r>
      <w:r w:rsidR="00BC4EA0" w:rsidRPr="00C4252D">
        <w:rPr>
          <w:rFonts w:ascii="Cambria" w:eastAsia="Times New Roman" w:hAnsi="Cambria"/>
          <w:sz w:val="20"/>
          <w:szCs w:val="20"/>
          <w:lang w:val="es-ES"/>
        </w:rPr>
        <w:t xml:space="preserve">los progresos alcanzados y las dificultades para la efectiva observancia de los derechos humanos </w:t>
      </w:r>
      <w:r w:rsidRPr="00C4252D">
        <w:rPr>
          <w:rFonts w:ascii="Cambria" w:eastAsia="Times New Roman" w:hAnsi="Cambria"/>
          <w:sz w:val="20"/>
          <w:szCs w:val="20"/>
          <w:lang w:val="es-ES"/>
        </w:rPr>
        <w:t>en la región.</w:t>
      </w:r>
    </w:p>
    <w:p w:rsidR="00082FC9" w:rsidRDefault="00082FC9" w:rsidP="00082FC9">
      <w:pPr>
        <w:tabs>
          <w:tab w:val="left" w:pos="-720"/>
        </w:tabs>
        <w:suppressAutoHyphens/>
        <w:spacing w:after="0" w:line="240" w:lineRule="auto"/>
        <w:ind w:firstLine="720"/>
        <w:jc w:val="both"/>
        <w:rPr>
          <w:rFonts w:ascii="Cambria" w:eastAsia="Calibri" w:hAnsi="Cambria" w:cs="Calibri"/>
          <w:color w:val="000000"/>
          <w:spacing w:val="-3"/>
          <w:sz w:val="20"/>
          <w:szCs w:val="20"/>
          <w:lang w:val="es-ES"/>
        </w:rPr>
      </w:pPr>
    </w:p>
    <w:p w:rsidR="000B1069" w:rsidRPr="007063B3" w:rsidRDefault="002373B8" w:rsidP="00C4252D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ind w:left="0" w:firstLine="720"/>
        <w:jc w:val="both"/>
        <w:rPr>
          <w:rFonts w:ascii="Cambria" w:eastAsia="Times New Roman" w:hAnsi="Cambria"/>
          <w:sz w:val="20"/>
          <w:szCs w:val="20"/>
          <w:lang w:val="es-ES"/>
        </w:rPr>
      </w:pPr>
      <w:r>
        <w:rPr>
          <w:rFonts w:ascii="Cambria" w:eastAsia="Calibri" w:hAnsi="Cambria"/>
          <w:spacing w:val="-3"/>
          <w:sz w:val="20"/>
          <w:szCs w:val="20"/>
          <w:lang w:val="es-ES"/>
        </w:rPr>
        <w:t xml:space="preserve">El de 3 agosto de 2018, </w:t>
      </w:r>
      <w:r w:rsidR="000B1069" w:rsidRPr="007063B3">
        <w:rPr>
          <w:rFonts w:ascii="Cambria" w:eastAsia="Calibri" w:hAnsi="Cambria"/>
          <w:spacing w:val="-3"/>
          <w:sz w:val="20"/>
          <w:szCs w:val="20"/>
          <w:lang w:val="es-ES"/>
        </w:rPr>
        <w:t>la Comisión aprobó</w:t>
      </w:r>
      <w:r w:rsidR="000B1069">
        <w:rPr>
          <w:rFonts w:ascii="Cambria" w:eastAsia="Calibri" w:hAnsi="Cambria"/>
          <w:spacing w:val="-3"/>
          <w:sz w:val="20"/>
          <w:szCs w:val="20"/>
          <w:lang w:val="es-ES"/>
        </w:rPr>
        <w:t xml:space="preserve"> la preparación de los informes de seguimiento en relación con los informes de país de Colombia</w:t>
      </w:r>
      <w:r w:rsidR="000B1069">
        <w:rPr>
          <w:rStyle w:val="FootnoteReference"/>
          <w:rFonts w:ascii="Cambria" w:eastAsia="Calibri" w:hAnsi="Cambria"/>
          <w:spacing w:val="-3"/>
          <w:sz w:val="20"/>
          <w:szCs w:val="20"/>
          <w:lang w:val="es-ES"/>
        </w:rPr>
        <w:footnoteReference w:id="2"/>
      </w:r>
      <w:r w:rsidR="000B1069">
        <w:rPr>
          <w:rFonts w:ascii="Cambria" w:eastAsia="Calibri" w:hAnsi="Cambria"/>
          <w:spacing w:val="-3"/>
          <w:sz w:val="20"/>
          <w:szCs w:val="20"/>
          <w:lang w:val="es-ES"/>
        </w:rPr>
        <w:t>, Guatemala</w:t>
      </w:r>
      <w:r w:rsidR="000B1069">
        <w:rPr>
          <w:rStyle w:val="FootnoteReference"/>
          <w:rFonts w:ascii="Cambria" w:eastAsia="Calibri" w:hAnsi="Cambria"/>
          <w:spacing w:val="-3"/>
          <w:sz w:val="20"/>
          <w:szCs w:val="20"/>
          <w:lang w:val="es-ES"/>
        </w:rPr>
        <w:footnoteReference w:id="3"/>
      </w:r>
      <w:r w:rsidR="000B1069">
        <w:rPr>
          <w:rFonts w:ascii="Cambria" w:eastAsia="Calibri" w:hAnsi="Cambria"/>
          <w:spacing w:val="-3"/>
          <w:sz w:val="20"/>
          <w:szCs w:val="20"/>
          <w:lang w:val="es-ES"/>
        </w:rPr>
        <w:t>, México</w:t>
      </w:r>
      <w:r w:rsidR="000B1069">
        <w:rPr>
          <w:rStyle w:val="FootnoteReference"/>
          <w:rFonts w:ascii="Cambria" w:eastAsia="Calibri" w:hAnsi="Cambria"/>
          <w:spacing w:val="-3"/>
          <w:sz w:val="20"/>
          <w:szCs w:val="20"/>
          <w:lang w:val="es-ES"/>
        </w:rPr>
        <w:footnoteReference w:id="4"/>
      </w:r>
      <w:r w:rsidR="000B1069">
        <w:rPr>
          <w:rFonts w:ascii="Cambria" w:eastAsia="Calibri" w:hAnsi="Cambria"/>
          <w:spacing w:val="-3"/>
          <w:sz w:val="20"/>
          <w:szCs w:val="20"/>
          <w:lang w:val="es-ES"/>
        </w:rPr>
        <w:t xml:space="preserve"> y República Dominicana</w:t>
      </w:r>
      <w:r w:rsidR="000B1069">
        <w:rPr>
          <w:rStyle w:val="FootnoteReference"/>
          <w:rFonts w:ascii="Cambria" w:eastAsia="Calibri" w:hAnsi="Cambria"/>
          <w:spacing w:val="-3"/>
          <w:sz w:val="20"/>
          <w:szCs w:val="20"/>
          <w:lang w:val="es-ES"/>
        </w:rPr>
        <w:footnoteReference w:id="5"/>
      </w:r>
      <w:r w:rsidR="000B1069">
        <w:rPr>
          <w:rFonts w:ascii="Cambria" w:eastAsia="Times New Roman" w:hAnsi="Cambria"/>
          <w:sz w:val="20"/>
          <w:szCs w:val="20"/>
          <w:lang w:val="es-ES"/>
        </w:rPr>
        <w:t>.</w:t>
      </w:r>
    </w:p>
    <w:p w:rsidR="000B1069" w:rsidRPr="007063B3" w:rsidRDefault="000B1069" w:rsidP="00082FC9">
      <w:pPr>
        <w:tabs>
          <w:tab w:val="left" w:pos="-720"/>
        </w:tabs>
        <w:suppressAutoHyphens/>
        <w:spacing w:after="0" w:line="240" w:lineRule="auto"/>
        <w:ind w:firstLine="720"/>
        <w:jc w:val="both"/>
        <w:rPr>
          <w:rFonts w:ascii="Cambria" w:eastAsia="Calibri" w:hAnsi="Cambria" w:cs="Calibri"/>
          <w:color w:val="000000"/>
          <w:spacing w:val="-3"/>
          <w:sz w:val="20"/>
          <w:szCs w:val="20"/>
          <w:lang w:val="es-ES"/>
        </w:rPr>
      </w:pPr>
    </w:p>
    <w:p w:rsidR="00082FC9" w:rsidRPr="007063B3" w:rsidRDefault="00082FC9" w:rsidP="00082FC9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0" w:firstLine="720"/>
        <w:jc w:val="both"/>
        <w:rPr>
          <w:rFonts w:ascii="Cambria" w:eastAsia="Calibri" w:hAnsi="Cambria" w:cs="Calibri"/>
          <w:b/>
          <w:color w:val="000000"/>
          <w:spacing w:val="-3"/>
          <w:sz w:val="20"/>
          <w:szCs w:val="20"/>
          <w:lang w:val="es-ES"/>
        </w:rPr>
      </w:pPr>
      <w:r w:rsidRPr="007063B3">
        <w:rPr>
          <w:rFonts w:ascii="Cambria" w:eastAsia="Calibri" w:hAnsi="Cambria" w:cs="Calibri"/>
          <w:b/>
          <w:color w:val="000000"/>
          <w:spacing w:val="-3"/>
          <w:sz w:val="20"/>
          <w:szCs w:val="20"/>
          <w:lang w:val="es-ES"/>
        </w:rPr>
        <w:t>Metodología</w:t>
      </w:r>
    </w:p>
    <w:p w:rsidR="00082FC9" w:rsidRPr="007063B3" w:rsidRDefault="00082FC9" w:rsidP="00082FC9">
      <w:pPr>
        <w:tabs>
          <w:tab w:val="left" w:pos="-720"/>
        </w:tabs>
        <w:suppressAutoHyphens/>
        <w:spacing w:after="0" w:line="240" w:lineRule="auto"/>
        <w:ind w:firstLine="720"/>
        <w:jc w:val="both"/>
        <w:rPr>
          <w:rFonts w:ascii="Cambria" w:eastAsia="Times New Roman" w:hAnsi="Cambria" w:cs="Calibri"/>
          <w:sz w:val="20"/>
          <w:szCs w:val="20"/>
          <w:lang w:val="es-ES"/>
        </w:rPr>
      </w:pPr>
    </w:p>
    <w:p w:rsidR="003B7292" w:rsidRDefault="00082FC9" w:rsidP="00C4252D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ind w:left="0" w:firstLine="720"/>
        <w:jc w:val="both"/>
        <w:rPr>
          <w:rFonts w:ascii="Cambria" w:eastAsia="Times New Roman" w:hAnsi="Cambria" w:cstheme="majorHAnsi"/>
          <w:sz w:val="20"/>
          <w:szCs w:val="20"/>
          <w:lang w:eastAsia="es-US"/>
        </w:rPr>
      </w:pPr>
      <w:r w:rsidRPr="007063B3">
        <w:rPr>
          <w:rFonts w:ascii="Cambria" w:eastAsia="Calibri" w:hAnsi="Cambria" w:cs="Times New Roman"/>
          <w:sz w:val="20"/>
          <w:szCs w:val="20"/>
          <w:lang w:val="es-ES"/>
        </w:rPr>
        <w:t xml:space="preserve">Para la elaboración de esta sección, la CIDH </w:t>
      </w:r>
      <w:r w:rsidR="003B7292">
        <w:rPr>
          <w:rFonts w:ascii="Cambria" w:eastAsia="Calibri" w:hAnsi="Cambria" w:cs="Times New Roman"/>
          <w:sz w:val="20"/>
          <w:szCs w:val="20"/>
          <w:lang w:val="es-ES"/>
        </w:rPr>
        <w:t>solicitó información a los Estados concernidos</w:t>
      </w:r>
      <w:r w:rsidR="004D4CF4">
        <w:rPr>
          <w:rFonts w:ascii="Cambria" w:eastAsia="Calibri" w:hAnsi="Cambria" w:cs="Times New Roman"/>
          <w:sz w:val="20"/>
          <w:szCs w:val="20"/>
          <w:lang w:val="es-ES"/>
        </w:rPr>
        <w:t>,</w:t>
      </w:r>
      <w:r w:rsidR="003B7292">
        <w:rPr>
          <w:rFonts w:ascii="Cambria" w:eastAsia="Calibri" w:hAnsi="Cambria" w:cs="Times New Roman"/>
          <w:sz w:val="20"/>
          <w:szCs w:val="20"/>
          <w:lang w:val="es-ES"/>
        </w:rPr>
        <w:t xml:space="preserve"> a las</w:t>
      </w:r>
      <w:r w:rsidR="00965076">
        <w:rPr>
          <w:rFonts w:ascii="Cambria" w:eastAsia="Calibri" w:hAnsi="Cambria" w:cs="Times New Roman"/>
          <w:sz w:val="20"/>
          <w:szCs w:val="20"/>
          <w:lang w:val="es-ES"/>
        </w:rPr>
        <w:t xml:space="preserve"> defensorías </w:t>
      </w:r>
      <w:r w:rsidR="00E25E27">
        <w:rPr>
          <w:rFonts w:ascii="Cambria" w:eastAsia="Calibri" w:hAnsi="Cambria" w:cs="Times New Roman"/>
          <w:sz w:val="20"/>
          <w:szCs w:val="20"/>
          <w:lang w:val="es-ES"/>
        </w:rPr>
        <w:t>del pueblo</w:t>
      </w:r>
      <w:r w:rsidR="00965076">
        <w:rPr>
          <w:rFonts w:ascii="Cambria" w:eastAsia="Calibri" w:hAnsi="Cambria" w:cs="Times New Roman"/>
          <w:sz w:val="20"/>
          <w:szCs w:val="20"/>
          <w:lang w:val="es-ES"/>
        </w:rPr>
        <w:t xml:space="preserve"> y </w:t>
      </w:r>
      <w:r w:rsidR="004D4CF4">
        <w:rPr>
          <w:rFonts w:ascii="Cambria" w:eastAsia="Calibri" w:hAnsi="Cambria" w:cs="Times New Roman"/>
          <w:sz w:val="20"/>
          <w:szCs w:val="20"/>
          <w:lang w:val="es-ES"/>
        </w:rPr>
        <w:t xml:space="preserve">a las </w:t>
      </w:r>
      <w:r w:rsidR="003B7292">
        <w:rPr>
          <w:rFonts w:ascii="Cambria" w:eastAsia="Calibri" w:hAnsi="Cambria" w:cs="Times New Roman"/>
          <w:sz w:val="20"/>
          <w:szCs w:val="20"/>
          <w:lang w:val="es-ES"/>
        </w:rPr>
        <w:t xml:space="preserve">organizaciones de la </w:t>
      </w:r>
      <w:r w:rsidR="003B7292" w:rsidRPr="003B7292">
        <w:rPr>
          <w:rFonts w:ascii="Cambria" w:eastAsia="Calibri" w:hAnsi="Cambria" w:cs="Times New Roman"/>
          <w:sz w:val="20"/>
          <w:szCs w:val="20"/>
          <w:lang w:val="es-ES"/>
        </w:rPr>
        <w:t>sociedad civil de dichos países</w:t>
      </w:r>
      <w:r w:rsidR="003B7292" w:rsidRPr="003B7292">
        <w:rPr>
          <w:rFonts w:ascii="Cambria" w:hAnsi="Cambria" w:cstheme="majorHAnsi"/>
          <w:sz w:val="20"/>
          <w:szCs w:val="20"/>
          <w:lang w:val="es-AR"/>
        </w:rPr>
        <w:t xml:space="preserve"> respecto al cumplimiento de las recomendaciones contenidas en el informe de país.</w:t>
      </w:r>
      <w:r w:rsidR="00ED5F46" w:rsidRPr="00ED5F46">
        <w:rPr>
          <w:rFonts w:ascii="Cambria" w:eastAsia="Calibri" w:hAnsi="Cambria" w:cs="Times New Roman"/>
          <w:sz w:val="20"/>
          <w:szCs w:val="20"/>
          <w:lang w:val="es-ES"/>
        </w:rPr>
        <w:t xml:space="preserve"> </w:t>
      </w:r>
      <w:r w:rsidR="00ED5F46" w:rsidRPr="00894243">
        <w:rPr>
          <w:rFonts w:ascii="Cambria" w:eastAsia="Calibri" w:hAnsi="Cambria" w:cs="Times New Roman"/>
          <w:sz w:val="20"/>
          <w:szCs w:val="20"/>
          <w:lang w:val="es-ES"/>
        </w:rPr>
        <w:t xml:space="preserve">En la </w:t>
      </w:r>
      <w:r w:rsidR="00ED5F46">
        <w:rPr>
          <w:rFonts w:ascii="Cambria" w:eastAsia="Calibri" w:hAnsi="Cambria" w:cs="Times New Roman"/>
          <w:sz w:val="20"/>
          <w:szCs w:val="20"/>
          <w:lang w:val="es-ES"/>
        </w:rPr>
        <w:t xml:space="preserve">carta de solicitud a los Estados la CIDH envió algunas orientaciones generales para el proceso de presentación de la información. </w:t>
      </w:r>
      <w:r w:rsidR="003B7292" w:rsidRPr="003B7292">
        <w:rPr>
          <w:rFonts w:ascii="Cambria" w:eastAsia="Times New Roman" w:hAnsi="Cambria" w:cstheme="majorHAnsi"/>
          <w:sz w:val="20"/>
          <w:szCs w:val="20"/>
          <w:lang w:eastAsia="es-US"/>
        </w:rPr>
        <w:t xml:space="preserve">Además de la información oficial recibida o de acceso público, también utilizó </w:t>
      </w:r>
      <w:r w:rsidR="003B7292" w:rsidRPr="00C4252D">
        <w:rPr>
          <w:rFonts w:ascii="Cambria" w:eastAsia="Calibri" w:hAnsi="Cambria"/>
          <w:color w:val="000000"/>
          <w:spacing w:val="-3"/>
          <w:sz w:val="20"/>
          <w:szCs w:val="20"/>
          <w:lang w:val="es-ES"/>
        </w:rPr>
        <w:t>documentos</w:t>
      </w:r>
      <w:r w:rsidR="003B7292" w:rsidRPr="003B7292">
        <w:rPr>
          <w:rFonts w:ascii="Cambria" w:eastAsia="Times New Roman" w:hAnsi="Cambria" w:cstheme="majorHAnsi"/>
          <w:sz w:val="20"/>
          <w:szCs w:val="20"/>
          <w:lang w:eastAsia="es-US"/>
        </w:rPr>
        <w:t xml:space="preserve"> e informes de los órganos universales de protección de los derechos humanos, como igualmente de organizaciones de la sociedad civil y de los medios de comunicación. La CIDH también utilizó información </w:t>
      </w:r>
      <w:r w:rsidR="003B7292" w:rsidRPr="003B7292">
        <w:rPr>
          <w:rFonts w:ascii="Cambria" w:eastAsia="Calibri" w:hAnsi="Cambria" w:cs="Times New Roman"/>
          <w:sz w:val="20"/>
          <w:szCs w:val="20"/>
          <w:lang w:val="es-ES"/>
        </w:rPr>
        <w:t>proveniente de los diferentes mecanismos a través de los cuales la CIDH ha dado seguimiento a la situación en el país, tales como audiencias públicas, visitas temáticas, solicitudes de información bajo el artículo 41 de la Convención Americana  y medidas cautelares,</w:t>
      </w:r>
      <w:r w:rsidR="003B7292" w:rsidRPr="003B7292">
        <w:rPr>
          <w:rFonts w:ascii="Cambria" w:eastAsia="Times New Roman" w:hAnsi="Cambria" w:cstheme="majorHAnsi"/>
          <w:sz w:val="20"/>
          <w:szCs w:val="20"/>
          <w:lang w:eastAsia="es-US"/>
        </w:rPr>
        <w:t xml:space="preserve"> entre otros. </w:t>
      </w:r>
    </w:p>
    <w:p w:rsidR="00FB2269" w:rsidRDefault="00FB2269" w:rsidP="00082FC9">
      <w:pPr>
        <w:tabs>
          <w:tab w:val="left" w:pos="-720"/>
        </w:tabs>
        <w:suppressAutoHyphens/>
        <w:spacing w:after="0" w:line="240" w:lineRule="auto"/>
        <w:ind w:firstLine="720"/>
        <w:jc w:val="both"/>
        <w:rPr>
          <w:rFonts w:ascii="Cambria" w:eastAsia="Times New Roman" w:hAnsi="Cambria" w:cstheme="majorHAnsi"/>
          <w:sz w:val="20"/>
          <w:szCs w:val="20"/>
          <w:lang w:val="es-US" w:eastAsia="es-US"/>
        </w:rPr>
      </w:pPr>
    </w:p>
    <w:p w:rsidR="00FB2269" w:rsidRDefault="00FB2269" w:rsidP="00C4252D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ind w:left="0" w:firstLine="720"/>
        <w:jc w:val="both"/>
        <w:rPr>
          <w:rFonts w:ascii="Cambria" w:eastAsia="Times New Roman" w:hAnsi="Cambria" w:cstheme="majorHAnsi"/>
          <w:sz w:val="20"/>
          <w:szCs w:val="20"/>
          <w:lang w:eastAsia="es-US"/>
        </w:rPr>
      </w:pPr>
      <w:r>
        <w:rPr>
          <w:rFonts w:ascii="Cambria" w:eastAsia="Calibri" w:hAnsi="Cambria" w:cs="Times New Roman"/>
          <w:sz w:val="20"/>
          <w:szCs w:val="20"/>
          <w:lang w:val="es-ES"/>
        </w:rPr>
        <w:t>Con el</w:t>
      </w:r>
      <w:r w:rsidRPr="00ED5F46">
        <w:rPr>
          <w:rFonts w:ascii="Cambria" w:eastAsia="Calibri" w:hAnsi="Cambria" w:cs="Times New Roman"/>
          <w:sz w:val="20"/>
          <w:szCs w:val="20"/>
          <w:lang w:val="es-ES"/>
        </w:rPr>
        <w:t xml:space="preserve"> </w:t>
      </w:r>
      <w:r>
        <w:rPr>
          <w:rFonts w:ascii="Cambria" w:eastAsia="Calibri" w:hAnsi="Cambria" w:cs="Times New Roman"/>
          <w:sz w:val="20"/>
          <w:szCs w:val="20"/>
          <w:lang w:val="es-ES"/>
        </w:rPr>
        <w:t xml:space="preserve">objetivo de </w:t>
      </w:r>
      <w:r w:rsidRPr="00FB2269">
        <w:rPr>
          <w:rFonts w:ascii="Cambria" w:eastAsia="Times New Roman" w:hAnsi="Cambria" w:cstheme="majorHAnsi"/>
          <w:sz w:val="20"/>
          <w:szCs w:val="20"/>
          <w:lang w:eastAsia="es-US"/>
        </w:rPr>
        <w:t>perfeccionar la metodología de seguimiento de recomendaciones de los informe</w:t>
      </w:r>
      <w:r w:rsidR="009E2BB2">
        <w:rPr>
          <w:rFonts w:ascii="Cambria" w:eastAsia="Times New Roman" w:hAnsi="Cambria" w:cstheme="majorHAnsi"/>
          <w:sz w:val="20"/>
          <w:szCs w:val="20"/>
          <w:lang w:eastAsia="es-US"/>
        </w:rPr>
        <w:t>s</w:t>
      </w:r>
      <w:r w:rsidRPr="00FB2269">
        <w:rPr>
          <w:rFonts w:ascii="Cambria" w:eastAsia="Times New Roman" w:hAnsi="Cambria" w:cstheme="majorHAnsi"/>
          <w:sz w:val="20"/>
          <w:szCs w:val="20"/>
          <w:lang w:eastAsia="es-US"/>
        </w:rPr>
        <w:t xml:space="preserve"> de país para la evaluación de su integral </w:t>
      </w:r>
      <w:r w:rsidRPr="00C4252D">
        <w:rPr>
          <w:rFonts w:ascii="Cambria" w:eastAsia="Calibri" w:hAnsi="Cambria"/>
          <w:color w:val="000000"/>
          <w:spacing w:val="-3"/>
          <w:sz w:val="20"/>
          <w:szCs w:val="20"/>
          <w:lang w:val="es-ES"/>
        </w:rPr>
        <w:t>cumplimiento</w:t>
      </w:r>
      <w:r w:rsidRPr="00FB2269">
        <w:rPr>
          <w:rFonts w:ascii="Cambria" w:eastAsia="Times New Roman" w:hAnsi="Cambria" w:cstheme="majorHAnsi"/>
          <w:sz w:val="20"/>
          <w:szCs w:val="20"/>
          <w:lang w:eastAsia="es-US"/>
        </w:rPr>
        <w:t xml:space="preserve">, y en observación a sus mandatos y del Plan Estratégico 2017-2021, la CIDH </w:t>
      </w:r>
      <w:r>
        <w:rPr>
          <w:rFonts w:ascii="Cambria" w:eastAsia="Times New Roman" w:hAnsi="Cambria" w:cstheme="majorHAnsi"/>
          <w:sz w:val="20"/>
          <w:szCs w:val="20"/>
          <w:lang w:eastAsia="es-US"/>
        </w:rPr>
        <w:t>de</w:t>
      </w:r>
      <w:r w:rsidRPr="00FB2269">
        <w:rPr>
          <w:rFonts w:ascii="Cambria" w:eastAsia="Times New Roman" w:hAnsi="Cambria" w:cstheme="majorHAnsi"/>
          <w:sz w:val="20"/>
          <w:szCs w:val="20"/>
          <w:lang w:eastAsia="es-US"/>
        </w:rPr>
        <w:t>cidió</w:t>
      </w:r>
      <w:r>
        <w:rPr>
          <w:rFonts w:ascii="Cambria" w:eastAsia="Times New Roman" w:hAnsi="Cambria" w:cstheme="majorHAnsi"/>
          <w:sz w:val="20"/>
          <w:szCs w:val="20"/>
          <w:lang w:eastAsia="es-US"/>
        </w:rPr>
        <w:t xml:space="preserve"> clasificar los niveles de cumplimiento de las recomendaciones de los informes acorde a las siguientes categorías</w:t>
      </w:r>
      <w:r w:rsidR="00965076">
        <w:rPr>
          <w:rFonts w:ascii="Cambria" w:eastAsia="Times New Roman" w:hAnsi="Cambria" w:cstheme="majorHAnsi"/>
          <w:sz w:val="20"/>
          <w:szCs w:val="20"/>
          <w:lang w:eastAsia="es-US"/>
        </w:rPr>
        <w:t xml:space="preserve"> y criterios</w:t>
      </w:r>
      <w:r>
        <w:rPr>
          <w:rFonts w:ascii="Cambria" w:eastAsia="Times New Roman" w:hAnsi="Cambria" w:cstheme="majorHAnsi"/>
          <w:sz w:val="20"/>
          <w:szCs w:val="20"/>
          <w:lang w:eastAsia="es-US"/>
        </w:rPr>
        <w:t>:</w:t>
      </w:r>
    </w:p>
    <w:p w:rsidR="00FB2269" w:rsidRPr="00C4252D" w:rsidRDefault="00FB2269" w:rsidP="00694AF4">
      <w:pPr>
        <w:pStyle w:val="Style1"/>
        <w:numPr>
          <w:ilvl w:val="0"/>
          <w:numId w:val="13"/>
        </w:numPr>
        <w:ind w:left="1440"/>
      </w:pPr>
      <w:r w:rsidRPr="00C4252D">
        <w:t>Categorías – Estado de cumplimiento de cada recomendación  </w:t>
      </w:r>
    </w:p>
    <w:p w:rsidR="00FB2269" w:rsidRPr="00FB2269" w:rsidRDefault="00FB2269" w:rsidP="00FB2269">
      <w:pPr>
        <w:numPr>
          <w:ilvl w:val="0"/>
          <w:numId w:val="9"/>
        </w:numPr>
        <w:spacing w:before="120" w:after="0" w:line="240" w:lineRule="auto"/>
        <w:jc w:val="both"/>
        <w:rPr>
          <w:rFonts w:ascii="Cambria" w:hAnsi="Cambria" w:cs="Calibri Light"/>
          <w:sz w:val="20"/>
          <w:lang w:val="es-US"/>
        </w:rPr>
      </w:pPr>
      <w:r w:rsidRPr="00FB2269">
        <w:rPr>
          <w:rFonts w:ascii="Cambria" w:hAnsi="Cambria" w:cs="Calibri Light"/>
          <w:b/>
          <w:bCs/>
          <w:sz w:val="20"/>
          <w:lang w:val="es-US"/>
        </w:rPr>
        <w:t>Cumplimiento total</w:t>
      </w:r>
      <w:r w:rsidR="004D4CF4">
        <w:rPr>
          <w:rFonts w:ascii="Cambria" w:hAnsi="Cambria" w:cs="Calibri Light"/>
          <w:b/>
          <w:bCs/>
          <w:sz w:val="20"/>
          <w:lang w:val="es-US"/>
        </w:rPr>
        <w:t xml:space="preserve">: </w:t>
      </w:r>
      <w:r w:rsidRPr="00FB2269">
        <w:rPr>
          <w:rFonts w:ascii="Cambria" w:hAnsi="Cambria" w:cs="Calibri Light"/>
          <w:sz w:val="20"/>
          <w:lang w:val="es-US"/>
        </w:rPr>
        <w:t xml:space="preserve">aquella recomendación en la que el Estado ha iniciado y concluido satisfactoriamente las medidas para su cumplimiento.  </w:t>
      </w:r>
    </w:p>
    <w:p w:rsidR="00FB2269" w:rsidRPr="00FB2269" w:rsidRDefault="00FB2269" w:rsidP="00FB2269">
      <w:pPr>
        <w:numPr>
          <w:ilvl w:val="0"/>
          <w:numId w:val="9"/>
        </w:numPr>
        <w:spacing w:before="120" w:after="0" w:line="240" w:lineRule="auto"/>
        <w:jc w:val="both"/>
        <w:rPr>
          <w:rFonts w:ascii="Cambria" w:hAnsi="Cambria" w:cs="Calibri Light"/>
          <w:sz w:val="20"/>
          <w:lang w:val="es-US"/>
        </w:rPr>
      </w:pPr>
      <w:r w:rsidRPr="00FB2269">
        <w:rPr>
          <w:rFonts w:ascii="Cambria" w:hAnsi="Cambria" w:cs="Calibri Light"/>
          <w:b/>
          <w:bCs/>
          <w:sz w:val="20"/>
          <w:lang w:val="es-US"/>
        </w:rPr>
        <w:lastRenderedPageBreak/>
        <w:t>Cumplimiento parcial sustancial</w:t>
      </w:r>
      <w:r w:rsidR="004D4CF4">
        <w:rPr>
          <w:rFonts w:ascii="Cambria" w:hAnsi="Cambria" w:cs="Calibri Light"/>
          <w:b/>
          <w:bCs/>
          <w:sz w:val="20"/>
          <w:lang w:val="es-US"/>
        </w:rPr>
        <w:t>:</w:t>
      </w:r>
      <w:r w:rsidRPr="00FB2269">
        <w:rPr>
          <w:rFonts w:ascii="Cambria" w:hAnsi="Cambria" w:cs="Calibri Light"/>
          <w:b/>
          <w:bCs/>
          <w:sz w:val="20"/>
          <w:lang w:val="es-US"/>
        </w:rPr>
        <w:t xml:space="preserve"> </w:t>
      </w:r>
      <w:r w:rsidRPr="00FB2269">
        <w:rPr>
          <w:rFonts w:ascii="Cambria" w:hAnsi="Cambria" w:cs="Calibri Light"/>
          <w:sz w:val="20"/>
          <w:lang w:val="es-US"/>
        </w:rPr>
        <w:t xml:space="preserve">aquella recomendación en la que el Estado ha adoptado medidas relevantes para su cumplimiento y ha aportado pruebas de estas, pero la Comisión considera que las medidas para su cumplimiento aún no han concluido.  </w:t>
      </w:r>
    </w:p>
    <w:p w:rsidR="00FB2269" w:rsidRPr="00FB2269" w:rsidRDefault="00FB2269" w:rsidP="00FB2269">
      <w:pPr>
        <w:numPr>
          <w:ilvl w:val="0"/>
          <w:numId w:val="9"/>
        </w:numPr>
        <w:spacing w:before="120" w:after="0" w:line="240" w:lineRule="auto"/>
        <w:jc w:val="both"/>
        <w:rPr>
          <w:rFonts w:ascii="Cambria" w:hAnsi="Cambria" w:cs="Calibri Light"/>
          <w:sz w:val="20"/>
          <w:lang w:val="es-US"/>
        </w:rPr>
      </w:pPr>
      <w:r w:rsidRPr="00FB2269">
        <w:rPr>
          <w:rFonts w:ascii="Cambria" w:hAnsi="Cambria" w:cs="Calibri Light"/>
          <w:b/>
          <w:bCs/>
          <w:sz w:val="20"/>
          <w:lang w:val="es-US"/>
        </w:rPr>
        <w:t>Cumplimiento parcial</w:t>
      </w:r>
      <w:r w:rsidR="004D4CF4">
        <w:rPr>
          <w:rFonts w:ascii="Cambria" w:hAnsi="Cambria" w:cs="Calibri Light"/>
          <w:b/>
          <w:bCs/>
          <w:sz w:val="20"/>
          <w:lang w:val="es-US"/>
        </w:rPr>
        <w:t>:</w:t>
      </w:r>
      <w:r w:rsidRPr="00FB2269">
        <w:rPr>
          <w:rFonts w:ascii="Cambria" w:hAnsi="Cambria" w:cs="Calibri Light"/>
          <w:b/>
          <w:bCs/>
          <w:sz w:val="20"/>
          <w:lang w:val="es-US"/>
        </w:rPr>
        <w:t xml:space="preserve"> </w:t>
      </w:r>
      <w:r w:rsidRPr="00FB2269">
        <w:rPr>
          <w:rFonts w:ascii="Cambria" w:hAnsi="Cambria" w:cs="Calibri Light"/>
          <w:sz w:val="20"/>
          <w:lang w:val="es-US"/>
        </w:rPr>
        <w:t>aquella recomendación en la que el Estado ha adoptado algunas medidas para su cumplimiento pero la adopción de medidas</w:t>
      </w:r>
      <w:r w:rsidRPr="00FB2269">
        <w:rPr>
          <w:rFonts w:ascii="Cambria" w:hAnsi="Cambria" w:cs="Calibri Light"/>
          <w:color w:val="FF0000"/>
          <w:sz w:val="20"/>
          <w:lang w:val="es-US"/>
        </w:rPr>
        <w:t xml:space="preserve"> </w:t>
      </w:r>
      <w:r w:rsidRPr="00FB2269">
        <w:rPr>
          <w:rFonts w:ascii="Cambria" w:hAnsi="Cambria" w:cs="Calibri Light"/>
          <w:sz w:val="20"/>
          <w:lang w:val="es-US"/>
        </w:rPr>
        <w:t xml:space="preserve">adicionales siguen siendo necesarias.       </w:t>
      </w:r>
    </w:p>
    <w:p w:rsidR="00FB2269" w:rsidRPr="00FB2269" w:rsidRDefault="00FB2269" w:rsidP="00FB2269">
      <w:pPr>
        <w:numPr>
          <w:ilvl w:val="0"/>
          <w:numId w:val="9"/>
        </w:numPr>
        <w:spacing w:before="120" w:after="0" w:line="240" w:lineRule="auto"/>
        <w:jc w:val="both"/>
        <w:rPr>
          <w:rFonts w:ascii="Cambria" w:hAnsi="Cambria" w:cs="Calibri Light"/>
          <w:sz w:val="20"/>
          <w:lang w:val="es-US"/>
        </w:rPr>
      </w:pPr>
      <w:r w:rsidRPr="00FB2269">
        <w:rPr>
          <w:rFonts w:ascii="Cambria" w:hAnsi="Cambria" w:cs="Calibri Light"/>
          <w:b/>
          <w:bCs/>
          <w:sz w:val="20"/>
          <w:lang w:val="es-US"/>
        </w:rPr>
        <w:t>Pendiente de cumplimiento</w:t>
      </w:r>
      <w:r w:rsidR="00E25E27">
        <w:rPr>
          <w:rFonts w:ascii="Cambria" w:hAnsi="Cambria" w:cs="Calibri Light"/>
          <w:b/>
          <w:bCs/>
          <w:sz w:val="20"/>
          <w:lang w:val="es-US"/>
        </w:rPr>
        <w:t>:</w:t>
      </w:r>
      <w:r w:rsidRPr="00FB2269">
        <w:rPr>
          <w:rFonts w:ascii="Cambria" w:hAnsi="Cambria" w:cs="Calibri Light"/>
          <w:b/>
          <w:bCs/>
          <w:sz w:val="20"/>
          <w:lang w:val="es-US"/>
        </w:rPr>
        <w:t xml:space="preserve"> </w:t>
      </w:r>
      <w:r w:rsidRPr="00FB2269">
        <w:rPr>
          <w:rFonts w:ascii="Cambria" w:hAnsi="Cambria" w:cs="Calibri Light"/>
          <w:sz w:val="20"/>
          <w:lang w:val="es-US"/>
        </w:rPr>
        <w:t>aquella recomendación en la que el Estado no ha adoptado ninguna medida para cumplir con la recomendación; o las gestiones iniciadas aún no han producido resultados concretos; o la(s) medida(s) adoptada(s) no corresponde</w:t>
      </w:r>
      <w:r w:rsidR="00E25E27">
        <w:rPr>
          <w:rFonts w:ascii="Cambria" w:hAnsi="Cambria" w:cs="Calibri Light"/>
          <w:sz w:val="20"/>
          <w:lang w:val="es-US"/>
        </w:rPr>
        <w:t>n a la situación que se examina</w:t>
      </w:r>
      <w:r w:rsidRPr="00FB2269">
        <w:rPr>
          <w:rFonts w:ascii="Cambria" w:hAnsi="Cambria" w:cs="Calibri Light"/>
          <w:sz w:val="20"/>
          <w:lang w:val="es-US"/>
        </w:rPr>
        <w:t xml:space="preserve">.   </w:t>
      </w:r>
    </w:p>
    <w:p w:rsidR="00FB2269" w:rsidRPr="00FB2269" w:rsidRDefault="00FB2269" w:rsidP="00FB2269">
      <w:pPr>
        <w:numPr>
          <w:ilvl w:val="0"/>
          <w:numId w:val="9"/>
        </w:numPr>
        <w:spacing w:before="120" w:after="0" w:line="240" w:lineRule="auto"/>
        <w:jc w:val="both"/>
        <w:rPr>
          <w:rFonts w:ascii="Cambria" w:hAnsi="Cambria" w:cs="Calibri Light"/>
          <w:sz w:val="20"/>
          <w:lang w:val="es-US"/>
        </w:rPr>
      </w:pPr>
      <w:r w:rsidRPr="00FB2269">
        <w:rPr>
          <w:rFonts w:ascii="Cambria" w:hAnsi="Cambria" w:cs="Calibri Light"/>
          <w:b/>
          <w:bCs/>
          <w:sz w:val="20"/>
          <w:lang w:val="es-US"/>
        </w:rPr>
        <w:t>Incumplimiento</w:t>
      </w:r>
      <w:r w:rsidR="00E25E27">
        <w:rPr>
          <w:rFonts w:ascii="Cambria" w:hAnsi="Cambria" w:cs="Calibri Light"/>
          <w:b/>
          <w:bCs/>
          <w:sz w:val="20"/>
          <w:lang w:val="es-US"/>
        </w:rPr>
        <w:t>:</w:t>
      </w:r>
      <w:r w:rsidR="00E25E27">
        <w:rPr>
          <w:rFonts w:ascii="Cambria" w:hAnsi="Cambria" w:cs="Calibri Light"/>
          <w:sz w:val="20"/>
          <w:lang w:val="es-US"/>
        </w:rPr>
        <w:t xml:space="preserve"> </w:t>
      </w:r>
      <w:r w:rsidRPr="00FB2269">
        <w:rPr>
          <w:rFonts w:ascii="Cambria" w:hAnsi="Cambria" w:cs="Calibri Light"/>
          <w:sz w:val="20"/>
          <w:lang w:val="es-US"/>
        </w:rPr>
        <w:t>aquella recomendación en la que la conducta del Estado resultó imposible su cumplimiento o que el Estado explícitamente ha indicado que no cumplirá</w:t>
      </w:r>
      <w:r w:rsidR="005C60E0">
        <w:rPr>
          <w:rFonts w:ascii="Cambria" w:hAnsi="Cambria" w:cs="Calibri Light"/>
          <w:sz w:val="20"/>
          <w:lang w:val="es-US"/>
        </w:rPr>
        <w:t xml:space="preserve"> con la recomendación formulada</w:t>
      </w:r>
      <w:r w:rsidRPr="00FB2269">
        <w:rPr>
          <w:rFonts w:ascii="Cambria" w:hAnsi="Cambria" w:cs="Calibri Light"/>
          <w:sz w:val="20"/>
          <w:lang w:val="es-US"/>
        </w:rPr>
        <w:t xml:space="preserve">. </w:t>
      </w:r>
    </w:p>
    <w:p w:rsidR="00FB2269" w:rsidRPr="00FB2269" w:rsidRDefault="00FB2269" w:rsidP="00694AF4">
      <w:pPr>
        <w:pStyle w:val="Style1"/>
        <w:numPr>
          <w:ilvl w:val="0"/>
          <w:numId w:val="13"/>
        </w:numPr>
      </w:pPr>
      <w:bookmarkStart w:id="0" w:name="_GoBack"/>
      <w:bookmarkEnd w:id="0"/>
      <w:r w:rsidRPr="00FB2269">
        <w:t xml:space="preserve">Categorías – Estado de cumplimiento del informe en su conjunto </w:t>
      </w:r>
    </w:p>
    <w:p w:rsidR="00FB2269" w:rsidRPr="00FB2269" w:rsidRDefault="00FB2269" w:rsidP="00FB2269">
      <w:pPr>
        <w:numPr>
          <w:ilvl w:val="0"/>
          <w:numId w:val="8"/>
        </w:numPr>
        <w:spacing w:before="120" w:after="0" w:line="240" w:lineRule="auto"/>
        <w:jc w:val="both"/>
        <w:rPr>
          <w:rFonts w:ascii="Cambria" w:hAnsi="Cambria" w:cs="Calibri Light"/>
          <w:sz w:val="20"/>
          <w:lang w:val="es-US"/>
        </w:rPr>
      </w:pPr>
      <w:r w:rsidRPr="00FB2269">
        <w:rPr>
          <w:rFonts w:ascii="Cambria" w:hAnsi="Cambria" w:cs="Calibri Light"/>
          <w:b/>
          <w:bCs/>
          <w:sz w:val="20"/>
          <w:lang w:val="es-US"/>
        </w:rPr>
        <w:t>Cumplimiento total</w:t>
      </w:r>
      <w:r w:rsidR="00E25E27">
        <w:rPr>
          <w:rFonts w:ascii="Cambria" w:hAnsi="Cambria" w:cs="Calibri Light"/>
          <w:b/>
          <w:bCs/>
          <w:sz w:val="20"/>
          <w:lang w:val="es-US"/>
        </w:rPr>
        <w:t>:</w:t>
      </w:r>
      <w:r w:rsidR="00E25E27">
        <w:rPr>
          <w:rFonts w:ascii="Cambria" w:hAnsi="Cambria" w:cs="Calibri Light"/>
          <w:sz w:val="20"/>
          <w:lang w:val="es-US"/>
        </w:rPr>
        <w:t xml:space="preserve"> </w:t>
      </w:r>
      <w:r w:rsidRPr="00FB2269">
        <w:rPr>
          <w:rFonts w:ascii="Cambria" w:hAnsi="Cambria" w:cs="Calibri Light"/>
          <w:sz w:val="20"/>
          <w:lang w:val="es-US"/>
        </w:rPr>
        <w:t>aquellos casos en que el Estado ha cumplido a cabalidad con todas las recomendaciones formuladas por la CIDH. La Comisión considera como cumplidas totalmente aquellas recomendaciones en las que el Estado ha iniciado y concluido satisfactoriamente las med</w:t>
      </w:r>
      <w:r w:rsidR="00E25E27">
        <w:rPr>
          <w:rFonts w:ascii="Cambria" w:hAnsi="Cambria" w:cs="Calibri Light"/>
          <w:sz w:val="20"/>
          <w:lang w:val="es-US"/>
        </w:rPr>
        <w:t>idas para su cumplimiento</w:t>
      </w:r>
      <w:r w:rsidRPr="00FB2269">
        <w:rPr>
          <w:rFonts w:ascii="Cambria" w:hAnsi="Cambria" w:cs="Calibri Light"/>
          <w:sz w:val="20"/>
          <w:lang w:val="es-US"/>
        </w:rPr>
        <w:t>.</w:t>
      </w:r>
    </w:p>
    <w:p w:rsidR="00FB2269" w:rsidRPr="00FB2269" w:rsidRDefault="00FB2269" w:rsidP="00FB2269">
      <w:pPr>
        <w:numPr>
          <w:ilvl w:val="0"/>
          <w:numId w:val="8"/>
        </w:numPr>
        <w:spacing w:before="120" w:after="0" w:line="240" w:lineRule="auto"/>
        <w:jc w:val="both"/>
        <w:rPr>
          <w:rFonts w:ascii="Cambria" w:hAnsi="Cambria" w:cs="Calibri Light"/>
          <w:sz w:val="20"/>
          <w:lang w:val="es-US"/>
        </w:rPr>
      </w:pPr>
      <w:r w:rsidRPr="00FB2269">
        <w:rPr>
          <w:rFonts w:ascii="Cambria" w:hAnsi="Cambria" w:cs="Calibri Light"/>
          <w:b/>
          <w:bCs/>
          <w:sz w:val="20"/>
          <w:lang w:val="es-US"/>
        </w:rPr>
        <w:t>Cumplimiento parcial</w:t>
      </w:r>
      <w:r w:rsidR="00E25E27">
        <w:rPr>
          <w:rFonts w:ascii="Cambria" w:hAnsi="Cambria" w:cs="Calibri Light"/>
          <w:b/>
          <w:bCs/>
          <w:sz w:val="20"/>
          <w:lang w:val="es-US"/>
        </w:rPr>
        <w:t>:</w:t>
      </w:r>
      <w:r w:rsidRPr="00FB2269">
        <w:rPr>
          <w:rFonts w:ascii="Cambria" w:hAnsi="Cambria" w:cs="Calibri Light"/>
          <w:b/>
          <w:bCs/>
          <w:sz w:val="20"/>
          <w:lang w:val="es-US"/>
        </w:rPr>
        <w:t xml:space="preserve"> </w:t>
      </w:r>
      <w:r w:rsidRPr="00FB2269">
        <w:rPr>
          <w:rFonts w:ascii="Cambria" w:hAnsi="Cambria" w:cs="Calibri Light"/>
          <w:sz w:val="20"/>
          <w:lang w:val="es-US"/>
        </w:rPr>
        <w:t>aquellos casos en los que el Estado ha cumplido parcialmente con las recomendaciones formuladas por la CIDH, ya sea por haber dado cumplimiento solamente a alguna/s de las recomendaciones o por haber cumplido de manera incompleta con todas las recomendaciones; o aquellos casos en los que el Estado ha cumplido a cabalidad con todas las recomendaciones formuladas por la CIDH salvo alguna cuyo cump</w:t>
      </w:r>
      <w:r w:rsidR="00E25E27">
        <w:rPr>
          <w:rFonts w:ascii="Cambria" w:hAnsi="Cambria" w:cs="Calibri Light"/>
          <w:sz w:val="20"/>
          <w:lang w:val="es-US"/>
        </w:rPr>
        <w:t>limiento ha resultado imposible</w:t>
      </w:r>
      <w:r w:rsidRPr="00FB2269">
        <w:rPr>
          <w:rFonts w:ascii="Cambria" w:hAnsi="Cambria" w:cs="Calibri Light"/>
          <w:sz w:val="20"/>
          <w:lang w:val="es-US"/>
        </w:rPr>
        <w:t>.</w:t>
      </w:r>
    </w:p>
    <w:p w:rsidR="00FB2269" w:rsidRPr="00FB2269" w:rsidRDefault="00FB2269" w:rsidP="00FB2269">
      <w:pPr>
        <w:numPr>
          <w:ilvl w:val="0"/>
          <w:numId w:val="8"/>
        </w:numPr>
        <w:spacing w:before="120" w:after="0" w:line="240" w:lineRule="auto"/>
        <w:jc w:val="both"/>
        <w:rPr>
          <w:rFonts w:ascii="Cambria" w:hAnsi="Cambria" w:cs="Calibri Light"/>
          <w:sz w:val="20"/>
          <w:lang w:val="es-US"/>
        </w:rPr>
      </w:pPr>
      <w:r w:rsidRPr="00FB2269">
        <w:rPr>
          <w:rFonts w:ascii="Cambria" w:hAnsi="Cambria" w:cs="Calibri Light"/>
          <w:b/>
          <w:bCs/>
          <w:sz w:val="20"/>
          <w:lang w:val="es-US"/>
        </w:rPr>
        <w:t>Pendiente de cumplimiento</w:t>
      </w:r>
      <w:r w:rsidR="00E25E27">
        <w:rPr>
          <w:rFonts w:ascii="Cambria" w:hAnsi="Cambria" w:cs="Calibri Light"/>
          <w:b/>
          <w:bCs/>
          <w:sz w:val="20"/>
          <w:lang w:val="es-US"/>
        </w:rPr>
        <w:t>:</w:t>
      </w:r>
      <w:r w:rsidRPr="00FB2269">
        <w:rPr>
          <w:rFonts w:ascii="Cambria" w:hAnsi="Cambria" w:cs="Calibri Light"/>
          <w:b/>
          <w:bCs/>
          <w:sz w:val="20"/>
          <w:lang w:val="es-US"/>
        </w:rPr>
        <w:t xml:space="preserve"> </w:t>
      </w:r>
      <w:r w:rsidRPr="00FB2269">
        <w:rPr>
          <w:rFonts w:ascii="Cambria" w:hAnsi="Cambria" w:cs="Calibri Light"/>
          <w:sz w:val="20"/>
          <w:lang w:val="es-US"/>
        </w:rPr>
        <w:t>aquellos casos en los cuales la CIDH considera que no ha habido cumplimiento de las recomendaciones, debido a que no se ha iniciado ninguna gestión encaminada a tal fin; a que las gestiones iniciadas aún no han producido resultados concretos; a que el Estado explícitamente ha indicado que no cumplirá con las recomendaciones formuladas o a que el Estado no ha informado a la CIDH y ésta no cuenta con información de otras fuentes que indique una conclusión contraria.</w:t>
      </w:r>
    </w:p>
    <w:p w:rsidR="00894243" w:rsidRDefault="00894243" w:rsidP="00082FC9">
      <w:pPr>
        <w:tabs>
          <w:tab w:val="left" w:pos="-720"/>
        </w:tabs>
        <w:suppressAutoHyphens/>
        <w:spacing w:after="0" w:line="240" w:lineRule="auto"/>
        <w:ind w:firstLine="720"/>
        <w:jc w:val="both"/>
        <w:rPr>
          <w:rFonts w:ascii="Cambria" w:eastAsia="Times New Roman" w:hAnsi="Cambria" w:cstheme="majorHAnsi"/>
          <w:sz w:val="20"/>
          <w:szCs w:val="20"/>
          <w:lang w:val="es-US" w:eastAsia="es-US"/>
        </w:rPr>
      </w:pPr>
    </w:p>
    <w:p w:rsidR="00894243" w:rsidRDefault="00894243" w:rsidP="00C4252D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ind w:left="0" w:firstLine="720"/>
        <w:jc w:val="both"/>
        <w:rPr>
          <w:rFonts w:ascii="Cambria" w:eastAsia="Times New Roman" w:hAnsi="Cambria" w:cstheme="majorHAnsi"/>
          <w:sz w:val="20"/>
          <w:szCs w:val="20"/>
          <w:lang w:eastAsia="es-US"/>
        </w:rPr>
      </w:pPr>
      <w:r>
        <w:rPr>
          <w:rFonts w:ascii="Cambria" w:eastAsia="Times New Roman" w:hAnsi="Cambria" w:cstheme="majorHAnsi"/>
          <w:sz w:val="20"/>
          <w:szCs w:val="20"/>
          <w:lang w:val="es-ES" w:eastAsia="es-US"/>
        </w:rPr>
        <w:t xml:space="preserve">A partir de la recolección y análisis de la </w:t>
      </w:r>
      <w:r w:rsidRPr="006646DE">
        <w:rPr>
          <w:rFonts w:ascii="Cambria" w:eastAsia="Times New Roman" w:hAnsi="Cambria" w:cstheme="majorHAnsi"/>
          <w:sz w:val="20"/>
          <w:szCs w:val="20"/>
          <w:lang w:val="es-ES" w:eastAsia="es-US"/>
        </w:rPr>
        <w:t xml:space="preserve">información referida, </w:t>
      </w:r>
      <w:r w:rsidRPr="006646DE">
        <w:rPr>
          <w:rFonts w:ascii="Cambria" w:eastAsia="Times New Roman" w:hAnsi="Cambria" w:cstheme="majorHAnsi"/>
          <w:sz w:val="20"/>
          <w:szCs w:val="20"/>
          <w:lang w:eastAsia="es-US"/>
        </w:rPr>
        <w:t xml:space="preserve">la versión preliminar del informe de seguimiento fue aprobada por la CIDH, y se transmitió una copia al Estado, con el plazo máximo de un mes para presentar su respuesta, conforme </w:t>
      </w:r>
      <w:r w:rsidRPr="00C4252D">
        <w:rPr>
          <w:rFonts w:ascii="Cambria" w:eastAsia="Calibri" w:hAnsi="Cambria"/>
          <w:color w:val="000000"/>
          <w:spacing w:val="-3"/>
          <w:sz w:val="20"/>
          <w:szCs w:val="20"/>
          <w:lang w:val="es-ES"/>
        </w:rPr>
        <w:t>previsto</w:t>
      </w:r>
      <w:r w:rsidRPr="006646DE">
        <w:rPr>
          <w:rFonts w:ascii="Cambria" w:eastAsia="Times New Roman" w:hAnsi="Cambria" w:cstheme="majorHAnsi"/>
          <w:sz w:val="20"/>
          <w:szCs w:val="20"/>
          <w:lang w:eastAsia="es-US"/>
        </w:rPr>
        <w:t xml:space="preserve"> en el numeral 10 del artículo 59 del Reglamento de la CIDH. </w:t>
      </w:r>
      <w:r w:rsidR="00032430" w:rsidRPr="006646DE">
        <w:rPr>
          <w:rFonts w:ascii="Cambria" w:eastAsia="Times New Roman" w:hAnsi="Cambria" w:cstheme="majorHAnsi"/>
          <w:sz w:val="20"/>
          <w:szCs w:val="20"/>
          <w:lang w:eastAsia="es-US"/>
        </w:rPr>
        <w:t xml:space="preserve">Las respuestas recibidas por parte de los Estados en el plazo indicado </w:t>
      </w:r>
      <w:r w:rsidR="00ED5F46" w:rsidRPr="006646DE">
        <w:rPr>
          <w:rFonts w:ascii="Cambria" w:eastAsia="Times New Roman" w:hAnsi="Cambria" w:cstheme="majorHAnsi"/>
          <w:sz w:val="20"/>
          <w:szCs w:val="20"/>
          <w:lang w:eastAsia="es-US"/>
        </w:rPr>
        <w:t>están</w:t>
      </w:r>
      <w:r w:rsidRPr="006646DE">
        <w:rPr>
          <w:rFonts w:ascii="Cambria" w:eastAsia="Times New Roman" w:hAnsi="Cambria" w:cstheme="majorHAnsi"/>
          <w:sz w:val="20"/>
          <w:szCs w:val="20"/>
          <w:lang w:eastAsia="es-US"/>
        </w:rPr>
        <w:t xml:space="preserve"> disponible</w:t>
      </w:r>
      <w:r w:rsidR="00ED5F46" w:rsidRPr="006646DE">
        <w:rPr>
          <w:rFonts w:ascii="Cambria" w:eastAsia="Times New Roman" w:hAnsi="Cambria" w:cstheme="majorHAnsi"/>
          <w:sz w:val="20"/>
          <w:szCs w:val="20"/>
          <w:lang w:eastAsia="es-US"/>
        </w:rPr>
        <w:t>s</w:t>
      </w:r>
      <w:r w:rsidRPr="006646DE">
        <w:rPr>
          <w:rFonts w:ascii="Cambria" w:eastAsia="Times New Roman" w:hAnsi="Cambria" w:cstheme="majorHAnsi"/>
          <w:sz w:val="20"/>
          <w:szCs w:val="20"/>
          <w:lang w:eastAsia="es-US"/>
        </w:rPr>
        <w:t xml:space="preserve"> a través de un vínculo electrónico en la página de la Comisión, a menos que el Estado solicite lo contrario. La</w:t>
      </w:r>
      <w:r w:rsidRPr="00ED5F46">
        <w:rPr>
          <w:rFonts w:ascii="Cambria" w:eastAsia="Times New Roman" w:hAnsi="Cambria" w:cstheme="majorHAnsi"/>
          <w:sz w:val="20"/>
          <w:szCs w:val="20"/>
          <w:lang w:eastAsia="es-US"/>
        </w:rPr>
        <w:t xml:space="preserve"> versión final del informe de seguimiento revisada y aprobada por la CIDH </w:t>
      </w:r>
      <w:r w:rsidR="00ED5F46">
        <w:rPr>
          <w:rFonts w:ascii="Cambria" w:eastAsia="Times New Roman" w:hAnsi="Cambria" w:cstheme="majorHAnsi"/>
          <w:sz w:val="20"/>
          <w:szCs w:val="20"/>
          <w:lang w:eastAsia="es-US"/>
        </w:rPr>
        <w:t>está publicada en est</w:t>
      </w:r>
      <w:r w:rsidR="00FB2269">
        <w:rPr>
          <w:rFonts w:ascii="Cambria" w:eastAsia="Times New Roman" w:hAnsi="Cambria" w:cstheme="majorHAnsi"/>
          <w:sz w:val="20"/>
          <w:szCs w:val="20"/>
          <w:lang w:eastAsia="es-US"/>
        </w:rPr>
        <w:t>a sección del</w:t>
      </w:r>
      <w:r w:rsidRPr="00ED5F46">
        <w:rPr>
          <w:rFonts w:ascii="Cambria" w:eastAsia="Times New Roman" w:hAnsi="Cambria" w:cstheme="majorHAnsi"/>
          <w:sz w:val="20"/>
          <w:szCs w:val="20"/>
          <w:lang w:eastAsia="es-US"/>
        </w:rPr>
        <w:t xml:space="preserve"> Informe Anual 2018.</w:t>
      </w:r>
    </w:p>
    <w:p w:rsidR="00ED5F46" w:rsidRPr="00ED5F46" w:rsidRDefault="00ED5F46" w:rsidP="00ED5F46">
      <w:pPr>
        <w:tabs>
          <w:tab w:val="left" w:pos="-720"/>
        </w:tabs>
        <w:suppressAutoHyphens/>
        <w:spacing w:after="0" w:line="240" w:lineRule="auto"/>
        <w:ind w:firstLine="720"/>
        <w:jc w:val="both"/>
        <w:rPr>
          <w:rFonts w:ascii="Cambria" w:eastAsia="Times New Roman" w:hAnsi="Cambria" w:cstheme="majorHAnsi"/>
          <w:sz w:val="20"/>
          <w:szCs w:val="20"/>
          <w:lang w:val="es-US" w:eastAsia="es-US"/>
        </w:rPr>
      </w:pPr>
    </w:p>
    <w:p w:rsidR="00082FC9" w:rsidRPr="006646DE" w:rsidRDefault="00082FC9" w:rsidP="00C4252D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ind w:left="0" w:firstLine="720"/>
        <w:jc w:val="both"/>
        <w:rPr>
          <w:rFonts w:ascii="Cambria" w:eastAsia="Times New Roman" w:hAnsi="Cambria" w:cstheme="majorHAnsi"/>
          <w:sz w:val="20"/>
          <w:szCs w:val="20"/>
          <w:lang w:eastAsia="es-US"/>
        </w:rPr>
      </w:pPr>
      <w:r w:rsidRPr="006646DE">
        <w:rPr>
          <w:rFonts w:ascii="Cambria" w:eastAsia="Times New Roman" w:hAnsi="Cambria" w:cstheme="majorHAnsi"/>
          <w:sz w:val="20"/>
          <w:szCs w:val="20"/>
          <w:lang w:eastAsia="es-US"/>
        </w:rPr>
        <w:t xml:space="preserve">La CIDH agradece la información brindada </w:t>
      </w:r>
      <w:r w:rsidR="00ED5F46" w:rsidRPr="006646DE">
        <w:rPr>
          <w:rFonts w:ascii="Cambria" w:eastAsia="Times New Roman" w:hAnsi="Cambria" w:cstheme="majorHAnsi"/>
          <w:sz w:val="20"/>
          <w:szCs w:val="20"/>
          <w:lang w:eastAsia="es-US"/>
        </w:rPr>
        <w:t xml:space="preserve">por los Estados </w:t>
      </w:r>
      <w:r w:rsidR="006646DE" w:rsidRPr="006646DE">
        <w:rPr>
          <w:rFonts w:ascii="Cambria" w:eastAsia="Times New Roman" w:hAnsi="Cambria" w:cstheme="majorHAnsi"/>
          <w:sz w:val="20"/>
          <w:szCs w:val="20"/>
          <w:lang w:eastAsia="es-US"/>
        </w:rPr>
        <w:t>de Colombia, Guatemala,</w:t>
      </w:r>
      <w:r w:rsidR="007C026D">
        <w:rPr>
          <w:rFonts w:ascii="Cambria" w:eastAsia="Times New Roman" w:hAnsi="Cambria" w:cstheme="majorHAnsi"/>
          <w:sz w:val="20"/>
          <w:szCs w:val="20"/>
          <w:lang w:eastAsia="es-US"/>
        </w:rPr>
        <w:t xml:space="preserve"> México y República Dominicana, y por </w:t>
      </w:r>
      <w:r w:rsidR="006646DE" w:rsidRPr="006646DE">
        <w:rPr>
          <w:rFonts w:ascii="Cambria" w:eastAsia="Times New Roman" w:hAnsi="Cambria" w:cstheme="majorHAnsi"/>
          <w:sz w:val="20"/>
          <w:szCs w:val="20"/>
          <w:lang w:eastAsia="es-US"/>
        </w:rPr>
        <w:t>la Defensoría del Pueblo de Colombia, la Comisión Nacional de los Derechos Humanos </w:t>
      </w:r>
      <w:r w:rsidR="006646DE">
        <w:rPr>
          <w:rFonts w:ascii="Cambria" w:eastAsia="Times New Roman" w:hAnsi="Cambria" w:cstheme="majorHAnsi"/>
          <w:sz w:val="20"/>
          <w:szCs w:val="20"/>
          <w:lang w:eastAsia="es-US"/>
        </w:rPr>
        <w:t>de</w:t>
      </w:r>
      <w:r w:rsidR="006646DE" w:rsidRPr="006646DE">
        <w:rPr>
          <w:rFonts w:ascii="Cambria" w:eastAsia="Times New Roman" w:hAnsi="Cambria" w:cstheme="majorHAnsi"/>
          <w:sz w:val="20"/>
          <w:szCs w:val="20"/>
          <w:lang w:eastAsia="es-US"/>
        </w:rPr>
        <w:t> México</w:t>
      </w:r>
      <w:r w:rsidR="006646DE">
        <w:rPr>
          <w:rFonts w:ascii="Cambria" w:eastAsia="Times New Roman" w:hAnsi="Cambria" w:cstheme="majorHAnsi"/>
          <w:sz w:val="20"/>
          <w:szCs w:val="20"/>
          <w:lang w:eastAsia="es-US"/>
        </w:rPr>
        <w:t xml:space="preserve">, la </w:t>
      </w:r>
      <w:r w:rsidR="006646DE" w:rsidRPr="00C4252D">
        <w:rPr>
          <w:rFonts w:ascii="Cambria" w:eastAsia="Calibri" w:hAnsi="Cambria"/>
          <w:color w:val="000000"/>
          <w:spacing w:val="-3"/>
          <w:sz w:val="20"/>
          <w:szCs w:val="20"/>
          <w:lang w:val="es-ES"/>
        </w:rPr>
        <w:t>Procuraduría</w:t>
      </w:r>
      <w:r w:rsidR="006646DE">
        <w:rPr>
          <w:rFonts w:ascii="Cambria" w:eastAsia="Times New Roman" w:hAnsi="Cambria" w:cstheme="majorHAnsi"/>
          <w:sz w:val="20"/>
          <w:szCs w:val="20"/>
          <w:lang w:eastAsia="es-US"/>
        </w:rPr>
        <w:t xml:space="preserve"> de los Derechos Humanos de Guatemala</w:t>
      </w:r>
      <w:r w:rsidR="006646DE" w:rsidRPr="006646DE">
        <w:rPr>
          <w:rFonts w:ascii="Cambria" w:eastAsia="Times New Roman" w:hAnsi="Cambria" w:cstheme="majorHAnsi"/>
          <w:sz w:val="20"/>
          <w:szCs w:val="20"/>
          <w:lang w:eastAsia="es-US"/>
        </w:rPr>
        <w:t xml:space="preserve"> </w:t>
      </w:r>
      <w:r w:rsidR="006646DE">
        <w:rPr>
          <w:rFonts w:ascii="Cambria" w:eastAsia="Times New Roman" w:hAnsi="Cambria" w:cstheme="majorHAnsi"/>
          <w:sz w:val="20"/>
          <w:szCs w:val="20"/>
          <w:lang w:eastAsia="es-US"/>
        </w:rPr>
        <w:t>y las</w:t>
      </w:r>
      <w:r w:rsidR="006646DE" w:rsidRPr="006646DE">
        <w:rPr>
          <w:rFonts w:ascii="Cambria" w:eastAsia="Times New Roman" w:hAnsi="Cambria" w:cstheme="majorHAnsi"/>
          <w:sz w:val="20"/>
          <w:szCs w:val="20"/>
          <w:lang w:eastAsia="es-US"/>
        </w:rPr>
        <w:t xml:space="preserve"> </w:t>
      </w:r>
      <w:r w:rsidRPr="006646DE">
        <w:rPr>
          <w:rFonts w:ascii="Cambria" w:eastAsia="Times New Roman" w:hAnsi="Cambria" w:cstheme="majorHAnsi"/>
          <w:sz w:val="20"/>
          <w:szCs w:val="20"/>
          <w:lang w:eastAsia="es-US"/>
        </w:rPr>
        <w:t>instituciones y organizaciones</w:t>
      </w:r>
      <w:r w:rsidR="006646DE">
        <w:rPr>
          <w:rFonts w:ascii="Cambria" w:eastAsia="Times New Roman" w:hAnsi="Cambria" w:cstheme="majorHAnsi"/>
          <w:sz w:val="20"/>
          <w:szCs w:val="20"/>
          <w:lang w:eastAsia="es-US"/>
        </w:rPr>
        <w:t xml:space="preserve"> de la sociedad civil</w:t>
      </w:r>
      <w:r w:rsidRPr="006646DE">
        <w:rPr>
          <w:rFonts w:ascii="Cambria" w:eastAsia="Times New Roman" w:hAnsi="Cambria" w:cstheme="majorHAnsi"/>
          <w:sz w:val="20"/>
          <w:szCs w:val="20"/>
          <w:lang w:eastAsia="es-US"/>
        </w:rPr>
        <w:t>, que en lo pertinente fue incluida en la presente sección.</w:t>
      </w:r>
    </w:p>
    <w:p w:rsidR="002E162C" w:rsidRPr="006646DE" w:rsidRDefault="006C4192">
      <w:pPr>
        <w:rPr>
          <w:lang w:val="es-US"/>
        </w:rPr>
      </w:pPr>
    </w:p>
    <w:sectPr w:rsidR="002E162C" w:rsidRPr="006646DE" w:rsidSect="0011502B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53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192" w:rsidRDefault="006C4192" w:rsidP="00082FC9">
      <w:pPr>
        <w:spacing w:after="0" w:line="240" w:lineRule="auto"/>
      </w:pPr>
      <w:r>
        <w:separator/>
      </w:r>
    </w:p>
  </w:endnote>
  <w:endnote w:type="continuationSeparator" w:id="0">
    <w:p w:rsidR="006C4192" w:rsidRDefault="006C4192" w:rsidP="0008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906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502B" w:rsidRDefault="0011502B" w:rsidP="0011502B">
        <w:pPr>
          <w:pStyle w:val="Footer"/>
          <w:jc w:val="center"/>
        </w:pPr>
        <w:r w:rsidRPr="0011502B">
          <w:rPr>
            <w:sz w:val="16"/>
            <w:szCs w:val="16"/>
          </w:rPr>
          <w:fldChar w:fldCharType="begin"/>
        </w:r>
        <w:r w:rsidRPr="0011502B">
          <w:rPr>
            <w:sz w:val="16"/>
            <w:szCs w:val="16"/>
          </w:rPr>
          <w:instrText xml:space="preserve"> PAGE   \* MERGEFORMAT </w:instrText>
        </w:r>
        <w:r w:rsidRPr="0011502B">
          <w:rPr>
            <w:sz w:val="16"/>
            <w:szCs w:val="16"/>
          </w:rPr>
          <w:fldChar w:fldCharType="separate"/>
        </w:r>
        <w:r w:rsidR="00694AF4">
          <w:rPr>
            <w:noProof/>
            <w:sz w:val="16"/>
            <w:szCs w:val="16"/>
          </w:rPr>
          <w:t>536</w:t>
        </w:r>
        <w:r w:rsidRPr="0011502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192" w:rsidRDefault="006C4192" w:rsidP="00082FC9">
      <w:pPr>
        <w:spacing w:after="0" w:line="240" w:lineRule="auto"/>
      </w:pPr>
      <w:r>
        <w:separator/>
      </w:r>
    </w:p>
  </w:footnote>
  <w:footnote w:type="continuationSeparator" w:id="0">
    <w:p w:rsidR="006C4192" w:rsidRDefault="006C4192" w:rsidP="00082FC9">
      <w:pPr>
        <w:spacing w:after="0" w:line="240" w:lineRule="auto"/>
      </w:pPr>
      <w:r>
        <w:continuationSeparator/>
      </w:r>
    </w:p>
  </w:footnote>
  <w:footnote w:id="1">
    <w:p w:rsidR="00082FC9" w:rsidRPr="00A035A2" w:rsidRDefault="00082FC9" w:rsidP="00C4252D">
      <w:pPr>
        <w:pStyle w:val="FootnoteText"/>
        <w:spacing w:after="120"/>
        <w:ind w:firstLine="720"/>
        <w:jc w:val="both"/>
        <w:rPr>
          <w:rFonts w:ascii="Cambria" w:hAnsi="Cambria"/>
          <w:sz w:val="16"/>
          <w:szCs w:val="16"/>
          <w:lang w:val="es-ES"/>
        </w:rPr>
      </w:pPr>
      <w:r w:rsidRPr="00A035A2">
        <w:rPr>
          <w:rStyle w:val="FootnoteReference"/>
          <w:rFonts w:ascii="Cambria" w:hAnsi="Cambria"/>
          <w:sz w:val="16"/>
          <w:szCs w:val="16"/>
        </w:rPr>
        <w:footnoteRef/>
      </w:r>
      <w:r w:rsidRPr="00A035A2">
        <w:rPr>
          <w:rFonts w:ascii="Cambria" w:hAnsi="Cambria"/>
          <w:sz w:val="16"/>
          <w:szCs w:val="16"/>
          <w:lang w:val="es-ES"/>
        </w:rPr>
        <w:t xml:space="preserve"> A</w:t>
      </w:r>
      <w:r w:rsidRPr="00A035A2">
        <w:rPr>
          <w:rFonts w:ascii="Cambria" w:hAnsi="Cambria"/>
          <w:spacing w:val="-3"/>
          <w:sz w:val="16"/>
          <w:szCs w:val="16"/>
          <w:lang w:val="es-ES"/>
        </w:rPr>
        <w:t xml:space="preserve">rtículo 59 inciso e. del Reglamento de la CIDH, específicamente en relación con el Capítulo IV del volumen 1, </w:t>
      </w:r>
      <w:r w:rsidRPr="00A035A2">
        <w:rPr>
          <w:rFonts w:ascii="Cambria" w:eastAsia="Times New Roman" w:hAnsi="Cambria"/>
          <w:sz w:val="16"/>
          <w:szCs w:val="16"/>
          <w:lang w:val="es-ES"/>
        </w:rPr>
        <w:t>sección “A”.</w:t>
      </w:r>
    </w:p>
  </w:footnote>
  <w:footnote w:id="2">
    <w:p w:rsidR="000B1069" w:rsidRPr="00A035A2" w:rsidRDefault="000B1069" w:rsidP="00C4252D">
      <w:pPr>
        <w:pStyle w:val="FootnoteText"/>
        <w:spacing w:after="120"/>
        <w:ind w:firstLine="720"/>
        <w:rPr>
          <w:rFonts w:ascii="Cambria" w:hAnsi="Cambria"/>
          <w:sz w:val="16"/>
          <w:szCs w:val="16"/>
          <w:lang w:val="es-US"/>
        </w:rPr>
      </w:pPr>
      <w:r w:rsidRPr="00A035A2">
        <w:rPr>
          <w:rStyle w:val="FootnoteReference"/>
          <w:rFonts w:ascii="Cambria" w:hAnsi="Cambria"/>
          <w:sz w:val="16"/>
          <w:szCs w:val="16"/>
        </w:rPr>
        <w:footnoteRef/>
      </w:r>
      <w:r w:rsidRPr="00A035A2">
        <w:rPr>
          <w:rFonts w:ascii="Cambria" w:hAnsi="Cambria"/>
          <w:sz w:val="16"/>
          <w:szCs w:val="16"/>
          <w:lang w:val="es-US"/>
        </w:rPr>
        <w:t xml:space="preserve"> CIDH,</w:t>
      </w:r>
      <w:r w:rsidR="00F23D30">
        <w:rPr>
          <w:rFonts w:ascii="Cambria" w:hAnsi="Cambria"/>
          <w:sz w:val="16"/>
          <w:szCs w:val="16"/>
          <w:lang w:val="es-US"/>
        </w:rPr>
        <w:t xml:space="preserve"> Informe </w:t>
      </w:r>
      <w:hyperlink r:id="rId1" w:history="1">
        <w:r w:rsidRPr="00A035A2">
          <w:rPr>
            <w:rStyle w:val="Hyperlink"/>
            <w:rFonts w:ascii="Cambria" w:hAnsi="Cambria" w:cs="Tahoma"/>
            <w:sz w:val="16"/>
            <w:szCs w:val="16"/>
            <w:shd w:val="clear" w:color="auto" w:fill="FFFFFF"/>
            <w:lang w:val="es-US"/>
          </w:rPr>
          <w:t>"Verdad, justicia y reparación" - Informe sobre la Situación de los Derechos Humanos en Colombia</w:t>
        </w:r>
      </w:hyperlink>
      <w:r w:rsidRPr="00A035A2">
        <w:rPr>
          <w:rFonts w:ascii="Cambria" w:hAnsi="Cambria" w:cs="Tahoma"/>
          <w:color w:val="333333"/>
          <w:sz w:val="16"/>
          <w:szCs w:val="16"/>
          <w:shd w:val="clear" w:color="auto" w:fill="FFFFFF"/>
          <w:lang w:val="es-US"/>
        </w:rPr>
        <w:t xml:space="preserve">, </w:t>
      </w:r>
      <w:r w:rsidRPr="00A035A2">
        <w:rPr>
          <w:rFonts w:ascii="Cambria" w:hAnsi="Cambria"/>
          <w:sz w:val="16"/>
          <w:szCs w:val="16"/>
          <w:lang w:val="es-US"/>
        </w:rPr>
        <w:t>31 diciembre 2013.</w:t>
      </w:r>
    </w:p>
  </w:footnote>
  <w:footnote w:id="3">
    <w:p w:rsidR="000B1069" w:rsidRPr="00A035A2" w:rsidRDefault="000B1069" w:rsidP="00C4252D">
      <w:pPr>
        <w:pStyle w:val="FootnoteText"/>
        <w:spacing w:after="120"/>
        <w:ind w:firstLine="720"/>
        <w:rPr>
          <w:rFonts w:ascii="Cambria" w:hAnsi="Cambria"/>
          <w:sz w:val="16"/>
          <w:szCs w:val="16"/>
          <w:lang w:val="es-US"/>
        </w:rPr>
      </w:pPr>
      <w:r w:rsidRPr="00A035A2">
        <w:rPr>
          <w:rStyle w:val="FootnoteReference"/>
          <w:rFonts w:ascii="Cambria" w:hAnsi="Cambria"/>
          <w:sz w:val="16"/>
          <w:szCs w:val="16"/>
        </w:rPr>
        <w:footnoteRef/>
      </w:r>
      <w:r w:rsidRPr="00A035A2">
        <w:rPr>
          <w:rFonts w:ascii="Cambria" w:hAnsi="Cambria"/>
          <w:sz w:val="16"/>
          <w:szCs w:val="16"/>
          <w:lang w:val="es-US"/>
        </w:rPr>
        <w:t xml:space="preserve"> CIDH,</w:t>
      </w:r>
      <w:r w:rsidR="00F23D30">
        <w:rPr>
          <w:rFonts w:ascii="Cambria" w:hAnsi="Cambria"/>
          <w:sz w:val="16"/>
          <w:szCs w:val="16"/>
          <w:lang w:val="es-US"/>
        </w:rPr>
        <w:t xml:space="preserve"> Informe</w:t>
      </w:r>
      <w:r w:rsidRPr="00A035A2">
        <w:rPr>
          <w:rFonts w:ascii="Cambria" w:hAnsi="Cambria"/>
          <w:sz w:val="16"/>
          <w:szCs w:val="16"/>
          <w:lang w:val="es-US"/>
        </w:rPr>
        <w:t xml:space="preserve"> </w:t>
      </w:r>
      <w:hyperlink r:id="rId2" w:history="1">
        <w:r w:rsidRPr="00A035A2">
          <w:rPr>
            <w:rStyle w:val="Hyperlink"/>
            <w:rFonts w:ascii="Cambria" w:hAnsi="Cambria" w:cs="Tahoma"/>
            <w:sz w:val="16"/>
            <w:szCs w:val="16"/>
            <w:shd w:val="clear" w:color="auto" w:fill="FFFFFF"/>
            <w:lang w:val="es-US"/>
          </w:rPr>
          <w:t>Situación de derechos humanos en Guatemala</w:t>
        </w:r>
      </w:hyperlink>
      <w:r w:rsidRPr="00A035A2">
        <w:rPr>
          <w:rFonts w:ascii="Cambria" w:hAnsi="Cambria" w:cs="Tahoma"/>
          <w:color w:val="333333"/>
          <w:sz w:val="16"/>
          <w:szCs w:val="16"/>
          <w:shd w:val="clear" w:color="auto" w:fill="FFFFFF"/>
          <w:lang w:val="es-US"/>
        </w:rPr>
        <w:t>, </w:t>
      </w:r>
      <w:r w:rsidRPr="00A035A2">
        <w:rPr>
          <w:rFonts w:ascii="Cambria" w:hAnsi="Cambria"/>
          <w:sz w:val="16"/>
          <w:szCs w:val="16"/>
          <w:lang w:val="es-US"/>
        </w:rPr>
        <w:t>31 diciembre 2017.</w:t>
      </w:r>
    </w:p>
  </w:footnote>
  <w:footnote w:id="4">
    <w:p w:rsidR="000B1069" w:rsidRPr="00A035A2" w:rsidRDefault="000B1069" w:rsidP="00C4252D">
      <w:pPr>
        <w:pStyle w:val="FootnoteText"/>
        <w:spacing w:after="120"/>
        <w:ind w:firstLine="720"/>
        <w:rPr>
          <w:rFonts w:ascii="Cambria" w:hAnsi="Cambria"/>
          <w:sz w:val="16"/>
          <w:szCs w:val="16"/>
          <w:lang w:val="es-US"/>
        </w:rPr>
      </w:pPr>
      <w:r w:rsidRPr="00A035A2">
        <w:rPr>
          <w:rStyle w:val="FootnoteReference"/>
          <w:rFonts w:ascii="Cambria" w:hAnsi="Cambria"/>
          <w:sz w:val="16"/>
          <w:szCs w:val="16"/>
        </w:rPr>
        <w:footnoteRef/>
      </w:r>
      <w:r w:rsidRPr="00A035A2">
        <w:rPr>
          <w:rFonts w:ascii="Cambria" w:hAnsi="Cambria"/>
          <w:sz w:val="16"/>
          <w:szCs w:val="16"/>
          <w:lang w:val="es-US"/>
        </w:rPr>
        <w:t xml:space="preserve"> CIDH,</w:t>
      </w:r>
      <w:r w:rsidR="00F23D30">
        <w:rPr>
          <w:rFonts w:ascii="Cambria" w:hAnsi="Cambria"/>
          <w:sz w:val="16"/>
          <w:szCs w:val="16"/>
          <w:lang w:val="es-US"/>
        </w:rPr>
        <w:t xml:space="preserve"> Informe</w:t>
      </w:r>
      <w:r w:rsidRPr="00A035A2">
        <w:rPr>
          <w:rFonts w:ascii="Cambria" w:hAnsi="Cambria"/>
          <w:sz w:val="16"/>
          <w:szCs w:val="16"/>
          <w:lang w:val="es-US"/>
        </w:rPr>
        <w:t xml:space="preserve"> </w:t>
      </w:r>
      <w:hyperlink r:id="rId3" w:history="1">
        <w:r w:rsidRPr="00A035A2">
          <w:rPr>
            <w:rStyle w:val="Hyperlink"/>
            <w:rFonts w:ascii="Cambria" w:hAnsi="Cambria" w:cs="Tahoma"/>
            <w:sz w:val="16"/>
            <w:szCs w:val="16"/>
            <w:shd w:val="clear" w:color="auto" w:fill="FFFFFF"/>
            <w:lang w:val="es-US"/>
          </w:rPr>
          <w:t>Situación de derechos humanos en México</w:t>
        </w:r>
      </w:hyperlink>
      <w:r w:rsidRPr="00A035A2">
        <w:rPr>
          <w:rFonts w:ascii="Cambria" w:hAnsi="Cambria" w:cs="Tahoma"/>
          <w:color w:val="333333"/>
          <w:sz w:val="16"/>
          <w:szCs w:val="16"/>
          <w:shd w:val="clear" w:color="auto" w:fill="FFFFFF"/>
          <w:lang w:val="es-US"/>
        </w:rPr>
        <w:t xml:space="preserve">, </w:t>
      </w:r>
      <w:r w:rsidRPr="00A035A2">
        <w:rPr>
          <w:rFonts w:ascii="Cambria" w:hAnsi="Cambria"/>
          <w:sz w:val="16"/>
          <w:szCs w:val="16"/>
          <w:lang w:val="es-US"/>
        </w:rPr>
        <w:t>31 diciembre 2015.</w:t>
      </w:r>
    </w:p>
  </w:footnote>
  <w:footnote w:id="5">
    <w:p w:rsidR="000B1069" w:rsidRPr="00A035A2" w:rsidRDefault="000B1069" w:rsidP="00C4252D">
      <w:pPr>
        <w:pStyle w:val="FootnoteText"/>
        <w:spacing w:after="120"/>
        <w:ind w:firstLine="720"/>
        <w:rPr>
          <w:rFonts w:ascii="Cambria" w:hAnsi="Cambria"/>
          <w:sz w:val="16"/>
          <w:szCs w:val="16"/>
          <w:lang w:val="es-US"/>
        </w:rPr>
      </w:pPr>
      <w:r w:rsidRPr="00A035A2">
        <w:rPr>
          <w:rStyle w:val="FootnoteReference"/>
          <w:rFonts w:ascii="Cambria" w:hAnsi="Cambria"/>
          <w:sz w:val="16"/>
          <w:szCs w:val="16"/>
        </w:rPr>
        <w:footnoteRef/>
      </w:r>
      <w:r w:rsidRPr="00A035A2">
        <w:rPr>
          <w:rFonts w:ascii="Cambria" w:hAnsi="Cambria"/>
          <w:sz w:val="16"/>
          <w:szCs w:val="16"/>
          <w:lang w:val="es-US"/>
        </w:rPr>
        <w:t xml:space="preserve"> CIDH, </w:t>
      </w:r>
      <w:r w:rsidR="00F23D30">
        <w:rPr>
          <w:rFonts w:ascii="Cambria" w:hAnsi="Cambria"/>
          <w:sz w:val="16"/>
          <w:szCs w:val="16"/>
          <w:lang w:val="es-US"/>
        </w:rPr>
        <w:t xml:space="preserve">Informe </w:t>
      </w:r>
      <w:hyperlink r:id="rId4" w:history="1">
        <w:r w:rsidRPr="00A035A2">
          <w:rPr>
            <w:rStyle w:val="Hyperlink"/>
            <w:rFonts w:ascii="Cambria" w:hAnsi="Cambria" w:cs="Tahoma"/>
            <w:sz w:val="16"/>
            <w:szCs w:val="16"/>
            <w:shd w:val="clear" w:color="auto" w:fill="FFFFFF"/>
            <w:lang w:val="es-US"/>
          </w:rPr>
          <w:t>Situación de derechos humanos en República Dominicana</w:t>
        </w:r>
      </w:hyperlink>
      <w:r w:rsidRPr="00A035A2">
        <w:rPr>
          <w:rFonts w:ascii="Cambria" w:hAnsi="Cambria" w:cs="Tahoma"/>
          <w:color w:val="333333"/>
          <w:sz w:val="16"/>
          <w:szCs w:val="16"/>
          <w:shd w:val="clear" w:color="auto" w:fill="FFFFFF"/>
          <w:lang w:val="es-US"/>
        </w:rPr>
        <w:t xml:space="preserve">, </w:t>
      </w:r>
      <w:r w:rsidRPr="00A035A2">
        <w:rPr>
          <w:rFonts w:ascii="Cambria" w:hAnsi="Cambria"/>
          <w:sz w:val="16"/>
          <w:szCs w:val="16"/>
          <w:lang w:val="es-US"/>
        </w:rPr>
        <w:t>31 diciembre 2015.</w:t>
      </w:r>
      <w:r w:rsidRPr="00A035A2">
        <w:rPr>
          <w:rFonts w:ascii="Cambria" w:hAnsi="Cambria"/>
          <w:sz w:val="16"/>
          <w:szCs w:val="16"/>
          <w:lang w:val="es-US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52D" w:rsidRPr="0058688A" w:rsidRDefault="00C4252D" w:rsidP="00C4252D">
    <w:pPr>
      <w:pStyle w:val="Header"/>
      <w:jc w:val="center"/>
      <w:rPr>
        <w:lang w:val="es-ES_tradnl"/>
      </w:rPr>
    </w:pPr>
    <w:r>
      <w:rPr>
        <w:noProof/>
      </w:rPr>
      <w:drawing>
        <wp:inline distT="0" distB="0" distL="0" distR="0">
          <wp:extent cx="2286000" cy="123825"/>
          <wp:effectExtent l="0" t="0" r="0" b="9525"/>
          <wp:docPr id="5" name="Picture 5" descr="cidh-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h-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252D" w:rsidRDefault="006C4192" w:rsidP="00C4252D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52D" w:rsidRDefault="00C4252D" w:rsidP="00C4252D">
    <w:pPr>
      <w:pStyle w:val="Header"/>
      <w:spacing w:after="200"/>
    </w:pPr>
    <w:r>
      <w:br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0</wp:posOffset>
          </wp:positionV>
          <wp:extent cx="1752600" cy="387350"/>
          <wp:effectExtent l="0" t="0" r="0" b="0"/>
          <wp:wrapThrough wrapText="bothSides">
            <wp:wrapPolygon edited="0">
              <wp:start x="0" y="0"/>
              <wp:lineTo x="0" y="20184"/>
              <wp:lineTo x="21365" y="20184"/>
              <wp:lineTo x="21365" y="0"/>
              <wp:lineTo x="0" y="0"/>
            </wp:wrapPolygon>
          </wp:wrapThrough>
          <wp:docPr id="4" name="Picture 4" descr="IA2018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A2018-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-57150</wp:posOffset>
          </wp:positionV>
          <wp:extent cx="1962150" cy="433705"/>
          <wp:effectExtent l="0" t="0" r="0" b="4445"/>
          <wp:wrapThrough wrapText="bothSides">
            <wp:wrapPolygon edited="0">
              <wp:start x="0" y="0"/>
              <wp:lineTo x="0" y="20873"/>
              <wp:lineTo x="21390" y="20873"/>
              <wp:lineTo x="21390" y="0"/>
              <wp:lineTo x="0" y="0"/>
            </wp:wrapPolygon>
          </wp:wrapThrough>
          <wp:docPr id="3" name="Picture 3" descr="cidh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h-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252D" w:rsidRDefault="006C4192" w:rsidP="00C4252D">
    <w:pPr>
      <w:pStyle w:val="Header"/>
    </w:pPr>
    <w: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230DC"/>
    <w:multiLevelType w:val="hybridMultilevel"/>
    <w:tmpl w:val="C21425D8"/>
    <w:lvl w:ilvl="0" w:tplc="9B0490DC">
      <w:start w:val="2"/>
      <w:numFmt w:val="upperRoman"/>
      <w:lvlText w:val="%1."/>
      <w:lvlJc w:val="left"/>
      <w:pPr>
        <w:ind w:left="1080" w:hanging="72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>
      <w:start w:val="1"/>
      <w:numFmt w:val="decimal"/>
      <w:lvlText w:val="%4."/>
      <w:lvlJc w:val="left"/>
      <w:pPr>
        <w:ind w:left="2880" w:hanging="360"/>
      </w:pPr>
    </w:lvl>
    <w:lvl w:ilvl="4" w:tplc="540A0019">
      <w:start w:val="1"/>
      <w:numFmt w:val="lowerLetter"/>
      <w:lvlText w:val="%5."/>
      <w:lvlJc w:val="left"/>
      <w:pPr>
        <w:ind w:left="3600" w:hanging="360"/>
      </w:pPr>
    </w:lvl>
    <w:lvl w:ilvl="5" w:tplc="540A001B">
      <w:start w:val="1"/>
      <w:numFmt w:val="lowerRoman"/>
      <w:lvlText w:val="%6."/>
      <w:lvlJc w:val="right"/>
      <w:pPr>
        <w:ind w:left="4320" w:hanging="180"/>
      </w:pPr>
    </w:lvl>
    <w:lvl w:ilvl="6" w:tplc="540A000F">
      <w:start w:val="1"/>
      <w:numFmt w:val="decimal"/>
      <w:lvlText w:val="%7."/>
      <w:lvlJc w:val="left"/>
      <w:pPr>
        <w:ind w:left="5040" w:hanging="360"/>
      </w:pPr>
    </w:lvl>
    <w:lvl w:ilvl="7" w:tplc="540A0019">
      <w:start w:val="1"/>
      <w:numFmt w:val="lowerLetter"/>
      <w:lvlText w:val="%8."/>
      <w:lvlJc w:val="left"/>
      <w:pPr>
        <w:ind w:left="5760" w:hanging="360"/>
      </w:pPr>
    </w:lvl>
    <w:lvl w:ilvl="8" w:tplc="5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35D2"/>
    <w:multiLevelType w:val="hybridMultilevel"/>
    <w:tmpl w:val="CFD6C83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2532F"/>
    <w:multiLevelType w:val="hybridMultilevel"/>
    <w:tmpl w:val="FE220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D753B"/>
    <w:multiLevelType w:val="hybridMultilevel"/>
    <w:tmpl w:val="6B5E58F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97408"/>
    <w:multiLevelType w:val="hybridMultilevel"/>
    <w:tmpl w:val="B822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30F16"/>
    <w:multiLevelType w:val="hybridMultilevel"/>
    <w:tmpl w:val="05C487EE"/>
    <w:lvl w:ilvl="0" w:tplc="4D94813C">
      <w:start w:val="1"/>
      <w:numFmt w:val="upperLetter"/>
      <w:pStyle w:val="Heading2"/>
      <w:lvlText w:val="%1."/>
      <w:lvlJc w:val="left"/>
      <w:pPr>
        <w:ind w:left="1080" w:hanging="72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>
      <w:start w:val="1"/>
      <w:numFmt w:val="decimal"/>
      <w:lvlText w:val="%4."/>
      <w:lvlJc w:val="left"/>
      <w:pPr>
        <w:ind w:left="2880" w:hanging="360"/>
      </w:pPr>
    </w:lvl>
    <w:lvl w:ilvl="4" w:tplc="540A0019">
      <w:start w:val="1"/>
      <w:numFmt w:val="lowerLetter"/>
      <w:lvlText w:val="%5."/>
      <w:lvlJc w:val="left"/>
      <w:pPr>
        <w:ind w:left="3600" w:hanging="360"/>
      </w:pPr>
    </w:lvl>
    <w:lvl w:ilvl="5" w:tplc="540A001B">
      <w:start w:val="1"/>
      <w:numFmt w:val="lowerRoman"/>
      <w:lvlText w:val="%6."/>
      <w:lvlJc w:val="right"/>
      <w:pPr>
        <w:ind w:left="4320" w:hanging="180"/>
      </w:pPr>
    </w:lvl>
    <w:lvl w:ilvl="6" w:tplc="540A000F">
      <w:start w:val="1"/>
      <w:numFmt w:val="decimal"/>
      <w:lvlText w:val="%7."/>
      <w:lvlJc w:val="left"/>
      <w:pPr>
        <w:ind w:left="5040" w:hanging="360"/>
      </w:pPr>
    </w:lvl>
    <w:lvl w:ilvl="7" w:tplc="540A0019">
      <w:start w:val="1"/>
      <w:numFmt w:val="lowerLetter"/>
      <w:lvlText w:val="%8."/>
      <w:lvlJc w:val="left"/>
      <w:pPr>
        <w:ind w:left="5760" w:hanging="360"/>
      </w:pPr>
    </w:lvl>
    <w:lvl w:ilvl="8" w:tplc="5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872E4"/>
    <w:multiLevelType w:val="hybridMultilevel"/>
    <w:tmpl w:val="E612DCD6"/>
    <w:lvl w:ilvl="0" w:tplc="8EE43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80DF4"/>
    <w:multiLevelType w:val="hybridMultilevel"/>
    <w:tmpl w:val="D93697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9B2625"/>
    <w:multiLevelType w:val="hybridMultilevel"/>
    <w:tmpl w:val="E6944FAA"/>
    <w:lvl w:ilvl="0" w:tplc="6DAA8698">
      <w:start w:val="1"/>
      <w:numFmt w:val="upperRoman"/>
      <w:lvlText w:val="%1."/>
      <w:lvlJc w:val="left"/>
      <w:pPr>
        <w:ind w:left="1080" w:hanging="72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>
      <w:start w:val="1"/>
      <w:numFmt w:val="decimal"/>
      <w:lvlText w:val="%4."/>
      <w:lvlJc w:val="left"/>
      <w:pPr>
        <w:ind w:left="2880" w:hanging="360"/>
      </w:pPr>
    </w:lvl>
    <w:lvl w:ilvl="4" w:tplc="540A0019">
      <w:start w:val="1"/>
      <w:numFmt w:val="lowerLetter"/>
      <w:lvlText w:val="%5."/>
      <w:lvlJc w:val="left"/>
      <w:pPr>
        <w:ind w:left="3600" w:hanging="360"/>
      </w:pPr>
    </w:lvl>
    <w:lvl w:ilvl="5" w:tplc="540A001B">
      <w:start w:val="1"/>
      <w:numFmt w:val="lowerRoman"/>
      <w:lvlText w:val="%6."/>
      <w:lvlJc w:val="right"/>
      <w:pPr>
        <w:ind w:left="4320" w:hanging="180"/>
      </w:pPr>
    </w:lvl>
    <w:lvl w:ilvl="6" w:tplc="540A000F">
      <w:start w:val="1"/>
      <w:numFmt w:val="decimal"/>
      <w:lvlText w:val="%7."/>
      <w:lvlJc w:val="left"/>
      <w:pPr>
        <w:ind w:left="5040" w:hanging="360"/>
      </w:pPr>
    </w:lvl>
    <w:lvl w:ilvl="7" w:tplc="540A0019">
      <w:start w:val="1"/>
      <w:numFmt w:val="lowerLetter"/>
      <w:lvlText w:val="%8."/>
      <w:lvlJc w:val="left"/>
      <w:pPr>
        <w:ind w:left="5760" w:hanging="360"/>
      </w:pPr>
    </w:lvl>
    <w:lvl w:ilvl="8" w:tplc="5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76D92"/>
    <w:multiLevelType w:val="hybridMultilevel"/>
    <w:tmpl w:val="8312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AR" w:vendorID="64" w:dllVersion="131078" w:nlCheck="1" w:checkStyle="1"/>
  <w:activeWritingStyle w:appName="MSWord" w:lang="es-US" w:vendorID="64" w:dllVersion="131078" w:nlCheck="1" w:checkStyle="1"/>
  <w:activeWritingStyle w:appName="MSWord" w:lang="fr-C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C9"/>
    <w:rsid w:val="00032430"/>
    <w:rsid w:val="00082FC9"/>
    <w:rsid w:val="000B1069"/>
    <w:rsid w:val="0011502B"/>
    <w:rsid w:val="002053DB"/>
    <w:rsid w:val="002373B8"/>
    <w:rsid w:val="00242EE6"/>
    <w:rsid w:val="00277653"/>
    <w:rsid w:val="00301F3A"/>
    <w:rsid w:val="003727A9"/>
    <w:rsid w:val="003B7292"/>
    <w:rsid w:val="004D4CF4"/>
    <w:rsid w:val="00593F6D"/>
    <w:rsid w:val="005C60E0"/>
    <w:rsid w:val="006646DE"/>
    <w:rsid w:val="00694AF4"/>
    <w:rsid w:val="006B24FD"/>
    <w:rsid w:val="006C4192"/>
    <w:rsid w:val="007B236C"/>
    <w:rsid w:val="007C026D"/>
    <w:rsid w:val="00894243"/>
    <w:rsid w:val="00965076"/>
    <w:rsid w:val="009E2BB2"/>
    <w:rsid w:val="00A035A2"/>
    <w:rsid w:val="00A53708"/>
    <w:rsid w:val="00A762E6"/>
    <w:rsid w:val="00A94413"/>
    <w:rsid w:val="00B652C0"/>
    <w:rsid w:val="00BB567D"/>
    <w:rsid w:val="00BC4EA0"/>
    <w:rsid w:val="00C4252D"/>
    <w:rsid w:val="00C47AD9"/>
    <w:rsid w:val="00CB7E25"/>
    <w:rsid w:val="00E157BC"/>
    <w:rsid w:val="00E25E27"/>
    <w:rsid w:val="00EB6395"/>
    <w:rsid w:val="00ED04D4"/>
    <w:rsid w:val="00ED5F46"/>
    <w:rsid w:val="00F23D30"/>
    <w:rsid w:val="00FA2FB5"/>
    <w:rsid w:val="00FB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A228B5-8B4E-45B2-9A9E-0BD021A5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C9"/>
    <w:rPr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4252D"/>
    <w:pPr>
      <w:numPr>
        <w:numId w:val="11"/>
      </w:numPr>
      <w:spacing w:before="120"/>
      <w:jc w:val="both"/>
      <w:outlineLvl w:val="1"/>
    </w:pPr>
    <w:rPr>
      <w:rFonts w:ascii="Cambria" w:hAnsi="Cambria" w:cs="Calibri Light"/>
      <w:b/>
      <w:bCs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A Fu,Footnote Text Char Char Char Char Char,Footnote Text Char Char Char Char,Footnote reference,Footnote Text Char Char Char,Texto nota pie [MM],FA Fußnotentext,FA Fuﬂnotentext,ft,texto de nota al pie, Car1,Ca,fn,Car1,C,Texto nota pie C"/>
    <w:link w:val="FootnoteTextChar"/>
    <w:qFormat/>
    <w:rsid w:val="00082F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s-AR"/>
    </w:rPr>
  </w:style>
  <w:style w:type="character" w:customStyle="1" w:styleId="FootnoteTextChar">
    <w:name w:val="Footnote Text Char"/>
    <w:aliases w:val="FA Fu Char,Footnote Text Char Char Char Char Char Char,Footnote Text Char Char Char Char Char1,Footnote reference Char,Footnote Text Char Char Char Char1,Texto nota pie [MM] Char,FA Fußnotentext Char,FA Fuﬂnotentext Char,ft Char"/>
    <w:basedOn w:val="DefaultParagraphFont"/>
    <w:link w:val="FootnoteText"/>
    <w:uiPriority w:val="99"/>
    <w:qFormat/>
    <w:rsid w:val="00082FC9"/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s-AR"/>
    </w:rPr>
  </w:style>
  <w:style w:type="character" w:styleId="FootnoteReference">
    <w:name w:val="footnote reference"/>
    <w:aliases w:val="Footnotes refss,Texto de nota al pie,referencia nota al pie,BVI fnr,Appel note de bas de page,Footnote symbol,Footnote,Footnote number,f,Ref. de nota al pie.,4_G,16 Point,Superscript 6 Point,Texto nota al pie,Ref. de nota al pi,Ref,f1"/>
    <w:link w:val="Appelnotedebasde"/>
    <w:uiPriority w:val="99"/>
    <w:unhideWhenUsed/>
    <w:qFormat/>
    <w:rsid w:val="00082FC9"/>
    <w:rPr>
      <w:vertAlign w:val="superscript"/>
    </w:rPr>
  </w:style>
  <w:style w:type="paragraph" w:customStyle="1" w:styleId="Appelnotedebasde">
    <w:name w:val="Appel note de bas de..."/>
    <w:basedOn w:val="Normal"/>
    <w:link w:val="FootnoteReference"/>
    <w:uiPriority w:val="99"/>
    <w:rsid w:val="00082FC9"/>
    <w:pPr>
      <w:spacing w:line="240" w:lineRule="exact"/>
    </w:pPr>
    <w:rPr>
      <w:vertAlign w:val="superscript"/>
      <w:lang w:val="es-US"/>
    </w:rPr>
  </w:style>
  <w:style w:type="paragraph" w:styleId="Header">
    <w:name w:val="header"/>
    <w:basedOn w:val="Normal"/>
    <w:link w:val="HeaderChar"/>
    <w:uiPriority w:val="99"/>
    <w:unhideWhenUsed/>
    <w:rsid w:val="00ED0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4D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0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4D4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B72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62E6"/>
    <w:pPr>
      <w:spacing w:after="0" w:line="240" w:lineRule="auto"/>
      <w:ind w:left="720"/>
    </w:pPr>
    <w:rPr>
      <w:rFonts w:ascii="Calibri" w:hAnsi="Calibri" w:cs="Calibri"/>
      <w:lang w:val="es-US"/>
    </w:rPr>
  </w:style>
  <w:style w:type="paragraph" w:customStyle="1" w:styleId="Default">
    <w:name w:val="Default"/>
    <w:rsid w:val="008942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0E0"/>
    <w:rPr>
      <w:rFonts w:ascii="Segoe UI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6646D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4252D"/>
    <w:rPr>
      <w:rFonts w:ascii="Cambria" w:hAnsi="Cambria" w:cs="Calibri Light"/>
      <w:b/>
      <w:bCs/>
      <w:lang w:val="es-ES_tradnl"/>
    </w:rPr>
  </w:style>
  <w:style w:type="paragraph" w:customStyle="1" w:styleId="Style1">
    <w:name w:val="Style1"/>
    <w:basedOn w:val="Heading2"/>
    <w:link w:val="Style1Char"/>
    <w:qFormat/>
    <w:rsid w:val="00694AF4"/>
    <w:pPr>
      <w:numPr>
        <w:numId w:val="0"/>
      </w:numPr>
      <w:spacing w:before="240" w:after="240"/>
      <w:ind w:left="1080" w:hanging="720"/>
    </w:pPr>
  </w:style>
  <w:style w:type="character" w:customStyle="1" w:styleId="Style1Char">
    <w:name w:val="Style1 Char"/>
    <w:basedOn w:val="Heading2Char"/>
    <w:link w:val="Style1"/>
    <w:rsid w:val="00694AF4"/>
    <w:rPr>
      <w:rFonts w:ascii="Cambria" w:hAnsi="Cambria" w:cs="Calibri Light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as.org/es/cidh/informes/pdfs/Mexico2016-es.pdf" TargetMode="External"/><Relationship Id="rId2" Type="http://schemas.openxmlformats.org/officeDocument/2006/relationships/hyperlink" Target="http://www.oas.org/es/cidh/informes/pdfs/Guatemala2017-es.pdf" TargetMode="External"/><Relationship Id="rId1" Type="http://schemas.openxmlformats.org/officeDocument/2006/relationships/hyperlink" Target="http://www.oas.org/es/cidh/docs/pdfs/Justicia-Verdad-Reparacion-es.pdf" TargetMode="External"/><Relationship Id="rId4" Type="http://schemas.openxmlformats.org/officeDocument/2006/relationships/hyperlink" Target="http://www.oas.org/es/cidh/informes/pdfs/RepublicaDominicana-201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2A515-9C78-4FDA-B27F-E1AE8B4C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864</Words>
  <Characters>4706</Characters>
  <Application>Microsoft Office Word</Application>
  <DocSecurity>0</DocSecurity>
  <Lines>57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Anjos, Fernanda</dc:creator>
  <cp:keywords/>
  <dc:description/>
  <cp:lastModifiedBy>Hansen, Gloria</cp:lastModifiedBy>
  <cp:revision>6</cp:revision>
  <cp:lastPrinted>2019-03-05T19:12:00Z</cp:lastPrinted>
  <dcterms:created xsi:type="dcterms:W3CDTF">2019-03-08T22:34:00Z</dcterms:created>
  <dcterms:modified xsi:type="dcterms:W3CDTF">2019-03-17T20:21:00Z</dcterms:modified>
</cp:coreProperties>
</file>