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0320E" w14:textId="77777777" w:rsidR="00F71746" w:rsidRPr="00F0798B" w:rsidRDefault="00F71746" w:rsidP="00AC6F0A">
      <w:pPr>
        <w:ind w:left="360"/>
        <w:jc w:val="center"/>
        <w:rPr>
          <w:rFonts w:ascii="Cambria" w:hAnsi="Cambria"/>
          <w:b/>
          <w:sz w:val="32"/>
          <w:lang w:val="es-ES_tradnl"/>
        </w:rPr>
      </w:pPr>
    </w:p>
    <w:p w14:paraId="1484CEE8" w14:textId="499FFAEF" w:rsidR="00D25CAC" w:rsidRPr="00F0798B" w:rsidRDefault="00F71746" w:rsidP="00AC6F0A">
      <w:pPr>
        <w:ind w:left="360"/>
        <w:jc w:val="center"/>
        <w:rPr>
          <w:rFonts w:ascii="Cambria" w:hAnsi="Cambria"/>
          <w:b/>
          <w:sz w:val="32"/>
          <w:lang w:val="es-ES_tradnl"/>
        </w:rPr>
      </w:pPr>
      <w:r w:rsidRPr="00F0798B">
        <w:rPr>
          <w:rFonts w:ascii="Cambria" w:hAnsi="Cambria"/>
          <w:b/>
          <w:sz w:val="32"/>
          <w:lang w:val="es-ES_tradnl"/>
        </w:rPr>
        <w:t>CAPÍ</w:t>
      </w:r>
      <w:r w:rsidR="00D25CAC" w:rsidRPr="00F0798B">
        <w:rPr>
          <w:rFonts w:ascii="Cambria" w:hAnsi="Cambria"/>
          <w:b/>
          <w:sz w:val="32"/>
          <w:lang w:val="es-ES_tradnl"/>
        </w:rPr>
        <w:t>TULO VI</w:t>
      </w:r>
    </w:p>
    <w:p w14:paraId="37C3B3C3" w14:textId="6F8578E5" w:rsidR="00D25CAC" w:rsidRPr="00F0798B" w:rsidRDefault="00D25CAC" w:rsidP="00AC6F0A">
      <w:pPr>
        <w:ind w:left="360"/>
        <w:jc w:val="center"/>
        <w:rPr>
          <w:rFonts w:ascii="Cambria" w:hAnsi="Cambria"/>
          <w:b/>
          <w:sz w:val="32"/>
          <w:lang w:val="es-ES_tradnl"/>
        </w:rPr>
      </w:pPr>
      <w:r w:rsidRPr="00F0798B">
        <w:rPr>
          <w:rFonts w:ascii="Cambria" w:hAnsi="Cambria"/>
          <w:b/>
          <w:sz w:val="32"/>
          <w:lang w:val="es-ES_tradnl"/>
        </w:rPr>
        <w:t>DESARROLLO INSTITUCIONAL</w:t>
      </w:r>
    </w:p>
    <w:p w14:paraId="6E7BDB28" w14:textId="20937D8D" w:rsidR="00D25CAC" w:rsidRPr="00F0798B" w:rsidRDefault="00D25CAC" w:rsidP="00AC6F0A">
      <w:pPr>
        <w:ind w:left="360"/>
        <w:jc w:val="center"/>
        <w:rPr>
          <w:rFonts w:ascii="Cambria" w:hAnsi="Cambria"/>
          <w:b/>
          <w:lang w:val="es-ES_tradnl"/>
        </w:rPr>
      </w:pPr>
    </w:p>
    <w:p w14:paraId="181C6D32" w14:textId="77777777" w:rsidR="001E5623" w:rsidRPr="00F0798B" w:rsidRDefault="001E5623" w:rsidP="005F60E5">
      <w:pPr>
        <w:pStyle w:val="ListParagraph"/>
        <w:numPr>
          <w:ilvl w:val="0"/>
          <w:numId w:val="1"/>
        </w:numPr>
        <w:spacing w:before="240" w:after="240"/>
        <w:ind w:left="1440" w:hanging="720"/>
        <w:contextualSpacing w:val="0"/>
        <w:rPr>
          <w:rFonts w:ascii="Cambria" w:hAnsi="Cambria"/>
          <w:b/>
          <w:sz w:val="22"/>
          <w:szCs w:val="20"/>
          <w:lang w:val="es-ES_tradnl"/>
        </w:rPr>
      </w:pPr>
      <w:r w:rsidRPr="00F0798B">
        <w:rPr>
          <w:rFonts w:ascii="Cambria" w:hAnsi="Cambria"/>
          <w:b/>
          <w:sz w:val="22"/>
          <w:szCs w:val="20"/>
          <w:lang w:val="es-ES_tradnl"/>
        </w:rPr>
        <w:t>Estructura y personal de la CIDH</w:t>
      </w:r>
    </w:p>
    <w:p w14:paraId="01F86BF9" w14:textId="783B8679" w:rsidR="001E5623" w:rsidRPr="00F0798B" w:rsidRDefault="001E5623" w:rsidP="005F60E5">
      <w:pPr>
        <w:pStyle w:val="ListParagraph"/>
        <w:numPr>
          <w:ilvl w:val="0"/>
          <w:numId w:val="7"/>
        </w:numPr>
        <w:spacing w:after="240"/>
        <w:ind w:left="0" w:firstLine="720"/>
        <w:contextualSpacing w:val="0"/>
        <w:jc w:val="both"/>
        <w:rPr>
          <w:rFonts w:ascii="Cambria" w:hAnsi="Cambria"/>
          <w:sz w:val="20"/>
          <w:szCs w:val="20"/>
          <w:lang w:val="es-ES_tradnl"/>
        </w:rPr>
      </w:pPr>
      <w:r w:rsidRPr="00F0798B">
        <w:rPr>
          <w:rFonts w:ascii="Cambria" w:hAnsi="Cambria"/>
          <w:sz w:val="20"/>
          <w:szCs w:val="20"/>
          <w:lang w:val="es-ES_tradnl"/>
        </w:rPr>
        <w:t xml:space="preserve">El 26 de julio de 2017 fue adoptada por el Secretario General de la OEA una nueva estructura organizacional para la Comisión Interamericana de Derechos Humanos (CIDH) mediante la </w:t>
      </w:r>
      <w:hyperlink r:id="rId7" w:tgtFrame="_blank" w:history="1">
        <w:r w:rsidRPr="00F0798B">
          <w:rPr>
            <w:rFonts w:ascii="Cambria" w:hAnsi="Cambria"/>
            <w:sz w:val="20"/>
            <w:szCs w:val="20"/>
            <w:lang w:val="es-ES_tradnl"/>
          </w:rPr>
          <w:t>Orden Ejecutiva 17-06</w:t>
        </w:r>
      </w:hyperlink>
      <w:r w:rsidRPr="00F0798B">
        <w:rPr>
          <w:rFonts w:ascii="Cambria" w:hAnsi="Cambria"/>
          <w:sz w:val="20"/>
          <w:szCs w:val="20"/>
          <w:lang w:val="es-ES_tradnl"/>
        </w:rPr>
        <w:t xml:space="preserve">, que amplía la estructura administrativa de la Secretaría Ejecutiva de la CIDH y asegura nuevos cargos para continuar cumpliendo sus funciones y los objetivos del </w:t>
      </w:r>
      <w:hyperlink r:id="rId8" w:tgtFrame="_blank" w:history="1">
        <w:r w:rsidRPr="00F0798B">
          <w:rPr>
            <w:rFonts w:ascii="Cambria" w:hAnsi="Cambria"/>
            <w:sz w:val="20"/>
            <w:szCs w:val="20"/>
            <w:lang w:val="es-ES_tradnl"/>
          </w:rPr>
          <w:t>Plan Estratégico CIDH 2017-2021</w:t>
        </w:r>
      </w:hyperlink>
      <w:r w:rsidRPr="00F0798B">
        <w:rPr>
          <w:rFonts w:ascii="Cambria" w:hAnsi="Cambria"/>
          <w:sz w:val="20"/>
          <w:szCs w:val="20"/>
          <w:lang w:val="es-ES_tradnl"/>
        </w:rPr>
        <w:t xml:space="preserve">. </w:t>
      </w:r>
    </w:p>
    <w:p w14:paraId="3252CFAD" w14:textId="77777777" w:rsidR="001E5623" w:rsidRPr="00F0798B" w:rsidRDefault="001E5623" w:rsidP="005F60E5">
      <w:pPr>
        <w:pStyle w:val="ListParagraph"/>
        <w:numPr>
          <w:ilvl w:val="0"/>
          <w:numId w:val="7"/>
        </w:numPr>
        <w:spacing w:after="240"/>
        <w:ind w:left="0" w:firstLine="720"/>
        <w:contextualSpacing w:val="0"/>
        <w:jc w:val="both"/>
        <w:rPr>
          <w:rFonts w:ascii="Cambria" w:hAnsi="Cambria"/>
          <w:sz w:val="20"/>
          <w:szCs w:val="20"/>
          <w:lang w:val="es-ES_tradnl"/>
        </w:rPr>
      </w:pPr>
      <w:r w:rsidRPr="00F0798B">
        <w:rPr>
          <w:rFonts w:ascii="Cambria" w:hAnsi="Cambria"/>
          <w:sz w:val="20"/>
          <w:szCs w:val="20"/>
          <w:lang w:val="es-ES_tradnl"/>
        </w:rPr>
        <w:t xml:space="preserve">El </w:t>
      </w:r>
      <w:hyperlink r:id="rId9" w:tgtFrame="_blank" w:history="1">
        <w:r w:rsidRPr="00F0798B">
          <w:rPr>
            <w:rFonts w:ascii="Cambria" w:hAnsi="Cambria"/>
            <w:sz w:val="20"/>
            <w:szCs w:val="20"/>
            <w:lang w:val="es-ES_tradnl"/>
          </w:rPr>
          <w:t>nuevo organigrama</w:t>
        </w:r>
      </w:hyperlink>
      <w:r w:rsidRPr="00F0798B">
        <w:rPr>
          <w:rFonts w:ascii="Cambria" w:hAnsi="Cambria"/>
          <w:sz w:val="20"/>
          <w:szCs w:val="20"/>
          <w:lang w:val="es-ES_tradnl"/>
        </w:rPr>
        <w:t xml:space="preserve"> de la Secretaría Ejecutiva de la CIDH responde al Plan Estratégico que estableció en su Programa 17 una “revisión de la estructura administrativa que refleje un diseño más integrado y horizontal”.  La nueva estructura de la CIDH estipula que la Secretaría Ejecutiva estará apoyada por dos secretarías adjuntas específicas para la ejecución de las funciones esenciales de protección, monitoreo y cooperación técnica en materia de derechos humanos en América. En el Capítulo I.B de este informe, la nueva estructura fue presentada.</w:t>
      </w:r>
    </w:p>
    <w:p w14:paraId="5113F6A1" w14:textId="77777777" w:rsidR="001E5623" w:rsidRPr="00F0798B" w:rsidRDefault="001E5623" w:rsidP="005F60E5">
      <w:pPr>
        <w:pStyle w:val="paragraphs"/>
        <w:numPr>
          <w:ilvl w:val="0"/>
          <w:numId w:val="7"/>
        </w:numPr>
        <w:ind w:left="0" w:firstLine="720"/>
      </w:pPr>
      <w:r w:rsidRPr="00F0798B">
        <w:t xml:space="preserve">La Secretaría Ejecutiva continuamente ha trabajado por adecuar su personal y recursos a la realidad impuesta por los mandatos a la CIDH.  En ese sentido la Secretaría Ejecutiva de la CIDH, al 31 de diciembre, está conformada por 113 funcionarios/as (49 funcionarios/as, 60 consultores/as y 4 profesionales asociados). En adición, la CIDH cuenta con 10 becarios/as.  Aunque a la fecha de cierre del informe el periodo de pasantías había culminado, a lo largo del año la CIDH tuvo la gran oportunidad de contar con 34 pasantes en promedio en cada uno de los 3 periodos del año (invierno-primavera, verano y otoño). </w:t>
      </w:r>
    </w:p>
    <w:p w14:paraId="05E95675" w14:textId="77777777" w:rsidR="001E5623" w:rsidRPr="00F0798B" w:rsidRDefault="001E5623" w:rsidP="005F60E5">
      <w:pPr>
        <w:pStyle w:val="paragraphs"/>
        <w:numPr>
          <w:ilvl w:val="0"/>
          <w:numId w:val="7"/>
        </w:numPr>
        <w:ind w:left="0" w:firstLine="720"/>
      </w:pPr>
      <w:r w:rsidRPr="00F0798B">
        <w:t>La siguiente tabla muestra la distribución de personal por fuente de financiamiento al 31 de diciembre de 2018.</w:t>
      </w:r>
    </w:p>
    <w:tbl>
      <w:tblPr>
        <w:tblW w:w="100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454"/>
        <w:gridCol w:w="1360"/>
        <w:gridCol w:w="1546"/>
        <w:gridCol w:w="1963"/>
        <w:gridCol w:w="2757"/>
      </w:tblGrid>
      <w:tr w:rsidR="001E5623" w:rsidRPr="00723C78" w14:paraId="060C9390" w14:textId="77777777" w:rsidTr="001E5623">
        <w:trPr>
          <w:trHeight w:val="288"/>
        </w:trPr>
        <w:tc>
          <w:tcPr>
            <w:tcW w:w="10075" w:type="dxa"/>
            <w:gridSpan w:val="5"/>
            <w:tcBorders>
              <w:top w:val="single" w:sz="4" w:space="0" w:color="4F81BD"/>
              <w:left w:val="single" w:sz="4" w:space="0" w:color="4F81BD"/>
              <w:bottom w:val="single" w:sz="4" w:space="0" w:color="4F81BD"/>
              <w:right w:val="single" w:sz="4" w:space="0" w:color="4F81BD"/>
            </w:tcBorders>
            <w:shd w:val="clear" w:color="auto" w:fill="4F81BD"/>
            <w:noWrap/>
            <w:hideMark/>
          </w:tcPr>
          <w:p w14:paraId="63A6836B" w14:textId="77777777" w:rsidR="001E5623" w:rsidRPr="00F0798B" w:rsidRDefault="001E5623" w:rsidP="001E5623">
            <w:pPr>
              <w:jc w:val="center"/>
              <w:rPr>
                <w:rFonts w:ascii="Cambria" w:eastAsia="Helvetica" w:hAnsi="Cambria" w:cs="Calibri Light"/>
                <w:b/>
                <w:bCs/>
                <w:color w:val="FFFFFF"/>
                <w:sz w:val="20"/>
                <w:szCs w:val="20"/>
                <w:lang w:val="es-ES_tradnl"/>
              </w:rPr>
            </w:pPr>
            <w:r w:rsidRPr="00F0798B">
              <w:rPr>
                <w:rFonts w:ascii="Cambria" w:eastAsia="Times New Roman" w:hAnsi="Cambria" w:cs="Calibri Light"/>
                <w:b/>
                <w:bCs/>
                <w:color w:val="FFFFFF"/>
                <w:sz w:val="20"/>
                <w:szCs w:val="20"/>
                <w:lang w:val="es-ES_tradnl" w:eastAsia="es-ES"/>
              </w:rPr>
              <w:t>Fuente de Financiamiento por grupo</w:t>
            </w:r>
          </w:p>
        </w:tc>
      </w:tr>
      <w:tr w:rsidR="001E5623" w:rsidRPr="00F0798B" w14:paraId="0873C04F" w14:textId="77777777" w:rsidTr="001E5623">
        <w:trPr>
          <w:trHeight w:hRule="exact" w:val="613"/>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B85C02C" w14:textId="77777777" w:rsidR="001E5623" w:rsidRPr="00F0798B" w:rsidRDefault="001E5623" w:rsidP="001E5623">
            <w:pPr>
              <w:jc w:val="cente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Categoría</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52A2F0D" w14:textId="77777777" w:rsidR="001E5623" w:rsidRPr="00F0798B" w:rsidRDefault="001E5623" w:rsidP="001E5623">
            <w:pPr>
              <w:jc w:val="center"/>
              <w:rPr>
                <w:rFonts w:ascii="Cambria" w:eastAsia="Helvetica" w:hAnsi="Cambria" w:cs="Calibri Light"/>
                <w:b/>
                <w:sz w:val="20"/>
                <w:szCs w:val="20"/>
                <w:lang w:val="es-ES_tradnl"/>
              </w:rPr>
            </w:pPr>
            <w:r w:rsidRPr="00F0798B">
              <w:rPr>
                <w:rFonts w:ascii="Cambria" w:eastAsia="Helvetica" w:hAnsi="Cambria" w:cs="Calibri Light"/>
                <w:b/>
                <w:sz w:val="20"/>
                <w:szCs w:val="20"/>
                <w:lang w:val="es-ES_tradnl"/>
              </w:rPr>
              <w:t>Fondo Regular</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7E5BE21B" w14:textId="77777777" w:rsidR="001E5623" w:rsidRPr="00F0798B" w:rsidRDefault="001E5623" w:rsidP="001E5623">
            <w:pPr>
              <w:jc w:val="center"/>
              <w:rPr>
                <w:rFonts w:ascii="Cambria" w:eastAsia="Times New Roman" w:hAnsi="Cambria" w:cs="Calibri Light"/>
                <w:b/>
                <w:sz w:val="20"/>
                <w:szCs w:val="20"/>
                <w:lang w:val="es-ES_tradnl" w:eastAsia="es-ES"/>
              </w:rPr>
            </w:pPr>
            <w:r w:rsidRPr="00F0798B">
              <w:rPr>
                <w:rFonts w:ascii="Cambria" w:eastAsia="Times New Roman" w:hAnsi="Cambria" w:cs="Calibri Light"/>
                <w:b/>
                <w:sz w:val="20"/>
                <w:szCs w:val="20"/>
                <w:lang w:val="es-ES_tradnl" w:eastAsia="es-ES"/>
              </w:rPr>
              <w:t>Fondo Específico</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25FE2497" w14:textId="77777777" w:rsidR="001E5623" w:rsidRPr="00F0798B" w:rsidRDefault="001E5623" w:rsidP="001E5623">
            <w:pPr>
              <w:jc w:val="center"/>
              <w:rPr>
                <w:rFonts w:ascii="Cambria" w:eastAsia="Times New Roman" w:hAnsi="Cambria" w:cs="Calibri Light"/>
                <w:b/>
                <w:sz w:val="20"/>
                <w:szCs w:val="20"/>
                <w:lang w:val="es-ES_tradnl" w:eastAsia="es-ES"/>
              </w:rPr>
            </w:pPr>
            <w:r w:rsidRPr="00F0798B">
              <w:rPr>
                <w:rFonts w:ascii="Cambria" w:eastAsia="Times New Roman" w:hAnsi="Cambria" w:cs="Calibri Light"/>
                <w:b/>
                <w:sz w:val="20"/>
                <w:szCs w:val="20"/>
                <w:lang w:val="es-ES_tradnl" w:eastAsia="es-ES"/>
              </w:rPr>
              <w:t>Sin Costo para la CIDH</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21CE7539" w14:textId="77777777" w:rsidR="001E5623" w:rsidRPr="00F0798B" w:rsidRDefault="001E5623" w:rsidP="001E5623">
            <w:pPr>
              <w:jc w:val="center"/>
              <w:rPr>
                <w:rFonts w:ascii="Cambria" w:eastAsia="Helvetica" w:hAnsi="Cambria" w:cs="Calibri Light"/>
                <w:b/>
                <w:bCs/>
                <w:sz w:val="20"/>
                <w:szCs w:val="20"/>
                <w:lang w:val="es-ES_tradnl"/>
              </w:rPr>
            </w:pPr>
            <w:r w:rsidRPr="00F0798B">
              <w:rPr>
                <w:rFonts w:ascii="Cambria" w:eastAsia="Helvetica" w:hAnsi="Cambria" w:cs="Calibri Light"/>
                <w:b/>
                <w:sz w:val="20"/>
                <w:szCs w:val="20"/>
                <w:lang w:val="es-ES_tradnl"/>
              </w:rPr>
              <w:t>Total</w:t>
            </w:r>
          </w:p>
        </w:tc>
      </w:tr>
      <w:tr w:rsidR="001E5623" w:rsidRPr="00F0798B" w14:paraId="765F900A"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5BA55DCE"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Secretario Ejecutivo</w:t>
            </w:r>
          </w:p>
        </w:tc>
        <w:tc>
          <w:tcPr>
            <w:tcW w:w="1359" w:type="dxa"/>
            <w:tcBorders>
              <w:top w:val="single" w:sz="4" w:space="0" w:color="95B3D7"/>
              <w:left w:val="single" w:sz="4" w:space="0" w:color="95B3D7"/>
              <w:bottom w:val="single" w:sz="4" w:space="0" w:color="95B3D7"/>
              <w:right w:val="single" w:sz="4" w:space="0" w:color="95B3D7"/>
            </w:tcBorders>
            <w:noWrap/>
            <w:hideMark/>
          </w:tcPr>
          <w:p w14:paraId="720C9022"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w:t>
            </w:r>
          </w:p>
        </w:tc>
        <w:tc>
          <w:tcPr>
            <w:tcW w:w="1545" w:type="dxa"/>
            <w:tcBorders>
              <w:top w:val="single" w:sz="4" w:space="0" w:color="95B3D7"/>
              <w:left w:val="single" w:sz="4" w:space="0" w:color="95B3D7"/>
              <w:bottom w:val="single" w:sz="4" w:space="0" w:color="95B3D7"/>
              <w:right w:val="single" w:sz="4" w:space="0" w:color="95B3D7"/>
            </w:tcBorders>
            <w:hideMark/>
          </w:tcPr>
          <w:p w14:paraId="6702628F"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1962" w:type="dxa"/>
            <w:tcBorders>
              <w:top w:val="single" w:sz="4" w:space="0" w:color="95B3D7"/>
              <w:left w:val="single" w:sz="4" w:space="0" w:color="95B3D7"/>
              <w:bottom w:val="single" w:sz="4" w:space="0" w:color="95B3D7"/>
              <w:right w:val="single" w:sz="4" w:space="0" w:color="95B3D7"/>
            </w:tcBorders>
            <w:hideMark/>
          </w:tcPr>
          <w:p w14:paraId="618BEBA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4FDD42FC"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w:t>
            </w:r>
          </w:p>
        </w:tc>
      </w:tr>
      <w:tr w:rsidR="001E5623" w:rsidRPr="00F0798B" w14:paraId="52A991A6"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B25CF4F"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Secretarias Ejecutivas Adjuntas</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48EF753"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7BB2D4A9"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1695495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782C32E6"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w:t>
            </w:r>
          </w:p>
        </w:tc>
      </w:tr>
      <w:tr w:rsidR="001E5623" w:rsidRPr="00F0798B" w14:paraId="552E12FB"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4E455CF4"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Relatores Especiales</w:t>
            </w:r>
          </w:p>
        </w:tc>
        <w:tc>
          <w:tcPr>
            <w:tcW w:w="1359" w:type="dxa"/>
            <w:tcBorders>
              <w:top w:val="single" w:sz="4" w:space="0" w:color="95B3D7"/>
              <w:left w:val="single" w:sz="4" w:space="0" w:color="95B3D7"/>
              <w:bottom w:val="single" w:sz="4" w:space="0" w:color="95B3D7"/>
              <w:right w:val="single" w:sz="4" w:space="0" w:color="95B3D7"/>
            </w:tcBorders>
            <w:noWrap/>
            <w:hideMark/>
          </w:tcPr>
          <w:p w14:paraId="560BD9B3"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1545" w:type="dxa"/>
            <w:tcBorders>
              <w:top w:val="single" w:sz="4" w:space="0" w:color="95B3D7"/>
              <w:left w:val="single" w:sz="4" w:space="0" w:color="95B3D7"/>
              <w:bottom w:val="single" w:sz="4" w:space="0" w:color="95B3D7"/>
              <w:right w:val="single" w:sz="4" w:space="0" w:color="95B3D7"/>
            </w:tcBorders>
            <w:hideMark/>
          </w:tcPr>
          <w:p w14:paraId="1FAB98CC"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2</w:t>
            </w:r>
          </w:p>
        </w:tc>
        <w:tc>
          <w:tcPr>
            <w:tcW w:w="1962" w:type="dxa"/>
            <w:tcBorders>
              <w:top w:val="single" w:sz="4" w:space="0" w:color="95B3D7"/>
              <w:left w:val="single" w:sz="4" w:space="0" w:color="95B3D7"/>
              <w:bottom w:val="single" w:sz="4" w:space="0" w:color="95B3D7"/>
              <w:right w:val="single" w:sz="4" w:space="0" w:color="95B3D7"/>
            </w:tcBorders>
            <w:hideMark/>
          </w:tcPr>
          <w:p w14:paraId="15118BC0"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5D2AFCB8"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2</w:t>
            </w:r>
          </w:p>
        </w:tc>
      </w:tr>
      <w:tr w:rsidR="001E5623" w:rsidRPr="00F0798B" w14:paraId="3FBCF78D"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639B15DA"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Profesionales</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FA230E6"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23</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1C3AC631"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8</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15D20917"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35B36F2E"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31</w:t>
            </w:r>
          </w:p>
        </w:tc>
      </w:tr>
      <w:tr w:rsidR="001E5623" w:rsidRPr="00F0798B" w14:paraId="28ACD97F"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4F71ACC5"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Personal Administrativo</w:t>
            </w:r>
          </w:p>
        </w:tc>
        <w:tc>
          <w:tcPr>
            <w:tcW w:w="1359" w:type="dxa"/>
            <w:tcBorders>
              <w:top w:val="single" w:sz="4" w:space="0" w:color="95B3D7"/>
              <w:left w:val="single" w:sz="4" w:space="0" w:color="95B3D7"/>
              <w:bottom w:val="single" w:sz="4" w:space="0" w:color="95B3D7"/>
              <w:right w:val="single" w:sz="4" w:space="0" w:color="95B3D7"/>
            </w:tcBorders>
            <w:noWrap/>
            <w:hideMark/>
          </w:tcPr>
          <w:p w14:paraId="56FDE585"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13</w:t>
            </w:r>
          </w:p>
        </w:tc>
        <w:tc>
          <w:tcPr>
            <w:tcW w:w="1545" w:type="dxa"/>
            <w:tcBorders>
              <w:top w:val="single" w:sz="4" w:space="0" w:color="95B3D7"/>
              <w:left w:val="single" w:sz="4" w:space="0" w:color="95B3D7"/>
              <w:bottom w:val="single" w:sz="4" w:space="0" w:color="95B3D7"/>
              <w:right w:val="single" w:sz="4" w:space="0" w:color="95B3D7"/>
            </w:tcBorders>
            <w:hideMark/>
          </w:tcPr>
          <w:p w14:paraId="655B04FE"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w:t>
            </w:r>
          </w:p>
        </w:tc>
        <w:tc>
          <w:tcPr>
            <w:tcW w:w="1962" w:type="dxa"/>
            <w:tcBorders>
              <w:top w:val="single" w:sz="4" w:space="0" w:color="95B3D7"/>
              <w:left w:val="single" w:sz="4" w:space="0" w:color="95B3D7"/>
              <w:bottom w:val="single" w:sz="4" w:space="0" w:color="95B3D7"/>
              <w:right w:val="single" w:sz="4" w:space="0" w:color="95B3D7"/>
            </w:tcBorders>
            <w:hideMark/>
          </w:tcPr>
          <w:p w14:paraId="6FDB70C4"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50821001"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14</w:t>
            </w:r>
          </w:p>
        </w:tc>
      </w:tr>
      <w:tr w:rsidR="001E5623" w:rsidRPr="00F0798B" w14:paraId="46EEB07A"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A209C88" w14:textId="77777777" w:rsidR="001E5623" w:rsidRPr="00F0798B" w:rsidRDefault="001E5623" w:rsidP="001E5623">
            <w:pP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Subtotal Personal</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021B425"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38</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4808C5C2"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11</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139786E9"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371F4D8B"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49</w:t>
            </w:r>
          </w:p>
        </w:tc>
      </w:tr>
      <w:tr w:rsidR="001E5623" w:rsidRPr="00F0798B" w14:paraId="20A8D27D" w14:textId="77777777" w:rsidTr="001E5623">
        <w:trPr>
          <w:trHeight w:hRule="exact" w:val="550"/>
        </w:trPr>
        <w:tc>
          <w:tcPr>
            <w:tcW w:w="2453" w:type="dxa"/>
            <w:tcBorders>
              <w:top w:val="single" w:sz="4" w:space="0" w:color="95B3D7"/>
              <w:left w:val="single" w:sz="4" w:space="0" w:color="95B3D7"/>
              <w:bottom w:val="single" w:sz="4" w:space="0" w:color="95B3D7"/>
              <w:right w:val="single" w:sz="4" w:space="0" w:color="95B3D7"/>
            </w:tcBorders>
            <w:noWrap/>
            <w:hideMark/>
          </w:tcPr>
          <w:p w14:paraId="4DF51023"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Contratos por Resultado (CPRS)</w:t>
            </w:r>
          </w:p>
        </w:tc>
        <w:tc>
          <w:tcPr>
            <w:tcW w:w="1359" w:type="dxa"/>
            <w:tcBorders>
              <w:top w:val="single" w:sz="4" w:space="0" w:color="95B3D7"/>
              <w:left w:val="single" w:sz="4" w:space="0" w:color="95B3D7"/>
              <w:bottom w:val="single" w:sz="4" w:space="0" w:color="95B3D7"/>
              <w:right w:val="single" w:sz="4" w:space="0" w:color="95B3D7"/>
            </w:tcBorders>
            <w:noWrap/>
            <w:hideMark/>
          </w:tcPr>
          <w:p w14:paraId="4D78E40F"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12</w:t>
            </w:r>
          </w:p>
        </w:tc>
        <w:tc>
          <w:tcPr>
            <w:tcW w:w="1545" w:type="dxa"/>
            <w:tcBorders>
              <w:top w:val="single" w:sz="4" w:space="0" w:color="95B3D7"/>
              <w:left w:val="single" w:sz="4" w:space="0" w:color="95B3D7"/>
              <w:bottom w:val="single" w:sz="4" w:space="0" w:color="95B3D7"/>
              <w:right w:val="single" w:sz="4" w:space="0" w:color="95B3D7"/>
            </w:tcBorders>
            <w:hideMark/>
          </w:tcPr>
          <w:p w14:paraId="31D1E905"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48</w:t>
            </w:r>
          </w:p>
        </w:tc>
        <w:tc>
          <w:tcPr>
            <w:tcW w:w="1962" w:type="dxa"/>
            <w:tcBorders>
              <w:top w:val="single" w:sz="4" w:space="0" w:color="95B3D7"/>
              <w:left w:val="single" w:sz="4" w:space="0" w:color="95B3D7"/>
              <w:bottom w:val="single" w:sz="4" w:space="0" w:color="95B3D7"/>
              <w:right w:val="single" w:sz="4" w:space="0" w:color="95B3D7"/>
            </w:tcBorders>
            <w:hideMark/>
          </w:tcPr>
          <w:p w14:paraId="5CE528E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hideMark/>
          </w:tcPr>
          <w:p w14:paraId="5E5FEA35"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60</w:t>
            </w:r>
          </w:p>
        </w:tc>
      </w:tr>
      <w:tr w:rsidR="001E5623" w:rsidRPr="00F0798B" w14:paraId="4E437A95"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79FDA15"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Personal Asociado</w:t>
            </w:r>
          </w:p>
        </w:tc>
        <w:tc>
          <w:tcPr>
            <w:tcW w:w="1359"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1A7E14D9"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1545" w:type="dxa"/>
            <w:tcBorders>
              <w:top w:val="single" w:sz="4" w:space="0" w:color="95B3D7"/>
              <w:left w:val="single" w:sz="4" w:space="0" w:color="95B3D7"/>
              <w:bottom w:val="single" w:sz="4" w:space="0" w:color="95B3D7"/>
              <w:right w:val="single" w:sz="4" w:space="0" w:color="95B3D7"/>
            </w:tcBorders>
            <w:shd w:val="clear" w:color="auto" w:fill="DBE5F1"/>
            <w:hideMark/>
          </w:tcPr>
          <w:p w14:paraId="71F28BAA"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2</w:t>
            </w:r>
          </w:p>
        </w:tc>
        <w:tc>
          <w:tcPr>
            <w:tcW w:w="1962" w:type="dxa"/>
            <w:tcBorders>
              <w:top w:val="single" w:sz="4" w:space="0" w:color="95B3D7"/>
              <w:left w:val="single" w:sz="4" w:space="0" w:color="95B3D7"/>
              <w:bottom w:val="single" w:sz="4" w:space="0" w:color="95B3D7"/>
              <w:right w:val="single" w:sz="4" w:space="0" w:color="95B3D7"/>
            </w:tcBorders>
            <w:shd w:val="clear" w:color="auto" w:fill="DBE5F1"/>
            <w:hideMark/>
          </w:tcPr>
          <w:p w14:paraId="00E4F9D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2</w:t>
            </w:r>
          </w:p>
        </w:tc>
        <w:tc>
          <w:tcPr>
            <w:tcW w:w="2756" w:type="dxa"/>
            <w:tcBorders>
              <w:top w:val="single" w:sz="4" w:space="0" w:color="95B3D7"/>
              <w:left w:val="single" w:sz="4" w:space="0" w:color="95B3D7"/>
              <w:bottom w:val="single" w:sz="4" w:space="0" w:color="95B3D7"/>
              <w:right w:val="single" w:sz="4" w:space="0" w:color="95B3D7"/>
            </w:tcBorders>
            <w:shd w:val="clear" w:color="auto" w:fill="DBE5F1"/>
            <w:hideMark/>
          </w:tcPr>
          <w:p w14:paraId="6B52458F"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4</w:t>
            </w:r>
          </w:p>
        </w:tc>
      </w:tr>
      <w:tr w:rsidR="001E5623" w:rsidRPr="00F0798B" w14:paraId="72D6031D"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0DC28045"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Helvetica" w:hAnsi="Cambria" w:cs="Calibri Light"/>
                <w:bCs/>
                <w:sz w:val="20"/>
                <w:szCs w:val="20"/>
                <w:lang w:val="es-ES_tradnl"/>
              </w:rPr>
              <w:t>Becario/as</w:t>
            </w:r>
          </w:p>
        </w:tc>
        <w:tc>
          <w:tcPr>
            <w:tcW w:w="1359" w:type="dxa"/>
            <w:tcBorders>
              <w:top w:val="single" w:sz="4" w:space="0" w:color="95B3D7"/>
              <w:left w:val="single" w:sz="4" w:space="0" w:color="95B3D7"/>
              <w:bottom w:val="single" w:sz="4" w:space="0" w:color="95B3D7"/>
              <w:right w:val="single" w:sz="4" w:space="0" w:color="95B3D7"/>
            </w:tcBorders>
            <w:noWrap/>
            <w:hideMark/>
          </w:tcPr>
          <w:p w14:paraId="79BF9E3F"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1545" w:type="dxa"/>
            <w:tcBorders>
              <w:top w:val="single" w:sz="4" w:space="0" w:color="95B3D7"/>
              <w:left w:val="single" w:sz="4" w:space="0" w:color="95B3D7"/>
              <w:bottom w:val="single" w:sz="4" w:space="0" w:color="95B3D7"/>
              <w:right w:val="single" w:sz="4" w:space="0" w:color="95B3D7"/>
            </w:tcBorders>
            <w:hideMark/>
          </w:tcPr>
          <w:p w14:paraId="4726C628"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4</w:t>
            </w:r>
          </w:p>
        </w:tc>
        <w:tc>
          <w:tcPr>
            <w:tcW w:w="1962" w:type="dxa"/>
            <w:tcBorders>
              <w:top w:val="single" w:sz="4" w:space="0" w:color="95B3D7"/>
              <w:left w:val="single" w:sz="4" w:space="0" w:color="95B3D7"/>
              <w:bottom w:val="single" w:sz="4" w:space="0" w:color="95B3D7"/>
              <w:right w:val="single" w:sz="4" w:space="0" w:color="95B3D7"/>
            </w:tcBorders>
            <w:hideMark/>
          </w:tcPr>
          <w:p w14:paraId="358CBC55"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6</w:t>
            </w:r>
          </w:p>
        </w:tc>
        <w:tc>
          <w:tcPr>
            <w:tcW w:w="2756" w:type="dxa"/>
            <w:tcBorders>
              <w:top w:val="single" w:sz="4" w:space="0" w:color="95B3D7"/>
              <w:left w:val="single" w:sz="4" w:space="0" w:color="95B3D7"/>
              <w:bottom w:val="single" w:sz="4" w:space="0" w:color="95B3D7"/>
              <w:right w:val="single" w:sz="4" w:space="0" w:color="95B3D7"/>
            </w:tcBorders>
            <w:hideMark/>
          </w:tcPr>
          <w:p w14:paraId="7321CD83"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10</w:t>
            </w:r>
          </w:p>
        </w:tc>
      </w:tr>
      <w:tr w:rsidR="001E5623" w:rsidRPr="00F0798B" w14:paraId="69617F89" w14:textId="77777777" w:rsidTr="001E5623">
        <w:trPr>
          <w:trHeight w:hRule="exact" w:val="288"/>
        </w:trPr>
        <w:tc>
          <w:tcPr>
            <w:tcW w:w="2453" w:type="dxa"/>
            <w:tcBorders>
              <w:top w:val="single" w:sz="4" w:space="0" w:color="95B3D7"/>
              <w:left w:val="single" w:sz="4" w:space="0" w:color="95B3D7"/>
              <w:bottom w:val="single" w:sz="4" w:space="0" w:color="95B3D7"/>
              <w:right w:val="single" w:sz="4" w:space="0" w:color="95B3D7"/>
            </w:tcBorders>
            <w:noWrap/>
            <w:hideMark/>
          </w:tcPr>
          <w:p w14:paraId="1742585D" w14:textId="77777777" w:rsidR="001E5623" w:rsidRPr="00F0798B" w:rsidRDefault="001E5623" w:rsidP="001E5623">
            <w:pP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Total</w:t>
            </w:r>
          </w:p>
        </w:tc>
        <w:tc>
          <w:tcPr>
            <w:tcW w:w="1359" w:type="dxa"/>
            <w:tcBorders>
              <w:top w:val="single" w:sz="4" w:space="0" w:color="95B3D7"/>
              <w:left w:val="single" w:sz="4" w:space="0" w:color="95B3D7"/>
              <w:bottom w:val="single" w:sz="4" w:space="0" w:color="95B3D7"/>
              <w:right w:val="single" w:sz="4" w:space="0" w:color="95B3D7"/>
            </w:tcBorders>
            <w:noWrap/>
            <w:hideMark/>
          </w:tcPr>
          <w:p w14:paraId="67449FC1"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50</w:t>
            </w:r>
          </w:p>
        </w:tc>
        <w:tc>
          <w:tcPr>
            <w:tcW w:w="1545" w:type="dxa"/>
            <w:tcBorders>
              <w:top w:val="single" w:sz="4" w:space="0" w:color="95B3D7"/>
              <w:left w:val="single" w:sz="4" w:space="0" w:color="95B3D7"/>
              <w:bottom w:val="single" w:sz="4" w:space="0" w:color="95B3D7"/>
              <w:right w:val="single" w:sz="4" w:space="0" w:color="95B3D7"/>
            </w:tcBorders>
            <w:hideMark/>
          </w:tcPr>
          <w:p w14:paraId="4EB1A340"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65</w:t>
            </w:r>
          </w:p>
        </w:tc>
        <w:tc>
          <w:tcPr>
            <w:tcW w:w="1962" w:type="dxa"/>
            <w:tcBorders>
              <w:top w:val="single" w:sz="4" w:space="0" w:color="95B3D7"/>
              <w:left w:val="single" w:sz="4" w:space="0" w:color="95B3D7"/>
              <w:bottom w:val="single" w:sz="4" w:space="0" w:color="95B3D7"/>
              <w:right w:val="single" w:sz="4" w:space="0" w:color="95B3D7"/>
            </w:tcBorders>
            <w:hideMark/>
          </w:tcPr>
          <w:p w14:paraId="0FD0BCEC"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41</w:t>
            </w:r>
          </w:p>
        </w:tc>
        <w:tc>
          <w:tcPr>
            <w:tcW w:w="2756" w:type="dxa"/>
            <w:tcBorders>
              <w:top w:val="single" w:sz="4" w:space="0" w:color="95B3D7"/>
              <w:left w:val="single" w:sz="4" w:space="0" w:color="95B3D7"/>
              <w:bottom w:val="single" w:sz="4" w:space="0" w:color="95B3D7"/>
              <w:right w:val="single" w:sz="4" w:space="0" w:color="95B3D7"/>
            </w:tcBorders>
            <w:hideMark/>
          </w:tcPr>
          <w:p w14:paraId="55EC6813"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123</w:t>
            </w:r>
          </w:p>
        </w:tc>
      </w:tr>
    </w:tbl>
    <w:p w14:paraId="5C66946B" w14:textId="77777777" w:rsidR="001E5623" w:rsidRPr="00F0798B" w:rsidRDefault="001E5623" w:rsidP="001E5623">
      <w:pPr>
        <w:pStyle w:val="Default"/>
        <w:jc w:val="center"/>
        <w:rPr>
          <w:rFonts w:ascii="Cambria" w:eastAsia="Calibri" w:hAnsi="Cambria"/>
          <w:b/>
          <w:sz w:val="20"/>
          <w:szCs w:val="20"/>
          <w:lang w:val="es-ES_tradnl"/>
        </w:rPr>
      </w:pPr>
    </w:p>
    <w:p w14:paraId="7EB16F03" w14:textId="06A9D421" w:rsidR="00FE4281" w:rsidRPr="00F0798B" w:rsidRDefault="00FE4281" w:rsidP="005F60E5">
      <w:pPr>
        <w:pStyle w:val="paragraphs"/>
        <w:numPr>
          <w:ilvl w:val="0"/>
          <w:numId w:val="7"/>
        </w:numPr>
        <w:ind w:left="0" w:firstLine="720"/>
      </w:pPr>
      <w:r w:rsidRPr="00F0798B">
        <w:t>En adición al personal mencionado en la tabla anterior, la CIDH también contó con el siguiente personal para estudiar la situación de derechos humanos en Nicaragua a través del Grupo Interdisciplinario de Expertos Independientes (GIEI) y del Mecanismo Especial de Seguimiento para Nicaragua (MESENI). La siguiente tabla muestra la composición de este grupo especial.</w:t>
      </w:r>
    </w:p>
    <w:p w14:paraId="72A71E49" w14:textId="77777777" w:rsidR="001E5623" w:rsidRPr="00F0798B" w:rsidRDefault="001E5623" w:rsidP="001E5623">
      <w:pPr>
        <w:pStyle w:val="Default"/>
        <w:jc w:val="center"/>
        <w:rPr>
          <w:rFonts w:ascii="Cambria" w:hAnsi="Cambria"/>
          <w:b/>
          <w:sz w:val="20"/>
          <w:szCs w:val="20"/>
          <w:lang w:val="es-ES_tradnl"/>
        </w:rPr>
      </w:pPr>
    </w:p>
    <w:tbl>
      <w:tblPr>
        <w:tblW w:w="9960" w:type="dxa"/>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2428"/>
        <w:gridCol w:w="1273"/>
        <w:gridCol w:w="1544"/>
        <w:gridCol w:w="1961"/>
        <w:gridCol w:w="2754"/>
      </w:tblGrid>
      <w:tr w:rsidR="001E5623" w:rsidRPr="00F0798B" w14:paraId="23D6093F" w14:textId="77777777" w:rsidTr="001E5623">
        <w:trPr>
          <w:trHeight w:hRule="exact" w:val="613"/>
        </w:trPr>
        <w:tc>
          <w:tcPr>
            <w:tcW w:w="2430" w:type="dxa"/>
            <w:tcBorders>
              <w:top w:val="single" w:sz="4" w:space="0" w:color="4F81BD"/>
              <w:left w:val="single" w:sz="4" w:space="0" w:color="4F81BD"/>
              <w:bottom w:val="single" w:sz="4" w:space="0" w:color="4F81BD"/>
              <w:right w:val="nil"/>
            </w:tcBorders>
            <w:shd w:val="clear" w:color="auto" w:fill="B8CCE4"/>
            <w:noWrap/>
            <w:hideMark/>
          </w:tcPr>
          <w:p w14:paraId="1041CD6F" w14:textId="77777777" w:rsidR="001E5623" w:rsidRPr="00F0798B" w:rsidRDefault="001E5623" w:rsidP="001E5623">
            <w:pPr>
              <w:jc w:val="cente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Categoría</w:t>
            </w:r>
          </w:p>
        </w:tc>
        <w:tc>
          <w:tcPr>
            <w:tcW w:w="1274" w:type="dxa"/>
            <w:tcBorders>
              <w:top w:val="single" w:sz="4" w:space="0" w:color="4F81BD"/>
              <w:left w:val="nil"/>
              <w:bottom w:val="single" w:sz="4" w:space="0" w:color="4F81BD"/>
              <w:right w:val="nil"/>
            </w:tcBorders>
            <w:shd w:val="clear" w:color="auto" w:fill="B8CCE4"/>
            <w:noWrap/>
            <w:hideMark/>
          </w:tcPr>
          <w:p w14:paraId="4772D8FD" w14:textId="77777777" w:rsidR="001E5623" w:rsidRPr="00F0798B" w:rsidRDefault="001E5623" w:rsidP="001E5623">
            <w:pPr>
              <w:jc w:val="cente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Fondo Regular</w:t>
            </w:r>
          </w:p>
        </w:tc>
        <w:tc>
          <w:tcPr>
            <w:tcW w:w="1545" w:type="dxa"/>
            <w:tcBorders>
              <w:top w:val="single" w:sz="4" w:space="0" w:color="4F81BD"/>
              <w:left w:val="nil"/>
              <w:bottom w:val="single" w:sz="4" w:space="0" w:color="4F81BD"/>
              <w:right w:val="nil"/>
            </w:tcBorders>
            <w:shd w:val="clear" w:color="auto" w:fill="B8CCE4"/>
            <w:hideMark/>
          </w:tcPr>
          <w:p w14:paraId="1BFB4E8F" w14:textId="77777777" w:rsidR="001E5623" w:rsidRPr="00F0798B" w:rsidRDefault="001E5623" w:rsidP="001E5623">
            <w:pPr>
              <w:jc w:val="cente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Fondos Específicos</w:t>
            </w:r>
          </w:p>
        </w:tc>
        <w:tc>
          <w:tcPr>
            <w:tcW w:w="1962" w:type="dxa"/>
            <w:tcBorders>
              <w:top w:val="single" w:sz="4" w:space="0" w:color="4F81BD"/>
              <w:left w:val="nil"/>
              <w:bottom w:val="single" w:sz="4" w:space="0" w:color="4F81BD"/>
              <w:right w:val="nil"/>
            </w:tcBorders>
            <w:shd w:val="clear" w:color="auto" w:fill="B8CCE4"/>
            <w:hideMark/>
          </w:tcPr>
          <w:p w14:paraId="130185F7" w14:textId="77777777" w:rsidR="001E5623" w:rsidRPr="00F0798B" w:rsidRDefault="001E5623" w:rsidP="001E5623">
            <w:pPr>
              <w:jc w:val="cente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Sin Costo para la CIDH</w:t>
            </w:r>
          </w:p>
        </w:tc>
        <w:tc>
          <w:tcPr>
            <w:tcW w:w="2756" w:type="dxa"/>
            <w:tcBorders>
              <w:top w:val="single" w:sz="4" w:space="0" w:color="4F81BD"/>
              <w:left w:val="nil"/>
              <w:bottom w:val="single" w:sz="4" w:space="0" w:color="4F81BD"/>
              <w:right w:val="single" w:sz="4" w:space="0" w:color="4F81BD"/>
            </w:tcBorders>
            <w:shd w:val="clear" w:color="auto" w:fill="B8CCE4"/>
            <w:hideMark/>
          </w:tcPr>
          <w:p w14:paraId="3C7D092E" w14:textId="77777777" w:rsidR="001E5623" w:rsidRPr="00F0798B" w:rsidRDefault="001E5623" w:rsidP="001E5623">
            <w:pPr>
              <w:jc w:val="center"/>
              <w:rPr>
                <w:rFonts w:ascii="Cambria" w:eastAsia="Helvetica" w:hAnsi="Cambria" w:cs="Calibri Light"/>
                <w:b/>
                <w:bCs/>
                <w:sz w:val="20"/>
                <w:szCs w:val="20"/>
                <w:lang w:val="es-ES_tradnl"/>
              </w:rPr>
            </w:pPr>
            <w:r w:rsidRPr="00F0798B">
              <w:rPr>
                <w:rFonts w:ascii="Cambria" w:eastAsia="Helvetica" w:hAnsi="Cambria" w:cs="Calibri Light"/>
                <w:b/>
                <w:bCs/>
                <w:sz w:val="20"/>
                <w:szCs w:val="20"/>
                <w:lang w:val="es-ES_tradnl"/>
              </w:rPr>
              <w:t>Total</w:t>
            </w:r>
          </w:p>
        </w:tc>
      </w:tr>
      <w:tr w:rsidR="001E5623" w:rsidRPr="00F0798B" w14:paraId="4D05FCC1" w14:textId="77777777" w:rsidTr="001E5623">
        <w:trPr>
          <w:trHeight w:hRule="exact" w:val="288"/>
        </w:trPr>
        <w:tc>
          <w:tcPr>
            <w:tcW w:w="2430" w:type="dxa"/>
            <w:tcBorders>
              <w:top w:val="single" w:sz="4" w:space="0" w:color="95B3D7"/>
              <w:left w:val="single" w:sz="4" w:space="0" w:color="95B3D7"/>
              <w:bottom w:val="single" w:sz="4" w:space="0" w:color="95B3D7"/>
              <w:right w:val="single" w:sz="4" w:space="0" w:color="95B3D7"/>
            </w:tcBorders>
            <w:noWrap/>
            <w:hideMark/>
          </w:tcPr>
          <w:p w14:paraId="652D8010"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Times New Roman" w:hAnsi="Cambria" w:cs="Calibri Light"/>
                <w:bCs/>
                <w:color w:val="000000"/>
                <w:sz w:val="20"/>
                <w:szCs w:val="20"/>
                <w:lang w:val="es-ES_tradnl" w:eastAsia="es-ES"/>
              </w:rPr>
              <w:t>GIEI Expertos</w:t>
            </w:r>
          </w:p>
        </w:tc>
        <w:tc>
          <w:tcPr>
            <w:tcW w:w="1274" w:type="dxa"/>
            <w:tcBorders>
              <w:top w:val="single" w:sz="4" w:space="0" w:color="95B3D7"/>
              <w:left w:val="single" w:sz="4" w:space="0" w:color="95B3D7"/>
              <w:bottom w:val="single" w:sz="4" w:space="0" w:color="95B3D7"/>
              <w:right w:val="single" w:sz="4" w:space="0" w:color="95B3D7"/>
            </w:tcBorders>
            <w:noWrap/>
            <w:vAlign w:val="bottom"/>
            <w:hideMark/>
          </w:tcPr>
          <w:p w14:paraId="1D96DF46"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1545" w:type="dxa"/>
            <w:tcBorders>
              <w:top w:val="single" w:sz="4" w:space="0" w:color="95B3D7"/>
              <w:left w:val="single" w:sz="4" w:space="0" w:color="95B3D7"/>
              <w:bottom w:val="single" w:sz="4" w:space="0" w:color="95B3D7"/>
              <w:right w:val="single" w:sz="4" w:space="0" w:color="95B3D7"/>
            </w:tcBorders>
            <w:vAlign w:val="bottom"/>
            <w:hideMark/>
          </w:tcPr>
          <w:p w14:paraId="400044C4"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4</w:t>
            </w:r>
          </w:p>
        </w:tc>
        <w:tc>
          <w:tcPr>
            <w:tcW w:w="1962" w:type="dxa"/>
            <w:tcBorders>
              <w:top w:val="single" w:sz="4" w:space="0" w:color="95B3D7"/>
              <w:left w:val="single" w:sz="4" w:space="0" w:color="95B3D7"/>
              <w:bottom w:val="single" w:sz="4" w:space="0" w:color="95B3D7"/>
              <w:right w:val="single" w:sz="4" w:space="0" w:color="95B3D7"/>
            </w:tcBorders>
            <w:vAlign w:val="bottom"/>
            <w:hideMark/>
          </w:tcPr>
          <w:p w14:paraId="655ADFDA"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vAlign w:val="bottom"/>
            <w:hideMark/>
          </w:tcPr>
          <w:p w14:paraId="6A4AA76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4</w:t>
            </w:r>
          </w:p>
        </w:tc>
      </w:tr>
      <w:tr w:rsidR="001E5623" w:rsidRPr="00F0798B" w14:paraId="657C7420" w14:textId="77777777" w:rsidTr="001E5623">
        <w:trPr>
          <w:trHeight w:hRule="exact" w:val="577"/>
        </w:trPr>
        <w:tc>
          <w:tcPr>
            <w:tcW w:w="243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79BE5120"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Times New Roman" w:hAnsi="Cambria" w:cs="Calibri Light"/>
                <w:bCs/>
                <w:color w:val="000000"/>
                <w:sz w:val="20"/>
                <w:szCs w:val="20"/>
                <w:lang w:val="es-ES_tradnl" w:eastAsia="es-ES"/>
              </w:rPr>
              <w:t>GIEI Otros Contratos por Resultado</w:t>
            </w:r>
          </w:p>
        </w:tc>
        <w:tc>
          <w:tcPr>
            <w:tcW w:w="1274" w:type="dxa"/>
            <w:tcBorders>
              <w:top w:val="single" w:sz="4" w:space="0" w:color="95B3D7"/>
              <w:left w:val="single" w:sz="4" w:space="0" w:color="95B3D7"/>
              <w:bottom w:val="single" w:sz="4" w:space="0" w:color="95B3D7"/>
              <w:right w:val="single" w:sz="4" w:space="0" w:color="95B3D7"/>
            </w:tcBorders>
            <w:shd w:val="clear" w:color="auto" w:fill="DBE5F1"/>
            <w:noWrap/>
            <w:vAlign w:val="bottom"/>
            <w:hideMark/>
          </w:tcPr>
          <w:p w14:paraId="153B30B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2</w:t>
            </w:r>
          </w:p>
        </w:tc>
        <w:tc>
          <w:tcPr>
            <w:tcW w:w="154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AC97CBB"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9</w:t>
            </w:r>
          </w:p>
        </w:tc>
        <w:tc>
          <w:tcPr>
            <w:tcW w:w="196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3EC2E302"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558B8BBB"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11</w:t>
            </w:r>
          </w:p>
        </w:tc>
      </w:tr>
      <w:tr w:rsidR="001E5623" w:rsidRPr="00F0798B" w14:paraId="3389B602" w14:textId="77777777" w:rsidTr="001E5623">
        <w:trPr>
          <w:trHeight w:hRule="exact" w:val="288"/>
        </w:trPr>
        <w:tc>
          <w:tcPr>
            <w:tcW w:w="2430" w:type="dxa"/>
            <w:tcBorders>
              <w:top w:val="single" w:sz="4" w:space="0" w:color="95B3D7"/>
              <w:left w:val="single" w:sz="4" w:space="0" w:color="95B3D7"/>
              <w:bottom w:val="single" w:sz="4" w:space="0" w:color="95B3D7"/>
              <w:right w:val="single" w:sz="4" w:space="0" w:color="95B3D7"/>
            </w:tcBorders>
            <w:noWrap/>
            <w:hideMark/>
          </w:tcPr>
          <w:p w14:paraId="727FDEBE" w14:textId="77777777" w:rsidR="001E5623" w:rsidRPr="00F0798B" w:rsidRDefault="001E5623" w:rsidP="001E5623">
            <w:pPr>
              <w:rPr>
                <w:rFonts w:ascii="Cambria" w:eastAsia="Helvetica" w:hAnsi="Cambria" w:cs="Calibri Light"/>
                <w:bCs/>
                <w:sz w:val="20"/>
                <w:szCs w:val="20"/>
                <w:lang w:val="es-ES_tradnl"/>
              </w:rPr>
            </w:pPr>
            <w:r w:rsidRPr="00F0798B">
              <w:rPr>
                <w:rFonts w:ascii="Cambria" w:eastAsia="Times New Roman" w:hAnsi="Cambria" w:cs="Calibri Light"/>
                <w:bCs/>
                <w:color w:val="000000"/>
                <w:sz w:val="20"/>
                <w:szCs w:val="20"/>
                <w:lang w:val="es-ES_tradnl" w:eastAsia="es-ES"/>
              </w:rPr>
              <w:t>MESENI CPR fuera de sede Nicaragua</w:t>
            </w:r>
          </w:p>
        </w:tc>
        <w:tc>
          <w:tcPr>
            <w:tcW w:w="1274" w:type="dxa"/>
            <w:tcBorders>
              <w:top w:val="single" w:sz="4" w:space="0" w:color="95B3D7"/>
              <w:left w:val="single" w:sz="4" w:space="0" w:color="95B3D7"/>
              <w:bottom w:val="single" w:sz="4" w:space="0" w:color="95B3D7"/>
              <w:right w:val="single" w:sz="4" w:space="0" w:color="95B3D7"/>
            </w:tcBorders>
            <w:noWrap/>
            <w:vAlign w:val="bottom"/>
            <w:hideMark/>
          </w:tcPr>
          <w:p w14:paraId="2E91072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 0</w:t>
            </w:r>
          </w:p>
        </w:tc>
        <w:tc>
          <w:tcPr>
            <w:tcW w:w="1545" w:type="dxa"/>
            <w:tcBorders>
              <w:top w:val="single" w:sz="4" w:space="0" w:color="95B3D7"/>
              <w:left w:val="single" w:sz="4" w:space="0" w:color="95B3D7"/>
              <w:bottom w:val="single" w:sz="4" w:space="0" w:color="95B3D7"/>
              <w:right w:val="single" w:sz="4" w:space="0" w:color="95B3D7"/>
            </w:tcBorders>
            <w:vAlign w:val="bottom"/>
            <w:hideMark/>
          </w:tcPr>
          <w:p w14:paraId="0CCD0F69"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5</w:t>
            </w:r>
          </w:p>
        </w:tc>
        <w:tc>
          <w:tcPr>
            <w:tcW w:w="1962" w:type="dxa"/>
            <w:tcBorders>
              <w:top w:val="single" w:sz="4" w:space="0" w:color="95B3D7"/>
              <w:left w:val="single" w:sz="4" w:space="0" w:color="95B3D7"/>
              <w:bottom w:val="single" w:sz="4" w:space="0" w:color="95B3D7"/>
              <w:right w:val="single" w:sz="4" w:space="0" w:color="95B3D7"/>
            </w:tcBorders>
            <w:vAlign w:val="bottom"/>
            <w:hideMark/>
          </w:tcPr>
          <w:p w14:paraId="31D4DC41"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vAlign w:val="bottom"/>
            <w:hideMark/>
          </w:tcPr>
          <w:p w14:paraId="4E126A6D" w14:textId="77777777" w:rsidR="001E5623" w:rsidRPr="00F0798B" w:rsidRDefault="001E5623" w:rsidP="001E5623">
            <w:pPr>
              <w:jc w:val="center"/>
              <w:rPr>
                <w:rFonts w:ascii="Cambria" w:eastAsia="Times New Roman" w:hAnsi="Cambria" w:cs="Calibri Light"/>
                <w:bCs/>
                <w:color w:val="000000"/>
                <w:sz w:val="20"/>
                <w:szCs w:val="20"/>
                <w:lang w:val="es-ES_tradnl" w:eastAsia="es-ES"/>
              </w:rPr>
            </w:pPr>
            <w:r w:rsidRPr="00F0798B">
              <w:rPr>
                <w:rFonts w:ascii="Cambria" w:eastAsia="Times New Roman" w:hAnsi="Cambria" w:cs="Calibri Light"/>
                <w:bCs/>
                <w:color w:val="000000"/>
                <w:sz w:val="20"/>
                <w:szCs w:val="20"/>
                <w:lang w:val="es-ES_tradnl" w:eastAsia="es-ES"/>
              </w:rPr>
              <w:t>5</w:t>
            </w:r>
          </w:p>
        </w:tc>
      </w:tr>
      <w:tr w:rsidR="001E5623" w:rsidRPr="00F0798B" w14:paraId="5792259B" w14:textId="77777777" w:rsidTr="001E5623">
        <w:trPr>
          <w:trHeight w:hRule="exact" w:val="288"/>
        </w:trPr>
        <w:tc>
          <w:tcPr>
            <w:tcW w:w="243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5183F78" w14:textId="77777777" w:rsidR="001E5623" w:rsidRPr="00F0798B" w:rsidRDefault="001E5623" w:rsidP="001E5623">
            <w:pP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Total</w:t>
            </w:r>
          </w:p>
        </w:tc>
        <w:tc>
          <w:tcPr>
            <w:tcW w:w="1274" w:type="dxa"/>
            <w:tcBorders>
              <w:top w:val="single" w:sz="4" w:space="0" w:color="95B3D7"/>
              <w:left w:val="single" w:sz="4" w:space="0" w:color="95B3D7"/>
              <w:bottom w:val="single" w:sz="4" w:space="0" w:color="95B3D7"/>
              <w:right w:val="single" w:sz="4" w:space="0" w:color="95B3D7"/>
            </w:tcBorders>
            <w:shd w:val="clear" w:color="auto" w:fill="DBE5F1"/>
            <w:noWrap/>
            <w:vAlign w:val="bottom"/>
            <w:hideMark/>
          </w:tcPr>
          <w:p w14:paraId="4E47C924"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2</w:t>
            </w:r>
          </w:p>
        </w:tc>
        <w:tc>
          <w:tcPr>
            <w:tcW w:w="1545"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32FC4F28"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18</w:t>
            </w:r>
          </w:p>
        </w:tc>
        <w:tc>
          <w:tcPr>
            <w:tcW w:w="1962"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14758CA6"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0</w:t>
            </w:r>
          </w:p>
        </w:tc>
        <w:tc>
          <w:tcPr>
            <w:tcW w:w="2756" w:type="dxa"/>
            <w:tcBorders>
              <w:top w:val="single" w:sz="4" w:space="0" w:color="95B3D7"/>
              <w:left w:val="single" w:sz="4" w:space="0" w:color="95B3D7"/>
              <w:bottom w:val="single" w:sz="4" w:space="0" w:color="95B3D7"/>
              <w:right w:val="single" w:sz="4" w:space="0" w:color="95B3D7"/>
            </w:tcBorders>
            <w:shd w:val="clear" w:color="auto" w:fill="DBE5F1"/>
            <w:vAlign w:val="bottom"/>
            <w:hideMark/>
          </w:tcPr>
          <w:p w14:paraId="7CA16AFB" w14:textId="77777777" w:rsidR="001E5623" w:rsidRPr="00F0798B" w:rsidRDefault="001E5623" w:rsidP="001E5623">
            <w:pPr>
              <w:jc w:val="center"/>
              <w:rPr>
                <w:rFonts w:ascii="Cambria" w:eastAsia="Times New Roman" w:hAnsi="Cambria" w:cs="Calibri Light"/>
                <w:b/>
                <w:bCs/>
                <w:color w:val="000000"/>
                <w:sz w:val="20"/>
                <w:szCs w:val="20"/>
                <w:lang w:val="es-ES_tradnl" w:eastAsia="es-ES"/>
              </w:rPr>
            </w:pPr>
            <w:r w:rsidRPr="00F0798B">
              <w:rPr>
                <w:rFonts w:ascii="Cambria" w:eastAsia="Times New Roman" w:hAnsi="Cambria" w:cs="Calibri Light"/>
                <w:b/>
                <w:bCs/>
                <w:color w:val="000000"/>
                <w:sz w:val="20"/>
                <w:szCs w:val="20"/>
                <w:lang w:val="es-ES_tradnl" w:eastAsia="es-ES"/>
              </w:rPr>
              <w:t>20</w:t>
            </w:r>
          </w:p>
        </w:tc>
      </w:tr>
    </w:tbl>
    <w:p w14:paraId="1CB9800E" w14:textId="77777777" w:rsidR="001E5623" w:rsidRPr="00F0798B" w:rsidRDefault="001E5623" w:rsidP="001E5623">
      <w:pPr>
        <w:pStyle w:val="Default"/>
        <w:jc w:val="center"/>
        <w:rPr>
          <w:rFonts w:ascii="Cambria" w:eastAsia="Calibri" w:hAnsi="Cambria"/>
          <w:b/>
          <w:sz w:val="20"/>
          <w:szCs w:val="20"/>
          <w:lang w:val="es-ES_tradnl"/>
        </w:rPr>
      </w:pPr>
    </w:p>
    <w:p w14:paraId="25710526" w14:textId="3286A61F" w:rsidR="001E5623" w:rsidRDefault="001E5623" w:rsidP="005F60E5">
      <w:pPr>
        <w:pStyle w:val="paragraphs"/>
        <w:numPr>
          <w:ilvl w:val="0"/>
          <w:numId w:val="7"/>
        </w:numPr>
        <w:ind w:left="0" w:firstLine="720"/>
      </w:pPr>
      <w:r w:rsidRPr="00F0798B">
        <w:t xml:space="preserve">En términos de representación geográfica y diversidad, los </w:t>
      </w:r>
      <w:r w:rsidR="00FE4281" w:rsidRPr="00F0798B">
        <w:t xml:space="preserve">113 </w:t>
      </w:r>
      <w:r w:rsidRPr="00F0798B">
        <w:t xml:space="preserve">funcionarios/as mencionados </w:t>
      </w:r>
      <w:r w:rsidR="00FE4281" w:rsidRPr="00F0798B">
        <w:t xml:space="preserve">en el párrafo 3 (funcionarios/as, consultores/as y profesionales asociados) </w:t>
      </w:r>
      <w:r w:rsidRPr="00F0798B">
        <w:t xml:space="preserve">provienen de 22 Estados diferentes, 69% de los funcionarios/as son mujeres y 31% son hombres. La siguiente tabla muestra la distribución de personal por nacionalidad y </w:t>
      </w:r>
      <w:r w:rsidR="005A4FF9" w:rsidRPr="00DF13F4">
        <w:t>tipo de vínculo</w:t>
      </w:r>
      <w:r w:rsidRPr="00DF13F4">
        <w:t>.</w:t>
      </w:r>
      <w:r w:rsidRPr="00F0798B">
        <w:t xml:space="preserve"> </w:t>
      </w:r>
    </w:p>
    <w:tbl>
      <w:tblPr>
        <w:tblStyle w:val="LightShading-Accent1"/>
        <w:tblW w:w="7320" w:type="dxa"/>
        <w:jc w:val="center"/>
        <w:tblLook w:val="04A0" w:firstRow="1" w:lastRow="0" w:firstColumn="1" w:lastColumn="0" w:noHBand="0" w:noVBand="1"/>
      </w:tblPr>
      <w:tblGrid>
        <w:gridCol w:w="2600"/>
        <w:gridCol w:w="2460"/>
        <w:gridCol w:w="700"/>
        <w:gridCol w:w="1560"/>
      </w:tblGrid>
      <w:tr w:rsidR="005A4FF9" w:rsidRPr="005A4FF9" w14:paraId="53B328B5" w14:textId="77777777" w:rsidTr="00F67378">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hideMark/>
          </w:tcPr>
          <w:p w14:paraId="720DE471" w14:textId="5F99B064" w:rsidR="005A4FF9" w:rsidRPr="005A4FF9" w:rsidRDefault="005A4FF9" w:rsidP="005A4FF9">
            <w:pPr>
              <w:rPr>
                <w:rFonts w:ascii="Cambria" w:eastAsia="Times New Roman" w:hAnsi="Cambria" w:cs="Arial"/>
                <w:color w:val="auto"/>
                <w:sz w:val="20"/>
                <w:szCs w:val="20"/>
                <w:lang w:val="es-ES" w:eastAsia="es-ES"/>
              </w:rPr>
            </w:pPr>
            <w:r>
              <w:rPr>
                <w:rFonts w:ascii="Cambria" w:eastAsia="Times New Roman" w:hAnsi="Cambria" w:cs="Arial"/>
                <w:color w:val="auto"/>
                <w:sz w:val="20"/>
                <w:szCs w:val="20"/>
                <w:lang w:val="es-ES" w:eastAsia="es-ES"/>
              </w:rPr>
              <w:t>Tipo de vínculo</w:t>
            </w:r>
          </w:p>
        </w:tc>
        <w:tc>
          <w:tcPr>
            <w:tcW w:w="2460" w:type="dxa"/>
            <w:shd w:val="clear" w:color="auto" w:fill="8EAADB" w:themeFill="accent1" w:themeFillTint="99"/>
            <w:noWrap/>
            <w:hideMark/>
          </w:tcPr>
          <w:p w14:paraId="1A01C74D" w14:textId="20D7B2BC" w:rsidR="005A4FF9" w:rsidRPr="005A4FF9" w:rsidRDefault="005A4FF9" w:rsidP="005A4FF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Pr>
                <w:rFonts w:ascii="Cambria" w:eastAsia="Times New Roman" w:hAnsi="Cambria" w:cs="Arial"/>
                <w:color w:val="auto"/>
                <w:sz w:val="20"/>
                <w:szCs w:val="20"/>
                <w:lang w:val="es-ES" w:eastAsia="es-ES"/>
              </w:rPr>
              <w:t>Nacionalidad al ingresar a la OEA</w:t>
            </w:r>
          </w:p>
        </w:tc>
        <w:tc>
          <w:tcPr>
            <w:tcW w:w="700" w:type="dxa"/>
            <w:shd w:val="clear" w:color="auto" w:fill="8EAADB" w:themeFill="accent1" w:themeFillTint="99"/>
            <w:noWrap/>
            <w:hideMark/>
          </w:tcPr>
          <w:p w14:paraId="51479F60" w14:textId="6232F858" w:rsidR="005A4FF9" w:rsidRPr="005A4FF9" w:rsidRDefault="005A4FF9" w:rsidP="005A4FF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p>
        </w:tc>
        <w:tc>
          <w:tcPr>
            <w:tcW w:w="1560" w:type="dxa"/>
            <w:shd w:val="clear" w:color="auto" w:fill="8EAADB" w:themeFill="accent1" w:themeFillTint="99"/>
            <w:noWrap/>
            <w:hideMark/>
          </w:tcPr>
          <w:p w14:paraId="43BA0DE0" w14:textId="3ED2403B" w:rsidR="005A4FF9" w:rsidRPr="005A4FF9" w:rsidRDefault="005A4FF9" w:rsidP="005A4FF9">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Pr>
                <w:rFonts w:ascii="Cambria" w:eastAsia="Times New Roman" w:hAnsi="Cambria" w:cs="Arial"/>
                <w:color w:val="auto"/>
                <w:sz w:val="20"/>
                <w:szCs w:val="20"/>
                <w:lang w:val="es-ES" w:eastAsia="es-ES"/>
              </w:rPr>
              <w:t>Nacionalidad actual</w:t>
            </w:r>
          </w:p>
        </w:tc>
      </w:tr>
      <w:tr w:rsidR="00F67378" w:rsidRPr="005A4FF9" w14:paraId="1429524F"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61F6269" w14:textId="6822D110"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Staff</w:t>
            </w:r>
          </w:p>
        </w:tc>
        <w:tc>
          <w:tcPr>
            <w:tcW w:w="2460" w:type="dxa"/>
            <w:noWrap/>
          </w:tcPr>
          <w:p w14:paraId="6D0F20C5" w14:textId="1ABB453B" w:rsid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Argentina</w:t>
            </w:r>
          </w:p>
        </w:tc>
        <w:tc>
          <w:tcPr>
            <w:tcW w:w="700" w:type="dxa"/>
            <w:noWrap/>
          </w:tcPr>
          <w:p w14:paraId="78692278" w14:textId="1D5BA9EC" w:rsidR="00F67378" w:rsidRPr="005A4FF9"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5</w:t>
            </w:r>
          </w:p>
        </w:tc>
        <w:tc>
          <w:tcPr>
            <w:tcW w:w="1560" w:type="dxa"/>
            <w:noWrap/>
          </w:tcPr>
          <w:p w14:paraId="745C4E00" w14:textId="60929321" w:rsid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w:t>
            </w:r>
          </w:p>
        </w:tc>
      </w:tr>
      <w:tr w:rsidR="00F67378" w:rsidRPr="005A4FF9" w14:paraId="100FC507"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153036D" w14:textId="7223555E"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58B72C49" w14:textId="508EE511" w:rsid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Barbados</w:t>
            </w:r>
          </w:p>
        </w:tc>
        <w:tc>
          <w:tcPr>
            <w:tcW w:w="700" w:type="dxa"/>
            <w:noWrap/>
          </w:tcPr>
          <w:p w14:paraId="062AD57F" w14:textId="14F6A900" w:rsidR="00F67378" w:rsidRPr="005A4FF9"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344D2EF9" w14:textId="55BE2716" w:rsid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4F28B2D3"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7BEE4EF9" w14:textId="7AEE58C5"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005894C1" w14:textId="24D07F58" w:rsid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Bolivia</w:t>
            </w:r>
          </w:p>
        </w:tc>
        <w:tc>
          <w:tcPr>
            <w:tcW w:w="700" w:type="dxa"/>
            <w:noWrap/>
          </w:tcPr>
          <w:p w14:paraId="614F71F9" w14:textId="6DB21D85" w:rsidR="00F67378" w:rsidRPr="005A4FF9"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3FD450B3" w14:textId="65236D40" w:rsid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0</w:t>
            </w:r>
          </w:p>
        </w:tc>
      </w:tr>
      <w:tr w:rsidR="00F67378" w:rsidRPr="005A4FF9" w14:paraId="40DE32A8"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61A585C" w14:textId="1B232CB5"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4BBCAF7E" w14:textId="50D35CB6" w:rsid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Brasil</w:t>
            </w:r>
          </w:p>
        </w:tc>
        <w:tc>
          <w:tcPr>
            <w:tcW w:w="700" w:type="dxa"/>
            <w:noWrap/>
          </w:tcPr>
          <w:p w14:paraId="20A54819" w14:textId="00068D6C" w:rsidR="00F67378" w:rsidRPr="005A4FF9"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w:t>
            </w:r>
          </w:p>
        </w:tc>
        <w:tc>
          <w:tcPr>
            <w:tcW w:w="1560" w:type="dxa"/>
            <w:noWrap/>
          </w:tcPr>
          <w:p w14:paraId="7FCB99F4" w14:textId="166C23BB" w:rsid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3</w:t>
            </w:r>
          </w:p>
        </w:tc>
      </w:tr>
      <w:tr w:rsidR="00F67378" w:rsidRPr="005A4FF9" w14:paraId="7A8318B5"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7C9C3BDA" w14:textId="4DA378F4"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10B125F1" w14:textId="1363FCBB" w:rsid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Chile</w:t>
            </w:r>
          </w:p>
        </w:tc>
        <w:tc>
          <w:tcPr>
            <w:tcW w:w="700" w:type="dxa"/>
            <w:noWrap/>
          </w:tcPr>
          <w:p w14:paraId="770938E2" w14:textId="7DE35C42" w:rsidR="00F67378" w:rsidRPr="005A4FF9"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37D827FE" w14:textId="16575760" w:rsid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4343571D"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70A41904" w14:textId="2FBFBA0B"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6260AF7A" w14:textId="69510C5D" w:rsidR="00F67378" w:rsidRP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Colombia</w:t>
            </w:r>
          </w:p>
        </w:tc>
        <w:tc>
          <w:tcPr>
            <w:tcW w:w="700" w:type="dxa"/>
            <w:noWrap/>
          </w:tcPr>
          <w:p w14:paraId="3238D348" w14:textId="655439DA" w:rsidR="00F67378" w:rsidRP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8</w:t>
            </w:r>
          </w:p>
        </w:tc>
        <w:tc>
          <w:tcPr>
            <w:tcW w:w="1560" w:type="dxa"/>
            <w:noWrap/>
          </w:tcPr>
          <w:p w14:paraId="490E4394" w14:textId="6B3C59E0" w:rsidR="00F67378" w:rsidRP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7</w:t>
            </w:r>
          </w:p>
        </w:tc>
      </w:tr>
      <w:tr w:rsidR="00F67378" w:rsidRPr="005A4FF9" w14:paraId="10106FEF"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7C167B73" w14:textId="0550E5FB"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058AE956" w14:textId="0B938E8D" w:rsidR="00F67378" w:rsidRP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Costa Rica</w:t>
            </w:r>
          </w:p>
        </w:tc>
        <w:tc>
          <w:tcPr>
            <w:tcW w:w="700" w:type="dxa"/>
            <w:noWrap/>
          </w:tcPr>
          <w:p w14:paraId="3D2633C7" w14:textId="36D06BD3" w:rsidR="00F67378" w:rsidRP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tcPr>
          <w:p w14:paraId="7D9D2138" w14:textId="74C544C2" w:rsidR="00F67378" w:rsidRP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F67378" w:rsidRPr="005A4FF9" w14:paraId="4200CB66"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2D00918E" w14:textId="77777777" w:rsidR="00F67378" w:rsidRPr="005A4FF9" w:rsidRDefault="00F67378" w:rsidP="005A4FF9">
            <w:pPr>
              <w:rPr>
                <w:rFonts w:ascii="Cambria" w:eastAsia="Times New Roman" w:hAnsi="Cambria" w:cs="Arial"/>
                <w:sz w:val="20"/>
                <w:szCs w:val="20"/>
                <w:lang w:val="es-ES" w:eastAsia="es-ES"/>
              </w:rPr>
            </w:pPr>
          </w:p>
        </w:tc>
        <w:tc>
          <w:tcPr>
            <w:tcW w:w="2460" w:type="dxa"/>
            <w:noWrap/>
          </w:tcPr>
          <w:p w14:paraId="09DCCE47" w14:textId="3387E1D2" w:rsidR="00F67378" w:rsidRP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Estados Unidos</w:t>
            </w:r>
          </w:p>
        </w:tc>
        <w:tc>
          <w:tcPr>
            <w:tcW w:w="700" w:type="dxa"/>
            <w:noWrap/>
          </w:tcPr>
          <w:p w14:paraId="76E23D86" w14:textId="7EEEFFFD" w:rsidR="00F67378" w:rsidRP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9</w:t>
            </w:r>
          </w:p>
        </w:tc>
        <w:tc>
          <w:tcPr>
            <w:tcW w:w="1560" w:type="dxa"/>
            <w:noWrap/>
          </w:tcPr>
          <w:p w14:paraId="605F45AC" w14:textId="31DF90C9" w:rsidR="00F67378" w:rsidRP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18</w:t>
            </w:r>
          </w:p>
        </w:tc>
      </w:tr>
      <w:tr w:rsidR="00F67378" w:rsidRPr="005A4FF9" w14:paraId="7E6E02AA"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D09CC08" w14:textId="4EEBAEC7"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5BE5478A" w14:textId="429CDC23" w:rsidR="00F67378" w:rsidRP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Guatemala</w:t>
            </w:r>
          </w:p>
        </w:tc>
        <w:tc>
          <w:tcPr>
            <w:tcW w:w="700" w:type="dxa"/>
            <w:noWrap/>
          </w:tcPr>
          <w:p w14:paraId="05F663E9" w14:textId="16B60E5F" w:rsidR="00F67378" w:rsidRP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2</w:t>
            </w:r>
          </w:p>
        </w:tc>
        <w:tc>
          <w:tcPr>
            <w:tcW w:w="1560" w:type="dxa"/>
            <w:noWrap/>
          </w:tcPr>
          <w:p w14:paraId="58638EE6" w14:textId="61521C50" w:rsidR="00F67378" w:rsidRP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2</w:t>
            </w:r>
          </w:p>
        </w:tc>
      </w:tr>
      <w:tr w:rsidR="00F67378" w:rsidRPr="005A4FF9" w14:paraId="0AEAFA51"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E6C1D31" w14:textId="2615260B"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74A8B83D" w14:textId="64AA0FC8" w:rsidR="00F67378" w:rsidRP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México</w:t>
            </w:r>
          </w:p>
        </w:tc>
        <w:tc>
          <w:tcPr>
            <w:tcW w:w="700" w:type="dxa"/>
            <w:noWrap/>
          </w:tcPr>
          <w:p w14:paraId="07B0FB64" w14:textId="73D15DF7" w:rsidR="00F67378" w:rsidRP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3</w:t>
            </w:r>
          </w:p>
        </w:tc>
        <w:tc>
          <w:tcPr>
            <w:tcW w:w="1560" w:type="dxa"/>
            <w:noWrap/>
          </w:tcPr>
          <w:p w14:paraId="2BA8EF24" w14:textId="420EB136" w:rsidR="00F67378" w:rsidRP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3</w:t>
            </w:r>
          </w:p>
        </w:tc>
      </w:tr>
      <w:tr w:rsidR="00F67378" w:rsidRPr="005A4FF9" w14:paraId="776307B7"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17472E44" w14:textId="48B12E6C"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20C6A379" w14:textId="504EBBDA" w:rsidR="00F67378" w:rsidRP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Panama</w:t>
            </w:r>
          </w:p>
        </w:tc>
        <w:tc>
          <w:tcPr>
            <w:tcW w:w="700" w:type="dxa"/>
            <w:noWrap/>
          </w:tcPr>
          <w:p w14:paraId="7F7A1858" w14:textId="77897322" w:rsidR="00F67378" w:rsidRP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tcPr>
          <w:p w14:paraId="0A04DB70" w14:textId="6F12D07E" w:rsidR="00F67378" w:rsidRP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F67378" w:rsidRPr="005A4FF9" w14:paraId="5A853317"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73344B31" w14:textId="3FD55641"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38358638" w14:textId="765AC56A" w:rsid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Paraguay</w:t>
            </w:r>
          </w:p>
        </w:tc>
        <w:tc>
          <w:tcPr>
            <w:tcW w:w="700" w:type="dxa"/>
            <w:noWrap/>
          </w:tcPr>
          <w:p w14:paraId="786AF013" w14:textId="1354707E" w:rsidR="00F67378" w:rsidRPr="005A4FF9"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39891206" w14:textId="296C445A" w:rsid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7A85FFA7"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2E00F6E" w14:textId="3986FB79"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78BCCFE1" w14:textId="21FEEAEC" w:rsid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Perú</w:t>
            </w:r>
          </w:p>
        </w:tc>
        <w:tc>
          <w:tcPr>
            <w:tcW w:w="700" w:type="dxa"/>
            <w:noWrap/>
          </w:tcPr>
          <w:p w14:paraId="7E7FD5F5" w14:textId="2790D36B" w:rsidR="00F67378" w:rsidRPr="005A4FF9"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7</w:t>
            </w:r>
          </w:p>
        </w:tc>
        <w:tc>
          <w:tcPr>
            <w:tcW w:w="1560" w:type="dxa"/>
            <w:noWrap/>
          </w:tcPr>
          <w:p w14:paraId="09401583" w14:textId="7A0B7F84" w:rsid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3</w:t>
            </w:r>
          </w:p>
        </w:tc>
      </w:tr>
      <w:tr w:rsidR="00F67378" w:rsidRPr="005A4FF9" w14:paraId="3EC93CBC"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3307496C" w14:textId="2627EE61"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39987772" w14:textId="64F0C9A4" w:rsid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Uruguay</w:t>
            </w:r>
          </w:p>
        </w:tc>
        <w:tc>
          <w:tcPr>
            <w:tcW w:w="700" w:type="dxa"/>
            <w:noWrap/>
          </w:tcPr>
          <w:p w14:paraId="292B27A2" w14:textId="04748095" w:rsidR="00F67378" w:rsidRPr="005A4FF9"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3</w:t>
            </w:r>
          </w:p>
        </w:tc>
        <w:tc>
          <w:tcPr>
            <w:tcW w:w="1560" w:type="dxa"/>
            <w:noWrap/>
          </w:tcPr>
          <w:p w14:paraId="779C35CF" w14:textId="04758C1B" w:rsid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3</w:t>
            </w:r>
          </w:p>
        </w:tc>
      </w:tr>
      <w:tr w:rsidR="00F67378" w:rsidRPr="005A4FF9" w14:paraId="5EC45A55"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F0BD3D5" w14:textId="4C1201E3"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63CA72BC" w14:textId="69DF3FA6" w:rsidR="00F67378" w:rsidRDefault="00F67378" w:rsidP="00F67378">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Venezuela</w:t>
            </w:r>
          </w:p>
        </w:tc>
        <w:tc>
          <w:tcPr>
            <w:tcW w:w="700" w:type="dxa"/>
            <w:noWrap/>
          </w:tcPr>
          <w:p w14:paraId="68A086C3" w14:textId="3499A982" w:rsidR="00F67378" w:rsidRPr="005A4FF9"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2</w:t>
            </w:r>
          </w:p>
        </w:tc>
        <w:tc>
          <w:tcPr>
            <w:tcW w:w="1560" w:type="dxa"/>
            <w:noWrap/>
          </w:tcPr>
          <w:p w14:paraId="715ED954" w14:textId="0608B0C7" w:rsidR="00F67378" w:rsidRDefault="00F67378" w:rsidP="00F67378">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4FCD33F9"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tcPr>
          <w:p w14:paraId="16DC32F2" w14:textId="16727FE3" w:rsidR="00F67378" w:rsidRDefault="00F67378" w:rsidP="005A4FF9">
            <w:pPr>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Staff Total</w:t>
            </w:r>
          </w:p>
        </w:tc>
        <w:tc>
          <w:tcPr>
            <w:tcW w:w="2460" w:type="dxa"/>
            <w:shd w:val="clear" w:color="auto" w:fill="8EAADB" w:themeFill="accent1" w:themeFillTint="99"/>
            <w:noWrap/>
          </w:tcPr>
          <w:p w14:paraId="189B21EB" w14:textId="41A0E6C8" w:rsid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 </w:t>
            </w:r>
          </w:p>
        </w:tc>
        <w:tc>
          <w:tcPr>
            <w:tcW w:w="700" w:type="dxa"/>
            <w:shd w:val="clear" w:color="auto" w:fill="8EAADB" w:themeFill="accent1" w:themeFillTint="99"/>
            <w:noWrap/>
          </w:tcPr>
          <w:p w14:paraId="1270EA19" w14:textId="54C24CCA" w:rsidR="00F67378" w:rsidRPr="005A4FF9"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49</w:t>
            </w:r>
          </w:p>
        </w:tc>
        <w:tc>
          <w:tcPr>
            <w:tcW w:w="1560" w:type="dxa"/>
            <w:shd w:val="clear" w:color="auto" w:fill="8EAADB" w:themeFill="accent1" w:themeFillTint="99"/>
            <w:noWrap/>
          </w:tcPr>
          <w:p w14:paraId="10D17DA1" w14:textId="3D08BBD2" w:rsidR="00F67378" w:rsidRDefault="00F67378" w:rsidP="00F67378">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sz w:val="20"/>
                <w:szCs w:val="20"/>
                <w:lang w:val="es-ES" w:eastAsia="es-ES"/>
              </w:rPr>
            </w:pPr>
            <w:r w:rsidRPr="005A4FF9">
              <w:rPr>
                <w:rFonts w:ascii="Cambria" w:eastAsia="Times New Roman" w:hAnsi="Cambria" w:cs="Arial"/>
                <w:color w:val="auto"/>
                <w:sz w:val="20"/>
                <w:szCs w:val="20"/>
                <w:lang w:val="es-ES" w:eastAsia="es-ES"/>
              </w:rPr>
              <w:t>49</w:t>
            </w:r>
          </w:p>
        </w:tc>
      </w:tr>
      <w:tr w:rsidR="00F67378" w:rsidRPr="005A4FF9" w14:paraId="4C423FE2"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EE39DB1"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CPR</w:t>
            </w:r>
          </w:p>
        </w:tc>
        <w:tc>
          <w:tcPr>
            <w:tcW w:w="2460" w:type="dxa"/>
            <w:noWrap/>
            <w:hideMark/>
          </w:tcPr>
          <w:p w14:paraId="1D254819" w14:textId="77777777"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Argentina</w:t>
            </w:r>
          </w:p>
        </w:tc>
        <w:tc>
          <w:tcPr>
            <w:tcW w:w="700" w:type="dxa"/>
            <w:noWrap/>
            <w:hideMark/>
          </w:tcPr>
          <w:p w14:paraId="3A4BB4C9"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c>
          <w:tcPr>
            <w:tcW w:w="1560" w:type="dxa"/>
            <w:noWrap/>
            <w:hideMark/>
          </w:tcPr>
          <w:p w14:paraId="0563445C"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r>
      <w:tr w:rsidR="00F67378" w:rsidRPr="005A4FF9" w14:paraId="44C46739"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4999F5D"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34837998" w14:textId="7777777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Bolivia</w:t>
            </w:r>
          </w:p>
        </w:tc>
        <w:tc>
          <w:tcPr>
            <w:tcW w:w="700" w:type="dxa"/>
            <w:noWrap/>
            <w:hideMark/>
          </w:tcPr>
          <w:p w14:paraId="32DC88A6"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c>
          <w:tcPr>
            <w:tcW w:w="1560" w:type="dxa"/>
            <w:noWrap/>
            <w:hideMark/>
          </w:tcPr>
          <w:p w14:paraId="51730645"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r>
      <w:tr w:rsidR="00F67378" w:rsidRPr="005A4FF9" w14:paraId="0AE41446"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DB8CD99"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75B442E4" w14:textId="57988031"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Brasil</w:t>
            </w:r>
          </w:p>
        </w:tc>
        <w:tc>
          <w:tcPr>
            <w:tcW w:w="700" w:type="dxa"/>
            <w:noWrap/>
            <w:hideMark/>
          </w:tcPr>
          <w:p w14:paraId="1F771CA4"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10</w:t>
            </w:r>
          </w:p>
        </w:tc>
        <w:tc>
          <w:tcPr>
            <w:tcW w:w="1560" w:type="dxa"/>
            <w:noWrap/>
            <w:hideMark/>
          </w:tcPr>
          <w:p w14:paraId="37928423"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10</w:t>
            </w:r>
          </w:p>
        </w:tc>
      </w:tr>
      <w:tr w:rsidR="00F67378" w:rsidRPr="005A4FF9" w14:paraId="235CC7D5"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AEA87EF"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426DD91B" w14:textId="4F8A606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Canadá</w:t>
            </w:r>
          </w:p>
        </w:tc>
        <w:tc>
          <w:tcPr>
            <w:tcW w:w="700" w:type="dxa"/>
            <w:noWrap/>
            <w:hideMark/>
          </w:tcPr>
          <w:p w14:paraId="0B2EAF43"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190657A3"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08100AB7"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96AF206"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56D39A22" w14:textId="77777777"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Chile</w:t>
            </w:r>
          </w:p>
        </w:tc>
        <w:tc>
          <w:tcPr>
            <w:tcW w:w="700" w:type="dxa"/>
            <w:noWrap/>
            <w:hideMark/>
          </w:tcPr>
          <w:p w14:paraId="0ECCEEE9"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c>
          <w:tcPr>
            <w:tcW w:w="1560" w:type="dxa"/>
            <w:noWrap/>
            <w:hideMark/>
          </w:tcPr>
          <w:p w14:paraId="66F60AFA"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r>
      <w:tr w:rsidR="00F67378" w:rsidRPr="005A4FF9" w14:paraId="2A6B9C6E"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A77C58D" w14:textId="77777777" w:rsidR="00F67378" w:rsidRPr="00F67378" w:rsidRDefault="00F67378" w:rsidP="005A4FF9">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0FE29F79" w14:textId="77777777" w:rsidR="00F67378" w:rsidRPr="00F67378"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Colombia</w:t>
            </w:r>
          </w:p>
        </w:tc>
        <w:tc>
          <w:tcPr>
            <w:tcW w:w="700" w:type="dxa"/>
            <w:noWrap/>
            <w:hideMark/>
          </w:tcPr>
          <w:p w14:paraId="040C91FE" w14:textId="77777777" w:rsidR="00F67378" w:rsidRPr="00F67378"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6</w:t>
            </w:r>
          </w:p>
        </w:tc>
        <w:tc>
          <w:tcPr>
            <w:tcW w:w="1560" w:type="dxa"/>
            <w:noWrap/>
            <w:hideMark/>
          </w:tcPr>
          <w:p w14:paraId="7149771E" w14:textId="77777777" w:rsidR="00F67378" w:rsidRPr="00F67378"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6</w:t>
            </w:r>
          </w:p>
        </w:tc>
      </w:tr>
      <w:tr w:rsidR="00F67378" w:rsidRPr="005A4FF9" w14:paraId="5FE28F5D"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7D5CFC67" w14:textId="77777777" w:rsidR="00F67378" w:rsidRPr="00F67378" w:rsidRDefault="00F67378" w:rsidP="005A4FF9">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734BF074" w14:textId="77777777" w:rsidR="00F67378" w:rsidRPr="00F67378"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Costa Rica</w:t>
            </w:r>
          </w:p>
        </w:tc>
        <w:tc>
          <w:tcPr>
            <w:tcW w:w="700" w:type="dxa"/>
            <w:noWrap/>
            <w:hideMark/>
          </w:tcPr>
          <w:p w14:paraId="435487B4" w14:textId="77777777"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1CE6DE15" w14:textId="77777777"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F67378" w:rsidRPr="005A4FF9" w14:paraId="156C2BB4"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1A2C46B" w14:textId="77777777" w:rsidR="00F67378" w:rsidRPr="00F67378" w:rsidRDefault="00F67378" w:rsidP="005A4FF9">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2C560A59" w14:textId="77777777" w:rsidR="00F67378" w:rsidRPr="00F67378"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Ecuador</w:t>
            </w:r>
          </w:p>
        </w:tc>
        <w:tc>
          <w:tcPr>
            <w:tcW w:w="700" w:type="dxa"/>
            <w:noWrap/>
            <w:hideMark/>
          </w:tcPr>
          <w:p w14:paraId="7BD7CB20" w14:textId="77777777" w:rsidR="00F67378" w:rsidRPr="00F67378"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20987FD1" w14:textId="77777777" w:rsidR="00F67378" w:rsidRPr="00F67378"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F67378" w:rsidRPr="005A4FF9" w14:paraId="1D04EA23"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71D54366" w14:textId="77777777" w:rsidR="00F67378" w:rsidRPr="00F67378" w:rsidRDefault="00F67378" w:rsidP="005A4FF9">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1D8783F0" w14:textId="77777777" w:rsidR="00F67378" w:rsidRPr="00F67378"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El Salvador</w:t>
            </w:r>
          </w:p>
        </w:tc>
        <w:tc>
          <w:tcPr>
            <w:tcW w:w="700" w:type="dxa"/>
            <w:noWrap/>
            <w:hideMark/>
          </w:tcPr>
          <w:p w14:paraId="72DD469B" w14:textId="77777777"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2DEA9FE5" w14:textId="77777777"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5E09C5" w:rsidRPr="005A4FF9" w14:paraId="79A0529D"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09D29A80" w14:textId="77777777" w:rsidR="005E09C5" w:rsidRPr="00F67378" w:rsidRDefault="005E09C5" w:rsidP="005A4FF9">
            <w:pPr>
              <w:rPr>
                <w:rFonts w:ascii="Cambria" w:eastAsia="Times New Roman" w:hAnsi="Cambria" w:cs="Arial"/>
                <w:sz w:val="20"/>
                <w:szCs w:val="20"/>
                <w:lang w:val="es-ES" w:eastAsia="es-ES"/>
              </w:rPr>
            </w:pPr>
          </w:p>
        </w:tc>
        <w:tc>
          <w:tcPr>
            <w:tcW w:w="2460" w:type="dxa"/>
            <w:noWrap/>
          </w:tcPr>
          <w:p w14:paraId="6F7DDB17" w14:textId="5790E192" w:rsidR="005E09C5" w:rsidRPr="005E09C5" w:rsidRDefault="005E09C5"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E09C5">
              <w:rPr>
                <w:rFonts w:ascii="Cambria" w:eastAsia="Times New Roman" w:hAnsi="Cambria" w:cs="Arial"/>
                <w:color w:val="auto"/>
                <w:sz w:val="20"/>
                <w:szCs w:val="20"/>
                <w:lang w:val="es-ES" w:eastAsia="es-ES"/>
              </w:rPr>
              <w:t>España</w:t>
            </w:r>
          </w:p>
        </w:tc>
        <w:tc>
          <w:tcPr>
            <w:tcW w:w="700" w:type="dxa"/>
            <w:noWrap/>
          </w:tcPr>
          <w:p w14:paraId="4A4B0335" w14:textId="6C2A8F67" w:rsidR="005E09C5" w:rsidRPr="005E09C5" w:rsidRDefault="005E09C5"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E09C5">
              <w:rPr>
                <w:rFonts w:ascii="Cambria" w:eastAsia="Times New Roman" w:hAnsi="Cambria" w:cs="Arial"/>
                <w:color w:val="auto"/>
                <w:sz w:val="20"/>
                <w:szCs w:val="20"/>
                <w:lang w:val="es-ES" w:eastAsia="es-ES"/>
              </w:rPr>
              <w:t>1</w:t>
            </w:r>
          </w:p>
        </w:tc>
        <w:tc>
          <w:tcPr>
            <w:tcW w:w="1560" w:type="dxa"/>
            <w:noWrap/>
          </w:tcPr>
          <w:p w14:paraId="3AC6D9DA" w14:textId="37CC5BCD" w:rsidR="005E09C5" w:rsidRPr="005E09C5" w:rsidRDefault="005E09C5"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E09C5">
              <w:rPr>
                <w:rFonts w:ascii="Cambria" w:eastAsia="Times New Roman" w:hAnsi="Cambria" w:cs="Arial"/>
                <w:color w:val="auto"/>
                <w:sz w:val="20"/>
                <w:szCs w:val="20"/>
                <w:lang w:val="es-ES" w:eastAsia="es-ES"/>
              </w:rPr>
              <w:t>1</w:t>
            </w:r>
          </w:p>
        </w:tc>
      </w:tr>
      <w:tr w:rsidR="00F67378" w:rsidRPr="005A4FF9" w14:paraId="4486DA0A"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573E9323" w14:textId="77777777" w:rsidR="00F67378" w:rsidRPr="00F67378" w:rsidRDefault="00F67378" w:rsidP="005A4FF9">
            <w:pPr>
              <w:rPr>
                <w:rFonts w:ascii="Cambria" w:eastAsia="Times New Roman" w:hAnsi="Cambria" w:cs="Arial"/>
                <w:color w:val="auto"/>
                <w:sz w:val="20"/>
                <w:szCs w:val="20"/>
                <w:lang w:val="es-ES" w:eastAsia="es-ES"/>
              </w:rPr>
            </w:pPr>
          </w:p>
        </w:tc>
        <w:tc>
          <w:tcPr>
            <w:tcW w:w="2460" w:type="dxa"/>
            <w:noWrap/>
          </w:tcPr>
          <w:p w14:paraId="169F918A" w14:textId="04679332" w:rsidR="00F67378" w:rsidRPr="00F67378"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Estados Unidos</w:t>
            </w:r>
          </w:p>
        </w:tc>
        <w:tc>
          <w:tcPr>
            <w:tcW w:w="700" w:type="dxa"/>
            <w:noWrap/>
          </w:tcPr>
          <w:p w14:paraId="029F1D39" w14:textId="14868550"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3</w:t>
            </w:r>
          </w:p>
        </w:tc>
        <w:tc>
          <w:tcPr>
            <w:tcW w:w="1560" w:type="dxa"/>
            <w:noWrap/>
          </w:tcPr>
          <w:p w14:paraId="2D30CF20" w14:textId="07B4FE9F"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3</w:t>
            </w:r>
          </w:p>
        </w:tc>
      </w:tr>
      <w:tr w:rsidR="00F67378" w:rsidRPr="005A4FF9" w14:paraId="76649B46"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097014D" w14:textId="77777777" w:rsidR="00F67378" w:rsidRPr="00F67378" w:rsidRDefault="00F67378" w:rsidP="005A4FF9">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1C19D6D8" w14:textId="4B873693" w:rsidR="00F67378" w:rsidRPr="00F67378" w:rsidRDefault="00F67378" w:rsidP="00F67378">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Italia</w:t>
            </w:r>
          </w:p>
        </w:tc>
        <w:tc>
          <w:tcPr>
            <w:tcW w:w="700" w:type="dxa"/>
            <w:noWrap/>
            <w:hideMark/>
          </w:tcPr>
          <w:p w14:paraId="2653D737" w14:textId="77777777" w:rsidR="00F67378" w:rsidRPr="00F67378"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c>
          <w:tcPr>
            <w:tcW w:w="1560" w:type="dxa"/>
            <w:noWrap/>
            <w:hideMark/>
          </w:tcPr>
          <w:p w14:paraId="79741C0A" w14:textId="77777777" w:rsidR="00F67378" w:rsidRPr="00F67378"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1</w:t>
            </w:r>
          </w:p>
        </w:tc>
      </w:tr>
      <w:tr w:rsidR="00F67378" w:rsidRPr="005A4FF9" w14:paraId="0B38C001"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0CA5BF00" w14:textId="77777777" w:rsidR="00F67378" w:rsidRPr="00F67378" w:rsidRDefault="00F67378" w:rsidP="005A4FF9">
            <w:pPr>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 </w:t>
            </w:r>
          </w:p>
        </w:tc>
        <w:tc>
          <w:tcPr>
            <w:tcW w:w="2460" w:type="dxa"/>
            <w:noWrap/>
            <w:hideMark/>
          </w:tcPr>
          <w:p w14:paraId="4D9D0C23" w14:textId="112EBCAB" w:rsidR="00F67378" w:rsidRPr="00F67378"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México</w:t>
            </w:r>
          </w:p>
        </w:tc>
        <w:tc>
          <w:tcPr>
            <w:tcW w:w="700" w:type="dxa"/>
            <w:noWrap/>
            <w:hideMark/>
          </w:tcPr>
          <w:p w14:paraId="1CE769D7" w14:textId="77777777"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9</w:t>
            </w:r>
          </w:p>
        </w:tc>
        <w:tc>
          <w:tcPr>
            <w:tcW w:w="1560" w:type="dxa"/>
            <w:noWrap/>
            <w:hideMark/>
          </w:tcPr>
          <w:p w14:paraId="74D42FC0" w14:textId="77777777" w:rsidR="00F67378" w:rsidRPr="00F67378"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F67378">
              <w:rPr>
                <w:rFonts w:ascii="Cambria" w:eastAsia="Times New Roman" w:hAnsi="Cambria" w:cs="Arial"/>
                <w:color w:val="auto"/>
                <w:sz w:val="20"/>
                <w:szCs w:val="20"/>
                <w:lang w:val="es-ES" w:eastAsia="es-ES"/>
              </w:rPr>
              <w:t>9</w:t>
            </w:r>
          </w:p>
        </w:tc>
      </w:tr>
      <w:tr w:rsidR="00F67378" w:rsidRPr="005A4FF9" w14:paraId="3D22F70D"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1B2AA561"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4E174ADC" w14:textId="7777777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Panama</w:t>
            </w:r>
          </w:p>
        </w:tc>
        <w:tc>
          <w:tcPr>
            <w:tcW w:w="700" w:type="dxa"/>
            <w:noWrap/>
            <w:hideMark/>
          </w:tcPr>
          <w:p w14:paraId="6E9FC4D8"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024F7408"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22351656"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016C84A5"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3B296D08" w14:textId="6CA2CDF3"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Perú</w:t>
            </w:r>
          </w:p>
        </w:tc>
        <w:tc>
          <w:tcPr>
            <w:tcW w:w="700" w:type="dxa"/>
            <w:noWrap/>
            <w:hideMark/>
          </w:tcPr>
          <w:p w14:paraId="3F48A380"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c>
          <w:tcPr>
            <w:tcW w:w="1560" w:type="dxa"/>
            <w:noWrap/>
            <w:hideMark/>
          </w:tcPr>
          <w:p w14:paraId="60B53167"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w:t>
            </w:r>
          </w:p>
        </w:tc>
      </w:tr>
      <w:tr w:rsidR="00F67378" w:rsidRPr="005A4FF9" w14:paraId="301C4B04"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69A69384"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36762A96" w14:textId="7777777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Saint Lucia</w:t>
            </w:r>
          </w:p>
        </w:tc>
        <w:tc>
          <w:tcPr>
            <w:tcW w:w="700" w:type="dxa"/>
            <w:noWrap/>
            <w:hideMark/>
          </w:tcPr>
          <w:p w14:paraId="6E4C8B17"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0980DFF4"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11FC0477" w14:textId="77777777" w:rsidTr="00F6737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332B6235"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hideMark/>
          </w:tcPr>
          <w:p w14:paraId="226364DF" w14:textId="3CC3C1D6"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Trinidad y Tobago</w:t>
            </w:r>
          </w:p>
        </w:tc>
        <w:tc>
          <w:tcPr>
            <w:tcW w:w="700" w:type="dxa"/>
            <w:noWrap/>
            <w:hideMark/>
          </w:tcPr>
          <w:p w14:paraId="5A217BC7"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5196670B" w14:textId="60D93E8A"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Pr>
                <w:rFonts w:ascii="Cambria" w:eastAsia="Times New Roman" w:hAnsi="Cambria" w:cs="Arial"/>
                <w:color w:val="auto"/>
                <w:sz w:val="20"/>
                <w:szCs w:val="20"/>
                <w:lang w:val="es-ES" w:eastAsia="es-ES"/>
              </w:rPr>
              <w:t>1</w:t>
            </w:r>
          </w:p>
        </w:tc>
      </w:tr>
      <w:tr w:rsidR="00F67378" w:rsidRPr="005A4FF9" w14:paraId="301AE733"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0C43F930"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hideMark/>
          </w:tcPr>
          <w:p w14:paraId="26BB6382" w14:textId="7777777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Uruguay</w:t>
            </w:r>
          </w:p>
        </w:tc>
        <w:tc>
          <w:tcPr>
            <w:tcW w:w="700" w:type="dxa"/>
            <w:noWrap/>
            <w:hideMark/>
          </w:tcPr>
          <w:p w14:paraId="7DE5271F"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hideMark/>
          </w:tcPr>
          <w:p w14:paraId="5B1AD99B"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43A14377"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248528F1"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lastRenderedPageBreak/>
              <w:t> </w:t>
            </w:r>
          </w:p>
        </w:tc>
        <w:tc>
          <w:tcPr>
            <w:tcW w:w="2460" w:type="dxa"/>
            <w:noWrap/>
            <w:hideMark/>
          </w:tcPr>
          <w:p w14:paraId="23807799" w14:textId="77777777"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Venezuela</w:t>
            </w:r>
          </w:p>
        </w:tc>
        <w:tc>
          <w:tcPr>
            <w:tcW w:w="700" w:type="dxa"/>
            <w:noWrap/>
            <w:hideMark/>
          </w:tcPr>
          <w:p w14:paraId="1278FE74"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c>
          <w:tcPr>
            <w:tcW w:w="1560" w:type="dxa"/>
            <w:noWrap/>
            <w:hideMark/>
          </w:tcPr>
          <w:p w14:paraId="46C661C3" w14:textId="77777777"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r>
      <w:tr w:rsidR="00F67378" w:rsidRPr="005A4FF9" w14:paraId="2D5DE758"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hideMark/>
          </w:tcPr>
          <w:p w14:paraId="1CA60CF7"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CPR Total</w:t>
            </w:r>
          </w:p>
        </w:tc>
        <w:tc>
          <w:tcPr>
            <w:tcW w:w="2460" w:type="dxa"/>
            <w:shd w:val="clear" w:color="auto" w:fill="8EAADB" w:themeFill="accent1" w:themeFillTint="99"/>
            <w:noWrap/>
            <w:hideMark/>
          </w:tcPr>
          <w:p w14:paraId="294C2651" w14:textId="7777777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700" w:type="dxa"/>
            <w:shd w:val="clear" w:color="auto" w:fill="8EAADB" w:themeFill="accent1" w:themeFillTint="99"/>
            <w:noWrap/>
            <w:hideMark/>
          </w:tcPr>
          <w:p w14:paraId="6966A8F2"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60</w:t>
            </w:r>
          </w:p>
        </w:tc>
        <w:tc>
          <w:tcPr>
            <w:tcW w:w="1560" w:type="dxa"/>
            <w:shd w:val="clear" w:color="auto" w:fill="8EAADB" w:themeFill="accent1" w:themeFillTint="99"/>
            <w:noWrap/>
            <w:hideMark/>
          </w:tcPr>
          <w:p w14:paraId="226C3C9C"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60</w:t>
            </w:r>
          </w:p>
        </w:tc>
      </w:tr>
      <w:tr w:rsidR="00F67378" w:rsidRPr="005A4FF9" w14:paraId="37F9D257" w14:textId="77777777" w:rsidTr="00F67378">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4176699B" w14:textId="470DA020" w:rsidR="00F67378" w:rsidRPr="005A4FF9" w:rsidRDefault="00F67378" w:rsidP="00F67378">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Staff</w:t>
            </w:r>
            <w:r>
              <w:rPr>
                <w:rFonts w:ascii="Cambria" w:eastAsia="Times New Roman" w:hAnsi="Cambria" w:cs="Arial"/>
                <w:color w:val="auto"/>
                <w:sz w:val="20"/>
                <w:szCs w:val="20"/>
                <w:lang w:val="es-ES" w:eastAsia="es-ES"/>
              </w:rPr>
              <w:t xml:space="preserve"> Asociado</w:t>
            </w:r>
            <w:r w:rsidRPr="005A4FF9">
              <w:rPr>
                <w:rFonts w:ascii="Cambria" w:eastAsia="Times New Roman" w:hAnsi="Cambria" w:cs="Arial"/>
                <w:color w:val="auto"/>
                <w:sz w:val="20"/>
                <w:szCs w:val="20"/>
                <w:lang w:val="es-ES" w:eastAsia="es-ES"/>
              </w:rPr>
              <w:t xml:space="preserve"> </w:t>
            </w:r>
          </w:p>
        </w:tc>
        <w:tc>
          <w:tcPr>
            <w:tcW w:w="2460" w:type="dxa"/>
            <w:noWrap/>
          </w:tcPr>
          <w:p w14:paraId="76BE3C71" w14:textId="4322EC6E"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Argentina</w:t>
            </w:r>
          </w:p>
        </w:tc>
        <w:tc>
          <w:tcPr>
            <w:tcW w:w="700" w:type="dxa"/>
            <w:noWrap/>
          </w:tcPr>
          <w:p w14:paraId="7B21B2C8" w14:textId="2DD50F41"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c>
          <w:tcPr>
            <w:tcW w:w="1560" w:type="dxa"/>
            <w:noWrap/>
          </w:tcPr>
          <w:p w14:paraId="56D4ACE6" w14:textId="61B6FB8A"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w:t>
            </w:r>
          </w:p>
        </w:tc>
      </w:tr>
      <w:tr w:rsidR="00F67378" w:rsidRPr="005A4FF9" w14:paraId="0C788769"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tcPr>
          <w:p w14:paraId="060724D5" w14:textId="43DCCF8C"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2460" w:type="dxa"/>
            <w:noWrap/>
          </w:tcPr>
          <w:p w14:paraId="5B1CAEF5" w14:textId="094119F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Brasil</w:t>
            </w:r>
          </w:p>
        </w:tc>
        <w:tc>
          <w:tcPr>
            <w:tcW w:w="700" w:type="dxa"/>
            <w:noWrap/>
          </w:tcPr>
          <w:p w14:paraId="7670D3F4" w14:textId="3C34B784"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c>
          <w:tcPr>
            <w:tcW w:w="1560" w:type="dxa"/>
            <w:noWrap/>
          </w:tcPr>
          <w:p w14:paraId="61802782" w14:textId="4D7118F8"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3</w:t>
            </w:r>
          </w:p>
        </w:tc>
      </w:tr>
      <w:tr w:rsidR="00F67378" w:rsidRPr="005A4FF9" w14:paraId="7AAA9D92" w14:textId="77777777" w:rsidTr="00DF13F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600" w:type="dxa"/>
            <w:shd w:val="clear" w:color="auto" w:fill="8EAADB" w:themeFill="accent1" w:themeFillTint="99"/>
            <w:noWrap/>
          </w:tcPr>
          <w:p w14:paraId="06EF912D" w14:textId="47653D13"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Staff</w:t>
            </w:r>
            <w:r>
              <w:rPr>
                <w:rFonts w:ascii="Cambria" w:eastAsia="Times New Roman" w:hAnsi="Cambria" w:cs="Arial"/>
                <w:color w:val="auto"/>
                <w:sz w:val="20"/>
                <w:szCs w:val="20"/>
                <w:lang w:val="es-ES" w:eastAsia="es-ES"/>
              </w:rPr>
              <w:t xml:space="preserve"> Asociado</w:t>
            </w:r>
            <w:r w:rsidRPr="005A4FF9">
              <w:rPr>
                <w:rFonts w:ascii="Cambria" w:eastAsia="Times New Roman" w:hAnsi="Cambria" w:cs="Arial"/>
                <w:color w:val="auto"/>
                <w:sz w:val="20"/>
                <w:szCs w:val="20"/>
                <w:lang w:val="es-ES" w:eastAsia="es-ES"/>
              </w:rPr>
              <w:t xml:space="preserve">  Total</w:t>
            </w:r>
          </w:p>
        </w:tc>
        <w:tc>
          <w:tcPr>
            <w:tcW w:w="2460" w:type="dxa"/>
            <w:shd w:val="clear" w:color="auto" w:fill="8EAADB" w:themeFill="accent1" w:themeFillTint="99"/>
            <w:noWrap/>
          </w:tcPr>
          <w:p w14:paraId="2FA13082" w14:textId="2053EED7" w:rsidR="00F67378" w:rsidRPr="005A4FF9" w:rsidRDefault="00F67378" w:rsidP="005A4FF9">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700" w:type="dxa"/>
            <w:shd w:val="clear" w:color="auto" w:fill="8EAADB" w:themeFill="accent1" w:themeFillTint="99"/>
            <w:noWrap/>
          </w:tcPr>
          <w:p w14:paraId="55CEB7CD" w14:textId="4EFE6939"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c>
          <w:tcPr>
            <w:tcW w:w="1560" w:type="dxa"/>
            <w:shd w:val="clear" w:color="auto" w:fill="8EAADB" w:themeFill="accent1" w:themeFillTint="99"/>
            <w:noWrap/>
          </w:tcPr>
          <w:p w14:paraId="766E25BC" w14:textId="1117959D" w:rsidR="00F67378" w:rsidRPr="005A4FF9" w:rsidRDefault="00F67378" w:rsidP="005A4FF9">
            <w:pPr>
              <w:jc w:val="right"/>
              <w:cnfStyle w:val="000000100000" w:firstRow="0" w:lastRow="0" w:firstColumn="0" w:lastColumn="0" w:oddVBand="0" w:evenVBand="0" w:oddHBand="1"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4</w:t>
            </w:r>
          </w:p>
        </w:tc>
      </w:tr>
      <w:tr w:rsidR="00F67378" w:rsidRPr="005A4FF9" w14:paraId="601E6EE2" w14:textId="77777777" w:rsidTr="00F67378">
        <w:trPr>
          <w:trHeight w:val="255"/>
          <w:jc w:val="center"/>
        </w:trPr>
        <w:tc>
          <w:tcPr>
            <w:cnfStyle w:val="001000000000" w:firstRow="0" w:lastRow="0" w:firstColumn="1" w:lastColumn="0" w:oddVBand="0" w:evenVBand="0" w:oddHBand="0" w:evenHBand="0" w:firstRowFirstColumn="0" w:firstRowLastColumn="0" w:lastRowFirstColumn="0" w:lastRowLastColumn="0"/>
            <w:tcW w:w="2600" w:type="dxa"/>
            <w:noWrap/>
            <w:hideMark/>
          </w:tcPr>
          <w:p w14:paraId="4B9BC785" w14:textId="77777777" w:rsidR="00F67378" w:rsidRPr="005A4FF9" w:rsidRDefault="00F67378" w:rsidP="005A4FF9">
            <w:pPr>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Grand Total</w:t>
            </w:r>
          </w:p>
        </w:tc>
        <w:tc>
          <w:tcPr>
            <w:tcW w:w="2460" w:type="dxa"/>
            <w:noWrap/>
            <w:hideMark/>
          </w:tcPr>
          <w:p w14:paraId="32422630" w14:textId="77777777" w:rsidR="00F67378" w:rsidRPr="005A4FF9" w:rsidRDefault="00F67378" w:rsidP="005A4FF9">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 </w:t>
            </w:r>
          </w:p>
        </w:tc>
        <w:tc>
          <w:tcPr>
            <w:tcW w:w="700" w:type="dxa"/>
            <w:noWrap/>
            <w:hideMark/>
          </w:tcPr>
          <w:p w14:paraId="2EBFD65B"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113</w:t>
            </w:r>
          </w:p>
        </w:tc>
        <w:tc>
          <w:tcPr>
            <w:tcW w:w="1560" w:type="dxa"/>
            <w:noWrap/>
            <w:hideMark/>
          </w:tcPr>
          <w:p w14:paraId="108F2F83" w14:textId="77777777" w:rsidR="00F67378" w:rsidRPr="005A4FF9" w:rsidRDefault="00F67378" w:rsidP="005A4FF9">
            <w:pPr>
              <w:jc w:val="right"/>
              <w:cnfStyle w:val="000000000000" w:firstRow="0" w:lastRow="0" w:firstColumn="0" w:lastColumn="0" w:oddVBand="0" w:evenVBand="0" w:oddHBand="0" w:evenHBand="0" w:firstRowFirstColumn="0" w:firstRowLastColumn="0" w:lastRowFirstColumn="0" w:lastRowLastColumn="0"/>
              <w:rPr>
                <w:rFonts w:ascii="Cambria" w:eastAsia="Times New Roman" w:hAnsi="Cambria" w:cs="Arial"/>
                <w:color w:val="auto"/>
                <w:sz w:val="20"/>
                <w:szCs w:val="20"/>
                <w:lang w:val="es-ES" w:eastAsia="es-ES"/>
              </w:rPr>
            </w:pPr>
            <w:r w:rsidRPr="005A4FF9">
              <w:rPr>
                <w:rFonts w:ascii="Cambria" w:eastAsia="Times New Roman" w:hAnsi="Cambria" w:cs="Arial"/>
                <w:color w:val="auto"/>
                <w:sz w:val="20"/>
                <w:szCs w:val="20"/>
                <w:lang w:val="es-ES" w:eastAsia="es-ES"/>
              </w:rPr>
              <w:t>113</w:t>
            </w:r>
          </w:p>
        </w:tc>
      </w:tr>
    </w:tbl>
    <w:p w14:paraId="729FB1F0" w14:textId="77777777" w:rsidR="005A4FF9" w:rsidRPr="00F0798B" w:rsidRDefault="005A4FF9" w:rsidP="005A4FF9">
      <w:pPr>
        <w:pStyle w:val="paragraphs"/>
        <w:numPr>
          <w:ilvl w:val="0"/>
          <w:numId w:val="0"/>
        </w:numPr>
        <w:ind w:left="1260" w:hanging="360"/>
      </w:pPr>
    </w:p>
    <w:p w14:paraId="484470EB" w14:textId="6588841A" w:rsidR="001E5623" w:rsidRPr="00F0798B" w:rsidRDefault="001E5623" w:rsidP="005F60E5">
      <w:pPr>
        <w:pStyle w:val="paragraphs"/>
        <w:numPr>
          <w:ilvl w:val="0"/>
          <w:numId w:val="7"/>
        </w:numPr>
        <w:ind w:left="0" w:firstLine="720"/>
      </w:pPr>
      <w:r w:rsidRPr="00F0798B">
        <w:t>Durante el 2018 se realizaron los procesos de concursos para ocupar las 11 nuevas posiciones aprobadas en el Programa-Presupuesto de 2018 que se integran a la estructura de la Secretaría Ejecutiva:</w:t>
      </w:r>
    </w:p>
    <w:p w14:paraId="04ACD5F8" w14:textId="77777777" w:rsidR="001E5623" w:rsidRPr="00F0798B" w:rsidRDefault="001E5623" w:rsidP="00437CDA">
      <w:pPr>
        <w:pStyle w:val="paragraphs"/>
        <w:numPr>
          <w:ilvl w:val="0"/>
          <w:numId w:val="0"/>
        </w:numPr>
        <w:spacing w:after="0"/>
        <w:ind w:firstLine="720"/>
        <w:rPr>
          <w:rFonts w:eastAsia="Cambria" w:cstheme="minorHAnsi"/>
        </w:rPr>
      </w:pPr>
      <w:r w:rsidRPr="00F0798B">
        <w:rPr>
          <w:rFonts w:eastAsia="Cambria" w:cstheme="minorHAnsi"/>
        </w:rPr>
        <w:t>Concursos finalizados y nombramientos realizados:</w:t>
      </w:r>
    </w:p>
    <w:p w14:paraId="3AA5758C" w14:textId="77777777" w:rsidR="00437CDA" w:rsidRPr="00F0798B" w:rsidRDefault="00437CDA" w:rsidP="00437CDA">
      <w:pPr>
        <w:pStyle w:val="paragraphs"/>
        <w:numPr>
          <w:ilvl w:val="0"/>
          <w:numId w:val="0"/>
        </w:numPr>
        <w:spacing w:after="0"/>
        <w:ind w:firstLine="720"/>
        <w:rPr>
          <w:rFonts w:eastAsia="Cambria" w:cstheme="minorHAnsi"/>
        </w:rPr>
      </w:pPr>
    </w:p>
    <w:p w14:paraId="75994276"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1 Especialista en Derechos Humanos, grado P02 para la Unidad de Atención al Usuario</w:t>
      </w:r>
    </w:p>
    <w:p w14:paraId="1397B1FD"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1 Técnico Administrativo, grado G06 para la Unidad de Atención al Usuario</w:t>
      </w:r>
    </w:p>
    <w:p w14:paraId="52CA5F3B" w14:textId="77777777" w:rsidR="008F10FD" w:rsidRPr="00F0798B" w:rsidRDefault="008F10FD" w:rsidP="008F10FD">
      <w:pPr>
        <w:pStyle w:val="paragraphs"/>
        <w:numPr>
          <w:ilvl w:val="0"/>
          <w:numId w:val="0"/>
        </w:numPr>
        <w:spacing w:after="0"/>
        <w:ind w:left="1526" w:hanging="446"/>
        <w:rPr>
          <w:rFonts w:eastAsia="Cambria" w:cstheme="minorHAnsi"/>
        </w:rPr>
      </w:pPr>
    </w:p>
    <w:p w14:paraId="3D93F9F9" w14:textId="6D30C87F" w:rsidR="001E5623" w:rsidRPr="00F0798B" w:rsidRDefault="001E5623" w:rsidP="00437CDA">
      <w:pPr>
        <w:pStyle w:val="paragraphs"/>
        <w:numPr>
          <w:ilvl w:val="0"/>
          <w:numId w:val="0"/>
        </w:numPr>
        <w:spacing w:after="0"/>
        <w:ind w:firstLine="720"/>
        <w:rPr>
          <w:rFonts w:eastAsia="Cambria" w:cstheme="minorHAnsi"/>
        </w:rPr>
      </w:pPr>
      <w:r w:rsidRPr="00F0798B">
        <w:rPr>
          <w:rFonts w:eastAsia="Cambria" w:cstheme="minorHAnsi"/>
        </w:rPr>
        <w:t>Concursos realizados en etapa final de autorización por la SG/OEA:</w:t>
      </w:r>
    </w:p>
    <w:p w14:paraId="2DD08C21" w14:textId="77777777" w:rsidR="00437CDA" w:rsidRPr="00F0798B" w:rsidRDefault="00437CDA" w:rsidP="00437CDA">
      <w:pPr>
        <w:pStyle w:val="paragraphs"/>
        <w:numPr>
          <w:ilvl w:val="0"/>
          <w:numId w:val="0"/>
        </w:numPr>
        <w:spacing w:after="0"/>
        <w:ind w:firstLine="720"/>
        <w:rPr>
          <w:rFonts w:eastAsia="Cambria" w:cstheme="minorHAnsi"/>
        </w:rPr>
      </w:pPr>
    </w:p>
    <w:p w14:paraId="70E98EBC"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1 Oficial de Proyectos, grado P03 para la Coordinación de la Sección de Planificación y Proyectos</w:t>
      </w:r>
    </w:p>
    <w:p w14:paraId="4B15B4DD"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2 Especialista en Derechos Humanos, grado P02 para la Jefatura de Despacho y Unidad de Tramitación</w:t>
      </w:r>
    </w:p>
    <w:p w14:paraId="1AC851C9"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1 Especialista en Derechos Humanos, grado P03 para la Sección de Monitoreo III</w:t>
      </w:r>
    </w:p>
    <w:p w14:paraId="11F65B26"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1 Especialista en Derechos Humanos, grado P03 para la Sección de Promoción y Capacitación</w:t>
      </w:r>
    </w:p>
    <w:p w14:paraId="56693EA2" w14:textId="77777777" w:rsidR="00437CDA" w:rsidRPr="00F0798B" w:rsidRDefault="00437CDA" w:rsidP="00437CDA">
      <w:pPr>
        <w:pStyle w:val="paragraphs"/>
        <w:numPr>
          <w:ilvl w:val="0"/>
          <w:numId w:val="0"/>
        </w:numPr>
        <w:spacing w:after="0"/>
        <w:rPr>
          <w:rFonts w:eastAsia="Cambria" w:cstheme="minorHAnsi"/>
        </w:rPr>
      </w:pPr>
    </w:p>
    <w:p w14:paraId="33136D17" w14:textId="38B4443C" w:rsidR="001E5623" w:rsidRPr="00F0798B" w:rsidRDefault="001E5623" w:rsidP="00437CDA">
      <w:pPr>
        <w:pStyle w:val="paragraphs"/>
        <w:numPr>
          <w:ilvl w:val="0"/>
          <w:numId w:val="0"/>
        </w:numPr>
        <w:spacing w:after="0"/>
        <w:ind w:firstLine="720"/>
        <w:rPr>
          <w:rFonts w:eastAsia="Cambria" w:cstheme="minorHAnsi"/>
        </w:rPr>
      </w:pPr>
      <w:r w:rsidRPr="00F0798B">
        <w:rPr>
          <w:rFonts w:eastAsia="Cambria" w:cstheme="minorHAnsi"/>
        </w:rPr>
        <w:t>Concursos realizados en etapa de revisión por Comités de Selección:</w:t>
      </w:r>
    </w:p>
    <w:p w14:paraId="1E94AB7D" w14:textId="77777777" w:rsidR="00437CDA" w:rsidRPr="00F0798B" w:rsidRDefault="00437CDA" w:rsidP="00437CDA">
      <w:pPr>
        <w:pStyle w:val="paragraphs"/>
        <w:numPr>
          <w:ilvl w:val="0"/>
          <w:numId w:val="0"/>
        </w:numPr>
        <w:spacing w:after="0"/>
        <w:ind w:firstLine="720"/>
        <w:rPr>
          <w:rFonts w:eastAsia="Cambria" w:cstheme="minorHAnsi"/>
        </w:rPr>
      </w:pPr>
    </w:p>
    <w:p w14:paraId="0B4CCC3F"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 xml:space="preserve">1 Especialista en Derechos Humanos, grado P01 </w:t>
      </w:r>
    </w:p>
    <w:p w14:paraId="1C444BE7"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 xml:space="preserve">1 Oficial de Prensa y Comunicación, grado P02 </w:t>
      </w:r>
    </w:p>
    <w:p w14:paraId="0320AD8B"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 xml:space="preserve">1 Especialista en Derechos Humanos, grado P03 </w:t>
      </w:r>
    </w:p>
    <w:p w14:paraId="48839DB2" w14:textId="77777777" w:rsidR="00437CDA" w:rsidRPr="00F0798B" w:rsidRDefault="00437CDA" w:rsidP="008F10FD">
      <w:pPr>
        <w:pStyle w:val="paragraphs"/>
        <w:numPr>
          <w:ilvl w:val="0"/>
          <w:numId w:val="0"/>
        </w:numPr>
        <w:spacing w:after="0"/>
        <w:ind w:left="1526" w:hanging="446"/>
        <w:rPr>
          <w:rFonts w:eastAsia="Cambria" w:cstheme="minorHAnsi"/>
        </w:rPr>
      </w:pPr>
    </w:p>
    <w:p w14:paraId="17AE720F" w14:textId="04B9608D" w:rsidR="001E5623" w:rsidRPr="00F0798B" w:rsidRDefault="001E5623" w:rsidP="00437CDA">
      <w:pPr>
        <w:pStyle w:val="paragraphs"/>
        <w:numPr>
          <w:ilvl w:val="0"/>
          <w:numId w:val="0"/>
        </w:numPr>
        <w:spacing w:after="0"/>
        <w:ind w:left="1526" w:hanging="806"/>
        <w:rPr>
          <w:rFonts w:eastAsia="Cambria" w:cstheme="minorHAnsi"/>
        </w:rPr>
      </w:pPr>
      <w:r w:rsidRPr="00F0798B">
        <w:rPr>
          <w:rFonts w:eastAsia="Cambria" w:cstheme="minorHAnsi"/>
        </w:rPr>
        <w:t>Actualmente se están programando las entrevistas del siguiente concurso:</w:t>
      </w:r>
    </w:p>
    <w:p w14:paraId="2C2E313A" w14:textId="77777777" w:rsidR="00437CDA" w:rsidRPr="00F0798B" w:rsidRDefault="00437CDA" w:rsidP="00437CDA">
      <w:pPr>
        <w:pStyle w:val="paragraphs"/>
        <w:numPr>
          <w:ilvl w:val="0"/>
          <w:numId w:val="0"/>
        </w:numPr>
        <w:spacing w:after="0"/>
        <w:ind w:left="1526" w:hanging="806"/>
        <w:rPr>
          <w:rFonts w:eastAsia="Cambria" w:cstheme="minorHAnsi"/>
        </w:rPr>
      </w:pPr>
    </w:p>
    <w:p w14:paraId="1A5A64A6"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 xml:space="preserve">1 Especialista en Derechos Humanos, grado P02 para incorporarse al Despacho del Secretario Ejecutivo </w:t>
      </w:r>
    </w:p>
    <w:p w14:paraId="7726A081" w14:textId="77777777" w:rsidR="008F10FD" w:rsidRPr="00F0798B" w:rsidRDefault="008F10FD" w:rsidP="008F10FD">
      <w:pPr>
        <w:pStyle w:val="paragraphs"/>
        <w:numPr>
          <w:ilvl w:val="0"/>
          <w:numId w:val="0"/>
        </w:numPr>
        <w:spacing w:after="0"/>
        <w:ind w:left="1526" w:hanging="446"/>
        <w:rPr>
          <w:rFonts w:eastAsia="Cambria" w:cstheme="minorHAnsi"/>
        </w:rPr>
      </w:pPr>
    </w:p>
    <w:p w14:paraId="18D3EB74" w14:textId="6CAE6A54" w:rsidR="001E5623" w:rsidRPr="00F0798B" w:rsidRDefault="001E5623" w:rsidP="005F60E5">
      <w:pPr>
        <w:pStyle w:val="paragraphs"/>
        <w:numPr>
          <w:ilvl w:val="0"/>
          <w:numId w:val="7"/>
        </w:numPr>
        <w:ind w:left="0" w:firstLine="720"/>
      </w:pPr>
      <w:r w:rsidRPr="00F0798B">
        <w:t>Con estas últimas entrevistas se ocuparían en su totalidad las 11 posiciones que fueron creadas en 2018.</w:t>
      </w:r>
    </w:p>
    <w:p w14:paraId="14FC8EFE" w14:textId="2ACBD945" w:rsidR="001E5623" w:rsidRPr="00F0798B" w:rsidRDefault="001E5623" w:rsidP="005F60E5">
      <w:pPr>
        <w:pStyle w:val="paragraphs"/>
        <w:numPr>
          <w:ilvl w:val="0"/>
          <w:numId w:val="7"/>
        </w:numPr>
        <w:ind w:left="0" w:firstLine="720"/>
      </w:pPr>
      <w:r w:rsidRPr="00F0798B">
        <w:t>Adicionalmente durante el 2018 se originaron dos vacantes de puestos que estaban previamente ocupados en la estructura de la SE/CIDH. Estos puestos fueron publicados para realizar los concursos pertinentes:</w:t>
      </w:r>
    </w:p>
    <w:p w14:paraId="3806758C"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 xml:space="preserve">Especialista Principal en Derechos Humanos, nivel P05. Este concurso se encuentra en etapa de programación de una última entrevista. </w:t>
      </w:r>
    </w:p>
    <w:p w14:paraId="6AD85C71" w14:textId="77777777" w:rsidR="001E5623" w:rsidRPr="00F0798B" w:rsidRDefault="001E5623" w:rsidP="005F60E5">
      <w:pPr>
        <w:pStyle w:val="paragraphs"/>
        <w:numPr>
          <w:ilvl w:val="0"/>
          <w:numId w:val="5"/>
        </w:numPr>
        <w:spacing w:after="0"/>
        <w:ind w:left="1260" w:hanging="540"/>
        <w:rPr>
          <w:rFonts w:eastAsia="Cambria" w:cstheme="minorHAnsi"/>
        </w:rPr>
      </w:pPr>
      <w:r w:rsidRPr="00F0798B">
        <w:rPr>
          <w:rFonts w:eastAsia="Cambria" w:cstheme="minorHAnsi"/>
        </w:rPr>
        <w:t xml:space="preserve">Especialista en Derechos Humanos, nivel P04. Este concurso se encuentra en etapa de programación de entrevistas. </w:t>
      </w:r>
    </w:p>
    <w:p w14:paraId="03234D46" w14:textId="77777777" w:rsidR="00437CDA" w:rsidRPr="00F0798B" w:rsidRDefault="00437CDA" w:rsidP="00437CDA">
      <w:pPr>
        <w:pStyle w:val="paragraphs"/>
        <w:numPr>
          <w:ilvl w:val="0"/>
          <w:numId w:val="0"/>
        </w:numPr>
        <w:spacing w:after="0"/>
        <w:ind w:left="1260" w:hanging="360"/>
        <w:rPr>
          <w:rFonts w:eastAsia="Cambria" w:cstheme="minorHAnsi"/>
        </w:rPr>
      </w:pPr>
    </w:p>
    <w:p w14:paraId="095F3A10" w14:textId="21D100BA" w:rsidR="001E5623" w:rsidRPr="00F0798B" w:rsidRDefault="001E5623" w:rsidP="005F60E5">
      <w:pPr>
        <w:pStyle w:val="paragraphs"/>
        <w:numPr>
          <w:ilvl w:val="0"/>
          <w:numId w:val="7"/>
        </w:numPr>
        <w:ind w:left="0" w:firstLine="720"/>
      </w:pPr>
      <w:r w:rsidRPr="00F0798B">
        <w:t>Se estima que estos puestos podrían ser cubiertos en los próximos 4 a 6 meses después de culminar los procesos de selección conforme a las regulaciones de la SG/OEA.</w:t>
      </w:r>
    </w:p>
    <w:p w14:paraId="25433794" w14:textId="24B5DB7B" w:rsidR="001E5623" w:rsidRPr="00F0798B" w:rsidRDefault="001E5623" w:rsidP="005F60E5">
      <w:pPr>
        <w:pStyle w:val="paragraphs"/>
        <w:numPr>
          <w:ilvl w:val="0"/>
          <w:numId w:val="7"/>
        </w:numPr>
        <w:ind w:left="0" w:firstLine="720"/>
      </w:pPr>
      <w:r w:rsidRPr="00F0798B">
        <w:t>En el Programa-Presupuesto 2019 de la CIDH para gastos de personal se autorizaron siete nuevas posiciones: 1 posición nivel P04 y 6 posiciones nivel P02. Se estima que la publicación de estos concursos se realice durante el mes de febrero.</w:t>
      </w:r>
    </w:p>
    <w:p w14:paraId="1EB7F259" w14:textId="77777777" w:rsidR="001E5623" w:rsidRPr="00F0798B" w:rsidRDefault="001E5623" w:rsidP="00437CDA">
      <w:pPr>
        <w:pStyle w:val="paragraphs"/>
        <w:numPr>
          <w:ilvl w:val="0"/>
          <w:numId w:val="0"/>
        </w:numPr>
        <w:ind w:firstLine="720"/>
        <w:rPr>
          <w:rFonts w:eastAsia="Cambria" w:cstheme="minorHAnsi"/>
          <w:b/>
          <w:sz w:val="22"/>
        </w:rPr>
      </w:pPr>
      <w:r w:rsidRPr="00F0798B">
        <w:rPr>
          <w:rFonts w:eastAsia="Cambria" w:cstheme="minorHAnsi"/>
          <w:b/>
          <w:sz w:val="22"/>
        </w:rPr>
        <w:lastRenderedPageBreak/>
        <w:t>Consultores, Pasantes, Becarios y Personal Asociado:</w:t>
      </w:r>
    </w:p>
    <w:p w14:paraId="11D9020C" w14:textId="0F3D0B2B" w:rsidR="001E5623" w:rsidRPr="00F0798B" w:rsidRDefault="001E5623" w:rsidP="005F60E5">
      <w:pPr>
        <w:pStyle w:val="paragraphs"/>
        <w:numPr>
          <w:ilvl w:val="0"/>
          <w:numId w:val="7"/>
        </w:numPr>
        <w:ind w:left="0" w:firstLine="720"/>
      </w:pPr>
      <w:r w:rsidRPr="00F0798B">
        <w:t>Durante el mes de diciembre se realizó la renovación de contratos para 31 consultores y se gestionó la contratación de 6 nuevos consultores quienes se estarán integrando durante la segunda semana del mes de enero y la primera semana del mes de febrero fortaleciendo las diferentes áreas de la SE/CIDH.</w:t>
      </w:r>
    </w:p>
    <w:p w14:paraId="4D30454C" w14:textId="505757FA" w:rsidR="001E5623" w:rsidRPr="00F0798B" w:rsidRDefault="001E5623" w:rsidP="005F60E5">
      <w:pPr>
        <w:pStyle w:val="paragraphs"/>
        <w:numPr>
          <w:ilvl w:val="0"/>
          <w:numId w:val="7"/>
        </w:numPr>
        <w:ind w:left="0" w:firstLine="720"/>
      </w:pPr>
      <w:r w:rsidRPr="00F0798B">
        <w:t xml:space="preserve">Durante 2018 a través de las tres Sesiones de Pasantías que se coordinan en el Departamento de Recursos Humanos de la SG/OEA, se incorporaron un total de 104 pasantes en la Secretaría Ejecutiva de la CIDH. </w:t>
      </w:r>
    </w:p>
    <w:tbl>
      <w:tblPr>
        <w:tblW w:w="7360" w:type="dxa"/>
        <w:jc w:val="center"/>
        <w:tblLook w:val="04A0" w:firstRow="1" w:lastRow="0" w:firstColumn="1" w:lastColumn="0" w:noHBand="0" w:noVBand="1"/>
      </w:tblPr>
      <w:tblGrid>
        <w:gridCol w:w="2620"/>
        <w:gridCol w:w="1600"/>
        <w:gridCol w:w="3140"/>
      </w:tblGrid>
      <w:tr w:rsidR="001E5623" w:rsidRPr="00F0798B" w14:paraId="37D957DE" w14:textId="77777777" w:rsidTr="001E5623">
        <w:trPr>
          <w:trHeight w:val="300"/>
          <w:jc w:val="center"/>
        </w:trPr>
        <w:tc>
          <w:tcPr>
            <w:tcW w:w="262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4FDF64A0"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Sesión 2018</w:t>
            </w:r>
          </w:p>
        </w:tc>
        <w:tc>
          <w:tcPr>
            <w:tcW w:w="1600" w:type="dxa"/>
            <w:tcBorders>
              <w:top w:val="single" w:sz="4" w:space="0" w:color="auto"/>
              <w:left w:val="nil"/>
              <w:bottom w:val="single" w:sz="4" w:space="0" w:color="auto"/>
              <w:right w:val="single" w:sz="4" w:space="0" w:color="auto"/>
            </w:tcBorders>
            <w:shd w:val="clear" w:color="000000" w:fill="DDEBF7"/>
            <w:vAlign w:val="center"/>
            <w:hideMark/>
          </w:tcPr>
          <w:p w14:paraId="48243D2B"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No. de Pasantes</w:t>
            </w:r>
          </w:p>
        </w:tc>
        <w:tc>
          <w:tcPr>
            <w:tcW w:w="3140" w:type="dxa"/>
            <w:tcBorders>
              <w:top w:val="single" w:sz="4" w:space="0" w:color="auto"/>
              <w:left w:val="nil"/>
              <w:bottom w:val="single" w:sz="4" w:space="0" w:color="auto"/>
              <w:right w:val="single" w:sz="4" w:space="0" w:color="auto"/>
            </w:tcBorders>
            <w:shd w:val="clear" w:color="000000" w:fill="DDEBF7"/>
            <w:vAlign w:val="center"/>
            <w:hideMark/>
          </w:tcPr>
          <w:p w14:paraId="314B7BCE"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Sección</w:t>
            </w:r>
          </w:p>
        </w:tc>
      </w:tr>
      <w:tr w:rsidR="001E5623" w:rsidRPr="00F0798B" w14:paraId="3F170B14" w14:textId="77777777" w:rsidTr="001E5623">
        <w:trPr>
          <w:trHeight w:val="300"/>
          <w:jc w:val="center"/>
        </w:trPr>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280CA4CF"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Invierno/Primavera</w:t>
            </w:r>
          </w:p>
        </w:tc>
        <w:tc>
          <w:tcPr>
            <w:tcW w:w="1600" w:type="dxa"/>
            <w:tcBorders>
              <w:top w:val="nil"/>
              <w:left w:val="nil"/>
              <w:bottom w:val="single" w:sz="4" w:space="0" w:color="auto"/>
              <w:right w:val="single" w:sz="4" w:space="0" w:color="auto"/>
            </w:tcBorders>
            <w:shd w:val="clear" w:color="auto" w:fill="auto"/>
            <w:vAlign w:val="center"/>
            <w:hideMark/>
          </w:tcPr>
          <w:p w14:paraId="081B65C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5</w:t>
            </w:r>
          </w:p>
        </w:tc>
        <w:tc>
          <w:tcPr>
            <w:tcW w:w="3140" w:type="dxa"/>
            <w:tcBorders>
              <w:top w:val="nil"/>
              <w:left w:val="nil"/>
              <w:bottom w:val="single" w:sz="4" w:space="0" w:color="auto"/>
              <w:right w:val="single" w:sz="4" w:space="0" w:color="auto"/>
            </w:tcBorders>
            <w:shd w:val="clear" w:color="auto" w:fill="auto"/>
            <w:vAlign w:val="center"/>
            <w:hideMark/>
          </w:tcPr>
          <w:p w14:paraId="1E1C4F33"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Registro</w:t>
            </w:r>
          </w:p>
        </w:tc>
      </w:tr>
      <w:tr w:rsidR="001E5623" w:rsidRPr="00F0798B" w14:paraId="66D8489F"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210D6E7"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0B11578E"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7</w:t>
            </w:r>
          </w:p>
        </w:tc>
        <w:tc>
          <w:tcPr>
            <w:tcW w:w="3140" w:type="dxa"/>
            <w:tcBorders>
              <w:top w:val="nil"/>
              <w:left w:val="nil"/>
              <w:bottom w:val="single" w:sz="4" w:space="0" w:color="auto"/>
              <w:right w:val="single" w:sz="4" w:space="0" w:color="auto"/>
            </w:tcBorders>
            <w:shd w:val="clear" w:color="auto" w:fill="auto"/>
            <w:vAlign w:val="center"/>
            <w:hideMark/>
          </w:tcPr>
          <w:p w14:paraId="33588AF9"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Admisibilidad</w:t>
            </w:r>
          </w:p>
        </w:tc>
      </w:tr>
      <w:tr w:rsidR="001E5623" w:rsidRPr="00F0798B" w14:paraId="2853F3AA"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266F79F"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3364BE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6</w:t>
            </w:r>
          </w:p>
        </w:tc>
        <w:tc>
          <w:tcPr>
            <w:tcW w:w="3140" w:type="dxa"/>
            <w:tcBorders>
              <w:top w:val="nil"/>
              <w:left w:val="nil"/>
              <w:bottom w:val="single" w:sz="4" w:space="0" w:color="auto"/>
              <w:right w:val="single" w:sz="4" w:space="0" w:color="auto"/>
            </w:tcBorders>
            <w:shd w:val="clear" w:color="auto" w:fill="auto"/>
            <w:vAlign w:val="center"/>
            <w:hideMark/>
          </w:tcPr>
          <w:p w14:paraId="250ABF27"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Casos</w:t>
            </w:r>
          </w:p>
        </w:tc>
      </w:tr>
      <w:tr w:rsidR="001E5623" w:rsidRPr="00F0798B" w14:paraId="2D16E421"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7B798F3"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noWrap/>
            <w:vAlign w:val="bottom"/>
            <w:hideMark/>
          </w:tcPr>
          <w:p w14:paraId="1973741A"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4</w:t>
            </w:r>
          </w:p>
        </w:tc>
        <w:tc>
          <w:tcPr>
            <w:tcW w:w="3140" w:type="dxa"/>
            <w:tcBorders>
              <w:top w:val="nil"/>
              <w:left w:val="nil"/>
              <w:bottom w:val="single" w:sz="4" w:space="0" w:color="auto"/>
              <w:right w:val="single" w:sz="4" w:space="0" w:color="auto"/>
            </w:tcBorders>
            <w:shd w:val="clear" w:color="auto" w:fill="auto"/>
            <w:noWrap/>
            <w:vAlign w:val="bottom"/>
            <w:hideMark/>
          </w:tcPr>
          <w:p w14:paraId="7D39CA6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Medidas Cautelares</w:t>
            </w:r>
          </w:p>
        </w:tc>
      </w:tr>
      <w:tr w:rsidR="001E5623" w:rsidRPr="00F0798B" w14:paraId="7574D720"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23A92A3"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7C187072"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509EC192"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Soluciones Amistosas</w:t>
            </w:r>
          </w:p>
        </w:tc>
      </w:tr>
      <w:tr w:rsidR="001E5623" w:rsidRPr="00F0798B" w14:paraId="49EBAAD9"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E6DE5B5"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791206A0"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439518F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w:t>
            </w:r>
          </w:p>
        </w:tc>
      </w:tr>
      <w:tr w:rsidR="001E5623" w:rsidRPr="00F0798B" w14:paraId="4888F58F"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1062EFB"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5453F75"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1CA0311D"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II</w:t>
            </w:r>
          </w:p>
        </w:tc>
      </w:tr>
      <w:tr w:rsidR="001E5623" w:rsidRPr="00F0798B" w14:paraId="2E9E36BC"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4941487D"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6886BF92"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14702DEA"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III</w:t>
            </w:r>
          </w:p>
        </w:tc>
      </w:tr>
      <w:tr w:rsidR="001E5623" w:rsidRPr="00F0798B" w14:paraId="1482C849"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6A6A424"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41F3A463"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3AF6435B"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 xml:space="preserve">Seguimiento Recomendaciones </w:t>
            </w:r>
          </w:p>
        </w:tc>
      </w:tr>
      <w:tr w:rsidR="001E5623" w:rsidRPr="00F0798B" w14:paraId="7EC83104"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84A6445"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8F59D6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61A47FD0"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Cooperación Técnica y PP</w:t>
            </w:r>
          </w:p>
        </w:tc>
      </w:tr>
      <w:tr w:rsidR="001E5623" w:rsidRPr="00F0798B" w14:paraId="7AE5E51C"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10D5A37"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84AE23F"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2</w:t>
            </w:r>
          </w:p>
        </w:tc>
        <w:tc>
          <w:tcPr>
            <w:tcW w:w="3140" w:type="dxa"/>
            <w:tcBorders>
              <w:top w:val="nil"/>
              <w:left w:val="nil"/>
              <w:bottom w:val="single" w:sz="4" w:space="0" w:color="auto"/>
              <w:right w:val="single" w:sz="4" w:space="0" w:color="auto"/>
            </w:tcBorders>
            <w:shd w:val="clear" w:color="auto" w:fill="auto"/>
            <w:vAlign w:val="center"/>
            <w:hideMark/>
          </w:tcPr>
          <w:p w14:paraId="4BD664CD"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Oficina Prensa</w:t>
            </w:r>
          </w:p>
        </w:tc>
      </w:tr>
      <w:tr w:rsidR="001E5623" w:rsidRPr="00F0798B" w14:paraId="5A2EE3E3"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0935ECD"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0A8D397"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37C9F7A9"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Oficina Secretario Ejecutivo</w:t>
            </w:r>
          </w:p>
        </w:tc>
      </w:tr>
      <w:tr w:rsidR="001E5623" w:rsidRPr="00F0798B" w14:paraId="651F4047"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3E95EF8"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3AED3253"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38B07903"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Planificación y Proyectos</w:t>
            </w:r>
          </w:p>
        </w:tc>
      </w:tr>
      <w:tr w:rsidR="001E5623" w:rsidRPr="00F0798B" w14:paraId="355041C2"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AF1DBFA"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2B90ED26"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71E690DC"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Tecnología</w:t>
            </w:r>
          </w:p>
        </w:tc>
      </w:tr>
      <w:tr w:rsidR="001E5623" w:rsidRPr="00F0798B" w14:paraId="5B152ED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2F77070"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49A16509"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4FADD6C5"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RELE</w:t>
            </w:r>
          </w:p>
        </w:tc>
      </w:tr>
      <w:tr w:rsidR="001E5623" w:rsidRPr="00F0798B" w14:paraId="7B43737C" w14:textId="77777777" w:rsidTr="001E5623">
        <w:trPr>
          <w:trHeight w:val="300"/>
          <w:jc w:val="center"/>
        </w:trPr>
        <w:tc>
          <w:tcPr>
            <w:tcW w:w="2620" w:type="dxa"/>
            <w:tcBorders>
              <w:top w:val="nil"/>
              <w:left w:val="single" w:sz="4" w:space="0" w:color="auto"/>
              <w:bottom w:val="single" w:sz="4" w:space="0" w:color="auto"/>
              <w:right w:val="single" w:sz="4" w:space="0" w:color="auto"/>
            </w:tcBorders>
            <w:shd w:val="clear" w:color="000000" w:fill="DDEBF7"/>
            <w:hideMark/>
          </w:tcPr>
          <w:p w14:paraId="56B3B252"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Total</w:t>
            </w:r>
          </w:p>
        </w:tc>
        <w:tc>
          <w:tcPr>
            <w:tcW w:w="1600" w:type="dxa"/>
            <w:tcBorders>
              <w:top w:val="nil"/>
              <w:left w:val="nil"/>
              <w:bottom w:val="single" w:sz="4" w:space="0" w:color="auto"/>
              <w:right w:val="single" w:sz="4" w:space="0" w:color="auto"/>
            </w:tcBorders>
            <w:shd w:val="clear" w:color="000000" w:fill="DDEBF7"/>
            <w:hideMark/>
          </w:tcPr>
          <w:p w14:paraId="46CCCC0E"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34</w:t>
            </w:r>
          </w:p>
          <w:p w14:paraId="39BD0DE0"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p>
        </w:tc>
        <w:tc>
          <w:tcPr>
            <w:tcW w:w="3140" w:type="dxa"/>
            <w:tcBorders>
              <w:top w:val="nil"/>
              <w:left w:val="nil"/>
              <w:bottom w:val="single" w:sz="4" w:space="0" w:color="auto"/>
              <w:right w:val="single" w:sz="4" w:space="0" w:color="auto"/>
            </w:tcBorders>
            <w:shd w:val="clear" w:color="000000" w:fill="DDEBF7"/>
            <w:hideMark/>
          </w:tcPr>
          <w:p w14:paraId="24CA2D95" w14:textId="77777777" w:rsidR="001E5623" w:rsidRPr="00F0798B" w:rsidRDefault="001E5623" w:rsidP="001E5623">
            <w:pPr>
              <w:jc w:val="center"/>
              <w:rPr>
                <w:rFonts w:ascii="Cambria" w:eastAsia="Times New Roman" w:hAnsi="Cambria" w:cs="Calibri"/>
                <w:color w:val="000000" w:themeColor="text1"/>
                <w:sz w:val="20"/>
                <w:szCs w:val="20"/>
                <w:lang w:val="es-ES_tradnl"/>
              </w:rPr>
            </w:pPr>
          </w:p>
        </w:tc>
      </w:tr>
      <w:tr w:rsidR="001E5623" w:rsidRPr="00F0798B" w14:paraId="29F55F03" w14:textId="77777777" w:rsidTr="001E5623">
        <w:trPr>
          <w:trHeight w:val="300"/>
          <w:jc w:val="center"/>
        </w:trPr>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65B24B63"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Verano</w:t>
            </w:r>
          </w:p>
        </w:tc>
        <w:tc>
          <w:tcPr>
            <w:tcW w:w="1600" w:type="dxa"/>
            <w:tcBorders>
              <w:top w:val="nil"/>
              <w:left w:val="nil"/>
              <w:bottom w:val="single" w:sz="4" w:space="0" w:color="auto"/>
              <w:right w:val="single" w:sz="4" w:space="0" w:color="auto"/>
            </w:tcBorders>
            <w:shd w:val="clear" w:color="auto" w:fill="auto"/>
            <w:vAlign w:val="center"/>
            <w:hideMark/>
          </w:tcPr>
          <w:p w14:paraId="0403122D"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5</w:t>
            </w:r>
          </w:p>
        </w:tc>
        <w:tc>
          <w:tcPr>
            <w:tcW w:w="3140" w:type="dxa"/>
            <w:tcBorders>
              <w:top w:val="nil"/>
              <w:left w:val="nil"/>
              <w:bottom w:val="single" w:sz="4" w:space="0" w:color="auto"/>
              <w:right w:val="single" w:sz="4" w:space="0" w:color="auto"/>
            </w:tcBorders>
            <w:shd w:val="clear" w:color="auto" w:fill="auto"/>
            <w:vAlign w:val="center"/>
            <w:hideMark/>
          </w:tcPr>
          <w:p w14:paraId="04DCE97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Registro</w:t>
            </w:r>
          </w:p>
        </w:tc>
      </w:tr>
      <w:tr w:rsidR="001E5623" w:rsidRPr="00F0798B" w14:paraId="196C0345"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454AB554"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E1B3D0B"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7</w:t>
            </w:r>
          </w:p>
        </w:tc>
        <w:tc>
          <w:tcPr>
            <w:tcW w:w="3140" w:type="dxa"/>
            <w:tcBorders>
              <w:top w:val="nil"/>
              <w:left w:val="nil"/>
              <w:bottom w:val="single" w:sz="4" w:space="0" w:color="auto"/>
              <w:right w:val="single" w:sz="4" w:space="0" w:color="auto"/>
            </w:tcBorders>
            <w:shd w:val="clear" w:color="auto" w:fill="auto"/>
            <w:vAlign w:val="center"/>
            <w:hideMark/>
          </w:tcPr>
          <w:p w14:paraId="5601AD8E"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Admisibilidad</w:t>
            </w:r>
          </w:p>
        </w:tc>
      </w:tr>
      <w:tr w:rsidR="001E5623" w:rsidRPr="00F0798B" w14:paraId="1D80E23B"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FC62A02"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046748E"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6</w:t>
            </w:r>
          </w:p>
        </w:tc>
        <w:tc>
          <w:tcPr>
            <w:tcW w:w="3140" w:type="dxa"/>
            <w:tcBorders>
              <w:top w:val="nil"/>
              <w:left w:val="nil"/>
              <w:bottom w:val="single" w:sz="4" w:space="0" w:color="auto"/>
              <w:right w:val="single" w:sz="4" w:space="0" w:color="auto"/>
            </w:tcBorders>
            <w:shd w:val="clear" w:color="auto" w:fill="auto"/>
            <w:vAlign w:val="center"/>
            <w:hideMark/>
          </w:tcPr>
          <w:p w14:paraId="39F23FA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Casos</w:t>
            </w:r>
          </w:p>
        </w:tc>
      </w:tr>
      <w:tr w:rsidR="001E5623" w:rsidRPr="00F0798B" w14:paraId="03F906FE"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473AEDF"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5089F1E"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4</w:t>
            </w:r>
          </w:p>
        </w:tc>
        <w:tc>
          <w:tcPr>
            <w:tcW w:w="3140" w:type="dxa"/>
            <w:tcBorders>
              <w:top w:val="nil"/>
              <w:left w:val="nil"/>
              <w:bottom w:val="single" w:sz="4" w:space="0" w:color="auto"/>
              <w:right w:val="single" w:sz="4" w:space="0" w:color="auto"/>
            </w:tcBorders>
            <w:shd w:val="clear" w:color="auto" w:fill="auto"/>
            <w:noWrap/>
            <w:vAlign w:val="bottom"/>
            <w:hideMark/>
          </w:tcPr>
          <w:p w14:paraId="06CD105A"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Medidas Cautelares</w:t>
            </w:r>
          </w:p>
        </w:tc>
      </w:tr>
      <w:tr w:rsidR="001E5623" w:rsidRPr="00F0798B" w14:paraId="245BB546"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38DFDE4"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7951CF7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52911EE9"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Soluciones Amistosas</w:t>
            </w:r>
          </w:p>
        </w:tc>
      </w:tr>
      <w:tr w:rsidR="001E5623" w:rsidRPr="00F0798B" w14:paraId="18BE66F1"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D461618"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34CA847D"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58498D4B"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w:t>
            </w:r>
          </w:p>
        </w:tc>
      </w:tr>
      <w:tr w:rsidR="001E5623" w:rsidRPr="00F0798B" w14:paraId="694D2233"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B7FE638"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4AFD4CC"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788389DF"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II</w:t>
            </w:r>
          </w:p>
        </w:tc>
      </w:tr>
      <w:tr w:rsidR="001E5623" w:rsidRPr="00F0798B" w14:paraId="19A17AA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4F25F7D6"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7EA1A980"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1AF08EC2"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III</w:t>
            </w:r>
          </w:p>
        </w:tc>
      </w:tr>
      <w:tr w:rsidR="001E5623" w:rsidRPr="00F0798B" w14:paraId="6F287A30"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2EBFC49"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23A7AA1"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687F1A7F"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 xml:space="preserve">Seguimiento Recomendaciones </w:t>
            </w:r>
          </w:p>
        </w:tc>
      </w:tr>
      <w:tr w:rsidR="001E5623" w:rsidRPr="00F0798B" w14:paraId="3ABA61DC"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EE46D88"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C4B0267"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04A7F6F9"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Cooperación Técnica y PP</w:t>
            </w:r>
          </w:p>
        </w:tc>
      </w:tr>
      <w:tr w:rsidR="001E5623" w:rsidRPr="00F0798B" w14:paraId="26A49474"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B48FFA1"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A837AA2"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2</w:t>
            </w:r>
          </w:p>
        </w:tc>
        <w:tc>
          <w:tcPr>
            <w:tcW w:w="3140" w:type="dxa"/>
            <w:tcBorders>
              <w:top w:val="nil"/>
              <w:left w:val="nil"/>
              <w:bottom w:val="single" w:sz="4" w:space="0" w:color="auto"/>
              <w:right w:val="single" w:sz="4" w:space="0" w:color="auto"/>
            </w:tcBorders>
            <w:shd w:val="clear" w:color="auto" w:fill="auto"/>
            <w:vAlign w:val="center"/>
            <w:hideMark/>
          </w:tcPr>
          <w:p w14:paraId="01048D12"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Oficina Prensa</w:t>
            </w:r>
          </w:p>
        </w:tc>
      </w:tr>
      <w:tr w:rsidR="001E5623" w:rsidRPr="00F0798B" w14:paraId="23D69C27"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12DFE05D"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31AF13EF"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249C863D"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Oficina Secretario Ejecutivo</w:t>
            </w:r>
          </w:p>
        </w:tc>
      </w:tr>
      <w:tr w:rsidR="001E5623" w:rsidRPr="00F0798B" w14:paraId="47EA3C17"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B315905"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2F311D00"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0A3254C2"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Planificación y Proyectos</w:t>
            </w:r>
          </w:p>
        </w:tc>
      </w:tr>
      <w:tr w:rsidR="001E5623" w:rsidRPr="00F0798B" w14:paraId="68A0454A"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0101F3E"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058B3BAF"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497D57DB"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REDESCA</w:t>
            </w:r>
          </w:p>
        </w:tc>
      </w:tr>
      <w:tr w:rsidR="001E5623" w:rsidRPr="00F0798B" w14:paraId="54A9553A"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78F229D"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792FCF1A"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3A291221"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RELE</w:t>
            </w:r>
          </w:p>
        </w:tc>
      </w:tr>
      <w:tr w:rsidR="001E5623" w:rsidRPr="00F0798B" w14:paraId="2F97D1B2" w14:textId="77777777" w:rsidTr="001E5623">
        <w:trPr>
          <w:trHeight w:val="300"/>
          <w:jc w:val="center"/>
        </w:trPr>
        <w:tc>
          <w:tcPr>
            <w:tcW w:w="2620" w:type="dxa"/>
            <w:tcBorders>
              <w:top w:val="nil"/>
              <w:left w:val="single" w:sz="4" w:space="0" w:color="auto"/>
              <w:bottom w:val="single" w:sz="4" w:space="0" w:color="auto"/>
              <w:right w:val="single" w:sz="4" w:space="0" w:color="auto"/>
            </w:tcBorders>
            <w:shd w:val="clear" w:color="000000" w:fill="DDEBF7"/>
            <w:vAlign w:val="center"/>
            <w:hideMark/>
          </w:tcPr>
          <w:p w14:paraId="7F3778B8" w14:textId="77777777" w:rsidR="001E5623" w:rsidRPr="00F0798B" w:rsidRDefault="001E5623" w:rsidP="001E5623">
            <w:pP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lastRenderedPageBreak/>
              <w:t>Total</w:t>
            </w:r>
          </w:p>
        </w:tc>
        <w:tc>
          <w:tcPr>
            <w:tcW w:w="1600" w:type="dxa"/>
            <w:tcBorders>
              <w:top w:val="nil"/>
              <w:left w:val="nil"/>
              <w:bottom w:val="single" w:sz="4" w:space="0" w:color="auto"/>
              <w:right w:val="single" w:sz="4" w:space="0" w:color="auto"/>
            </w:tcBorders>
            <w:shd w:val="clear" w:color="000000" w:fill="DDEBF7"/>
            <w:vAlign w:val="center"/>
            <w:hideMark/>
          </w:tcPr>
          <w:p w14:paraId="0E1F2534"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34</w:t>
            </w:r>
          </w:p>
        </w:tc>
        <w:tc>
          <w:tcPr>
            <w:tcW w:w="3140" w:type="dxa"/>
            <w:tcBorders>
              <w:top w:val="nil"/>
              <w:left w:val="nil"/>
              <w:bottom w:val="single" w:sz="4" w:space="0" w:color="auto"/>
              <w:right w:val="single" w:sz="4" w:space="0" w:color="auto"/>
            </w:tcBorders>
            <w:shd w:val="clear" w:color="000000" w:fill="DDEBF7"/>
            <w:vAlign w:val="center"/>
            <w:hideMark/>
          </w:tcPr>
          <w:p w14:paraId="5BE30731"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 </w:t>
            </w:r>
          </w:p>
        </w:tc>
      </w:tr>
      <w:tr w:rsidR="001E5623" w:rsidRPr="00F0798B" w14:paraId="152D7305" w14:textId="77777777" w:rsidTr="001E5623">
        <w:trPr>
          <w:trHeight w:val="300"/>
          <w:jc w:val="center"/>
        </w:trPr>
        <w:tc>
          <w:tcPr>
            <w:tcW w:w="2620" w:type="dxa"/>
            <w:vMerge w:val="restart"/>
            <w:tcBorders>
              <w:top w:val="nil"/>
              <w:left w:val="single" w:sz="4" w:space="0" w:color="auto"/>
              <w:bottom w:val="single" w:sz="4" w:space="0" w:color="000000"/>
              <w:right w:val="single" w:sz="4" w:space="0" w:color="auto"/>
            </w:tcBorders>
            <w:shd w:val="clear" w:color="auto" w:fill="auto"/>
            <w:vAlign w:val="center"/>
            <w:hideMark/>
          </w:tcPr>
          <w:p w14:paraId="6E546CE8"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Otoño</w:t>
            </w:r>
          </w:p>
        </w:tc>
        <w:tc>
          <w:tcPr>
            <w:tcW w:w="1600" w:type="dxa"/>
            <w:tcBorders>
              <w:top w:val="nil"/>
              <w:left w:val="nil"/>
              <w:bottom w:val="single" w:sz="4" w:space="0" w:color="auto"/>
              <w:right w:val="single" w:sz="4" w:space="0" w:color="auto"/>
            </w:tcBorders>
            <w:shd w:val="clear" w:color="auto" w:fill="auto"/>
            <w:vAlign w:val="center"/>
            <w:hideMark/>
          </w:tcPr>
          <w:p w14:paraId="37E2F8EB"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3</w:t>
            </w:r>
          </w:p>
        </w:tc>
        <w:tc>
          <w:tcPr>
            <w:tcW w:w="3140" w:type="dxa"/>
            <w:tcBorders>
              <w:top w:val="nil"/>
              <w:left w:val="nil"/>
              <w:bottom w:val="single" w:sz="4" w:space="0" w:color="auto"/>
              <w:right w:val="single" w:sz="4" w:space="0" w:color="auto"/>
            </w:tcBorders>
            <w:shd w:val="clear" w:color="auto" w:fill="auto"/>
            <w:vAlign w:val="center"/>
            <w:hideMark/>
          </w:tcPr>
          <w:p w14:paraId="197413EF"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Registro</w:t>
            </w:r>
          </w:p>
        </w:tc>
      </w:tr>
      <w:tr w:rsidR="001E5623" w:rsidRPr="00F0798B" w14:paraId="236B8AA5"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BA24D54"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6C7D4011"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7</w:t>
            </w:r>
          </w:p>
        </w:tc>
        <w:tc>
          <w:tcPr>
            <w:tcW w:w="3140" w:type="dxa"/>
            <w:tcBorders>
              <w:top w:val="nil"/>
              <w:left w:val="nil"/>
              <w:bottom w:val="single" w:sz="4" w:space="0" w:color="auto"/>
              <w:right w:val="single" w:sz="4" w:space="0" w:color="auto"/>
            </w:tcBorders>
            <w:shd w:val="clear" w:color="auto" w:fill="auto"/>
            <w:vAlign w:val="center"/>
            <w:hideMark/>
          </w:tcPr>
          <w:p w14:paraId="1C0FC0FE"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Admisibilidad</w:t>
            </w:r>
          </w:p>
        </w:tc>
      </w:tr>
      <w:tr w:rsidR="001E5623" w:rsidRPr="00F0798B" w14:paraId="06ED6445"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FB2A285"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3311CC91"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7</w:t>
            </w:r>
          </w:p>
        </w:tc>
        <w:tc>
          <w:tcPr>
            <w:tcW w:w="3140" w:type="dxa"/>
            <w:tcBorders>
              <w:top w:val="nil"/>
              <w:left w:val="nil"/>
              <w:bottom w:val="single" w:sz="4" w:space="0" w:color="auto"/>
              <w:right w:val="single" w:sz="4" w:space="0" w:color="auto"/>
            </w:tcBorders>
            <w:shd w:val="clear" w:color="auto" w:fill="auto"/>
            <w:vAlign w:val="center"/>
            <w:hideMark/>
          </w:tcPr>
          <w:p w14:paraId="4CE1A114"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Casos</w:t>
            </w:r>
          </w:p>
        </w:tc>
      </w:tr>
      <w:tr w:rsidR="001E5623" w:rsidRPr="00F0798B" w14:paraId="035B787C"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5C2C6309"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2DE04469"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4</w:t>
            </w:r>
          </w:p>
        </w:tc>
        <w:tc>
          <w:tcPr>
            <w:tcW w:w="3140" w:type="dxa"/>
            <w:tcBorders>
              <w:top w:val="nil"/>
              <w:left w:val="nil"/>
              <w:bottom w:val="single" w:sz="4" w:space="0" w:color="auto"/>
              <w:right w:val="single" w:sz="4" w:space="0" w:color="auto"/>
            </w:tcBorders>
            <w:shd w:val="clear" w:color="auto" w:fill="auto"/>
            <w:noWrap/>
            <w:vAlign w:val="bottom"/>
            <w:hideMark/>
          </w:tcPr>
          <w:p w14:paraId="0FAD3874"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Medidas Cautelares</w:t>
            </w:r>
          </w:p>
        </w:tc>
      </w:tr>
      <w:tr w:rsidR="001E5623" w:rsidRPr="00F0798B" w14:paraId="3AED5B32"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729E551"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4D4F3E13"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2</w:t>
            </w:r>
          </w:p>
        </w:tc>
        <w:tc>
          <w:tcPr>
            <w:tcW w:w="3140" w:type="dxa"/>
            <w:tcBorders>
              <w:top w:val="nil"/>
              <w:left w:val="nil"/>
              <w:bottom w:val="single" w:sz="4" w:space="0" w:color="auto"/>
              <w:right w:val="single" w:sz="4" w:space="0" w:color="auto"/>
            </w:tcBorders>
            <w:shd w:val="clear" w:color="auto" w:fill="auto"/>
            <w:vAlign w:val="center"/>
            <w:hideMark/>
          </w:tcPr>
          <w:p w14:paraId="740D3D16"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Soluciones Amistosas</w:t>
            </w:r>
          </w:p>
        </w:tc>
      </w:tr>
      <w:tr w:rsidR="001E5623" w:rsidRPr="00F0798B" w14:paraId="39942D7A"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ED05DB6"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AA7F312"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7824DF37"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w:t>
            </w:r>
          </w:p>
        </w:tc>
      </w:tr>
      <w:tr w:rsidR="001E5623" w:rsidRPr="00F0798B" w14:paraId="1EBA2D07"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04A17BC3"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4215A488"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5355D431"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Monitoreo III</w:t>
            </w:r>
          </w:p>
        </w:tc>
      </w:tr>
      <w:tr w:rsidR="001E5623" w:rsidRPr="00F0798B" w14:paraId="0E2E5628"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675E151F"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F5D2D37"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2</w:t>
            </w:r>
          </w:p>
        </w:tc>
        <w:tc>
          <w:tcPr>
            <w:tcW w:w="3140" w:type="dxa"/>
            <w:tcBorders>
              <w:top w:val="nil"/>
              <w:left w:val="nil"/>
              <w:bottom w:val="single" w:sz="4" w:space="0" w:color="auto"/>
              <w:right w:val="single" w:sz="4" w:space="0" w:color="auto"/>
            </w:tcBorders>
            <w:shd w:val="clear" w:color="auto" w:fill="auto"/>
            <w:vAlign w:val="center"/>
            <w:hideMark/>
          </w:tcPr>
          <w:p w14:paraId="549C607C"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 xml:space="preserve">Seguimiento Recomendaciones </w:t>
            </w:r>
          </w:p>
        </w:tc>
      </w:tr>
      <w:tr w:rsidR="001E5623" w:rsidRPr="00F0798B" w14:paraId="6EB1A5D0"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22ABFF98"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3B793380"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2</w:t>
            </w:r>
          </w:p>
        </w:tc>
        <w:tc>
          <w:tcPr>
            <w:tcW w:w="3140" w:type="dxa"/>
            <w:tcBorders>
              <w:top w:val="nil"/>
              <w:left w:val="nil"/>
              <w:bottom w:val="single" w:sz="4" w:space="0" w:color="auto"/>
              <w:right w:val="single" w:sz="4" w:space="0" w:color="auto"/>
            </w:tcBorders>
            <w:shd w:val="clear" w:color="auto" w:fill="auto"/>
            <w:vAlign w:val="center"/>
            <w:hideMark/>
          </w:tcPr>
          <w:p w14:paraId="33B981B4"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Cooperación Técnica y PP</w:t>
            </w:r>
          </w:p>
        </w:tc>
      </w:tr>
      <w:tr w:rsidR="001E5623" w:rsidRPr="00F0798B" w14:paraId="7F1E6576"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0330B15"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313CFB79"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2</w:t>
            </w:r>
          </w:p>
        </w:tc>
        <w:tc>
          <w:tcPr>
            <w:tcW w:w="3140" w:type="dxa"/>
            <w:tcBorders>
              <w:top w:val="nil"/>
              <w:left w:val="nil"/>
              <w:bottom w:val="single" w:sz="4" w:space="0" w:color="auto"/>
              <w:right w:val="single" w:sz="4" w:space="0" w:color="auto"/>
            </w:tcBorders>
            <w:shd w:val="clear" w:color="auto" w:fill="auto"/>
            <w:vAlign w:val="center"/>
            <w:hideMark/>
          </w:tcPr>
          <w:p w14:paraId="0B881871"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Promoción y Capacitación</w:t>
            </w:r>
          </w:p>
        </w:tc>
      </w:tr>
      <w:tr w:rsidR="001E5623" w:rsidRPr="00F0798B" w14:paraId="22A35BCA"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4C276BD5"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1F60AFE9"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5B4935D7"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Oficina Prensa</w:t>
            </w:r>
          </w:p>
        </w:tc>
      </w:tr>
      <w:tr w:rsidR="001E5623" w:rsidRPr="00F0798B" w14:paraId="337089AE"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0051053"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0D5025FC"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56CDE254"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Planificación y Proyectos</w:t>
            </w:r>
          </w:p>
        </w:tc>
      </w:tr>
      <w:tr w:rsidR="001E5623" w:rsidRPr="00F0798B" w14:paraId="2C184DBF"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7F5EB7E4"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6FC1A44E"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1</w:t>
            </w:r>
          </w:p>
        </w:tc>
        <w:tc>
          <w:tcPr>
            <w:tcW w:w="3140" w:type="dxa"/>
            <w:tcBorders>
              <w:top w:val="nil"/>
              <w:left w:val="nil"/>
              <w:bottom w:val="nil"/>
              <w:right w:val="single" w:sz="4" w:space="0" w:color="auto"/>
            </w:tcBorders>
            <w:shd w:val="clear" w:color="auto" w:fill="auto"/>
            <w:vAlign w:val="center"/>
            <w:hideMark/>
          </w:tcPr>
          <w:p w14:paraId="72C9358D"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Tecnología</w:t>
            </w:r>
          </w:p>
        </w:tc>
      </w:tr>
      <w:tr w:rsidR="001E5623" w:rsidRPr="00F0798B" w14:paraId="09DAA30D"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3B6B650A"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22100381"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1</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14:paraId="5B6341A8"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RELE</w:t>
            </w:r>
          </w:p>
        </w:tc>
      </w:tr>
      <w:tr w:rsidR="001E5623" w:rsidRPr="00F0798B" w14:paraId="2E398FB3" w14:textId="77777777" w:rsidTr="001E5623">
        <w:trPr>
          <w:trHeight w:val="300"/>
          <w:jc w:val="center"/>
        </w:trPr>
        <w:tc>
          <w:tcPr>
            <w:tcW w:w="2620" w:type="dxa"/>
            <w:vMerge/>
            <w:tcBorders>
              <w:top w:val="nil"/>
              <w:left w:val="single" w:sz="4" w:space="0" w:color="auto"/>
              <w:bottom w:val="single" w:sz="4" w:space="0" w:color="000000"/>
              <w:right w:val="single" w:sz="4" w:space="0" w:color="auto"/>
            </w:tcBorders>
            <w:vAlign w:val="center"/>
            <w:hideMark/>
          </w:tcPr>
          <w:p w14:paraId="23ADD51C" w14:textId="77777777" w:rsidR="001E5623" w:rsidRPr="00F0798B" w:rsidRDefault="001E5623" w:rsidP="001E5623">
            <w:pPr>
              <w:rPr>
                <w:rFonts w:ascii="Cambria" w:eastAsia="Times New Roman" w:hAnsi="Cambria" w:cs="Calibri"/>
                <w:b/>
                <w:bCs/>
                <w:color w:val="000000" w:themeColor="text1"/>
                <w:sz w:val="20"/>
                <w:szCs w:val="20"/>
                <w:lang w:val="es-ES_tradnl"/>
              </w:rPr>
            </w:pPr>
          </w:p>
        </w:tc>
        <w:tc>
          <w:tcPr>
            <w:tcW w:w="1600" w:type="dxa"/>
            <w:tcBorders>
              <w:top w:val="nil"/>
              <w:left w:val="nil"/>
              <w:bottom w:val="single" w:sz="4" w:space="0" w:color="auto"/>
              <w:right w:val="single" w:sz="4" w:space="0" w:color="auto"/>
            </w:tcBorders>
            <w:shd w:val="clear" w:color="auto" w:fill="auto"/>
            <w:vAlign w:val="center"/>
            <w:hideMark/>
          </w:tcPr>
          <w:p w14:paraId="5ED54D2A" w14:textId="77777777" w:rsidR="001E5623" w:rsidRPr="00F0798B" w:rsidRDefault="001E5623" w:rsidP="001E5623">
            <w:pPr>
              <w:jc w:val="center"/>
              <w:rPr>
                <w:rFonts w:ascii="Cambria" w:eastAsia="Times New Roman" w:hAnsi="Cambria" w:cs="Calibri"/>
                <w:bCs/>
                <w:color w:val="000000" w:themeColor="text1"/>
                <w:sz w:val="20"/>
                <w:szCs w:val="20"/>
                <w:lang w:val="es-ES_tradnl"/>
              </w:rPr>
            </w:pPr>
            <w:r w:rsidRPr="00F0798B">
              <w:rPr>
                <w:rFonts w:ascii="Cambria" w:eastAsia="Times New Roman" w:hAnsi="Cambria" w:cs="Calibri"/>
                <w:bCs/>
                <w:color w:val="000000" w:themeColor="text1"/>
                <w:sz w:val="20"/>
                <w:szCs w:val="20"/>
                <w:lang w:val="es-ES_tradnl"/>
              </w:rPr>
              <w:t>1</w:t>
            </w:r>
          </w:p>
        </w:tc>
        <w:tc>
          <w:tcPr>
            <w:tcW w:w="3140" w:type="dxa"/>
            <w:tcBorders>
              <w:top w:val="nil"/>
              <w:left w:val="nil"/>
              <w:bottom w:val="single" w:sz="4" w:space="0" w:color="auto"/>
              <w:right w:val="single" w:sz="4" w:space="0" w:color="auto"/>
            </w:tcBorders>
            <w:shd w:val="clear" w:color="auto" w:fill="auto"/>
            <w:vAlign w:val="center"/>
            <w:hideMark/>
          </w:tcPr>
          <w:p w14:paraId="37FE34BA" w14:textId="77777777" w:rsidR="001E5623" w:rsidRPr="00F0798B" w:rsidRDefault="001E5623" w:rsidP="001E5623">
            <w:pPr>
              <w:jc w:val="center"/>
              <w:rPr>
                <w:rFonts w:ascii="Cambria" w:eastAsia="Times New Roman" w:hAnsi="Cambria" w:cs="Calibri"/>
                <w:color w:val="000000" w:themeColor="text1"/>
                <w:sz w:val="20"/>
                <w:szCs w:val="20"/>
                <w:lang w:val="es-ES_tradnl"/>
              </w:rPr>
            </w:pPr>
            <w:r w:rsidRPr="00F0798B">
              <w:rPr>
                <w:rFonts w:ascii="Cambria" w:eastAsia="Times New Roman" w:hAnsi="Cambria" w:cs="Calibri"/>
                <w:color w:val="000000" w:themeColor="text1"/>
                <w:sz w:val="20"/>
                <w:szCs w:val="20"/>
                <w:lang w:val="es-ES_tradnl"/>
              </w:rPr>
              <w:t>REDESCA</w:t>
            </w:r>
          </w:p>
        </w:tc>
      </w:tr>
      <w:tr w:rsidR="001E5623" w:rsidRPr="00F0798B" w14:paraId="085EDBA4" w14:textId="77777777" w:rsidTr="001E5623">
        <w:trPr>
          <w:trHeight w:val="300"/>
          <w:jc w:val="center"/>
        </w:trPr>
        <w:tc>
          <w:tcPr>
            <w:tcW w:w="2620" w:type="dxa"/>
            <w:tcBorders>
              <w:top w:val="nil"/>
              <w:left w:val="single" w:sz="4" w:space="0" w:color="auto"/>
              <w:bottom w:val="single" w:sz="4" w:space="0" w:color="auto"/>
              <w:right w:val="single" w:sz="4" w:space="0" w:color="auto"/>
            </w:tcBorders>
            <w:shd w:val="clear" w:color="000000" w:fill="DDEBF7"/>
            <w:vAlign w:val="center"/>
            <w:hideMark/>
          </w:tcPr>
          <w:p w14:paraId="714A8E7B" w14:textId="77777777" w:rsidR="001E5623" w:rsidRPr="00F0798B" w:rsidRDefault="001E5623" w:rsidP="001E5623">
            <w:pP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Total</w:t>
            </w:r>
          </w:p>
        </w:tc>
        <w:tc>
          <w:tcPr>
            <w:tcW w:w="1600" w:type="dxa"/>
            <w:tcBorders>
              <w:top w:val="nil"/>
              <w:left w:val="nil"/>
              <w:bottom w:val="single" w:sz="4" w:space="0" w:color="auto"/>
              <w:right w:val="single" w:sz="4" w:space="0" w:color="auto"/>
            </w:tcBorders>
            <w:shd w:val="clear" w:color="000000" w:fill="DDEBF7"/>
            <w:vAlign w:val="center"/>
            <w:hideMark/>
          </w:tcPr>
          <w:p w14:paraId="5448F753"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36</w:t>
            </w:r>
          </w:p>
        </w:tc>
        <w:tc>
          <w:tcPr>
            <w:tcW w:w="3140" w:type="dxa"/>
            <w:tcBorders>
              <w:top w:val="nil"/>
              <w:left w:val="nil"/>
              <w:bottom w:val="single" w:sz="4" w:space="0" w:color="auto"/>
              <w:right w:val="single" w:sz="4" w:space="0" w:color="auto"/>
            </w:tcBorders>
            <w:shd w:val="clear" w:color="000000" w:fill="DDEBF7"/>
            <w:vAlign w:val="center"/>
            <w:hideMark/>
          </w:tcPr>
          <w:p w14:paraId="0E4501B3"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 </w:t>
            </w:r>
          </w:p>
        </w:tc>
      </w:tr>
      <w:tr w:rsidR="001E5623" w:rsidRPr="00F0798B" w14:paraId="33FC9C58" w14:textId="77777777" w:rsidTr="001E5623">
        <w:trPr>
          <w:trHeight w:val="315"/>
          <w:jc w:val="center"/>
        </w:trPr>
        <w:tc>
          <w:tcPr>
            <w:tcW w:w="2620" w:type="dxa"/>
            <w:tcBorders>
              <w:top w:val="nil"/>
              <w:left w:val="single" w:sz="4" w:space="0" w:color="auto"/>
              <w:bottom w:val="single" w:sz="4" w:space="0" w:color="auto"/>
              <w:right w:val="single" w:sz="4" w:space="0" w:color="auto"/>
            </w:tcBorders>
            <w:shd w:val="clear" w:color="auto" w:fill="auto"/>
            <w:vAlign w:val="center"/>
            <w:hideMark/>
          </w:tcPr>
          <w:p w14:paraId="3A1CCB1D" w14:textId="77777777" w:rsidR="001E5623" w:rsidRPr="00F0798B" w:rsidRDefault="001E5623" w:rsidP="001E5623">
            <w:pP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Total 2018</w:t>
            </w:r>
          </w:p>
        </w:tc>
        <w:tc>
          <w:tcPr>
            <w:tcW w:w="1600" w:type="dxa"/>
            <w:tcBorders>
              <w:top w:val="nil"/>
              <w:left w:val="nil"/>
              <w:bottom w:val="single" w:sz="4" w:space="0" w:color="auto"/>
              <w:right w:val="single" w:sz="4" w:space="0" w:color="auto"/>
            </w:tcBorders>
            <w:shd w:val="clear" w:color="auto" w:fill="auto"/>
            <w:vAlign w:val="center"/>
            <w:hideMark/>
          </w:tcPr>
          <w:p w14:paraId="7DA8FBA3"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104</w:t>
            </w:r>
          </w:p>
        </w:tc>
        <w:tc>
          <w:tcPr>
            <w:tcW w:w="3140" w:type="dxa"/>
            <w:tcBorders>
              <w:top w:val="nil"/>
              <w:left w:val="nil"/>
              <w:bottom w:val="single" w:sz="4" w:space="0" w:color="auto"/>
              <w:right w:val="single" w:sz="4" w:space="0" w:color="auto"/>
            </w:tcBorders>
            <w:shd w:val="clear" w:color="auto" w:fill="auto"/>
            <w:vAlign w:val="center"/>
            <w:hideMark/>
          </w:tcPr>
          <w:p w14:paraId="56CA8FD4" w14:textId="77777777" w:rsidR="001E5623" w:rsidRPr="00F0798B" w:rsidRDefault="001E5623" w:rsidP="001E5623">
            <w:pPr>
              <w:jc w:val="center"/>
              <w:rPr>
                <w:rFonts w:ascii="Cambria" w:eastAsia="Times New Roman" w:hAnsi="Cambria" w:cs="Calibri"/>
                <w:b/>
                <w:bCs/>
                <w:color w:val="000000" w:themeColor="text1"/>
                <w:sz w:val="20"/>
                <w:szCs w:val="20"/>
                <w:lang w:val="es-ES_tradnl"/>
              </w:rPr>
            </w:pPr>
            <w:r w:rsidRPr="00F0798B">
              <w:rPr>
                <w:rFonts w:ascii="Cambria" w:eastAsia="Times New Roman" w:hAnsi="Cambria" w:cs="Calibri"/>
                <w:b/>
                <w:bCs/>
                <w:color w:val="000000" w:themeColor="text1"/>
                <w:sz w:val="20"/>
                <w:szCs w:val="20"/>
                <w:lang w:val="es-ES_tradnl"/>
              </w:rPr>
              <w:t> </w:t>
            </w:r>
          </w:p>
        </w:tc>
      </w:tr>
    </w:tbl>
    <w:p w14:paraId="7D06BE1F" w14:textId="77777777" w:rsidR="001E5623" w:rsidRPr="00F0798B" w:rsidRDefault="001E5623" w:rsidP="001E5623">
      <w:pPr>
        <w:pStyle w:val="paragraphs"/>
        <w:numPr>
          <w:ilvl w:val="0"/>
          <w:numId w:val="0"/>
        </w:numPr>
        <w:ind w:left="360"/>
        <w:rPr>
          <w:rFonts w:eastAsia="Cambria" w:cs="Calibri Light"/>
        </w:rPr>
      </w:pPr>
    </w:p>
    <w:p w14:paraId="3D58D18B" w14:textId="48DC9C00" w:rsidR="001E5623" w:rsidRPr="00F0798B" w:rsidRDefault="001E5623" w:rsidP="005F60E5">
      <w:pPr>
        <w:pStyle w:val="paragraphs"/>
        <w:numPr>
          <w:ilvl w:val="0"/>
          <w:numId w:val="7"/>
        </w:numPr>
        <w:ind w:left="0" w:firstLine="720"/>
      </w:pPr>
      <w:r w:rsidRPr="00F0798B">
        <w:t xml:space="preserve">Asimismo, a través del apoyo de diferentes instituciones, la SE/CIDH recibió a cinco becarios durante el año: </w:t>
      </w:r>
    </w:p>
    <w:tbl>
      <w:tblPr>
        <w:tblW w:w="7840" w:type="dxa"/>
        <w:jc w:val="center"/>
        <w:tblLook w:val="04A0" w:firstRow="1" w:lastRow="0" w:firstColumn="1" w:lastColumn="0" w:noHBand="0" w:noVBand="1"/>
      </w:tblPr>
      <w:tblGrid>
        <w:gridCol w:w="840"/>
        <w:gridCol w:w="1428"/>
        <w:gridCol w:w="2940"/>
        <w:gridCol w:w="2760"/>
      </w:tblGrid>
      <w:tr w:rsidR="001E5623" w:rsidRPr="00F0798B" w14:paraId="48764777" w14:textId="77777777" w:rsidTr="001E5623">
        <w:trPr>
          <w:trHeight w:val="615"/>
          <w:jc w:val="center"/>
        </w:trPr>
        <w:tc>
          <w:tcPr>
            <w:tcW w:w="840" w:type="dxa"/>
            <w:tcBorders>
              <w:top w:val="single" w:sz="8" w:space="0" w:color="auto"/>
              <w:left w:val="single" w:sz="8" w:space="0" w:color="auto"/>
              <w:bottom w:val="single" w:sz="8" w:space="0" w:color="auto"/>
              <w:right w:val="single" w:sz="4" w:space="0" w:color="auto"/>
            </w:tcBorders>
            <w:shd w:val="clear" w:color="000000" w:fill="C5D9F1"/>
            <w:noWrap/>
            <w:vAlign w:val="center"/>
            <w:hideMark/>
          </w:tcPr>
          <w:p w14:paraId="136B9C77" w14:textId="77777777" w:rsidR="001E5623" w:rsidRPr="00F0798B" w:rsidRDefault="001E5623" w:rsidP="001E5623">
            <w:pPr>
              <w:jc w:val="center"/>
              <w:rPr>
                <w:rFonts w:ascii="Cambria" w:eastAsia="Times New Roman" w:hAnsi="Cambria" w:cs="Calibri"/>
                <w:b/>
                <w:bCs/>
                <w:color w:val="000000"/>
                <w:sz w:val="20"/>
                <w:szCs w:val="20"/>
                <w:lang w:val="es-ES_tradnl"/>
              </w:rPr>
            </w:pPr>
            <w:r w:rsidRPr="00F0798B">
              <w:rPr>
                <w:rFonts w:ascii="Cambria" w:eastAsia="Times New Roman" w:hAnsi="Cambria" w:cs="Calibri"/>
                <w:b/>
                <w:bCs/>
                <w:color w:val="000000"/>
                <w:sz w:val="20"/>
                <w:szCs w:val="20"/>
                <w:lang w:val="es-ES_tradnl"/>
              </w:rPr>
              <w:t>No.</w:t>
            </w:r>
          </w:p>
        </w:tc>
        <w:tc>
          <w:tcPr>
            <w:tcW w:w="1300" w:type="dxa"/>
            <w:tcBorders>
              <w:top w:val="single" w:sz="8" w:space="0" w:color="auto"/>
              <w:left w:val="nil"/>
              <w:bottom w:val="single" w:sz="8" w:space="0" w:color="auto"/>
              <w:right w:val="single" w:sz="4" w:space="0" w:color="auto"/>
            </w:tcBorders>
            <w:shd w:val="clear" w:color="000000" w:fill="C5D9F1"/>
            <w:noWrap/>
            <w:vAlign w:val="center"/>
            <w:hideMark/>
          </w:tcPr>
          <w:p w14:paraId="225E2D71" w14:textId="77777777" w:rsidR="001E5623" w:rsidRPr="00F0798B" w:rsidRDefault="001E5623" w:rsidP="001E5623">
            <w:pPr>
              <w:jc w:val="center"/>
              <w:rPr>
                <w:rFonts w:ascii="Cambria" w:eastAsia="Times New Roman" w:hAnsi="Cambria" w:cs="Calibri"/>
                <w:b/>
                <w:bCs/>
                <w:color w:val="000000"/>
                <w:sz w:val="20"/>
                <w:szCs w:val="20"/>
                <w:lang w:val="es-ES_tradnl"/>
              </w:rPr>
            </w:pPr>
            <w:r w:rsidRPr="00F0798B">
              <w:rPr>
                <w:rFonts w:ascii="Cambria" w:eastAsia="Times New Roman" w:hAnsi="Cambria" w:cs="Calibri"/>
                <w:b/>
                <w:bCs/>
                <w:color w:val="000000"/>
                <w:sz w:val="20"/>
                <w:szCs w:val="20"/>
                <w:lang w:val="es-ES_tradnl"/>
              </w:rPr>
              <w:t>Nacionalidad</w:t>
            </w:r>
          </w:p>
        </w:tc>
        <w:tc>
          <w:tcPr>
            <w:tcW w:w="2940" w:type="dxa"/>
            <w:tcBorders>
              <w:top w:val="single" w:sz="8" w:space="0" w:color="auto"/>
              <w:left w:val="nil"/>
              <w:bottom w:val="single" w:sz="8" w:space="0" w:color="auto"/>
              <w:right w:val="single" w:sz="4" w:space="0" w:color="auto"/>
            </w:tcBorders>
            <w:shd w:val="clear" w:color="000000" w:fill="C5D9F1"/>
            <w:noWrap/>
            <w:vAlign w:val="center"/>
            <w:hideMark/>
          </w:tcPr>
          <w:p w14:paraId="120201F9" w14:textId="77777777" w:rsidR="001E5623" w:rsidRPr="00F0798B" w:rsidRDefault="001E5623" w:rsidP="001E5623">
            <w:pPr>
              <w:jc w:val="center"/>
              <w:rPr>
                <w:rFonts w:ascii="Cambria" w:eastAsia="Times New Roman" w:hAnsi="Cambria" w:cs="Calibri"/>
                <w:b/>
                <w:bCs/>
                <w:color w:val="000000"/>
                <w:sz w:val="20"/>
                <w:szCs w:val="20"/>
                <w:lang w:val="es-ES_tradnl"/>
              </w:rPr>
            </w:pPr>
            <w:r w:rsidRPr="00F0798B">
              <w:rPr>
                <w:rFonts w:ascii="Cambria" w:eastAsia="Times New Roman" w:hAnsi="Cambria" w:cs="Calibri"/>
                <w:b/>
                <w:bCs/>
                <w:color w:val="000000"/>
                <w:sz w:val="20"/>
                <w:szCs w:val="20"/>
                <w:lang w:val="es-ES_tradnl"/>
              </w:rPr>
              <w:t>BECA</w:t>
            </w:r>
          </w:p>
        </w:tc>
        <w:tc>
          <w:tcPr>
            <w:tcW w:w="2760" w:type="dxa"/>
            <w:tcBorders>
              <w:top w:val="single" w:sz="8" w:space="0" w:color="auto"/>
              <w:left w:val="nil"/>
              <w:bottom w:val="single" w:sz="8" w:space="0" w:color="auto"/>
              <w:right w:val="single" w:sz="4" w:space="0" w:color="auto"/>
            </w:tcBorders>
            <w:shd w:val="clear" w:color="000000" w:fill="C5D9F1"/>
            <w:noWrap/>
            <w:vAlign w:val="center"/>
            <w:hideMark/>
          </w:tcPr>
          <w:p w14:paraId="72127097" w14:textId="77777777" w:rsidR="001E5623" w:rsidRPr="00F0798B" w:rsidRDefault="001E5623" w:rsidP="001E5623">
            <w:pPr>
              <w:jc w:val="center"/>
              <w:rPr>
                <w:rFonts w:ascii="Cambria" w:eastAsia="Times New Roman" w:hAnsi="Cambria" w:cs="Calibri"/>
                <w:b/>
                <w:bCs/>
                <w:color w:val="000000"/>
                <w:sz w:val="20"/>
                <w:szCs w:val="20"/>
                <w:lang w:val="es-ES_tradnl"/>
              </w:rPr>
            </w:pPr>
            <w:r w:rsidRPr="00F0798B">
              <w:rPr>
                <w:rFonts w:ascii="Cambria" w:eastAsia="Times New Roman" w:hAnsi="Cambria" w:cs="Calibri"/>
                <w:b/>
                <w:bCs/>
                <w:color w:val="000000"/>
                <w:sz w:val="20"/>
                <w:szCs w:val="20"/>
                <w:lang w:val="es-ES_tradnl"/>
              </w:rPr>
              <w:t>Asignación</w:t>
            </w:r>
          </w:p>
        </w:tc>
      </w:tr>
      <w:tr w:rsidR="001E5623" w:rsidRPr="00F0798B" w14:paraId="6DAA3B2A" w14:textId="77777777" w:rsidTr="001E5623">
        <w:trPr>
          <w:trHeight w:val="600"/>
          <w:jc w:val="center"/>
        </w:trPr>
        <w:tc>
          <w:tcPr>
            <w:tcW w:w="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A08EBF" w14:textId="77777777" w:rsidR="001E5623" w:rsidRPr="00F0798B" w:rsidRDefault="001E5623" w:rsidP="001E5623">
            <w:pPr>
              <w:jc w:val="center"/>
              <w:rPr>
                <w:rFonts w:ascii="Cambria" w:eastAsia="Times New Roman" w:hAnsi="Cambria" w:cs="Calibri"/>
                <w:bCs/>
                <w:sz w:val="20"/>
                <w:szCs w:val="20"/>
                <w:lang w:val="es-ES_tradnl"/>
              </w:rPr>
            </w:pPr>
            <w:r w:rsidRPr="00F0798B">
              <w:rPr>
                <w:rFonts w:ascii="Cambria" w:eastAsia="Times New Roman" w:hAnsi="Cambria" w:cs="Calibri"/>
                <w:bCs/>
                <w:sz w:val="20"/>
                <w:szCs w:val="20"/>
                <w:lang w:val="es-ES_tradnl"/>
              </w:rPr>
              <w:t>1</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913285"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Guatemala</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14:paraId="7B4BD8FA" w14:textId="77777777" w:rsidR="001E5623" w:rsidRPr="00F0798B" w:rsidRDefault="001E5623" w:rsidP="001E5623">
            <w:pPr>
              <w:rPr>
                <w:rFonts w:ascii="Cambria" w:eastAsia="Times New Roman" w:hAnsi="Cambria" w:cs="Calibri"/>
                <w:sz w:val="20"/>
                <w:szCs w:val="20"/>
                <w:lang w:val="es-ES_tradnl"/>
              </w:rPr>
            </w:pPr>
            <w:r w:rsidRPr="00F0798B">
              <w:rPr>
                <w:rFonts w:ascii="Cambria" w:eastAsia="Times New Roman" w:hAnsi="Cambria" w:cs="Calibri"/>
                <w:sz w:val="20"/>
                <w:szCs w:val="20"/>
                <w:lang w:val="es-ES_tradnl"/>
              </w:rPr>
              <w:t>IIRESODH</w:t>
            </w:r>
          </w:p>
        </w:tc>
        <w:tc>
          <w:tcPr>
            <w:tcW w:w="2760" w:type="dxa"/>
            <w:tcBorders>
              <w:top w:val="single" w:sz="4" w:space="0" w:color="auto"/>
              <w:left w:val="nil"/>
              <w:bottom w:val="single" w:sz="4" w:space="0" w:color="auto"/>
              <w:right w:val="single" w:sz="4" w:space="0" w:color="auto"/>
            </w:tcBorders>
            <w:shd w:val="clear" w:color="auto" w:fill="auto"/>
            <w:vAlign w:val="center"/>
            <w:hideMark/>
          </w:tcPr>
          <w:p w14:paraId="27CFE5A9"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Estudio Inicial</w:t>
            </w:r>
          </w:p>
        </w:tc>
      </w:tr>
      <w:tr w:rsidR="001E5623" w:rsidRPr="00F0798B" w14:paraId="75B792BD" w14:textId="77777777" w:rsidTr="001E5623">
        <w:trPr>
          <w:trHeight w:val="90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36ACB1FE" w14:textId="77777777" w:rsidR="001E5623" w:rsidRPr="00F0798B" w:rsidRDefault="001E5623" w:rsidP="001E5623">
            <w:pPr>
              <w:jc w:val="center"/>
              <w:rPr>
                <w:rFonts w:ascii="Cambria" w:eastAsia="Times New Roman" w:hAnsi="Cambria" w:cs="Calibri"/>
                <w:bCs/>
                <w:sz w:val="20"/>
                <w:szCs w:val="20"/>
                <w:lang w:val="es-ES_tradnl"/>
              </w:rPr>
            </w:pPr>
            <w:r w:rsidRPr="00F0798B">
              <w:rPr>
                <w:rFonts w:ascii="Cambria" w:eastAsia="Times New Roman" w:hAnsi="Cambria" w:cs="Calibri"/>
                <w:bCs/>
                <w:sz w:val="20"/>
                <w:szCs w:val="20"/>
                <w:lang w:val="es-ES_tradnl"/>
              </w:rPr>
              <w:t>2</w:t>
            </w:r>
          </w:p>
        </w:tc>
        <w:tc>
          <w:tcPr>
            <w:tcW w:w="1300" w:type="dxa"/>
            <w:tcBorders>
              <w:top w:val="nil"/>
              <w:left w:val="nil"/>
              <w:bottom w:val="single" w:sz="4" w:space="0" w:color="auto"/>
              <w:right w:val="single" w:sz="4" w:space="0" w:color="auto"/>
            </w:tcBorders>
            <w:shd w:val="clear" w:color="auto" w:fill="auto"/>
            <w:noWrap/>
            <w:vAlign w:val="center"/>
            <w:hideMark/>
          </w:tcPr>
          <w:p w14:paraId="1A35414E"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 xml:space="preserve">Colombia </w:t>
            </w:r>
          </w:p>
        </w:tc>
        <w:tc>
          <w:tcPr>
            <w:tcW w:w="2940" w:type="dxa"/>
            <w:tcBorders>
              <w:top w:val="nil"/>
              <w:left w:val="nil"/>
              <w:bottom w:val="single" w:sz="4" w:space="0" w:color="auto"/>
              <w:right w:val="single" w:sz="4" w:space="0" w:color="auto"/>
            </w:tcBorders>
            <w:shd w:val="clear" w:color="auto" w:fill="auto"/>
            <w:vAlign w:val="center"/>
            <w:hideMark/>
          </w:tcPr>
          <w:p w14:paraId="0817139F" w14:textId="77777777" w:rsidR="001E5623" w:rsidRPr="00F0798B" w:rsidRDefault="001E5623" w:rsidP="001E5623">
            <w:pPr>
              <w:rPr>
                <w:rFonts w:ascii="Cambria" w:eastAsia="Times New Roman" w:hAnsi="Cambria" w:cs="Calibri"/>
                <w:sz w:val="20"/>
                <w:szCs w:val="20"/>
                <w:lang w:val="es-ES_tradnl"/>
              </w:rPr>
            </w:pPr>
            <w:r w:rsidRPr="00F0798B">
              <w:rPr>
                <w:rFonts w:ascii="Cambria" w:eastAsia="Times New Roman" w:hAnsi="Cambria" w:cs="Calibri"/>
                <w:sz w:val="20"/>
                <w:szCs w:val="20"/>
                <w:lang w:val="es-ES_tradnl"/>
              </w:rPr>
              <w:t>UCLA</w:t>
            </w:r>
          </w:p>
        </w:tc>
        <w:tc>
          <w:tcPr>
            <w:tcW w:w="2760" w:type="dxa"/>
            <w:tcBorders>
              <w:top w:val="nil"/>
              <w:left w:val="nil"/>
              <w:bottom w:val="single" w:sz="4" w:space="0" w:color="auto"/>
              <w:right w:val="single" w:sz="4" w:space="0" w:color="auto"/>
            </w:tcBorders>
            <w:shd w:val="clear" w:color="auto" w:fill="auto"/>
            <w:vAlign w:val="center"/>
            <w:hideMark/>
          </w:tcPr>
          <w:p w14:paraId="78587CC5"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 xml:space="preserve">Relatoria Afrodescendientes Monitoreo III </w:t>
            </w:r>
          </w:p>
        </w:tc>
      </w:tr>
      <w:tr w:rsidR="001E5623" w:rsidRPr="00F0798B" w14:paraId="70C40A1C" w14:textId="77777777" w:rsidTr="001E5623">
        <w:trPr>
          <w:trHeight w:val="69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1E85628F" w14:textId="77777777" w:rsidR="001E5623" w:rsidRPr="00F0798B" w:rsidRDefault="001E5623" w:rsidP="001E5623">
            <w:pPr>
              <w:jc w:val="center"/>
              <w:rPr>
                <w:rFonts w:ascii="Cambria" w:eastAsia="Times New Roman" w:hAnsi="Cambria" w:cs="Calibri"/>
                <w:bCs/>
                <w:sz w:val="20"/>
                <w:szCs w:val="20"/>
                <w:lang w:val="es-ES_tradnl"/>
              </w:rPr>
            </w:pPr>
            <w:r w:rsidRPr="00F0798B">
              <w:rPr>
                <w:rFonts w:ascii="Cambria" w:eastAsia="Times New Roman" w:hAnsi="Cambria" w:cs="Calibri"/>
                <w:bCs/>
                <w:sz w:val="20"/>
                <w:szCs w:val="20"/>
                <w:lang w:val="es-ES_tradnl"/>
              </w:rPr>
              <w:t>3</w:t>
            </w:r>
          </w:p>
        </w:tc>
        <w:tc>
          <w:tcPr>
            <w:tcW w:w="1300" w:type="dxa"/>
            <w:tcBorders>
              <w:top w:val="nil"/>
              <w:left w:val="nil"/>
              <w:bottom w:val="single" w:sz="4" w:space="0" w:color="auto"/>
              <w:right w:val="single" w:sz="4" w:space="0" w:color="auto"/>
            </w:tcBorders>
            <w:shd w:val="clear" w:color="auto" w:fill="auto"/>
            <w:noWrap/>
            <w:vAlign w:val="center"/>
            <w:hideMark/>
          </w:tcPr>
          <w:p w14:paraId="7E22D233"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 xml:space="preserve">El Salvador </w:t>
            </w:r>
          </w:p>
        </w:tc>
        <w:tc>
          <w:tcPr>
            <w:tcW w:w="2940" w:type="dxa"/>
            <w:tcBorders>
              <w:top w:val="nil"/>
              <w:left w:val="nil"/>
              <w:bottom w:val="single" w:sz="4" w:space="0" w:color="auto"/>
              <w:right w:val="single" w:sz="4" w:space="0" w:color="auto"/>
            </w:tcBorders>
            <w:shd w:val="clear" w:color="auto" w:fill="auto"/>
            <w:vAlign w:val="center"/>
            <w:hideMark/>
          </w:tcPr>
          <w:p w14:paraId="18E6EEF5" w14:textId="77777777" w:rsidR="001E5623" w:rsidRPr="00F0798B" w:rsidRDefault="001E5623" w:rsidP="001E5623">
            <w:pPr>
              <w:rPr>
                <w:rFonts w:ascii="Cambria" w:eastAsia="Times New Roman" w:hAnsi="Cambria" w:cs="Calibri"/>
                <w:sz w:val="20"/>
                <w:szCs w:val="20"/>
                <w:lang w:val="es-ES_tradnl"/>
              </w:rPr>
            </w:pPr>
            <w:r w:rsidRPr="00F0798B">
              <w:rPr>
                <w:rFonts w:ascii="Cambria" w:eastAsia="Times New Roman" w:hAnsi="Cambria" w:cs="Calibri"/>
                <w:sz w:val="20"/>
                <w:szCs w:val="20"/>
                <w:lang w:val="es-ES_tradnl"/>
              </w:rPr>
              <w:t>LGTBI</w:t>
            </w:r>
          </w:p>
        </w:tc>
        <w:tc>
          <w:tcPr>
            <w:tcW w:w="2760" w:type="dxa"/>
            <w:tcBorders>
              <w:top w:val="nil"/>
              <w:left w:val="nil"/>
              <w:bottom w:val="single" w:sz="4" w:space="0" w:color="auto"/>
              <w:right w:val="single" w:sz="4" w:space="0" w:color="auto"/>
            </w:tcBorders>
            <w:shd w:val="clear" w:color="auto" w:fill="auto"/>
            <w:vAlign w:val="center"/>
            <w:hideMark/>
          </w:tcPr>
          <w:p w14:paraId="6E69ED5D"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LGTBI Monitoreo II</w:t>
            </w:r>
          </w:p>
        </w:tc>
      </w:tr>
      <w:tr w:rsidR="001E5623" w:rsidRPr="00F0798B" w14:paraId="60F3FDC3" w14:textId="77777777" w:rsidTr="001E5623">
        <w:trPr>
          <w:trHeight w:val="69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2BC4C1CB" w14:textId="77777777" w:rsidR="001E5623" w:rsidRPr="00F0798B" w:rsidRDefault="001E5623" w:rsidP="001E5623">
            <w:pPr>
              <w:jc w:val="center"/>
              <w:rPr>
                <w:rFonts w:ascii="Cambria" w:eastAsia="Times New Roman" w:hAnsi="Cambria" w:cs="Calibri"/>
                <w:bCs/>
                <w:sz w:val="20"/>
                <w:szCs w:val="20"/>
                <w:lang w:val="es-ES_tradnl"/>
              </w:rPr>
            </w:pPr>
            <w:r w:rsidRPr="00F0798B">
              <w:rPr>
                <w:rFonts w:ascii="Cambria" w:eastAsia="Times New Roman" w:hAnsi="Cambria" w:cs="Calibri"/>
                <w:bCs/>
                <w:sz w:val="20"/>
                <w:szCs w:val="20"/>
                <w:lang w:val="es-ES_tradnl"/>
              </w:rPr>
              <w:t>4</w:t>
            </w:r>
          </w:p>
        </w:tc>
        <w:tc>
          <w:tcPr>
            <w:tcW w:w="1300" w:type="dxa"/>
            <w:tcBorders>
              <w:top w:val="nil"/>
              <w:left w:val="nil"/>
              <w:bottom w:val="single" w:sz="4" w:space="0" w:color="auto"/>
              <w:right w:val="single" w:sz="4" w:space="0" w:color="auto"/>
            </w:tcBorders>
            <w:shd w:val="clear" w:color="auto" w:fill="auto"/>
            <w:noWrap/>
            <w:vAlign w:val="center"/>
            <w:hideMark/>
          </w:tcPr>
          <w:p w14:paraId="364B58B2"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USA</w:t>
            </w:r>
          </w:p>
        </w:tc>
        <w:tc>
          <w:tcPr>
            <w:tcW w:w="2940" w:type="dxa"/>
            <w:tcBorders>
              <w:top w:val="nil"/>
              <w:left w:val="nil"/>
              <w:bottom w:val="single" w:sz="4" w:space="0" w:color="auto"/>
              <w:right w:val="single" w:sz="4" w:space="0" w:color="auto"/>
            </w:tcBorders>
            <w:shd w:val="clear" w:color="auto" w:fill="auto"/>
            <w:noWrap/>
            <w:vAlign w:val="center"/>
            <w:hideMark/>
          </w:tcPr>
          <w:p w14:paraId="0396773D" w14:textId="77777777" w:rsidR="001E5623" w:rsidRPr="00F0798B" w:rsidRDefault="001E5623" w:rsidP="001E5623">
            <w:pPr>
              <w:rPr>
                <w:rFonts w:ascii="Cambria" w:eastAsia="Times New Roman" w:hAnsi="Cambria" w:cs="Calibri"/>
                <w:sz w:val="20"/>
                <w:szCs w:val="20"/>
                <w:lang w:val="es-ES_tradnl"/>
              </w:rPr>
            </w:pPr>
            <w:r w:rsidRPr="00F0798B">
              <w:rPr>
                <w:rFonts w:ascii="Cambria" w:eastAsia="Times New Roman" w:hAnsi="Cambria" w:cs="Calibri"/>
                <w:sz w:val="20"/>
                <w:szCs w:val="20"/>
                <w:lang w:val="es-ES_tradnl"/>
              </w:rPr>
              <w:t>Univ. Texas</w:t>
            </w:r>
          </w:p>
        </w:tc>
        <w:tc>
          <w:tcPr>
            <w:tcW w:w="2760" w:type="dxa"/>
            <w:tcBorders>
              <w:top w:val="nil"/>
              <w:left w:val="nil"/>
              <w:bottom w:val="single" w:sz="4" w:space="0" w:color="auto"/>
              <w:right w:val="single" w:sz="4" w:space="0" w:color="auto"/>
            </w:tcBorders>
            <w:shd w:val="clear" w:color="auto" w:fill="auto"/>
            <w:vAlign w:val="center"/>
            <w:hideMark/>
          </w:tcPr>
          <w:p w14:paraId="3E691915"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Estudio Inicial</w:t>
            </w:r>
          </w:p>
        </w:tc>
      </w:tr>
      <w:tr w:rsidR="001E5623" w:rsidRPr="00F0798B" w14:paraId="0EE1D774" w14:textId="77777777" w:rsidTr="001E5623">
        <w:trPr>
          <w:trHeight w:val="690"/>
          <w:jc w:val="center"/>
        </w:trPr>
        <w:tc>
          <w:tcPr>
            <w:tcW w:w="840" w:type="dxa"/>
            <w:tcBorders>
              <w:top w:val="nil"/>
              <w:left w:val="single" w:sz="4" w:space="0" w:color="auto"/>
              <w:bottom w:val="single" w:sz="4" w:space="0" w:color="auto"/>
              <w:right w:val="single" w:sz="4" w:space="0" w:color="auto"/>
            </w:tcBorders>
            <w:shd w:val="clear" w:color="000000" w:fill="FFFFFF"/>
            <w:noWrap/>
            <w:vAlign w:val="center"/>
            <w:hideMark/>
          </w:tcPr>
          <w:p w14:paraId="0B5B1874" w14:textId="77777777" w:rsidR="001E5623" w:rsidRPr="00F0798B" w:rsidRDefault="001E5623" w:rsidP="001E5623">
            <w:pPr>
              <w:jc w:val="center"/>
              <w:rPr>
                <w:rFonts w:ascii="Cambria" w:eastAsia="Times New Roman" w:hAnsi="Cambria" w:cs="Calibri"/>
                <w:bCs/>
                <w:sz w:val="20"/>
                <w:szCs w:val="20"/>
                <w:lang w:val="es-ES_tradnl"/>
              </w:rPr>
            </w:pPr>
            <w:r w:rsidRPr="00F0798B">
              <w:rPr>
                <w:rFonts w:ascii="Cambria" w:eastAsia="Times New Roman" w:hAnsi="Cambria" w:cs="Calibri"/>
                <w:bCs/>
                <w:sz w:val="20"/>
                <w:szCs w:val="20"/>
                <w:lang w:val="es-ES_tradnl"/>
              </w:rPr>
              <w:t>5</w:t>
            </w:r>
          </w:p>
        </w:tc>
        <w:tc>
          <w:tcPr>
            <w:tcW w:w="1300" w:type="dxa"/>
            <w:tcBorders>
              <w:top w:val="nil"/>
              <w:left w:val="nil"/>
              <w:bottom w:val="single" w:sz="4" w:space="0" w:color="auto"/>
              <w:right w:val="single" w:sz="4" w:space="0" w:color="auto"/>
            </w:tcBorders>
            <w:shd w:val="clear" w:color="auto" w:fill="auto"/>
            <w:noWrap/>
            <w:vAlign w:val="center"/>
            <w:hideMark/>
          </w:tcPr>
          <w:p w14:paraId="40C5E239"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Argentina</w:t>
            </w:r>
          </w:p>
        </w:tc>
        <w:tc>
          <w:tcPr>
            <w:tcW w:w="2940" w:type="dxa"/>
            <w:tcBorders>
              <w:top w:val="nil"/>
              <w:left w:val="nil"/>
              <w:bottom w:val="single" w:sz="4" w:space="0" w:color="auto"/>
              <w:right w:val="single" w:sz="4" w:space="0" w:color="auto"/>
            </w:tcBorders>
            <w:shd w:val="clear" w:color="auto" w:fill="auto"/>
            <w:noWrap/>
            <w:vAlign w:val="center"/>
            <w:hideMark/>
          </w:tcPr>
          <w:p w14:paraId="02847482" w14:textId="77777777" w:rsidR="001E5623" w:rsidRPr="00F0798B" w:rsidRDefault="001E5623" w:rsidP="001E5623">
            <w:pPr>
              <w:rPr>
                <w:rFonts w:ascii="Cambria" w:eastAsia="Times New Roman" w:hAnsi="Cambria" w:cs="Calibri"/>
                <w:sz w:val="20"/>
                <w:szCs w:val="20"/>
                <w:lang w:val="es-ES_tradnl"/>
              </w:rPr>
            </w:pPr>
            <w:proofErr w:type="spellStart"/>
            <w:r w:rsidRPr="00F0798B">
              <w:rPr>
                <w:rFonts w:ascii="Cambria" w:eastAsia="Times New Roman" w:hAnsi="Cambria" w:cs="Calibri"/>
                <w:sz w:val="20"/>
                <w:szCs w:val="20"/>
                <w:lang w:val="es-ES_tradnl"/>
              </w:rPr>
              <w:t>Save</w:t>
            </w:r>
            <w:proofErr w:type="spellEnd"/>
            <w:r w:rsidRPr="00F0798B">
              <w:rPr>
                <w:rFonts w:ascii="Cambria" w:eastAsia="Times New Roman" w:hAnsi="Cambria" w:cs="Calibri"/>
                <w:sz w:val="20"/>
                <w:szCs w:val="20"/>
                <w:lang w:val="es-ES_tradnl"/>
              </w:rPr>
              <w:t xml:space="preserve"> the </w:t>
            </w:r>
            <w:proofErr w:type="spellStart"/>
            <w:r w:rsidRPr="00F0798B">
              <w:rPr>
                <w:rFonts w:ascii="Cambria" w:eastAsia="Times New Roman" w:hAnsi="Cambria" w:cs="Calibri"/>
                <w:sz w:val="20"/>
                <w:szCs w:val="20"/>
                <w:lang w:val="es-ES_tradnl"/>
              </w:rPr>
              <w:t>Children</w:t>
            </w:r>
            <w:proofErr w:type="spellEnd"/>
            <w:r w:rsidRPr="00F0798B">
              <w:rPr>
                <w:rFonts w:ascii="Cambria" w:eastAsia="Times New Roman" w:hAnsi="Cambria" w:cs="Calibri"/>
                <w:sz w:val="20"/>
                <w:szCs w:val="20"/>
                <w:lang w:val="es-ES_tradnl"/>
              </w:rPr>
              <w:t xml:space="preserve"> / REDLAMYC</w:t>
            </w:r>
          </w:p>
        </w:tc>
        <w:tc>
          <w:tcPr>
            <w:tcW w:w="2760" w:type="dxa"/>
            <w:tcBorders>
              <w:top w:val="nil"/>
              <w:left w:val="nil"/>
              <w:bottom w:val="single" w:sz="4" w:space="0" w:color="auto"/>
              <w:right w:val="single" w:sz="4" w:space="0" w:color="auto"/>
            </w:tcBorders>
            <w:shd w:val="clear" w:color="auto" w:fill="auto"/>
            <w:vAlign w:val="center"/>
            <w:hideMark/>
          </w:tcPr>
          <w:p w14:paraId="2E7663DD" w14:textId="77777777" w:rsidR="001E5623" w:rsidRPr="00F0798B" w:rsidRDefault="001E5623" w:rsidP="001E5623">
            <w:pPr>
              <w:rPr>
                <w:rFonts w:ascii="Cambria" w:eastAsia="Times New Roman" w:hAnsi="Cambria" w:cs="Calibri"/>
                <w:color w:val="000000"/>
                <w:sz w:val="20"/>
                <w:szCs w:val="20"/>
                <w:lang w:val="es-ES_tradnl"/>
              </w:rPr>
            </w:pPr>
            <w:r w:rsidRPr="00F0798B">
              <w:rPr>
                <w:rFonts w:ascii="Cambria" w:eastAsia="Times New Roman" w:hAnsi="Cambria" w:cs="Calibri"/>
                <w:color w:val="000000"/>
                <w:sz w:val="20"/>
                <w:szCs w:val="20"/>
                <w:lang w:val="es-ES_tradnl"/>
              </w:rPr>
              <w:t>Monitoreo II R. Niñez</w:t>
            </w:r>
          </w:p>
        </w:tc>
      </w:tr>
    </w:tbl>
    <w:p w14:paraId="0913302C" w14:textId="77777777" w:rsidR="001E5623" w:rsidRPr="00F0798B" w:rsidRDefault="001E5623" w:rsidP="001E5623">
      <w:pPr>
        <w:pStyle w:val="paragraphs"/>
        <w:numPr>
          <w:ilvl w:val="0"/>
          <w:numId w:val="0"/>
        </w:numPr>
        <w:ind w:left="360"/>
        <w:rPr>
          <w:rFonts w:eastAsia="Cambria" w:cs="Calibri Light"/>
        </w:rPr>
      </w:pPr>
    </w:p>
    <w:p w14:paraId="402BAFD9" w14:textId="0AFF0FFE" w:rsidR="001E5623" w:rsidRPr="00F0798B" w:rsidRDefault="001E5623" w:rsidP="005F60E5">
      <w:pPr>
        <w:pStyle w:val="paragraphs"/>
        <w:numPr>
          <w:ilvl w:val="0"/>
          <w:numId w:val="7"/>
        </w:numPr>
        <w:ind w:left="0" w:firstLine="720"/>
      </w:pPr>
      <w:r w:rsidRPr="00F0798B">
        <w:t>Adicionalmente, gracias al apoyo de las siguientes Instituciones, durante el 2018 la SE/CIDH recibió a siete de sus funcionarios/as bajo la modalidad de personal asociado:</w:t>
      </w:r>
    </w:p>
    <w:tbl>
      <w:tblPr>
        <w:tblW w:w="8028" w:type="dxa"/>
        <w:jc w:val="center"/>
        <w:tblCellMar>
          <w:left w:w="0" w:type="dxa"/>
          <w:right w:w="0" w:type="dxa"/>
        </w:tblCellMar>
        <w:tblLook w:val="04A0" w:firstRow="1" w:lastRow="0" w:firstColumn="1" w:lastColumn="0" w:noHBand="0" w:noVBand="1"/>
      </w:tblPr>
      <w:tblGrid>
        <w:gridCol w:w="873"/>
        <w:gridCol w:w="4770"/>
        <w:gridCol w:w="2620"/>
      </w:tblGrid>
      <w:tr w:rsidR="001E5623" w:rsidRPr="00F0798B" w14:paraId="52D26DD7" w14:textId="77777777" w:rsidTr="001E5623">
        <w:trPr>
          <w:trHeight w:val="300"/>
          <w:jc w:val="center"/>
        </w:trPr>
        <w:tc>
          <w:tcPr>
            <w:tcW w:w="638"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vAlign w:val="bottom"/>
            <w:hideMark/>
          </w:tcPr>
          <w:p w14:paraId="6705E395" w14:textId="77777777" w:rsidR="001E5623" w:rsidRPr="00F0798B" w:rsidRDefault="001E5623" w:rsidP="001E5623">
            <w:pPr>
              <w:pStyle w:val="paragraphs"/>
              <w:numPr>
                <w:ilvl w:val="0"/>
                <w:numId w:val="0"/>
              </w:numPr>
              <w:ind w:left="360"/>
              <w:rPr>
                <w:rFonts w:eastAsia="Cambria" w:cs="Calibri"/>
                <w:b/>
              </w:rPr>
            </w:pPr>
            <w:r w:rsidRPr="00F0798B">
              <w:rPr>
                <w:rFonts w:eastAsia="Cambria" w:cs="Calibri"/>
                <w:b/>
              </w:rPr>
              <w:t>No.</w:t>
            </w:r>
          </w:p>
        </w:tc>
        <w:tc>
          <w:tcPr>
            <w:tcW w:w="477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vAlign w:val="bottom"/>
            <w:hideMark/>
          </w:tcPr>
          <w:p w14:paraId="67F8BD78" w14:textId="77777777" w:rsidR="001E5623" w:rsidRPr="00F0798B" w:rsidRDefault="001E5623" w:rsidP="001E5623">
            <w:pPr>
              <w:pStyle w:val="paragraphs"/>
              <w:numPr>
                <w:ilvl w:val="0"/>
                <w:numId w:val="0"/>
              </w:numPr>
              <w:ind w:left="360"/>
              <w:jc w:val="center"/>
              <w:rPr>
                <w:rFonts w:eastAsia="Cambria" w:cs="Calibri"/>
                <w:b/>
              </w:rPr>
            </w:pPr>
            <w:r w:rsidRPr="00F0798B">
              <w:rPr>
                <w:rFonts w:eastAsia="Cambria" w:cs="Calibri"/>
                <w:b/>
              </w:rPr>
              <w:t>Institución</w:t>
            </w:r>
          </w:p>
        </w:tc>
        <w:tc>
          <w:tcPr>
            <w:tcW w:w="2620"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vAlign w:val="bottom"/>
            <w:hideMark/>
          </w:tcPr>
          <w:p w14:paraId="4C89857A" w14:textId="77777777" w:rsidR="001E5623" w:rsidRPr="00F0798B" w:rsidRDefault="001E5623" w:rsidP="001E5623">
            <w:pPr>
              <w:pStyle w:val="paragraphs"/>
              <w:numPr>
                <w:ilvl w:val="0"/>
                <w:numId w:val="0"/>
              </w:numPr>
              <w:ind w:left="360"/>
              <w:jc w:val="center"/>
              <w:rPr>
                <w:rFonts w:eastAsia="Cambria" w:cs="Calibri"/>
                <w:b/>
              </w:rPr>
            </w:pPr>
            <w:r w:rsidRPr="00F0798B">
              <w:rPr>
                <w:rFonts w:eastAsia="Cambria" w:cs="Calibri"/>
                <w:b/>
              </w:rPr>
              <w:t>Asignación</w:t>
            </w:r>
          </w:p>
        </w:tc>
      </w:tr>
      <w:tr w:rsidR="001E5623" w:rsidRPr="00F0798B" w14:paraId="6583D6B6"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DCCA6BF"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lastRenderedPageBreak/>
              <w:t>1</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5DED4"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Ministerio Público de la Defensa de la Ciudad Autónoma de Buenos Aires</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E24527" w14:textId="77777777" w:rsidR="001E5623" w:rsidRPr="00F0798B" w:rsidRDefault="001E5623" w:rsidP="001E5623">
            <w:pPr>
              <w:pStyle w:val="paragraphs"/>
              <w:numPr>
                <w:ilvl w:val="0"/>
                <w:numId w:val="0"/>
              </w:numPr>
              <w:ind w:left="360"/>
              <w:jc w:val="center"/>
              <w:rPr>
                <w:rFonts w:eastAsia="Cambria" w:cs="Calibri"/>
              </w:rPr>
            </w:pPr>
            <w:r w:rsidRPr="00F0798B">
              <w:rPr>
                <w:rFonts w:eastAsia="Cambria" w:cs="Calibri"/>
              </w:rPr>
              <w:t>Monitoreo I</w:t>
            </w:r>
          </w:p>
        </w:tc>
      </w:tr>
      <w:tr w:rsidR="001E5623" w:rsidRPr="00F0798B" w14:paraId="64D99360"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DD0F364"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2</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15ECB1" w14:textId="77777777" w:rsidR="001E5623" w:rsidRPr="005A4FF9" w:rsidRDefault="001E5623" w:rsidP="001E5623">
            <w:pPr>
              <w:pStyle w:val="paragraphs"/>
              <w:numPr>
                <w:ilvl w:val="0"/>
                <w:numId w:val="0"/>
              </w:numPr>
              <w:ind w:left="360"/>
              <w:jc w:val="left"/>
              <w:rPr>
                <w:rFonts w:eastAsia="Cambria" w:cs="Calibri"/>
                <w:lang w:val="pt-BR"/>
              </w:rPr>
            </w:pPr>
            <w:r w:rsidRPr="005A4FF9">
              <w:rPr>
                <w:rFonts w:eastAsia="Cambria" w:cs="Calibri"/>
                <w:lang w:val="pt-BR"/>
              </w:rPr>
              <w:t>Defensoría Pública da Uniao Recife/PE de Brasil (DPU)</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25FFF7" w14:textId="77777777" w:rsidR="001E5623" w:rsidRPr="00F0798B" w:rsidRDefault="001E5623" w:rsidP="001E5623">
            <w:pPr>
              <w:pStyle w:val="paragraphs"/>
              <w:numPr>
                <w:ilvl w:val="0"/>
                <w:numId w:val="0"/>
              </w:numPr>
              <w:ind w:left="360"/>
              <w:jc w:val="center"/>
              <w:rPr>
                <w:rFonts w:eastAsia="Cambria" w:cs="Calibri"/>
              </w:rPr>
            </w:pPr>
            <w:r w:rsidRPr="00F0798B">
              <w:rPr>
                <w:rFonts w:eastAsia="Cambria" w:cs="Calibri"/>
              </w:rPr>
              <w:t>Monitoreo II</w:t>
            </w:r>
          </w:p>
        </w:tc>
      </w:tr>
      <w:tr w:rsidR="001E5623" w:rsidRPr="00F0798B" w14:paraId="0A2CCDFF"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9F7B267"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3</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83DBCD"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Defensoría DDHH Pueblo de Oaxaca</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944521" w14:textId="77777777" w:rsidR="001E5623" w:rsidRPr="00F0798B" w:rsidRDefault="001E5623" w:rsidP="001E5623">
            <w:pPr>
              <w:pStyle w:val="paragraphs"/>
              <w:numPr>
                <w:ilvl w:val="0"/>
                <w:numId w:val="0"/>
              </w:numPr>
              <w:ind w:left="360"/>
              <w:jc w:val="center"/>
              <w:rPr>
                <w:rFonts w:eastAsia="Cambria" w:cs="Calibri"/>
              </w:rPr>
            </w:pPr>
            <w:r w:rsidRPr="00F0798B">
              <w:rPr>
                <w:rFonts w:eastAsia="Cambria" w:cs="Calibri"/>
              </w:rPr>
              <w:t>Monitoreo III</w:t>
            </w:r>
          </w:p>
        </w:tc>
      </w:tr>
      <w:tr w:rsidR="001E5623" w:rsidRPr="00F0798B" w14:paraId="3FEA3096"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E75C4B"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4</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DCC8CFB" w14:textId="77777777" w:rsidR="001E5623" w:rsidRPr="005A4FF9" w:rsidRDefault="001E5623" w:rsidP="001E5623">
            <w:pPr>
              <w:pStyle w:val="paragraphs"/>
              <w:numPr>
                <w:ilvl w:val="0"/>
                <w:numId w:val="0"/>
              </w:numPr>
              <w:ind w:left="360"/>
              <w:jc w:val="left"/>
              <w:rPr>
                <w:rFonts w:eastAsia="Cambria" w:cs="Calibri"/>
                <w:lang w:val="pt-BR"/>
              </w:rPr>
            </w:pPr>
            <w:r w:rsidRPr="005A4FF9">
              <w:rPr>
                <w:rFonts w:eastAsia="Cambria" w:cs="Calibri"/>
                <w:lang w:val="pt-BR"/>
              </w:rPr>
              <w:t>Defensoría Pública da Uniao Recife/PE de Brasil (DPU)</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4923AA" w14:textId="77777777" w:rsidR="001E5623" w:rsidRPr="00F0798B" w:rsidRDefault="001E5623" w:rsidP="001E5623">
            <w:pPr>
              <w:pStyle w:val="paragraphs"/>
              <w:numPr>
                <w:ilvl w:val="0"/>
                <w:numId w:val="0"/>
              </w:numPr>
              <w:ind w:left="360"/>
              <w:jc w:val="center"/>
              <w:rPr>
                <w:rFonts w:eastAsia="Cambria" w:cs="Calibri"/>
              </w:rPr>
            </w:pPr>
            <w:r w:rsidRPr="00F0798B">
              <w:rPr>
                <w:rFonts w:eastAsia="Cambria" w:cs="Calibri"/>
              </w:rPr>
              <w:t>REDESCA</w:t>
            </w:r>
          </w:p>
        </w:tc>
      </w:tr>
      <w:tr w:rsidR="001E5623" w:rsidRPr="00F0798B" w14:paraId="176DAD19"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1656BFD7"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5</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0A4A50"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Ministerio Público del Trabajo de Brasil</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D1A32C" w14:textId="77777777" w:rsidR="001E5623" w:rsidRPr="00F0798B" w:rsidRDefault="001E5623" w:rsidP="001E5623">
            <w:pPr>
              <w:pStyle w:val="paragraphs"/>
              <w:numPr>
                <w:ilvl w:val="0"/>
                <w:numId w:val="0"/>
              </w:numPr>
              <w:ind w:left="360"/>
              <w:jc w:val="center"/>
              <w:rPr>
                <w:rFonts w:eastAsia="Cambria" w:cs="Calibri"/>
              </w:rPr>
            </w:pPr>
            <w:r w:rsidRPr="00F0798B">
              <w:rPr>
                <w:rFonts w:eastAsia="Cambria" w:cs="Calibri"/>
              </w:rPr>
              <w:t>REDESCA</w:t>
            </w:r>
          </w:p>
        </w:tc>
      </w:tr>
      <w:tr w:rsidR="001E5623" w:rsidRPr="00F0798B" w14:paraId="2577FBFF"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59650F3" w14:textId="77777777" w:rsidR="001E5623" w:rsidRPr="00F0798B" w:rsidRDefault="001E5623" w:rsidP="001E5623">
            <w:pPr>
              <w:pStyle w:val="paragraphs"/>
              <w:numPr>
                <w:ilvl w:val="0"/>
                <w:numId w:val="0"/>
              </w:numPr>
              <w:ind w:left="360"/>
              <w:jc w:val="left"/>
              <w:rPr>
                <w:rFonts w:cs="Calibri"/>
                <w:color w:val="000000"/>
              </w:rPr>
            </w:pPr>
            <w:r w:rsidRPr="00F0798B">
              <w:rPr>
                <w:rFonts w:eastAsia="Cambria" w:cs="Calibri"/>
              </w:rPr>
              <w:t>6</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AC754F"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Defensoría DDHH Pueblo de Oaxaca</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1D3B48" w14:textId="77777777" w:rsidR="001E5623" w:rsidRPr="00F0798B" w:rsidRDefault="001E5623" w:rsidP="001E5623">
            <w:pPr>
              <w:pStyle w:val="paragraphs"/>
              <w:numPr>
                <w:ilvl w:val="0"/>
                <w:numId w:val="0"/>
              </w:numPr>
              <w:ind w:left="360"/>
              <w:jc w:val="center"/>
              <w:rPr>
                <w:rFonts w:eastAsia="Cambria" w:cs="Calibri"/>
              </w:rPr>
            </w:pPr>
            <w:r w:rsidRPr="00F0798B">
              <w:rPr>
                <w:rFonts w:eastAsia="Cambria" w:cs="Calibri"/>
              </w:rPr>
              <w:t>Medidas cautelares</w:t>
            </w:r>
          </w:p>
        </w:tc>
      </w:tr>
      <w:tr w:rsidR="001E5623" w:rsidRPr="00F0798B" w14:paraId="5B7E2399" w14:textId="77777777" w:rsidTr="001E5623">
        <w:trPr>
          <w:trHeight w:val="300"/>
          <w:jc w:val="center"/>
        </w:trPr>
        <w:tc>
          <w:tcPr>
            <w:tcW w:w="6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070B1A04"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7</w:t>
            </w:r>
          </w:p>
        </w:tc>
        <w:tc>
          <w:tcPr>
            <w:tcW w:w="47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F1BDA8" w14:textId="77777777" w:rsidR="001E5623" w:rsidRPr="00F0798B" w:rsidRDefault="001E5623" w:rsidP="001E5623">
            <w:pPr>
              <w:pStyle w:val="paragraphs"/>
              <w:numPr>
                <w:ilvl w:val="0"/>
                <w:numId w:val="0"/>
              </w:numPr>
              <w:ind w:left="360"/>
              <w:jc w:val="left"/>
              <w:rPr>
                <w:rFonts w:eastAsia="Cambria" w:cs="Calibri"/>
              </w:rPr>
            </w:pPr>
            <w:r w:rsidRPr="00F0798B">
              <w:rPr>
                <w:rFonts w:eastAsia="Cambria" w:cs="Calibri"/>
              </w:rPr>
              <w:t>Defensoría DDHH Pueblo de Oaxaca</w:t>
            </w:r>
          </w:p>
        </w:tc>
        <w:tc>
          <w:tcPr>
            <w:tcW w:w="2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05A456" w14:textId="77777777" w:rsidR="001E5623" w:rsidRPr="00F0798B" w:rsidRDefault="001E5623" w:rsidP="001E5623">
            <w:pPr>
              <w:pStyle w:val="paragraphs"/>
              <w:numPr>
                <w:ilvl w:val="0"/>
                <w:numId w:val="0"/>
              </w:numPr>
              <w:ind w:left="360"/>
              <w:jc w:val="center"/>
              <w:rPr>
                <w:rFonts w:eastAsia="Cambria" w:cs="Calibri"/>
              </w:rPr>
            </w:pPr>
            <w:r w:rsidRPr="00F0798B">
              <w:rPr>
                <w:rFonts w:eastAsia="Cambria" w:cs="Calibri"/>
              </w:rPr>
              <w:t>Prensa</w:t>
            </w:r>
          </w:p>
        </w:tc>
      </w:tr>
    </w:tbl>
    <w:p w14:paraId="4D5A0DEE" w14:textId="77777777" w:rsidR="001E5623" w:rsidRPr="00F0798B" w:rsidRDefault="001E5623" w:rsidP="001E5623">
      <w:pPr>
        <w:rPr>
          <w:rFonts w:ascii="Cambria" w:hAnsi="Cambria"/>
          <w:sz w:val="20"/>
          <w:szCs w:val="20"/>
          <w:lang w:val="es-ES_tradnl"/>
        </w:rPr>
      </w:pPr>
    </w:p>
    <w:p w14:paraId="11657C8B" w14:textId="7D67A0DB" w:rsidR="00D25CAC" w:rsidRPr="00F0798B" w:rsidRDefault="00D25CAC" w:rsidP="00D25CAC">
      <w:pPr>
        <w:ind w:left="360"/>
        <w:rPr>
          <w:rFonts w:ascii="Cambria" w:hAnsi="Cambria"/>
          <w:sz w:val="20"/>
          <w:szCs w:val="20"/>
          <w:lang w:val="es-ES_tradnl"/>
        </w:rPr>
      </w:pPr>
    </w:p>
    <w:p w14:paraId="0B92F2E3" w14:textId="5BD54A93" w:rsidR="00D25CAC" w:rsidRPr="00F0798B" w:rsidRDefault="00D25CAC" w:rsidP="005F60E5">
      <w:pPr>
        <w:pStyle w:val="ListParagraph"/>
        <w:numPr>
          <w:ilvl w:val="0"/>
          <w:numId w:val="1"/>
        </w:numPr>
        <w:spacing w:before="240" w:after="240"/>
        <w:ind w:firstLine="0"/>
        <w:contextualSpacing w:val="0"/>
        <w:rPr>
          <w:rFonts w:ascii="Cambria" w:hAnsi="Cambria"/>
          <w:b/>
          <w:sz w:val="22"/>
          <w:szCs w:val="20"/>
          <w:lang w:val="es-ES_tradnl"/>
        </w:rPr>
      </w:pPr>
      <w:r w:rsidRPr="00F0798B">
        <w:rPr>
          <w:rFonts w:ascii="Cambria" w:hAnsi="Cambria"/>
          <w:b/>
          <w:sz w:val="22"/>
          <w:szCs w:val="20"/>
          <w:lang w:val="es-ES_tradnl"/>
        </w:rPr>
        <w:t>Capacitación del personal</w:t>
      </w:r>
    </w:p>
    <w:p w14:paraId="209ADB25" w14:textId="77777777" w:rsidR="00580638" w:rsidRPr="00F0798B" w:rsidRDefault="00580638" w:rsidP="00580638">
      <w:pPr>
        <w:pStyle w:val="ListParagraph"/>
        <w:rPr>
          <w:rFonts w:ascii="Cambria" w:hAnsi="Cambria"/>
          <w:sz w:val="20"/>
          <w:szCs w:val="20"/>
          <w:lang w:val="es-ES_tradnl"/>
        </w:rPr>
      </w:pPr>
    </w:p>
    <w:p w14:paraId="44E8EBC4" w14:textId="53679746" w:rsidR="000504A7" w:rsidRPr="00F0798B" w:rsidRDefault="00580638" w:rsidP="005F60E5">
      <w:pPr>
        <w:pStyle w:val="paragraphs"/>
        <w:numPr>
          <w:ilvl w:val="0"/>
          <w:numId w:val="7"/>
        </w:numPr>
        <w:ind w:left="0" w:firstLine="720"/>
      </w:pPr>
      <w:r w:rsidRPr="00F0798B">
        <w:t>Fue desarrollado un curso específico para manejar el estrés y el trauma dirigido a 32 miembros del personal técnico de la Secretaria Ejecutiva de la CIDH que estuvieron en la visita a Nicaragua, Brasil y Honduras recibiendo testimonios sobre los hechos graves de violencia y graves violaciones de derechos humanos.  El curso fue desarrollado por especialistas de la Universidad de George Washington el 14 de diciembre de 2018 en la sede la CIDH.</w:t>
      </w:r>
    </w:p>
    <w:p w14:paraId="151022EE" w14:textId="54D1F11E" w:rsidR="00D25CAC" w:rsidRPr="00F0798B" w:rsidRDefault="00D25CAC" w:rsidP="005F60E5">
      <w:pPr>
        <w:pStyle w:val="ListParagraph"/>
        <w:numPr>
          <w:ilvl w:val="0"/>
          <w:numId w:val="1"/>
        </w:numPr>
        <w:spacing w:before="240" w:after="240"/>
        <w:ind w:firstLine="0"/>
        <w:contextualSpacing w:val="0"/>
        <w:rPr>
          <w:rFonts w:ascii="Cambria" w:hAnsi="Cambria"/>
          <w:b/>
          <w:sz w:val="22"/>
          <w:szCs w:val="20"/>
          <w:lang w:val="es-ES_tradnl"/>
        </w:rPr>
      </w:pPr>
      <w:r w:rsidRPr="00F0798B">
        <w:rPr>
          <w:rFonts w:ascii="Cambria" w:hAnsi="Cambria"/>
          <w:b/>
          <w:sz w:val="22"/>
          <w:szCs w:val="20"/>
          <w:lang w:val="es-ES_tradnl"/>
        </w:rPr>
        <w:t>Recursos Financieros y ejecución presupuestaria</w:t>
      </w:r>
    </w:p>
    <w:p w14:paraId="6FC3CA19" w14:textId="5CA3C36E" w:rsidR="001E5623" w:rsidRPr="00F0798B" w:rsidRDefault="001E5623" w:rsidP="005F60E5">
      <w:pPr>
        <w:pStyle w:val="paragraphs"/>
        <w:numPr>
          <w:ilvl w:val="0"/>
          <w:numId w:val="7"/>
        </w:numPr>
        <w:ind w:left="0" w:firstLine="720"/>
      </w:pPr>
      <w:r w:rsidRPr="00F0798B">
        <w:t>Para el año 2018, la Asamblea General aprobó un presupuesto a la CIDH de $7</w:t>
      </w:r>
      <w:proofErr w:type="gramStart"/>
      <w:r w:rsidRPr="00F0798B">
        <w:t>,505,200</w:t>
      </w:r>
      <w:proofErr w:type="gramEnd"/>
      <w:r w:rsidRPr="00F0798B">
        <w:t xml:space="preserve">, del cual $6,212,200 son para gastos de personal y $1,293,000 para gastos operacionales.  El presupuesto aprobado para el 2018 representó un aumento del 33% en relación al año 2017. El 2018 fue el primer año de la duplicación del presupuesto asignado a la CIDH y la cual se llevará a cabo en un plazo de 3 años. </w:t>
      </w:r>
    </w:p>
    <w:p w14:paraId="7AFC0842" w14:textId="77777777" w:rsidR="00723C78" w:rsidRDefault="00723C78">
      <w:pPr>
        <w:rPr>
          <w:rFonts w:ascii="Cambria" w:eastAsia="Times New Roman" w:hAnsi="Cambria" w:cs="Calibri"/>
          <w:b/>
          <w:color w:val="000000"/>
          <w:sz w:val="22"/>
          <w:szCs w:val="22"/>
          <w:lang w:val="es-ES_tradnl"/>
        </w:rPr>
      </w:pPr>
      <w:r>
        <w:rPr>
          <w:rFonts w:ascii="Cambria" w:hAnsi="Cambria"/>
          <w:b/>
          <w:sz w:val="22"/>
          <w:szCs w:val="22"/>
          <w:lang w:val="es-ES_tradnl"/>
        </w:rPr>
        <w:br w:type="page"/>
      </w:r>
    </w:p>
    <w:p w14:paraId="6C7760E3" w14:textId="58BD8DF6" w:rsidR="001E5623" w:rsidRPr="00F0798B" w:rsidRDefault="001E5623" w:rsidP="001E5623">
      <w:pPr>
        <w:pStyle w:val="Default"/>
        <w:jc w:val="center"/>
        <w:rPr>
          <w:rFonts w:ascii="Cambria" w:hAnsi="Cambria"/>
          <w:b/>
          <w:sz w:val="22"/>
          <w:szCs w:val="22"/>
          <w:lang w:val="es-ES_tradnl"/>
        </w:rPr>
      </w:pPr>
      <w:r w:rsidRPr="00F0798B">
        <w:rPr>
          <w:rFonts w:ascii="Cambria" w:hAnsi="Cambria"/>
          <w:b/>
          <w:sz w:val="22"/>
          <w:szCs w:val="22"/>
          <w:lang w:val="es-ES_tradnl"/>
        </w:rPr>
        <w:lastRenderedPageBreak/>
        <w:t>Figura 1. Distribución del Presupuesto Aprobado del Fondo Regular de la OEA en el año 2018   (en miles de USD)</w:t>
      </w:r>
    </w:p>
    <w:p w14:paraId="3ACCE87D" w14:textId="77777777" w:rsidR="001E5623" w:rsidRPr="00F0798B" w:rsidRDefault="001E5623" w:rsidP="001E5623">
      <w:pPr>
        <w:pStyle w:val="Default"/>
        <w:rPr>
          <w:rFonts w:ascii="Cambria" w:hAnsi="Cambria"/>
          <w:b/>
          <w:bCs/>
          <w:sz w:val="28"/>
          <w:szCs w:val="28"/>
          <w:lang w:val="es-ES_tradnl"/>
        </w:rPr>
      </w:pPr>
    </w:p>
    <w:p w14:paraId="61FFDF58" w14:textId="109C1555" w:rsidR="001E5623" w:rsidRPr="00F0798B" w:rsidRDefault="001E5623" w:rsidP="00273842">
      <w:pPr>
        <w:pStyle w:val="Default"/>
        <w:jc w:val="center"/>
        <w:rPr>
          <w:rFonts w:ascii="Cambria" w:hAnsi="Cambria"/>
          <w:lang w:val="es-ES_tradnl"/>
        </w:rPr>
      </w:pPr>
      <w:r w:rsidRPr="00F0798B">
        <w:rPr>
          <w:rFonts w:ascii="Cambria" w:hAnsi="Cambria"/>
          <w:noProof/>
        </w:rPr>
        <w:drawing>
          <wp:inline distT="0" distB="0" distL="0" distR="0" wp14:anchorId="36B7E08C" wp14:editId="7DDEC265">
            <wp:extent cx="5718175" cy="3669030"/>
            <wp:effectExtent l="0" t="0" r="9525" b="1397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1F5387" w14:textId="028CB413" w:rsidR="001E5623" w:rsidRPr="00F0798B" w:rsidRDefault="001E5623" w:rsidP="00437CDA">
      <w:pPr>
        <w:jc w:val="center"/>
        <w:rPr>
          <w:rFonts w:ascii="Cambria" w:eastAsia="Times New Roman" w:hAnsi="Cambria"/>
          <w:color w:val="000000"/>
          <w:lang w:val="es-ES_tradnl"/>
        </w:rPr>
      </w:pPr>
      <w:r w:rsidRPr="00F0798B">
        <w:rPr>
          <w:rFonts w:ascii="Cambria" w:eastAsia="Times New Roman" w:hAnsi="Cambria"/>
          <w:b/>
          <w:bCs/>
          <w:color w:val="000000"/>
          <w:lang w:val="es-ES_tradnl"/>
        </w:rPr>
        <w:t>Total $ 81,575.00</w:t>
      </w:r>
    </w:p>
    <w:p w14:paraId="6AE4EC54" w14:textId="77777777" w:rsidR="00437CDA" w:rsidRPr="00F0798B" w:rsidRDefault="00437CDA" w:rsidP="00437CDA">
      <w:pPr>
        <w:ind w:left="115" w:right="2880"/>
        <w:jc w:val="center"/>
        <w:rPr>
          <w:rFonts w:ascii="Cambria" w:eastAsia="Times New Roman" w:hAnsi="Cambria"/>
          <w:color w:val="000000"/>
          <w:lang w:val="es-ES_tradnl"/>
        </w:rPr>
      </w:pPr>
    </w:p>
    <w:p w14:paraId="15D43E48" w14:textId="02074D64" w:rsidR="001E5623" w:rsidRPr="00F0798B" w:rsidRDefault="001E5623" w:rsidP="001E5623">
      <w:pPr>
        <w:tabs>
          <w:tab w:val="left" w:pos="4899"/>
          <w:tab w:val="left" w:pos="6455"/>
          <w:tab w:val="left" w:pos="7431"/>
          <w:tab w:val="left" w:pos="12215"/>
          <w:tab w:val="left" w:pos="17320"/>
          <w:tab w:val="left" w:pos="18296"/>
          <w:tab w:val="left" w:pos="19272"/>
          <w:tab w:val="left" w:pos="20248"/>
          <w:tab w:val="left" w:pos="21224"/>
          <w:tab w:val="left" w:pos="22200"/>
          <w:tab w:val="left" w:pos="23176"/>
          <w:tab w:val="left" w:pos="24152"/>
          <w:tab w:val="left" w:pos="25128"/>
          <w:tab w:val="left" w:pos="26104"/>
        </w:tabs>
        <w:ind w:left="108" w:right="3992"/>
        <w:rPr>
          <w:rFonts w:ascii="Cambria" w:eastAsia="Times New Roman" w:hAnsi="Cambria"/>
          <w:color w:val="000000"/>
          <w:sz w:val="20"/>
          <w:szCs w:val="20"/>
          <w:lang w:val="es-ES_tradnl"/>
        </w:rPr>
      </w:pPr>
      <w:r w:rsidRPr="00F0798B">
        <w:rPr>
          <w:rFonts w:ascii="Cambria" w:eastAsia="Times New Roman" w:hAnsi="Cambria"/>
          <w:color w:val="000000"/>
          <w:sz w:val="20"/>
          <w:szCs w:val="20"/>
          <w:lang w:val="es-ES_tradnl"/>
        </w:rPr>
        <w:t xml:space="preserve">Notas: </w:t>
      </w:r>
    </w:p>
    <w:p w14:paraId="0A18A7D3" w14:textId="5CDB3AB2" w:rsidR="001E5623" w:rsidRPr="00F0798B" w:rsidRDefault="001E5623" w:rsidP="008F10FD">
      <w:pPr>
        <w:tabs>
          <w:tab w:val="left" w:pos="25128"/>
          <w:tab w:val="left" w:pos="26104"/>
        </w:tabs>
        <w:ind w:left="540" w:right="90" w:hanging="180"/>
        <w:rPr>
          <w:rFonts w:ascii="Cambria" w:eastAsia="Times New Roman" w:hAnsi="Cambria"/>
          <w:color w:val="000000"/>
          <w:sz w:val="20"/>
          <w:szCs w:val="20"/>
          <w:lang w:val="es-ES_tradnl"/>
        </w:rPr>
      </w:pPr>
      <w:r w:rsidRPr="00F0798B">
        <w:rPr>
          <w:rFonts w:ascii="Cambria" w:eastAsia="Times New Roman" w:hAnsi="Cambria"/>
          <w:color w:val="000000"/>
          <w:sz w:val="20"/>
          <w:szCs w:val="20"/>
          <w:lang w:val="es-ES_tradnl"/>
        </w:rPr>
        <w:t xml:space="preserve">-  Las cifras muestran la distribución del programa presupuesto aprobado el 10 de noviembre de 2017 mediante AG/RES. 1 (LII-E/17) </w:t>
      </w:r>
      <w:proofErr w:type="spellStart"/>
      <w:r w:rsidRPr="00F0798B">
        <w:rPr>
          <w:rFonts w:ascii="Cambria" w:eastAsia="Times New Roman" w:hAnsi="Cambria"/>
          <w:color w:val="000000"/>
          <w:sz w:val="20"/>
          <w:szCs w:val="20"/>
          <w:lang w:val="es-ES_tradnl"/>
        </w:rPr>
        <w:t>rev.</w:t>
      </w:r>
      <w:proofErr w:type="spellEnd"/>
      <w:r w:rsidRPr="00F0798B">
        <w:rPr>
          <w:rFonts w:ascii="Cambria" w:eastAsia="Times New Roman" w:hAnsi="Cambria"/>
          <w:color w:val="000000"/>
          <w:sz w:val="20"/>
          <w:szCs w:val="20"/>
          <w:lang w:val="es-ES_tradnl"/>
        </w:rPr>
        <w:t xml:space="preserve"> 1) para el periodo del 1 de enero al 31 de diciembre de 2018</w:t>
      </w:r>
    </w:p>
    <w:p w14:paraId="6167ADC8" w14:textId="77777777" w:rsidR="00AC6F0A" w:rsidRPr="00F0798B" w:rsidRDefault="00AC6F0A" w:rsidP="008F10FD">
      <w:pPr>
        <w:tabs>
          <w:tab w:val="left" w:pos="25128"/>
          <w:tab w:val="left" w:pos="26104"/>
        </w:tabs>
        <w:ind w:left="540" w:right="90" w:hanging="180"/>
        <w:rPr>
          <w:rFonts w:ascii="Cambria" w:eastAsia="Times New Roman" w:hAnsi="Cambria"/>
          <w:color w:val="000000"/>
          <w:lang w:val="es-ES_tradnl"/>
        </w:rPr>
      </w:pPr>
    </w:p>
    <w:p w14:paraId="6EEAFD80" w14:textId="77777777" w:rsidR="001E5623" w:rsidRPr="00F0798B" w:rsidRDefault="001E5623" w:rsidP="005F60E5">
      <w:pPr>
        <w:pStyle w:val="paragraphs"/>
        <w:numPr>
          <w:ilvl w:val="0"/>
          <w:numId w:val="7"/>
        </w:numPr>
        <w:ind w:left="0" w:firstLine="720"/>
      </w:pPr>
      <w:r w:rsidRPr="00F0798B">
        <w:t>Al 31 de diciembre de 2018, el presupuesto del fondo regular original fue modificado a un total de $6</w:t>
      </w:r>
      <w:proofErr w:type="gramStart"/>
      <w:r w:rsidRPr="00F0798B">
        <w:t>,772,025</w:t>
      </w:r>
      <w:proofErr w:type="gramEnd"/>
      <w:r w:rsidRPr="00F0798B">
        <w:t xml:space="preserve">  cuya distribución es $4,295,715 para gastos de personal y $2,476,310 para gastos no-personal. La porción correspondiente a gastos de personal se ve sub-ejecutada debido a que el año 2018 tuvo varias posiciones aún en proceso de concurso.</w:t>
      </w:r>
    </w:p>
    <w:p w14:paraId="1135BA51" w14:textId="10998AB6" w:rsidR="001E5623" w:rsidRPr="00F0798B" w:rsidRDefault="001E5623" w:rsidP="005F60E5">
      <w:pPr>
        <w:pStyle w:val="paragraphs"/>
        <w:numPr>
          <w:ilvl w:val="0"/>
          <w:numId w:val="7"/>
        </w:numPr>
        <w:ind w:left="0" w:firstLine="720"/>
      </w:pPr>
      <w:r w:rsidRPr="00F0798B">
        <w:t xml:space="preserve">En relación a la captación de fondos específicos, como consecuencia de las actividades realizadas la CIDH ha conseguido en el 2018, incrementar los fondos específicos recibidos, alcanzando su valor más alto histórico más alto y ubicándose en USD 6,698,994. La siguiente grafica muestra la distribución de fondos recibidos por la CIDH </w:t>
      </w:r>
      <w:r w:rsidR="00437CDA" w:rsidRPr="00F0798B">
        <w:t xml:space="preserve">por fuente de financiamiento. </w:t>
      </w:r>
    </w:p>
    <w:p w14:paraId="3270E182" w14:textId="77777777" w:rsidR="000854E7" w:rsidRPr="00F0798B" w:rsidRDefault="000854E7" w:rsidP="001E5623">
      <w:pPr>
        <w:pStyle w:val="Default"/>
        <w:jc w:val="center"/>
        <w:rPr>
          <w:rFonts w:ascii="Cambria" w:hAnsi="Cambria"/>
          <w:b/>
          <w:sz w:val="22"/>
          <w:szCs w:val="22"/>
          <w:lang w:val="es-ES_tradnl"/>
        </w:rPr>
      </w:pPr>
    </w:p>
    <w:p w14:paraId="704386D6" w14:textId="77777777" w:rsidR="00723C78" w:rsidRDefault="00723C78">
      <w:pPr>
        <w:rPr>
          <w:rFonts w:ascii="Cambria" w:eastAsia="Times New Roman" w:hAnsi="Cambria" w:cs="Calibri"/>
          <w:b/>
          <w:color w:val="000000"/>
          <w:sz w:val="22"/>
          <w:szCs w:val="22"/>
          <w:lang w:val="es-ES_tradnl"/>
        </w:rPr>
      </w:pPr>
      <w:r>
        <w:rPr>
          <w:rFonts w:ascii="Cambria" w:hAnsi="Cambria"/>
          <w:b/>
          <w:sz w:val="22"/>
          <w:szCs w:val="22"/>
          <w:lang w:val="es-ES_tradnl"/>
        </w:rPr>
        <w:br w:type="page"/>
      </w:r>
    </w:p>
    <w:p w14:paraId="3BD037F1" w14:textId="31D5C06B" w:rsidR="00273842" w:rsidRPr="00F0798B" w:rsidRDefault="001E5623" w:rsidP="001E5623">
      <w:pPr>
        <w:pStyle w:val="Default"/>
        <w:jc w:val="center"/>
        <w:rPr>
          <w:rFonts w:ascii="Cambria" w:hAnsi="Cambria"/>
          <w:noProof/>
          <w:lang w:val="es-ES_tradnl"/>
        </w:rPr>
      </w:pPr>
      <w:r w:rsidRPr="00F0798B">
        <w:rPr>
          <w:rFonts w:ascii="Cambria" w:hAnsi="Cambria"/>
          <w:b/>
          <w:sz w:val="22"/>
          <w:szCs w:val="22"/>
          <w:lang w:val="es-ES_tradnl"/>
        </w:rPr>
        <w:lastRenderedPageBreak/>
        <w:t xml:space="preserve">Figura  2. Fondos Recibidos por la CIDH en 2018  Distribuidos por Fuente de Financiamiento </w:t>
      </w:r>
      <w:r w:rsidRPr="00F0798B">
        <w:rPr>
          <w:rFonts w:ascii="Cambria" w:hAnsi="Cambria"/>
          <w:b/>
          <w:color w:val="auto"/>
          <w:sz w:val="22"/>
          <w:szCs w:val="22"/>
          <w:lang w:val="es-ES_tradnl"/>
        </w:rPr>
        <w:t>(Valores en miles de USD, preliminares y no auditados)</w:t>
      </w:r>
      <w:r w:rsidR="00273842" w:rsidRPr="00F0798B">
        <w:rPr>
          <w:rFonts w:ascii="Cambria" w:hAnsi="Cambria"/>
          <w:noProof/>
          <w:lang w:val="es-ES_tradnl"/>
        </w:rPr>
        <w:t xml:space="preserve"> </w:t>
      </w:r>
    </w:p>
    <w:p w14:paraId="78C83672" w14:textId="77777777" w:rsidR="00273842" w:rsidRPr="00F0798B" w:rsidRDefault="00273842" w:rsidP="001E5623">
      <w:pPr>
        <w:pStyle w:val="Default"/>
        <w:jc w:val="center"/>
        <w:rPr>
          <w:rFonts w:ascii="Cambria" w:hAnsi="Cambria"/>
          <w:noProof/>
          <w:lang w:val="es-ES_tradnl"/>
        </w:rPr>
      </w:pPr>
    </w:p>
    <w:p w14:paraId="5F9E8E55" w14:textId="33DDA814" w:rsidR="00273842" w:rsidRPr="00F0798B" w:rsidRDefault="00273842" w:rsidP="001E5623">
      <w:pPr>
        <w:pStyle w:val="Default"/>
        <w:jc w:val="center"/>
        <w:rPr>
          <w:rFonts w:ascii="Cambria" w:hAnsi="Cambria"/>
          <w:noProof/>
          <w:lang w:val="es-ES_tradnl"/>
        </w:rPr>
      </w:pPr>
      <w:r w:rsidRPr="00F0798B">
        <w:rPr>
          <w:rFonts w:ascii="Cambria" w:hAnsi="Cambria"/>
          <w:noProof/>
        </w:rPr>
        <w:drawing>
          <wp:inline distT="0" distB="0" distL="0" distR="0" wp14:anchorId="620163AE" wp14:editId="048BB43F">
            <wp:extent cx="5943600" cy="3364865"/>
            <wp:effectExtent l="0" t="0" r="0" b="63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64865"/>
                    </a:xfrm>
                    <a:prstGeom prst="rect">
                      <a:avLst/>
                    </a:prstGeom>
                    <a:noFill/>
                  </pic:spPr>
                </pic:pic>
              </a:graphicData>
            </a:graphic>
          </wp:inline>
        </w:drawing>
      </w:r>
    </w:p>
    <w:p w14:paraId="1BF61298" w14:textId="77777777" w:rsidR="003C6514" w:rsidRPr="00F0798B" w:rsidRDefault="001E5623" w:rsidP="001E5623">
      <w:pPr>
        <w:tabs>
          <w:tab w:val="left" w:pos="630"/>
          <w:tab w:val="left" w:pos="6455"/>
          <w:tab w:val="left" w:pos="7431"/>
          <w:tab w:val="left" w:pos="12215"/>
          <w:tab w:val="left" w:pos="17320"/>
          <w:tab w:val="left" w:pos="18296"/>
          <w:tab w:val="left" w:pos="19272"/>
          <w:tab w:val="left" w:pos="20248"/>
          <w:tab w:val="left" w:pos="21224"/>
          <w:tab w:val="left" w:pos="22200"/>
          <w:tab w:val="left" w:pos="23176"/>
          <w:tab w:val="left" w:pos="24152"/>
          <w:tab w:val="left" w:pos="25128"/>
          <w:tab w:val="left" w:pos="26104"/>
        </w:tabs>
        <w:ind w:right="2880"/>
        <w:jc w:val="center"/>
        <w:rPr>
          <w:rFonts w:ascii="Cambria" w:eastAsia="Times New Roman" w:hAnsi="Cambria"/>
          <w:b/>
          <w:bCs/>
          <w:color w:val="000000"/>
          <w:lang w:val="es-ES_tradnl"/>
        </w:rPr>
      </w:pPr>
      <w:r w:rsidRPr="00F0798B">
        <w:rPr>
          <w:rFonts w:ascii="Cambria" w:eastAsia="Times New Roman" w:hAnsi="Cambria"/>
          <w:b/>
          <w:bCs/>
          <w:color w:val="000000"/>
          <w:lang w:val="es-ES_tradnl"/>
        </w:rPr>
        <w:t xml:space="preserve">                                                      </w:t>
      </w:r>
    </w:p>
    <w:p w14:paraId="160FDC61" w14:textId="4A340C30" w:rsidR="001E5623" w:rsidRPr="00F0798B" w:rsidRDefault="001E5623" w:rsidP="003C6514">
      <w:pPr>
        <w:jc w:val="center"/>
        <w:rPr>
          <w:rFonts w:ascii="Cambria" w:eastAsia="Times New Roman" w:hAnsi="Cambria"/>
          <w:b/>
          <w:bCs/>
          <w:color w:val="000000"/>
          <w:lang w:val="es-ES_tradnl"/>
        </w:rPr>
      </w:pPr>
      <w:r w:rsidRPr="00F0798B">
        <w:rPr>
          <w:rFonts w:ascii="Cambria" w:eastAsia="Times New Roman" w:hAnsi="Cambria"/>
          <w:b/>
          <w:bCs/>
          <w:color w:val="000000"/>
          <w:lang w:val="es-ES_tradnl"/>
        </w:rPr>
        <w:t xml:space="preserve">  Total: $13,471.02</w:t>
      </w:r>
    </w:p>
    <w:p w14:paraId="7986274A" w14:textId="77777777" w:rsidR="001E5623" w:rsidRPr="00F0798B" w:rsidRDefault="001E5623" w:rsidP="001E5623">
      <w:pPr>
        <w:pStyle w:val="Default"/>
        <w:rPr>
          <w:rFonts w:ascii="Cambria" w:eastAsia="Calibri" w:hAnsi="Cambria"/>
          <w:lang w:val="es-ES_tradnl"/>
        </w:rPr>
      </w:pPr>
    </w:p>
    <w:p w14:paraId="2A9E289C" w14:textId="77777777" w:rsidR="001E5623" w:rsidRPr="00F0798B" w:rsidRDefault="001E5623" w:rsidP="005F60E5">
      <w:pPr>
        <w:pStyle w:val="paragraphs"/>
        <w:numPr>
          <w:ilvl w:val="0"/>
          <w:numId w:val="7"/>
        </w:numPr>
        <w:ind w:left="0" w:firstLine="720"/>
      </w:pPr>
      <w:r w:rsidRPr="00F0798B">
        <w:t xml:space="preserve">Durante el año 2018 la CIDH logró diversificar las fuentes de fondos específicos incrementando a 28 la cantidad de donantes. Dentro de los mismos la CIDH destaca la renovación de confianza por parte de los Estados Miembros y Observadores, recuperando el apoyo, después de varios años, de estados miembros como Ecuador y República Dominicana y estados observadores como Alemania, Italia y Luxemburgo. La siguiente tabla muestra las contribuciones de fondos recibidos por la CIDH por fuente de financiamiento. </w:t>
      </w:r>
    </w:p>
    <w:p w14:paraId="4147E54E" w14:textId="21ABAA0D" w:rsidR="00437CDA" w:rsidRPr="00F0798B" w:rsidRDefault="00116AFA" w:rsidP="005A4FF9">
      <w:pPr>
        <w:pStyle w:val="paragraphs"/>
        <w:numPr>
          <w:ilvl w:val="0"/>
          <w:numId w:val="7"/>
        </w:numPr>
        <w:ind w:left="0" w:firstLine="720"/>
        <w:rPr>
          <w:rFonts w:eastAsia="Times New Roman" w:cs="Calibri"/>
          <w:b/>
          <w:color w:val="000000"/>
          <w:sz w:val="22"/>
          <w:szCs w:val="22"/>
        </w:rPr>
      </w:pPr>
      <w:r w:rsidRPr="00F0798B">
        <w:t>La CIDH resalta las contribuciones financieras de Colombia (USD 338,867) y República Dominicana (USD 362,933) que hicieron posible la celebración de los 167 y 168 periodos de sesiones. Así como la invitación y la contribución en especie de la Universidad de Colorado Boulder para hospedar el 169 periodo de sesiones.</w:t>
      </w:r>
    </w:p>
    <w:p w14:paraId="078E1E52" w14:textId="722DE091" w:rsidR="00116AFA" w:rsidRPr="00F0798B" w:rsidRDefault="00116AFA" w:rsidP="005A4FF9">
      <w:pPr>
        <w:pStyle w:val="paragraphs"/>
        <w:numPr>
          <w:ilvl w:val="0"/>
          <w:numId w:val="7"/>
        </w:numPr>
        <w:ind w:left="0" w:firstLine="720"/>
        <w:rPr>
          <w:rFonts w:eastAsia="Times New Roman" w:cs="Calibri"/>
          <w:b/>
          <w:color w:val="000000"/>
          <w:sz w:val="22"/>
          <w:szCs w:val="22"/>
        </w:rPr>
      </w:pPr>
      <w:r w:rsidRPr="00F0798B">
        <w:t>La siguiente tabla muestra las contribuciones de fondos recibidos por la CIDH por fuente de financiamiento.</w:t>
      </w:r>
    </w:p>
    <w:p w14:paraId="5A4A414C" w14:textId="77777777" w:rsidR="00723C78" w:rsidRDefault="00723C78">
      <w:pPr>
        <w:rPr>
          <w:rFonts w:ascii="Cambria" w:eastAsia="Times New Roman" w:hAnsi="Cambria" w:cs="Calibri"/>
          <w:b/>
          <w:color w:val="000000"/>
          <w:sz w:val="22"/>
          <w:szCs w:val="22"/>
          <w:lang w:val="es-ES_tradnl"/>
        </w:rPr>
      </w:pPr>
      <w:r>
        <w:rPr>
          <w:rFonts w:ascii="Cambria" w:hAnsi="Cambria"/>
          <w:b/>
          <w:sz w:val="22"/>
          <w:szCs w:val="22"/>
          <w:lang w:val="es-ES_tradnl"/>
        </w:rPr>
        <w:br w:type="page"/>
      </w:r>
    </w:p>
    <w:p w14:paraId="1088C3B7" w14:textId="172AA6B6" w:rsidR="001E5623" w:rsidRPr="00F0798B" w:rsidRDefault="001E5623" w:rsidP="00437CDA">
      <w:pPr>
        <w:pStyle w:val="Default"/>
        <w:jc w:val="center"/>
        <w:rPr>
          <w:rFonts w:ascii="Cambria" w:hAnsi="Cambria"/>
          <w:b/>
          <w:sz w:val="22"/>
          <w:szCs w:val="22"/>
          <w:lang w:val="es-ES_tradnl"/>
        </w:rPr>
      </w:pPr>
      <w:r w:rsidRPr="00F0798B">
        <w:rPr>
          <w:rFonts w:ascii="Cambria" w:hAnsi="Cambria"/>
          <w:b/>
          <w:sz w:val="22"/>
          <w:szCs w:val="22"/>
          <w:lang w:val="es-ES_tradnl"/>
        </w:rPr>
        <w:lastRenderedPageBreak/>
        <w:t>Tabla 1. Contribuciones de Fondos Recibidos por la CIDH en 2018</w:t>
      </w:r>
    </w:p>
    <w:p w14:paraId="75ACFB03" w14:textId="77777777" w:rsidR="00CF18C5" w:rsidRPr="00F0798B" w:rsidRDefault="001E5623" w:rsidP="001E5623">
      <w:pPr>
        <w:pStyle w:val="Default"/>
        <w:jc w:val="center"/>
        <w:rPr>
          <w:rFonts w:ascii="Cambria" w:hAnsi="Cambria"/>
          <w:b/>
          <w:color w:val="auto"/>
          <w:sz w:val="22"/>
          <w:szCs w:val="22"/>
          <w:lang w:val="es-ES_tradnl"/>
        </w:rPr>
      </w:pPr>
      <w:r w:rsidRPr="00F0798B">
        <w:rPr>
          <w:rFonts w:ascii="Cambria" w:hAnsi="Cambria"/>
          <w:b/>
          <w:color w:val="auto"/>
          <w:sz w:val="22"/>
          <w:szCs w:val="22"/>
          <w:lang w:val="es-ES_tradnl"/>
        </w:rPr>
        <w:t>(Valores en USD, preliminares y no auditados)</w:t>
      </w:r>
      <w:bookmarkStart w:id="0" w:name="OLE_LINK1"/>
    </w:p>
    <w:p w14:paraId="2B8D6368" w14:textId="08268C1E" w:rsidR="001E5623" w:rsidRPr="00F0798B" w:rsidRDefault="00CF18C5" w:rsidP="001E5623">
      <w:pPr>
        <w:pStyle w:val="Default"/>
        <w:jc w:val="center"/>
        <w:rPr>
          <w:rFonts w:ascii="Cambria" w:hAnsi="Cambria"/>
          <w:b/>
          <w:sz w:val="28"/>
          <w:szCs w:val="28"/>
          <w:lang w:val="es-ES_tradnl"/>
        </w:rPr>
      </w:pPr>
      <w:bookmarkStart w:id="1" w:name="_GoBack"/>
      <w:r w:rsidRPr="00F0798B">
        <w:rPr>
          <w:noProof/>
        </w:rPr>
        <w:drawing>
          <wp:inline distT="0" distB="0" distL="0" distR="0" wp14:anchorId="1CD7EACC" wp14:editId="7072D6D4">
            <wp:extent cx="5943600" cy="779100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91005"/>
                    </a:xfrm>
                    <a:prstGeom prst="rect">
                      <a:avLst/>
                    </a:prstGeom>
                    <a:noFill/>
                    <a:ln>
                      <a:noFill/>
                    </a:ln>
                  </pic:spPr>
                </pic:pic>
              </a:graphicData>
            </a:graphic>
          </wp:inline>
        </w:drawing>
      </w:r>
      <w:bookmarkEnd w:id="1"/>
    </w:p>
    <w:p w14:paraId="6A2B468C" w14:textId="77777777" w:rsidR="001E5623" w:rsidRPr="00F0798B" w:rsidRDefault="001E5623" w:rsidP="001E5623">
      <w:pPr>
        <w:pStyle w:val="Default"/>
        <w:jc w:val="center"/>
        <w:rPr>
          <w:rFonts w:ascii="Cambria" w:hAnsi="Cambria"/>
          <w:b/>
          <w:sz w:val="22"/>
          <w:szCs w:val="22"/>
          <w:lang w:val="es-ES_tradnl"/>
        </w:rPr>
      </w:pPr>
    </w:p>
    <w:p w14:paraId="0A937983" w14:textId="77777777" w:rsidR="001E5623" w:rsidRPr="00F0798B" w:rsidRDefault="001E5623" w:rsidP="005F60E5">
      <w:pPr>
        <w:pStyle w:val="paragraphs"/>
        <w:numPr>
          <w:ilvl w:val="0"/>
          <w:numId w:val="7"/>
        </w:numPr>
        <w:ind w:left="0" w:firstLine="720"/>
      </w:pPr>
      <w:r w:rsidRPr="00F0798B">
        <w:t>La siguiente tabla muestra el informe de variaciones en el saldo de fondo de los proyectos financiados por fondos específicos de la CIDH al 31 de diciembre de 2018.</w:t>
      </w:r>
    </w:p>
    <w:p w14:paraId="56A95DEC" w14:textId="2F81F1F8" w:rsidR="001E5623" w:rsidRPr="00F0798B" w:rsidRDefault="001E5623" w:rsidP="00437CDA">
      <w:pPr>
        <w:pStyle w:val="Default"/>
        <w:jc w:val="center"/>
        <w:rPr>
          <w:rFonts w:ascii="Cambria" w:hAnsi="Cambria"/>
          <w:b/>
          <w:sz w:val="22"/>
          <w:szCs w:val="22"/>
          <w:lang w:val="es-ES_tradnl"/>
        </w:rPr>
      </w:pPr>
      <w:r w:rsidRPr="00F0798B">
        <w:rPr>
          <w:rFonts w:ascii="Cambria" w:hAnsi="Cambria"/>
          <w:b/>
          <w:sz w:val="22"/>
          <w:szCs w:val="22"/>
          <w:lang w:val="es-ES_tradnl"/>
        </w:rPr>
        <w:t>Tabla 2. Informe de Variaciones en el Saldo de Fondo de Fondos Específicos por Proyectos</w:t>
      </w:r>
    </w:p>
    <w:p w14:paraId="3A84FD94" w14:textId="272C80FA" w:rsidR="001E5623" w:rsidRPr="00F0798B" w:rsidRDefault="001E5623" w:rsidP="00437CDA">
      <w:pPr>
        <w:pStyle w:val="Default"/>
        <w:jc w:val="center"/>
        <w:rPr>
          <w:rFonts w:ascii="Cambria" w:hAnsi="Cambria"/>
          <w:b/>
          <w:sz w:val="22"/>
          <w:szCs w:val="22"/>
          <w:lang w:val="es-ES_tradnl"/>
        </w:rPr>
      </w:pPr>
      <w:r w:rsidRPr="00F0798B">
        <w:rPr>
          <w:rFonts w:ascii="Cambria" w:hAnsi="Cambria"/>
          <w:b/>
          <w:sz w:val="22"/>
          <w:szCs w:val="22"/>
          <w:lang w:val="es-ES_tradnl"/>
        </w:rPr>
        <w:t>Información al 31 de diciembre de 2018</w:t>
      </w:r>
      <w:r w:rsidRPr="00F0798B">
        <w:rPr>
          <w:rStyle w:val="FootnoteReference"/>
          <w:rFonts w:ascii="Cambria" w:hAnsi="Cambria"/>
          <w:b/>
          <w:sz w:val="22"/>
          <w:szCs w:val="22"/>
          <w:lang w:val="es-ES_tradnl"/>
        </w:rPr>
        <w:footnoteReference w:id="1"/>
      </w:r>
      <w:r w:rsidRPr="00F0798B">
        <w:rPr>
          <w:rFonts w:ascii="Cambria" w:hAnsi="Cambria"/>
          <w:b/>
          <w:sz w:val="22"/>
          <w:szCs w:val="22"/>
          <w:lang w:val="es-ES_tradnl"/>
        </w:rPr>
        <w:t xml:space="preserve"> </w:t>
      </w:r>
      <w:r w:rsidRPr="00F0798B">
        <w:rPr>
          <w:rStyle w:val="FootnoteReference"/>
          <w:rFonts w:ascii="Cambria" w:hAnsi="Cambria"/>
          <w:b/>
          <w:sz w:val="22"/>
          <w:szCs w:val="22"/>
          <w:lang w:val="es-ES_tradnl"/>
        </w:rPr>
        <w:footnoteReference w:id="2"/>
      </w:r>
    </w:p>
    <w:bookmarkEnd w:id="0"/>
    <w:p w14:paraId="1B00DE40" w14:textId="27A442A2" w:rsidR="001E5623" w:rsidRPr="00F0798B" w:rsidRDefault="001E5623" w:rsidP="00437CDA">
      <w:pPr>
        <w:pStyle w:val="Default"/>
        <w:jc w:val="center"/>
        <w:rPr>
          <w:rFonts w:ascii="Cambria" w:hAnsi="Cambria"/>
          <w:lang w:val="es-ES_tradnl"/>
        </w:rPr>
      </w:pPr>
      <w:r w:rsidRPr="00F0798B">
        <w:rPr>
          <w:rFonts w:ascii="Cambria" w:hAnsi="Cambria"/>
          <w:b/>
          <w:color w:val="auto"/>
          <w:sz w:val="22"/>
          <w:szCs w:val="22"/>
          <w:lang w:val="es-ES_tradnl"/>
        </w:rPr>
        <w:t>(Valores en USD, preliminares y no auditados)</w:t>
      </w:r>
    </w:p>
    <w:p w14:paraId="0B5AFBAB" w14:textId="77777777" w:rsidR="001E5623" w:rsidRPr="00F0798B" w:rsidRDefault="001E5623" w:rsidP="001E5623">
      <w:pPr>
        <w:pStyle w:val="Default"/>
        <w:jc w:val="center"/>
        <w:rPr>
          <w:rFonts w:ascii="Cambria" w:hAnsi="Cambria"/>
          <w:b/>
          <w:sz w:val="28"/>
          <w:szCs w:val="28"/>
          <w:lang w:val="es-ES_tradnl"/>
        </w:rPr>
      </w:pPr>
    </w:p>
    <w:p w14:paraId="3C758E5C" w14:textId="40BA1690" w:rsidR="001E5623" w:rsidRPr="00F0798B" w:rsidRDefault="001E5623" w:rsidP="001E5623">
      <w:pPr>
        <w:pStyle w:val="Default"/>
        <w:jc w:val="center"/>
        <w:rPr>
          <w:rFonts w:ascii="Cambria" w:hAnsi="Cambria"/>
          <w:b/>
          <w:sz w:val="28"/>
          <w:szCs w:val="28"/>
          <w:lang w:val="es-ES_tradnl"/>
        </w:rPr>
      </w:pPr>
      <w:r w:rsidRPr="00F0798B">
        <w:rPr>
          <w:rFonts w:ascii="Cambria" w:hAnsi="Cambria"/>
          <w:noProof/>
        </w:rPr>
        <w:drawing>
          <wp:inline distT="0" distB="0" distL="0" distR="0" wp14:anchorId="6C2C1A53" wp14:editId="3BF4FDD1">
            <wp:extent cx="5943600" cy="4258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58310"/>
                    </a:xfrm>
                    <a:prstGeom prst="rect">
                      <a:avLst/>
                    </a:prstGeom>
                    <a:noFill/>
                    <a:ln>
                      <a:noFill/>
                    </a:ln>
                  </pic:spPr>
                </pic:pic>
              </a:graphicData>
            </a:graphic>
          </wp:inline>
        </w:drawing>
      </w:r>
    </w:p>
    <w:p w14:paraId="04E344F4" w14:textId="77777777" w:rsidR="001E5623" w:rsidRPr="00F0798B" w:rsidRDefault="001E5623" w:rsidP="001E5623">
      <w:pPr>
        <w:pStyle w:val="Default"/>
        <w:jc w:val="center"/>
        <w:rPr>
          <w:rFonts w:ascii="Cambria" w:hAnsi="Cambria"/>
          <w:b/>
          <w:sz w:val="28"/>
          <w:szCs w:val="28"/>
          <w:lang w:val="es-ES_tradnl"/>
        </w:rPr>
      </w:pPr>
    </w:p>
    <w:p w14:paraId="2A63FA0E" w14:textId="77777777" w:rsidR="00437CDA" w:rsidRPr="00F0798B" w:rsidRDefault="00437CDA">
      <w:pPr>
        <w:rPr>
          <w:lang w:val="es-ES_tradnl"/>
        </w:rPr>
      </w:pPr>
      <w:r w:rsidRPr="00F0798B">
        <w:rPr>
          <w:lang w:val="es-ES_tradnl"/>
        </w:rPr>
        <w:br w:type="page"/>
      </w:r>
    </w:p>
    <w:p w14:paraId="6028A3F2" w14:textId="77777777" w:rsidR="00C536C6" w:rsidRPr="00F0798B" w:rsidRDefault="00C536C6">
      <w:pPr>
        <w:rPr>
          <w:rFonts w:ascii="Cambria" w:eastAsia="Calibri" w:hAnsi="Cambria" w:cs="Times New Roman"/>
          <w:sz w:val="20"/>
          <w:szCs w:val="20"/>
          <w:lang w:val="es-ES_tradnl"/>
        </w:rPr>
      </w:pPr>
    </w:p>
    <w:p w14:paraId="1DD8FCD7" w14:textId="19F7D212" w:rsidR="001E5623" w:rsidRPr="00F0798B" w:rsidRDefault="001E5623" w:rsidP="005F60E5">
      <w:pPr>
        <w:pStyle w:val="paragraphs"/>
        <w:numPr>
          <w:ilvl w:val="0"/>
          <w:numId w:val="7"/>
        </w:numPr>
        <w:ind w:left="0" w:firstLine="720"/>
      </w:pPr>
      <w:r w:rsidRPr="00F0798B">
        <w:t xml:space="preserve">La siguiente </w:t>
      </w:r>
      <w:r w:rsidR="00116AFA" w:rsidRPr="00F0798B">
        <w:t>figura</w:t>
      </w:r>
      <w:r w:rsidRPr="00F0798B">
        <w:t xml:space="preserve"> muestra la distribución del gasto de la CIDH por fuente de financiamiento al 31 de diciembre de 2018. Los gastos financiados a través de los fondos específicos ascienden al 51% y del fondo regular, al 49%.</w:t>
      </w:r>
    </w:p>
    <w:p w14:paraId="12265B5A" w14:textId="77777777" w:rsidR="00C536C6" w:rsidRPr="00F0798B" w:rsidRDefault="00C536C6" w:rsidP="00C536C6">
      <w:pPr>
        <w:pStyle w:val="paragraphs"/>
        <w:numPr>
          <w:ilvl w:val="0"/>
          <w:numId w:val="0"/>
        </w:numPr>
        <w:ind w:left="720"/>
      </w:pPr>
    </w:p>
    <w:p w14:paraId="2868806D" w14:textId="572012BB" w:rsidR="001E5623" w:rsidRPr="00F0798B" w:rsidRDefault="001E5623" w:rsidP="00437CDA">
      <w:pPr>
        <w:pStyle w:val="Default"/>
        <w:jc w:val="center"/>
        <w:rPr>
          <w:rFonts w:ascii="Cambria" w:hAnsi="Cambria"/>
          <w:b/>
          <w:sz w:val="22"/>
          <w:szCs w:val="22"/>
          <w:lang w:val="es-ES_tradnl"/>
        </w:rPr>
      </w:pPr>
      <w:r w:rsidRPr="00F0798B">
        <w:rPr>
          <w:rFonts w:ascii="Cambria" w:hAnsi="Cambria"/>
          <w:b/>
          <w:sz w:val="22"/>
          <w:szCs w:val="22"/>
          <w:lang w:val="es-ES_tradnl"/>
        </w:rPr>
        <w:t>Figura 3. Distribución del Gasto de la CIDH por Fuente de Financiamiento en el 2018</w:t>
      </w:r>
    </w:p>
    <w:p w14:paraId="4C13918A" w14:textId="77777777" w:rsidR="001E5623" w:rsidRPr="00F0798B" w:rsidRDefault="001E5623" w:rsidP="00437CDA">
      <w:pPr>
        <w:pStyle w:val="Default"/>
        <w:jc w:val="center"/>
        <w:rPr>
          <w:rFonts w:ascii="Cambria" w:hAnsi="Cambria"/>
          <w:b/>
          <w:color w:val="auto"/>
          <w:sz w:val="22"/>
          <w:szCs w:val="22"/>
          <w:lang w:val="es-ES_tradnl"/>
        </w:rPr>
      </w:pPr>
      <w:r w:rsidRPr="00F0798B">
        <w:rPr>
          <w:rFonts w:ascii="Cambria" w:hAnsi="Cambria"/>
          <w:b/>
          <w:color w:val="auto"/>
          <w:sz w:val="22"/>
          <w:szCs w:val="22"/>
          <w:lang w:val="es-ES_tradnl"/>
        </w:rPr>
        <w:t>(Valores en miles de USD, preliminares y no auditados)</w:t>
      </w:r>
    </w:p>
    <w:p w14:paraId="648B3667" w14:textId="77777777" w:rsidR="00C536C6" w:rsidRPr="00F0798B" w:rsidRDefault="00C536C6" w:rsidP="00437CDA">
      <w:pPr>
        <w:pStyle w:val="Default"/>
        <w:jc w:val="center"/>
        <w:rPr>
          <w:rFonts w:ascii="Cambria" w:hAnsi="Cambria"/>
          <w:b/>
          <w:sz w:val="28"/>
          <w:szCs w:val="28"/>
          <w:lang w:val="es-ES_tradnl"/>
        </w:rPr>
      </w:pPr>
    </w:p>
    <w:p w14:paraId="047B6ECC" w14:textId="77777777" w:rsidR="00437CDA" w:rsidRPr="00F0798B" w:rsidRDefault="00437CDA" w:rsidP="001E5623">
      <w:pPr>
        <w:pStyle w:val="Default"/>
        <w:jc w:val="center"/>
        <w:rPr>
          <w:rFonts w:ascii="Cambria" w:hAnsi="Cambria"/>
          <w:b/>
          <w:sz w:val="28"/>
          <w:szCs w:val="28"/>
          <w:lang w:val="es-ES_tradnl"/>
        </w:rPr>
      </w:pPr>
    </w:p>
    <w:p w14:paraId="4E9FF170" w14:textId="37401674" w:rsidR="001E5623" w:rsidRPr="00F0798B" w:rsidRDefault="00273842" w:rsidP="001E5623">
      <w:pPr>
        <w:pStyle w:val="Default"/>
        <w:jc w:val="center"/>
        <w:rPr>
          <w:rFonts w:ascii="Cambria" w:hAnsi="Cambria"/>
          <w:b/>
          <w:sz w:val="28"/>
          <w:szCs w:val="28"/>
          <w:lang w:val="es-ES_tradnl"/>
        </w:rPr>
      </w:pPr>
      <w:r w:rsidRPr="00F0798B">
        <w:rPr>
          <w:rFonts w:ascii="Cambria" w:hAnsi="Cambria"/>
          <w:b/>
          <w:noProof/>
          <w:sz w:val="28"/>
          <w:szCs w:val="28"/>
        </w:rPr>
        <w:drawing>
          <wp:inline distT="0" distB="0" distL="0" distR="0" wp14:anchorId="30AA4020" wp14:editId="0E6AD941">
            <wp:extent cx="4999355" cy="368871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9355" cy="3688715"/>
                    </a:xfrm>
                    <a:prstGeom prst="rect">
                      <a:avLst/>
                    </a:prstGeom>
                    <a:noFill/>
                  </pic:spPr>
                </pic:pic>
              </a:graphicData>
            </a:graphic>
          </wp:inline>
        </w:drawing>
      </w:r>
    </w:p>
    <w:p w14:paraId="3DB516C6" w14:textId="77777777" w:rsidR="003C6514" w:rsidRPr="00F0798B" w:rsidRDefault="003C6514" w:rsidP="001E5623">
      <w:pPr>
        <w:pStyle w:val="Default"/>
        <w:rPr>
          <w:rFonts w:ascii="Cambria" w:hAnsi="Cambria"/>
          <w:b/>
          <w:lang w:val="es-ES_tradnl"/>
        </w:rPr>
      </w:pPr>
    </w:p>
    <w:p w14:paraId="794CECE7" w14:textId="007FB0FA" w:rsidR="001E5623" w:rsidRPr="00F0798B" w:rsidRDefault="001E5623" w:rsidP="003C6514">
      <w:pPr>
        <w:pStyle w:val="Default"/>
        <w:jc w:val="center"/>
        <w:rPr>
          <w:rFonts w:ascii="Cambria" w:hAnsi="Cambria"/>
          <w:b/>
          <w:lang w:val="es-ES_tradnl"/>
        </w:rPr>
      </w:pPr>
      <w:r w:rsidRPr="00F0798B">
        <w:rPr>
          <w:rFonts w:ascii="Cambria" w:hAnsi="Cambria"/>
          <w:b/>
          <w:lang w:val="es-ES_tradnl"/>
        </w:rPr>
        <w:t>Total: $13,370.83</w:t>
      </w:r>
    </w:p>
    <w:p w14:paraId="17295806" w14:textId="77777777" w:rsidR="001E5623" w:rsidRPr="00F0798B" w:rsidRDefault="001E5623" w:rsidP="001E5623">
      <w:pPr>
        <w:pStyle w:val="Default"/>
        <w:rPr>
          <w:rFonts w:ascii="Cambria" w:hAnsi="Cambria"/>
          <w:lang w:val="es-ES_tradnl"/>
        </w:rPr>
      </w:pPr>
    </w:p>
    <w:p w14:paraId="131322BF" w14:textId="77777777" w:rsidR="00C536C6" w:rsidRPr="00F0798B" w:rsidRDefault="00C536C6">
      <w:pPr>
        <w:rPr>
          <w:rFonts w:ascii="Cambria" w:eastAsia="Calibri" w:hAnsi="Cambria" w:cs="Times New Roman"/>
          <w:sz w:val="20"/>
          <w:szCs w:val="20"/>
          <w:lang w:val="es-ES_tradnl"/>
        </w:rPr>
      </w:pPr>
      <w:r w:rsidRPr="00F0798B">
        <w:rPr>
          <w:lang w:val="es-ES_tradnl"/>
        </w:rPr>
        <w:br w:type="page"/>
      </w:r>
    </w:p>
    <w:p w14:paraId="2822ACA2" w14:textId="6356C6BD" w:rsidR="001E5623" w:rsidRPr="00F0798B" w:rsidRDefault="001E5623" w:rsidP="005F60E5">
      <w:pPr>
        <w:pStyle w:val="paragraphs"/>
        <w:numPr>
          <w:ilvl w:val="0"/>
          <w:numId w:val="7"/>
        </w:numPr>
        <w:ind w:left="0" w:firstLine="720"/>
      </w:pPr>
      <w:r w:rsidRPr="00F0798B">
        <w:lastRenderedPageBreak/>
        <w:t>La siguiente tabla muestra la distribución del gasto de la CIDH por fuente de financiamiento y objeto de gasto.</w:t>
      </w:r>
    </w:p>
    <w:p w14:paraId="15E64A03" w14:textId="77777777" w:rsidR="00C536C6" w:rsidRPr="00F0798B" w:rsidRDefault="00C536C6" w:rsidP="00437CDA">
      <w:pPr>
        <w:pStyle w:val="Default"/>
        <w:jc w:val="center"/>
        <w:rPr>
          <w:rFonts w:ascii="Cambria" w:hAnsi="Cambria"/>
          <w:b/>
          <w:sz w:val="22"/>
          <w:szCs w:val="22"/>
          <w:lang w:val="es-ES_tradnl"/>
        </w:rPr>
      </w:pPr>
    </w:p>
    <w:p w14:paraId="55457D25" w14:textId="1E114AAB" w:rsidR="001E5623" w:rsidRPr="00F0798B" w:rsidRDefault="001E5623" w:rsidP="00437CDA">
      <w:pPr>
        <w:pStyle w:val="Default"/>
        <w:jc w:val="center"/>
        <w:rPr>
          <w:rFonts w:ascii="Cambria" w:hAnsi="Cambria"/>
          <w:b/>
          <w:sz w:val="22"/>
          <w:szCs w:val="22"/>
          <w:lang w:val="es-ES_tradnl"/>
        </w:rPr>
      </w:pPr>
      <w:r w:rsidRPr="00F0798B">
        <w:rPr>
          <w:rFonts w:ascii="Cambria" w:hAnsi="Cambria"/>
          <w:b/>
          <w:sz w:val="22"/>
          <w:szCs w:val="22"/>
          <w:lang w:val="es-ES_tradnl"/>
        </w:rPr>
        <w:t xml:space="preserve">Tabla 3. Distribución del Gasto de la CIDH por Fuente de Financiamiento en el 2018 </w:t>
      </w:r>
      <w:r w:rsidR="00C536C6" w:rsidRPr="00F0798B">
        <w:rPr>
          <w:rFonts w:ascii="Cambria" w:hAnsi="Cambria"/>
          <w:b/>
          <w:sz w:val="22"/>
          <w:szCs w:val="22"/>
          <w:lang w:val="es-ES_tradnl"/>
        </w:rPr>
        <w:br/>
      </w:r>
      <w:r w:rsidRPr="00F0798B">
        <w:rPr>
          <w:rFonts w:ascii="Cambria" w:hAnsi="Cambria"/>
          <w:b/>
          <w:sz w:val="22"/>
          <w:szCs w:val="22"/>
          <w:lang w:val="es-ES_tradnl"/>
        </w:rPr>
        <w:t>y Objeto de Gasto</w:t>
      </w:r>
    </w:p>
    <w:p w14:paraId="65DEDA6B" w14:textId="77777777" w:rsidR="001E5623" w:rsidRPr="00F0798B" w:rsidRDefault="001E5623" w:rsidP="00437CDA">
      <w:pPr>
        <w:pStyle w:val="Default"/>
        <w:jc w:val="center"/>
        <w:rPr>
          <w:rFonts w:ascii="Cambria" w:hAnsi="Cambria"/>
          <w:b/>
          <w:sz w:val="28"/>
          <w:szCs w:val="28"/>
          <w:lang w:val="es-ES_tradnl"/>
        </w:rPr>
      </w:pPr>
      <w:r w:rsidRPr="00F0798B">
        <w:rPr>
          <w:rFonts w:ascii="Cambria" w:hAnsi="Cambria"/>
          <w:b/>
          <w:color w:val="auto"/>
          <w:sz w:val="22"/>
          <w:szCs w:val="22"/>
          <w:lang w:val="es-ES_tradnl"/>
        </w:rPr>
        <w:t>(Valores en USD, preliminares y no auditados)</w:t>
      </w:r>
    </w:p>
    <w:p w14:paraId="316E1CE1" w14:textId="77777777" w:rsidR="001E5623" w:rsidRPr="00F0798B" w:rsidRDefault="001E5623" w:rsidP="001E5623">
      <w:pPr>
        <w:pStyle w:val="Default"/>
        <w:rPr>
          <w:rFonts w:ascii="Cambria" w:hAnsi="Cambria"/>
          <w:b/>
          <w:sz w:val="22"/>
          <w:szCs w:val="22"/>
          <w:lang w:val="es-ES_tradnl"/>
        </w:rPr>
      </w:pPr>
    </w:p>
    <w:p w14:paraId="6856ADB1" w14:textId="77777777" w:rsidR="001E5623" w:rsidRPr="00F0798B" w:rsidRDefault="001E5623" w:rsidP="001E5623">
      <w:pPr>
        <w:pStyle w:val="Default"/>
        <w:jc w:val="center"/>
        <w:rPr>
          <w:rFonts w:ascii="Cambria" w:hAnsi="Cambria"/>
          <w:sz w:val="16"/>
          <w:szCs w:val="16"/>
          <w:lang w:val="es-ES_tradnl"/>
        </w:rPr>
      </w:pPr>
    </w:p>
    <w:tbl>
      <w:tblPr>
        <w:tblW w:w="938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980"/>
        <w:gridCol w:w="1800"/>
        <w:gridCol w:w="1800"/>
        <w:gridCol w:w="1800"/>
      </w:tblGrid>
      <w:tr w:rsidR="001E5623" w:rsidRPr="00F0798B" w14:paraId="22CABEDB" w14:textId="77777777" w:rsidTr="001E5623">
        <w:trPr>
          <w:trHeight w:val="300"/>
        </w:trPr>
        <w:tc>
          <w:tcPr>
            <w:tcW w:w="3980" w:type="dxa"/>
            <w:tcBorders>
              <w:top w:val="single" w:sz="4" w:space="0" w:color="4F81BD"/>
              <w:left w:val="single" w:sz="4" w:space="0" w:color="4F81BD"/>
              <w:bottom w:val="single" w:sz="4" w:space="0" w:color="4F81BD"/>
              <w:right w:val="nil"/>
            </w:tcBorders>
            <w:shd w:val="clear" w:color="auto" w:fill="4F81BD"/>
            <w:noWrap/>
            <w:hideMark/>
          </w:tcPr>
          <w:p w14:paraId="605243DA"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Objeto de gasto </w:t>
            </w:r>
          </w:p>
        </w:tc>
        <w:tc>
          <w:tcPr>
            <w:tcW w:w="1800" w:type="dxa"/>
            <w:tcBorders>
              <w:top w:val="single" w:sz="4" w:space="0" w:color="4F81BD"/>
              <w:left w:val="nil"/>
              <w:bottom w:val="single" w:sz="4" w:space="0" w:color="4F81BD"/>
              <w:right w:val="nil"/>
            </w:tcBorders>
            <w:shd w:val="clear" w:color="auto" w:fill="4F81BD"/>
            <w:noWrap/>
            <w:hideMark/>
          </w:tcPr>
          <w:p w14:paraId="4F01F941" w14:textId="77777777" w:rsidR="001E5623" w:rsidRPr="00F0798B" w:rsidRDefault="001E5623">
            <w:pPr>
              <w:jc w:val="cente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Fondo Regular </w:t>
            </w:r>
          </w:p>
        </w:tc>
        <w:tc>
          <w:tcPr>
            <w:tcW w:w="1800" w:type="dxa"/>
            <w:tcBorders>
              <w:top w:val="single" w:sz="4" w:space="0" w:color="4F81BD"/>
              <w:left w:val="nil"/>
              <w:bottom w:val="single" w:sz="4" w:space="0" w:color="4F81BD"/>
              <w:right w:val="nil"/>
            </w:tcBorders>
            <w:shd w:val="clear" w:color="auto" w:fill="4F81BD"/>
            <w:noWrap/>
            <w:hideMark/>
          </w:tcPr>
          <w:p w14:paraId="19C42482" w14:textId="77777777" w:rsidR="001E5623" w:rsidRPr="00F0798B" w:rsidRDefault="001E5623">
            <w:pPr>
              <w:jc w:val="cente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Fondo Específicos </w:t>
            </w:r>
          </w:p>
        </w:tc>
        <w:tc>
          <w:tcPr>
            <w:tcW w:w="1800" w:type="dxa"/>
            <w:tcBorders>
              <w:top w:val="single" w:sz="4" w:space="0" w:color="4F81BD"/>
              <w:left w:val="nil"/>
              <w:bottom w:val="single" w:sz="4" w:space="0" w:color="4F81BD"/>
              <w:right w:val="single" w:sz="4" w:space="0" w:color="4F81BD"/>
            </w:tcBorders>
            <w:shd w:val="clear" w:color="auto" w:fill="4F81BD"/>
            <w:noWrap/>
            <w:hideMark/>
          </w:tcPr>
          <w:p w14:paraId="14B9464D" w14:textId="77777777" w:rsidR="001E5623" w:rsidRPr="00F0798B" w:rsidRDefault="001E5623">
            <w:pPr>
              <w:jc w:val="cente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Total </w:t>
            </w:r>
          </w:p>
        </w:tc>
      </w:tr>
      <w:tr w:rsidR="001E5623" w:rsidRPr="00F0798B" w14:paraId="6384EA3D"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5708AAF4" w14:textId="77777777" w:rsidR="001E5623" w:rsidRPr="00F0798B" w:rsidRDefault="001E5623">
            <w:pPr>
              <w:rPr>
                <w:rFonts w:ascii="Cambria" w:eastAsia="Times New Roman" w:hAnsi="Cambria" w:cs="Calibri"/>
                <w:b/>
                <w:bCs/>
                <w:sz w:val="20"/>
                <w:szCs w:val="20"/>
                <w:lang w:val="es-ES_tradnl" w:eastAsia="es-CO"/>
              </w:rPr>
            </w:pPr>
            <w:r w:rsidRPr="00F0798B">
              <w:rPr>
                <w:rFonts w:ascii="Cambria" w:eastAsia="Times New Roman" w:hAnsi="Cambria" w:cs="Calibri"/>
                <w:b/>
                <w:bCs/>
                <w:sz w:val="20"/>
                <w:szCs w:val="20"/>
                <w:lang w:val="es-ES_tradnl" w:eastAsia="es-CO"/>
              </w:rPr>
              <w:t xml:space="preserve"> Salarios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29332DA"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4,281,737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6412915C"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1,741,394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75F7128"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6,023,131 </w:t>
            </w:r>
          </w:p>
        </w:tc>
      </w:tr>
      <w:tr w:rsidR="001E5623" w:rsidRPr="00F0798B" w14:paraId="5BEBE2CD"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7D1B16C6"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Contratos por resultado </w:t>
            </w:r>
          </w:p>
        </w:tc>
        <w:tc>
          <w:tcPr>
            <w:tcW w:w="1800" w:type="dxa"/>
            <w:tcBorders>
              <w:top w:val="single" w:sz="4" w:space="0" w:color="95B3D7"/>
              <w:left w:val="single" w:sz="4" w:space="0" w:color="95B3D7"/>
              <w:bottom w:val="single" w:sz="4" w:space="0" w:color="95B3D7"/>
              <w:right w:val="single" w:sz="4" w:space="0" w:color="95B3D7"/>
            </w:tcBorders>
            <w:noWrap/>
            <w:hideMark/>
          </w:tcPr>
          <w:p w14:paraId="1345AA5C"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1,518,516 </w:t>
            </w:r>
          </w:p>
        </w:tc>
        <w:tc>
          <w:tcPr>
            <w:tcW w:w="1800" w:type="dxa"/>
            <w:tcBorders>
              <w:top w:val="single" w:sz="4" w:space="0" w:color="95B3D7"/>
              <w:left w:val="single" w:sz="4" w:space="0" w:color="95B3D7"/>
              <w:bottom w:val="single" w:sz="4" w:space="0" w:color="95B3D7"/>
              <w:right w:val="single" w:sz="4" w:space="0" w:color="95B3D7"/>
            </w:tcBorders>
            <w:noWrap/>
            <w:hideMark/>
          </w:tcPr>
          <w:p w14:paraId="72A54BC8"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2,933,241 </w:t>
            </w:r>
          </w:p>
        </w:tc>
        <w:tc>
          <w:tcPr>
            <w:tcW w:w="1800" w:type="dxa"/>
            <w:tcBorders>
              <w:top w:val="single" w:sz="4" w:space="0" w:color="95B3D7"/>
              <w:left w:val="single" w:sz="4" w:space="0" w:color="95B3D7"/>
              <w:bottom w:val="single" w:sz="4" w:space="0" w:color="95B3D7"/>
              <w:right w:val="single" w:sz="4" w:space="0" w:color="95B3D7"/>
            </w:tcBorders>
            <w:noWrap/>
            <w:hideMark/>
          </w:tcPr>
          <w:p w14:paraId="4A5938FB"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4,451,756 </w:t>
            </w:r>
          </w:p>
        </w:tc>
      </w:tr>
      <w:tr w:rsidR="001E5623" w:rsidRPr="00F0798B" w14:paraId="083C04DD"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0368C8B7" w14:textId="77777777" w:rsidR="001E5623" w:rsidRPr="00F0798B" w:rsidRDefault="001E5623">
            <w:pPr>
              <w:rPr>
                <w:rFonts w:ascii="Cambria" w:eastAsia="Times New Roman" w:hAnsi="Cambria" w:cs="Calibri"/>
                <w:b/>
                <w:bCs/>
                <w:sz w:val="20"/>
                <w:szCs w:val="20"/>
                <w:lang w:val="es-ES_tradnl" w:eastAsia="es-CO"/>
              </w:rPr>
            </w:pPr>
            <w:r w:rsidRPr="00F0798B">
              <w:rPr>
                <w:rFonts w:ascii="Cambria" w:eastAsia="Times New Roman" w:hAnsi="Cambria" w:cs="Calibri"/>
                <w:b/>
                <w:bCs/>
                <w:sz w:val="20"/>
                <w:szCs w:val="20"/>
                <w:lang w:val="es-ES_tradnl" w:eastAsia="es-CO"/>
              </w:rPr>
              <w:t xml:space="preserve"> Becas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65E8B9B8"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45,183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C29AC40"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201,637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55C1D603"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246,820 </w:t>
            </w:r>
          </w:p>
        </w:tc>
      </w:tr>
      <w:tr w:rsidR="001E5623" w:rsidRPr="00F0798B" w14:paraId="0A1AEC12"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0193489D" w14:textId="77777777" w:rsidR="001E5623" w:rsidRPr="00F0798B" w:rsidRDefault="001E5623">
            <w:pPr>
              <w:rPr>
                <w:rFonts w:ascii="Cambria" w:eastAsia="Times New Roman" w:hAnsi="Cambria" w:cs="Calibri"/>
                <w:b/>
                <w:bCs/>
                <w:sz w:val="20"/>
                <w:szCs w:val="20"/>
                <w:lang w:val="es-ES_tradnl" w:eastAsia="es-CO"/>
              </w:rPr>
            </w:pPr>
            <w:r w:rsidRPr="00F0798B">
              <w:rPr>
                <w:rFonts w:ascii="Cambria" w:eastAsia="Times New Roman" w:hAnsi="Cambria" w:cs="Calibri"/>
                <w:b/>
                <w:bCs/>
                <w:sz w:val="20"/>
                <w:szCs w:val="20"/>
                <w:lang w:val="es-ES_tradnl" w:eastAsia="es-CO"/>
              </w:rPr>
              <w:t xml:space="preserve"> Viajes </w:t>
            </w:r>
          </w:p>
        </w:tc>
        <w:tc>
          <w:tcPr>
            <w:tcW w:w="1800" w:type="dxa"/>
            <w:tcBorders>
              <w:top w:val="single" w:sz="4" w:space="0" w:color="95B3D7"/>
              <w:left w:val="single" w:sz="4" w:space="0" w:color="95B3D7"/>
              <w:bottom w:val="single" w:sz="4" w:space="0" w:color="95B3D7"/>
              <w:right w:val="single" w:sz="4" w:space="0" w:color="95B3D7"/>
            </w:tcBorders>
            <w:noWrap/>
            <w:hideMark/>
          </w:tcPr>
          <w:p w14:paraId="0A55569A"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392,271 </w:t>
            </w:r>
          </w:p>
        </w:tc>
        <w:tc>
          <w:tcPr>
            <w:tcW w:w="1800" w:type="dxa"/>
            <w:tcBorders>
              <w:top w:val="single" w:sz="4" w:space="0" w:color="95B3D7"/>
              <w:left w:val="single" w:sz="4" w:space="0" w:color="95B3D7"/>
              <w:bottom w:val="single" w:sz="4" w:space="0" w:color="95B3D7"/>
              <w:right w:val="single" w:sz="4" w:space="0" w:color="95B3D7"/>
            </w:tcBorders>
            <w:noWrap/>
            <w:hideMark/>
          </w:tcPr>
          <w:p w14:paraId="06E801D4"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825,826 </w:t>
            </w:r>
          </w:p>
        </w:tc>
        <w:tc>
          <w:tcPr>
            <w:tcW w:w="1800" w:type="dxa"/>
            <w:tcBorders>
              <w:top w:val="single" w:sz="4" w:space="0" w:color="95B3D7"/>
              <w:left w:val="single" w:sz="4" w:space="0" w:color="95B3D7"/>
              <w:bottom w:val="single" w:sz="4" w:space="0" w:color="95B3D7"/>
              <w:right w:val="single" w:sz="4" w:space="0" w:color="95B3D7"/>
            </w:tcBorders>
            <w:noWrap/>
            <w:hideMark/>
          </w:tcPr>
          <w:p w14:paraId="0D9AE39E"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1,218,097 </w:t>
            </w:r>
          </w:p>
        </w:tc>
      </w:tr>
      <w:tr w:rsidR="001E5623" w:rsidRPr="00F0798B" w14:paraId="77C8F39C"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5DF2B32"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Documentos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1D88E549"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38,381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7D0E1A9"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37,709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136DD675"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76,090 </w:t>
            </w:r>
          </w:p>
        </w:tc>
      </w:tr>
      <w:tr w:rsidR="001E5623" w:rsidRPr="00F0798B" w14:paraId="6538396B"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73368ED8"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Equipos y suministros </w:t>
            </w:r>
          </w:p>
        </w:tc>
        <w:tc>
          <w:tcPr>
            <w:tcW w:w="1800" w:type="dxa"/>
            <w:tcBorders>
              <w:top w:val="single" w:sz="4" w:space="0" w:color="95B3D7"/>
              <w:left w:val="single" w:sz="4" w:space="0" w:color="95B3D7"/>
              <w:bottom w:val="single" w:sz="4" w:space="0" w:color="95B3D7"/>
              <w:right w:val="single" w:sz="4" w:space="0" w:color="95B3D7"/>
            </w:tcBorders>
            <w:noWrap/>
            <w:hideMark/>
          </w:tcPr>
          <w:p w14:paraId="0F12F952"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90,666 </w:t>
            </w:r>
          </w:p>
        </w:tc>
        <w:tc>
          <w:tcPr>
            <w:tcW w:w="1800" w:type="dxa"/>
            <w:tcBorders>
              <w:top w:val="single" w:sz="4" w:space="0" w:color="95B3D7"/>
              <w:left w:val="single" w:sz="4" w:space="0" w:color="95B3D7"/>
              <w:bottom w:val="single" w:sz="4" w:space="0" w:color="95B3D7"/>
              <w:right w:val="single" w:sz="4" w:space="0" w:color="95B3D7"/>
            </w:tcBorders>
            <w:noWrap/>
            <w:hideMark/>
          </w:tcPr>
          <w:p w14:paraId="65F37436"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22,725 </w:t>
            </w:r>
          </w:p>
        </w:tc>
        <w:tc>
          <w:tcPr>
            <w:tcW w:w="1800" w:type="dxa"/>
            <w:tcBorders>
              <w:top w:val="single" w:sz="4" w:space="0" w:color="95B3D7"/>
              <w:left w:val="single" w:sz="4" w:space="0" w:color="95B3D7"/>
              <w:bottom w:val="single" w:sz="4" w:space="0" w:color="95B3D7"/>
              <w:right w:val="single" w:sz="4" w:space="0" w:color="95B3D7"/>
            </w:tcBorders>
            <w:noWrap/>
            <w:hideMark/>
          </w:tcPr>
          <w:p w14:paraId="47BE2903"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113,392 </w:t>
            </w:r>
          </w:p>
        </w:tc>
      </w:tr>
      <w:tr w:rsidR="001E5623" w:rsidRPr="00F0798B" w14:paraId="7CC318FB"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8FFBC33"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Rentas de edificio y mantenimiento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45E3D3CF"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65,818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50417986"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9,989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7ADFF4E6"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75,806 </w:t>
            </w:r>
          </w:p>
        </w:tc>
      </w:tr>
      <w:tr w:rsidR="001E5623" w:rsidRPr="00F0798B" w14:paraId="60017302"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63A25815" w14:textId="77777777" w:rsidR="001E5623" w:rsidRPr="00F0798B" w:rsidRDefault="001E5623">
            <w:pPr>
              <w:rPr>
                <w:rFonts w:ascii="Cambria" w:eastAsia="Times New Roman" w:hAnsi="Cambria" w:cs="Calibri"/>
                <w:b/>
                <w:bCs/>
                <w:sz w:val="20"/>
                <w:szCs w:val="20"/>
                <w:lang w:val="es-ES_tradnl" w:eastAsia="es-CO"/>
              </w:rPr>
            </w:pPr>
            <w:r w:rsidRPr="00F0798B">
              <w:rPr>
                <w:rFonts w:ascii="Cambria" w:eastAsia="Times New Roman" w:hAnsi="Cambria" w:cs="Calibri"/>
                <w:b/>
                <w:bCs/>
                <w:sz w:val="20"/>
                <w:szCs w:val="20"/>
                <w:lang w:val="es-ES_tradnl" w:eastAsia="es-CO"/>
              </w:rPr>
              <w:t xml:space="preserve"> Otros costos </w:t>
            </w:r>
          </w:p>
        </w:tc>
        <w:tc>
          <w:tcPr>
            <w:tcW w:w="1800" w:type="dxa"/>
            <w:tcBorders>
              <w:top w:val="single" w:sz="4" w:space="0" w:color="95B3D7"/>
              <w:left w:val="single" w:sz="4" w:space="0" w:color="95B3D7"/>
              <w:bottom w:val="single" w:sz="4" w:space="0" w:color="95B3D7"/>
              <w:right w:val="single" w:sz="4" w:space="0" w:color="95B3D7"/>
            </w:tcBorders>
            <w:noWrap/>
            <w:hideMark/>
          </w:tcPr>
          <w:p w14:paraId="661A040E"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114,282 </w:t>
            </w:r>
          </w:p>
        </w:tc>
        <w:tc>
          <w:tcPr>
            <w:tcW w:w="1800" w:type="dxa"/>
            <w:tcBorders>
              <w:top w:val="single" w:sz="4" w:space="0" w:color="95B3D7"/>
              <w:left w:val="single" w:sz="4" w:space="0" w:color="95B3D7"/>
              <w:bottom w:val="single" w:sz="4" w:space="0" w:color="95B3D7"/>
              <w:right w:val="single" w:sz="4" w:space="0" w:color="95B3D7"/>
            </w:tcBorders>
            <w:noWrap/>
            <w:hideMark/>
          </w:tcPr>
          <w:p w14:paraId="0F1A728B"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20,726 </w:t>
            </w:r>
          </w:p>
        </w:tc>
        <w:tc>
          <w:tcPr>
            <w:tcW w:w="1800" w:type="dxa"/>
            <w:tcBorders>
              <w:top w:val="single" w:sz="4" w:space="0" w:color="95B3D7"/>
              <w:left w:val="single" w:sz="4" w:space="0" w:color="95B3D7"/>
              <w:bottom w:val="single" w:sz="4" w:space="0" w:color="95B3D7"/>
              <w:right w:val="single" w:sz="4" w:space="0" w:color="95B3D7"/>
            </w:tcBorders>
            <w:noWrap/>
            <w:hideMark/>
          </w:tcPr>
          <w:p w14:paraId="04A8EFBA"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135,008 </w:t>
            </w:r>
          </w:p>
        </w:tc>
      </w:tr>
      <w:tr w:rsidR="001E5623" w:rsidRPr="00F0798B" w14:paraId="1ADB74EE"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2A5F5A9"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Recuperación de costos indirectos (RCI)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23CE1762"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3463CCEA"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1,030,733 </w:t>
            </w:r>
          </w:p>
        </w:tc>
        <w:tc>
          <w:tcPr>
            <w:tcW w:w="1800" w:type="dxa"/>
            <w:tcBorders>
              <w:top w:val="single" w:sz="4" w:space="0" w:color="95B3D7"/>
              <w:left w:val="single" w:sz="4" w:space="0" w:color="95B3D7"/>
              <w:bottom w:val="single" w:sz="4" w:space="0" w:color="95B3D7"/>
              <w:right w:val="single" w:sz="4" w:space="0" w:color="95B3D7"/>
            </w:tcBorders>
            <w:shd w:val="clear" w:color="auto" w:fill="DBE5F1"/>
            <w:noWrap/>
            <w:hideMark/>
          </w:tcPr>
          <w:p w14:paraId="73B8FD54" w14:textId="77777777" w:rsidR="001E5623" w:rsidRPr="00F0798B" w:rsidRDefault="001E5623">
            <w:pPr>
              <w:rPr>
                <w:rFonts w:ascii="Cambria" w:eastAsia="Times New Roman" w:hAnsi="Cambria" w:cs="Calibri"/>
                <w:sz w:val="20"/>
                <w:szCs w:val="20"/>
                <w:lang w:val="es-ES_tradnl" w:eastAsia="es-CO"/>
              </w:rPr>
            </w:pPr>
            <w:r w:rsidRPr="00F0798B">
              <w:rPr>
                <w:rFonts w:ascii="Cambria" w:eastAsia="Times New Roman" w:hAnsi="Cambria" w:cs="Calibri"/>
                <w:sz w:val="20"/>
                <w:szCs w:val="20"/>
                <w:lang w:val="es-ES_tradnl" w:eastAsia="es-CO"/>
              </w:rPr>
              <w:t xml:space="preserve">                  1,030,733 </w:t>
            </w:r>
          </w:p>
        </w:tc>
      </w:tr>
      <w:tr w:rsidR="001E5623" w:rsidRPr="00F0798B" w14:paraId="1D145AF9" w14:textId="77777777" w:rsidTr="001E5623">
        <w:trPr>
          <w:trHeight w:val="300"/>
        </w:trPr>
        <w:tc>
          <w:tcPr>
            <w:tcW w:w="3980" w:type="dxa"/>
            <w:tcBorders>
              <w:top w:val="single" w:sz="4" w:space="0" w:color="95B3D7"/>
              <w:left w:val="single" w:sz="4" w:space="0" w:color="95B3D7"/>
              <w:bottom w:val="single" w:sz="4" w:space="0" w:color="95B3D7"/>
              <w:right w:val="single" w:sz="4" w:space="0" w:color="95B3D7"/>
            </w:tcBorders>
            <w:noWrap/>
            <w:hideMark/>
          </w:tcPr>
          <w:p w14:paraId="70219A36"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Total  </w:t>
            </w:r>
          </w:p>
        </w:tc>
        <w:tc>
          <w:tcPr>
            <w:tcW w:w="1800" w:type="dxa"/>
            <w:tcBorders>
              <w:top w:val="single" w:sz="4" w:space="0" w:color="95B3D7"/>
              <w:left w:val="single" w:sz="4" w:space="0" w:color="95B3D7"/>
              <w:bottom w:val="single" w:sz="4" w:space="0" w:color="95B3D7"/>
              <w:right w:val="single" w:sz="4" w:space="0" w:color="95B3D7"/>
            </w:tcBorders>
            <w:noWrap/>
            <w:hideMark/>
          </w:tcPr>
          <w:p w14:paraId="5425FBF5"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6,546,853 </w:t>
            </w:r>
          </w:p>
        </w:tc>
        <w:tc>
          <w:tcPr>
            <w:tcW w:w="1800" w:type="dxa"/>
            <w:tcBorders>
              <w:top w:val="single" w:sz="4" w:space="0" w:color="95B3D7"/>
              <w:left w:val="single" w:sz="4" w:space="0" w:color="95B3D7"/>
              <w:bottom w:val="single" w:sz="4" w:space="0" w:color="95B3D7"/>
              <w:right w:val="single" w:sz="4" w:space="0" w:color="95B3D7"/>
            </w:tcBorders>
            <w:noWrap/>
            <w:hideMark/>
          </w:tcPr>
          <w:p w14:paraId="503FC709"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6,823,980 </w:t>
            </w:r>
          </w:p>
        </w:tc>
        <w:tc>
          <w:tcPr>
            <w:tcW w:w="1800" w:type="dxa"/>
            <w:tcBorders>
              <w:top w:val="single" w:sz="4" w:space="0" w:color="95B3D7"/>
              <w:left w:val="single" w:sz="4" w:space="0" w:color="95B3D7"/>
              <w:bottom w:val="single" w:sz="4" w:space="0" w:color="95B3D7"/>
              <w:right w:val="single" w:sz="4" w:space="0" w:color="95B3D7"/>
            </w:tcBorders>
            <w:noWrap/>
            <w:hideMark/>
          </w:tcPr>
          <w:p w14:paraId="39C386BA" w14:textId="77777777" w:rsidR="001E5623" w:rsidRPr="00F0798B" w:rsidRDefault="001E5623">
            <w:pPr>
              <w:rPr>
                <w:rFonts w:ascii="Cambria" w:eastAsia="Times New Roman" w:hAnsi="Cambria" w:cs="Calibri"/>
                <w:b/>
                <w:bCs/>
                <w:color w:val="000000"/>
                <w:sz w:val="20"/>
                <w:szCs w:val="20"/>
                <w:lang w:val="es-ES_tradnl" w:eastAsia="es-CO"/>
              </w:rPr>
            </w:pPr>
            <w:r w:rsidRPr="00F0798B">
              <w:rPr>
                <w:rFonts w:ascii="Cambria" w:eastAsia="Times New Roman" w:hAnsi="Cambria" w:cs="Calibri"/>
                <w:b/>
                <w:bCs/>
                <w:color w:val="000000"/>
                <w:sz w:val="20"/>
                <w:szCs w:val="20"/>
                <w:lang w:val="es-ES_tradnl" w:eastAsia="es-CO"/>
              </w:rPr>
              <w:t xml:space="preserve">                13,370,833 </w:t>
            </w:r>
          </w:p>
        </w:tc>
      </w:tr>
    </w:tbl>
    <w:p w14:paraId="30F2CE49" w14:textId="77777777" w:rsidR="001E5623" w:rsidRPr="00F0798B" w:rsidRDefault="001E5623" w:rsidP="001E5623">
      <w:pPr>
        <w:pStyle w:val="Default"/>
        <w:jc w:val="center"/>
        <w:rPr>
          <w:rFonts w:ascii="Cambria" w:eastAsia="Calibri" w:hAnsi="Cambria"/>
          <w:lang w:val="es-ES_tradnl"/>
        </w:rPr>
      </w:pPr>
    </w:p>
    <w:p w14:paraId="1DC23B96" w14:textId="77777777" w:rsidR="00C536C6" w:rsidRPr="00F0798B" w:rsidRDefault="00C536C6">
      <w:pPr>
        <w:rPr>
          <w:rFonts w:ascii="Cambria" w:eastAsia="Times New Roman" w:hAnsi="Cambria" w:cs="Calibri"/>
          <w:b/>
          <w:color w:val="000000"/>
          <w:sz w:val="22"/>
          <w:szCs w:val="22"/>
          <w:lang w:val="es-ES_tradnl"/>
        </w:rPr>
      </w:pPr>
      <w:r w:rsidRPr="00F0798B">
        <w:rPr>
          <w:rFonts w:ascii="Cambria" w:hAnsi="Cambria"/>
          <w:b/>
          <w:sz w:val="22"/>
          <w:szCs w:val="22"/>
          <w:lang w:val="es-ES_tradnl"/>
        </w:rPr>
        <w:br w:type="page"/>
      </w:r>
    </w:p>
    <w:p w14:paraId="32843B5E" w14:textId="77777777" w:rsidR="00C536C6" w:rsidRPr="00F0798B" w:rsidRDefault="00C536C6" w:rsidP="00C536C6">
      <w:pPr>
        <w:pStyle w:val="Default"/>
        <w:jc w:val="center"/>
        <w:rPr>
          <w:rFonts w:ascii="Cambria" w:hAnsi="Cambria"/>
          <w:b/>
          <w:sz w:val="22"/>
          <w:szCs w:val="22"/>
          <w:lang w:val="es-ES_tradnl"/>
        </w:rPr>
      </w:pPr>
    </w:p>
    <w:p w14:paraId="5C6C46FE" w14:textId="02D76ECC" w:rsidR="001E5623" w:rsidRPr="00F0798B" w:rsidRDefault="001E5623" w:rsidP="00C536C6">
      <w:pPr>
        <w:pStyle w:val="Default"/>
        <w:jc w:val="center"/>
        <w:rPr>
          <w:rFonts w:ascii="Cambria" w:hAnsi="Cambria"/>
          <w:b/>
          <w:sz w:val="28"/>
          <w:szCs w:val="28"/>
          <w:lang w:val="es-ES_tradnl"/>
        </w:rPr>
      </w:pPr>
      <w:r w:rsidRPr="00F0798B">
        <w:rPr>
          <w:rFonts w:ascii="Cambria" w:hAnsi="Cambria"/>
          <w:b/>
          <w:sz w:val="22"/>
          <w:szCs w:val="22"/>
          <w:lang w:val="es-ES_tradnl"/>
        </w:rPr>
        <w:t xml:space="preserve">Figura 4. Distribución del Gasto de la CIDH por Fuente de Financiamiento en el 2018 y Objeto de Gasto </w:t>
      </w:r>
      <w:r w:rsidRPr="00F0798B">
        <w:rPr>
          <w:rFonts w:ascii="Cambria" w:hAnsi="Cambria"/>
          <w:b/>
          <w:color w:val="auto"/>
          <w:sz w:val="22"/>
          <w:szCs w:val="22"/>
          <w:lang w:val="es-ES_tradnl"/>
        </w:rPr>
        <w:t>(Valores en miles de USD, preliminares y no auditados)</w:t>
      </w:r>
    </w:p>
    <w:p w14:paraId="40EC5351" w14:textId="77777777" w:rsidR="001E5623" w:rsidRPr="00F0798B" w:rsidRDefault="001E5623" w:rsidP="001E5623">
      <w:pPr>
        <w:pStyle w:val="Default"/>
        <w:jc w:val="center"/>
        <w:rPr>
          <w:rFonts w:ascii="Cambria" w:hAnsi="Cambria"/>
          <w:lang w:val="es-ES_tradnl"/>
        </w:rPr>
      </w:pPr>
    </w:p>
    <w:p w14:paraId="45452A7C" w14:textId="77777777" w:rsidR="001E5623" w:rsidRPr="00F0798B" w:rsidRDefault="001E5623" w:rsidP="001E5623">
      <w:pPr>
        <w:pStyle w:val="Default"/>
        <w:jc w:val="center"/>
        <w:rPr>
          <w:rFonts w:ascii="Cambria" w:hAnsi="Cambria"/>
          <w:sz w:val="16"/>
          <w:szCs w:val="16"/>
          <w:lang w:val="es-ES_tradnl"/>
        </w:rPr>
      </w:pPr>
    </w:p>
    <w:p w14:paraId="097BABA5" w14:textId="252672DE" w:rsidR="001E5623" w:rsidRPr="00F0798B" w:rsidRDefault="00273842" w:rsidP="001E5623">
      <w:pPr>
        <w:pStyle w:val="Default"/>
        <w:jc w:val="center"/>
        <w:rPr>
          <w:rFonts w:ascii="Cambria" w:hAnsi="Cambria"/>
          <w:lang w:val="es-ES_tradnl"/>
        </w:rPr>
      </w:pPr>
      <w:r w:rsidRPr="00F0798B">
        <w:rPr>
          <w:rFonts w:ascii="Cambria" w:hAnsi="Cambria"/>
          <w:noProof/>
        </w:rPr>
        <w:drawing>
          <wp:inline distT="0" distB="0" distL="0" distR="0" wp14:anchorId="4F11651F" wp14:editId="2C723D37">
            <wp:extent cx="5810250" cy="375285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rotWithShape="1">
                    <a:blip r:embed="rId15" cstate="print">
                      <a:extLst>
                        <a:ext uri="{28A0092B-C50C-407E-A947-70E740481C1C}">
                          <a14:useLocalDpi xmlns:a14="http://schemas.microsoft.com/office/drawing/2010/main" val="0"/>
                        </a:ext>
                      </a:extLst>
                    </a:blip>
                    <a:srcRect b="14447"/>
                    <a:stretch/>
                  </pic:blipFill>
                  <pic:spPr bwMode="auto">
                    <a:xfrm>
                      <a:off x="0" y="0"/>
                      <a:ext cx="5819065" cy="3758544"/>
                    </a:xfrm>
                    <a:prstGeom prst="rect">
                      <a:avLst/>
                    </a:prstGeom>
                    <a:noFill/>
                    <a:ln>
                      <a:noFill/>
                    </a:ln>
                    <a:extLst>
                      <a:ext uri="{53640926-AAD7-44D8-BBD7-CCE9431645EC}">
                        <a14:shadowObscured xmlns:a14="http://schemas.microsoft.com/office/drawing/2010/main"/>
                      </a:ext>
                    </a:extLst>
                  </pic:spPr>
                </pic:pic>
              </a:graphicData>
            </a:graphic>
          </wp:inline>
        </w:drawing>
      </w:r>
    </w:p>
    <w:p w14:paraId="68748F30" w14:textId="77777777" w:rsidR="001E5623" w:rsidRPr="00F0798B" w:rsidRDefault="001E5623" w:rsidP="001E5623">
      <w:pPr>
        <w:pStyle w:val="Default"/>
        <w:jc w:val="center"/>
        <w:rPr>
          <w:rFonts w:ascii="Cambria" w:hAnsi="Cambria"/>
          <w:sz w:val="28"/>
          <w:szCs w:val="28"/>
          <w:lang w:val="es-ES_tradnl"/>
        </w:rPr>
      </w:pPr>
    </w:p>
    <w:p w14:paraId="300419D7" w14:textId="77777777" w:rsidR="001E5623" w:rsidRPr="00F0798B" w:rsidRDefault="001E5623" w:rsidP="001E5623">
      <w:pPr>
        <w:pStyle w:val="Default"/>
        <w:jc w:val="center"/>
        <w:rPr>
          <w:rFonts w:ascii="Cambria" w:hAnsi="Cambria"/>
          <w:lang w:val="es-ES_tradnl"/>
        </w:rPr>
      </w:pPr>
    </w:p>
    <w:p w14:paraId="28602932" w14:textId="77777777" w:rsidR="001E5623" w:rsidRPr="00F0798B" w:rsidRDefault="001E5623" w:rsidP="001E5623">
      <w:pPr>
        <w:pStyle w:val="Default"/>
        <w:jc w:val="center"/>
        <w:rPr>
          <w:rFonts w:ascii="Cambria" w:hAnsi="Cambria"/>
          <w:lang w:val="es-ES_tradnl"/>
        </w:rPr>
      </w:pPr>
    </w:p>
    <w:p w14:paraId="0C191FB6" w14:textId="77777777" w:rsidR="001E5623" w:rsidRPr="00F0798B" w:rsidRDefault="001E5623" w:rsidP="001E5623">
      <w:pPr>
        <w:pStyle w:val="Default"/>
        <w:rPr>
          <w:rFonts w:ascii="Cambria" w:hAnsi="Cambria"/>
          <w:sz w:val="20"/>
          <w:szCs w:val="20"/>
          <w:lang w:val="es-ES_tradnl"/>
        </w:rPr>
      </w:pPr>
      <w:r w:rsidRPr="00F0798B">
        <w:rPr>
          <w:rFonts w:ascii="Cambria" w:hAnsi="Cambria"/>
          <w:sz w:val="20"/>
          <w:szCs w:val="20"/>
          <w:lang w:val="es-ES_tradnl"/>
        </w:rPr>
        <w:t>Notas:</w:t>
      </w:r>
    </w:p>
    <w:p w14:paraId="3AE2339A" w14:textId="77777777" w:rsidR="001E5623" w:rsidRPr="00F0798B" w:rsidRDefault="001E5623" w:rsidP="005F60E5">
      <w:pPr>
        <w:pStyle w:val="Default"/>
        <w:numPr>
          <w:ilvl w:val="0"/>
          <w:numId w:val="6"/>
        </w:numPr>
        <w:rPr>
          <w:rFonts w:ascii="Cambria" w:hAnsi="Cambria"/>
          <w:sz w:val="20"/>
          <w:szCs w:val="20"/>
          <w:lang w:val="es-ES_tradnl"/>
        </w:rPr>
      </w:pPr>
      <w:r w:rsidRPr="00F0798B">
        <w:rPr>
          <w:rFonts w:ascii="Cambria" w:hAnsi="Cambria"/>
          <w:sz w:val="20"/>
          <w:szCs w:val="20"/>
          <w:lang w:val="es-ES_tradnl"/>
        </w:rPr>
        <w:t>La distribución incluye sólo gastos del 2018, los cuales fueron financiados con contribuciones recibidas durante el 2018 y años anteriores (en el caso de fondos específicos).</w:t>
      </w:r>
    </w:p>
    <w:p w14:paraId="12E2746A" w14:textId="77777777" w:rsidR="001E5623" w:rsidRPr="00F0798B" w:rsidRDefault="001E5623" w:rsidP="005F60E5">
      <w:pPr>
        <w:pStyle w:val="Default"/>
        <w:numPr>
          <w:ilvl w:val="0"/>
          <w:numId w:val="6"/>
        </w:numPr>
        <w:rPr>
          <w:rFonts w:ascii="Cambria" w:hAnsi="Cambria"/>
          <w:sz w:val="20"/>
          <w:szCs w:val="20"/>
          <w:lang w:val="es-ES_tradnl"/>
        </w:rPr>
      </w:pPr>
      <w:r w:rsidRPr="00F0798B">
        <w:rPr>
          <w:rFonts w:ascii="Cambria" w:hAnsi="Cambria"/>
          <w:sz w:val="20"/>
          <w:szCs w:val="20"/>
          <w:lang w:val="es-ES_tradnl"/>
        </w:rPr>
        <w:t>En salarios se incluyen costos de Personal/Staff.</w:t>
      </w:r>
    </w:p>
    <w:p w14:paraId="1498B557" w14:textId="77777777" w:rsidR="001E5623" w:rsidRPr="00F0798B" w:rsidRDefault="001E5623" w:rsidP="005F60E5">
      <w:pPr>
        <w:numPr>
          <w:ilvl w:val="0"/>
          <w:numId w:val="6"/>
        </w:numPr>
        <w:rPr>
          <w:rFonts w:ascii="Cambria" w:eastAsia="Times New Roman" w:hAnsi="Cambria"/>
          <w:color w:val="000000"/>
          <w:sz w:val="20"/>
          <w:szCs w:val="20"/>
          <w:lang w:val="es-ES_tradnl"/>
        </w:rPr>
      </w:pPr>
      <w:r w:rsidRPr="00F0798B">
        <w:rPr>
          <w:rFonts w:ascii="Cambria" w:eastAsia="Times New Roman" w:hAnsi="Cambria"/>
          <w:color w:val="000000"/>
          <w:sz w:val="20"/>
          <w:szCs w:val="20"/>
          <w:lang w:val="es-ES_tradnl"/>
        </w:rPr>
        <w:t>En Contratos por resultado se incluyen servicios de conferencias, honorarios, servicios especiales de los comisionados/as, interpretación, traducción y apoyo administrativo y profesional y consultores/as.</w:t>
      </w:r>
    </w:p>
    <w:p w14:paraId="4171923D" w14:textId="77777777" w:rsidR="001E5623" w:rsidRPr="00F0798B" w:rsidRDefault="001E5623" w:rsidP="005F60E5">
      <w:pPr>
        <w:numPr>
          <w:ilvl w:val="0"/>
          <w:numId w:val="6"/>
        </w:numPr>
        <w:rPr>
          <w:rFonts w:ascii="Cambria" w:eastAsia="Times New Roman" w:hAnsi="Cambria"/>
          <w:color w:val="000000"/>
          <w:sz w:val="20"/>
          <w:szCs w:val="20"/>
          <w:lang w:val="es-ES_tradnl"/>
        </w:rPr>
      </w:pPr>
      <w:r w:rsidRPr="00F0798B">
        <w:rPr>
          <w:rFonts w:ascii="Cambria" w:eastAsia="Times New Roman" w:hAnsi="Cambria"/>
          <w:color w:val="000000"/>
          <w:sz w:val="20"/>
          <w:szCs w:val="20"/>
          <w:lang w:val="es-ES_tradnl"/>
        </w:rPr>
        <w:t xml:space="preserve">Otros costos incluyen  renta de oficinas y equipos, pago de </w:t>
      </w:r>
      <w:proofErr w:type="spellStart"/>
      <w:r w:rsidRPr="00F0798B">
        <w:rPr>
          <w:rFonts w:ascii="Cambria" w:eastAsia="Times New Roman" w:hAnsi="Cambria"/>
          <w:color w:val="000000"/>
          <w:sz w:val="20"/>
          <w:szCs w:val="20"/>
          <w:lang w:val="es-ES_tradnl"/>
        </w:rPr>
        <w:t>courier</w:t>
      </w:r>
      <w:proofErr w:type="spellEnd"/>
      <w:r w:rsidRPr="00F0798B">
        <w:rPr>
          <w:rFonts w:ascii="Cambria" w:eastAsia="Times New Roman" w:hAnsi="Cambria"/>
          <w:color w:val="000000"/>
          <w:sz w:val="20"/>
          <w:szCs w:val="20"/>
          <w:lang w:val="es-ES_tradnl"/>
        </w:rPr>
        <w:t>, otros servicios de conferencias, red de área local (LAN), teléfono, transporte y gastos de oficina.</w:t>
      </w:r>
    </w:p>
    <w:p w14:paraId="6B3DAA56" w14:textId="37BC9FFA" w:rsidR="00D25CAC" w:rsidRPr="00F0798B" w:rsidRDefault="00D25CAC" w:rsidP="00D1240B">
      <w:pPr>
        <w:rPr>
          <w:rFonts w:ascii="Cambria" w:hAnsi="Cambria"/>
          <w:lang w:val="es-ES_tradnl"/>
        </w:rPr>
      </w:pPr>
    </w:p>
    <w:p w14:paraId="7C3D2AA6" w14:textId="77777777" w:rsidR="00C536C6" w:rsidRPr="00F0798B" w:rsidRDefault="00C536C6">
      <w:pPr>
        <w:rPr>
          <w:rFonts w:ascii="Cambria" w:hAnsi="Cambria"/>
          <w:b/>
          <w:sz w:val="22"/>
          <w:szCs w:val="20"/>
          <w:lang w:val="es-ES_tradnl"/>
        </w:rPr>
      </w:pPr>
      <w:r w:rsidRPr="00F0798B">
        <w:rPr>
          <w:rFonts w:ascii="Cambria" w:hAnsi="Cambria"/>
          <w:b/>
          <w:sz w:val="22"/>
          <w:szCs w:val="20"/>
          <w:lang w:val="es-ES_tradnl"/>
        </w:rPr>
        <w:br w:type="page"/>
      </w:r>
    </w:p>
    <w:p w14:paraId="5A5201AD" w14:textId="3F74BB2B" w:rsidR="00D25CAC" w:rsidRPr="00F0798B" w:rsidRDefault="00D25CAC" w:rsidP="005F60E5">
      <w:pPr>
        <w:pStyle w:val="ListParagraph"/>
        <w:numPr>
          <w:ilvl w:val="0"/>
          <w:numId w:val="1"/>
        </w:numPr>
        <w:spacing w:before="240" w:after="240"/>
        <w:ind w:left="1440" w:hanging="720"/>
        <w:contextualSpacing w:val="0"/>
        <w:rPr>
          <w:rFonts w:ascii="Cambria" w:hAnsi="Cambria"/>
          <w:b/>
          <w:sz w:val="22"/>
          <w:szCs w:val="20"/>
          <w:lang w:val="es-ES_tradnl"/>
        </w:rPr>
      </w:pPr>
      <w:r w:rsidRPr="00F0798B">
        <w:rPr>
          <w:rFonts w:ascii="Cambria" w:hAnsi="Cambria"/>
          <w:b/>
          <w:sz w:val="22"/>
          <w:szCs w:val="20"/>
          <w:lang w:val="es-ES_tradnl"/>
        </w:rPr>
        <w:lastRenderedPageBreak/>
        <w:t>Planeación, movilización de recursos y administración de proyectos</w:t>
      </w:r>
    </w:p>
    <w:p w14:paraId="26AA36B6" w14:textId="2D4929C8" w:rsidR="00273842" w:rsidRPr="00F0798B" w:rsidRDefault="005C3771" w:rsidP="005F60E5">
      <w:pPr>
        <w:pStyle w:val="ListParagraph"/>
        <w:numPr>
          <w:ilvl w:val="0"/>
          <w:numId w:val="3"/>
        </w:numPr>
        <w:spacing w:after="240"/>
        <w:ind w:left="1440" w:hanging="720"/>
        <w:jc w:val="both"/>
        <w:rPr>
          <w:rFonts w:ascii="Cambria" w:eastAsia="Calibri" w:hAnsi="Cambria"/>
          <w:b/>
          <w:sz w:val="22"/>
          <w:lang w:val="es-ES_tradnl"/>
        </w:rPr>
      </w:pPr>
      <w:r w:rsidRPr="00F0798B">
        <w:rPr>
          <w:rFonts w:ascii="Cambria" w:eastAsia="Calibri" w:hAnsi="Cambria"/>
          <w:b/>
          <w:sz w:val="22"/>
          <w:lang w:val="es-ES_tradnl"/>
        </w:rPr>
        <w:t>Planeación Financiera de la CIDH</w:t>
      </w:r>
    </w:p>
    <w:p w14:paraId="333DCDA2" w14:textId="68681CBD" w:rsidR="005C3771" w:rsidRPr="00F0798B" w:rsidRDefault="005C3771" w:rsidP="005F60E5">
      <w:pPr>
        <w:pStyle w:val="paragraphs"/>
        <w:numPr>
          <w:ilvl w:val="0"/>
          <w:numId w:val="7"/>
        </w:numPr>
        <w:ind w:left="0" w:firstLine="720"/>
      </w:pPr>
      <w:r w:rsidRPr="00F0798B">
        <w:t xml:space="preserve">La Secretaría Ejecutiva avanzó en la planeación financiera anual de 2019 con fuentes provenientes del fondo regular (total $9.3 millones) y de fondos específicos (estimado $5.6 millones) para un total de $14.9 millones. Para ello, fue revisado el estado de ejecución de los proyectos actuales, la proyección de posibles ingresos con base en los proyectos plurianuales y las negociaciones en curso. También, se ha previsto una estrategia de negociación con la Secretaría General de la  para usar fondos (refuerzo de Fondo Regular) que se dejarían de ejecutar por el tiempo (al menos 6 meses) que tomarían los concursos para la incorporación de personal a la planta regular. </w:t>
      </w:r>
    </w:p>
    <w:p w14:paraId="7B0FC008" w14:textId="50F0E2A8" w:rsidR="00273842" w:rsidRPr="00F0798B" w:rsidRDefault="005C3771" w:rsidP="005F60E5">
      <w:pPr>
        <w:pStyle w:val="ListParagraph"/>
        <w:numPr>
          <w:ilvl w:val="0"/>
          <w:numId w:val="3"/>
        </w:numPr>
        <w:spacing w:after="240"/>
        <w:ind w:left="1440" w:hanging="720"/>
        <w:jc w:val="both"/>
        <w:rPr>
          <w:rFonts w:ascii="Cambria" w:eastAsia="Calibri" w:hAnsi="Cambria"/>
          <w:b/>
          <w:sz w:val="22"/>
          <w:lang w:val="es-ES_tradnl"/>
        </w:rPr>
      </w:pPr>
      <w:r w:rsidRPr="00F0798B">
        <w:rPr>
          <w:rFonts w:ascii="Cambria" w:eastAsia="Calibri" w:hAnsi="Cambria"/>
          <w:b/>
          <w:sz w:val="22"/>
          <w:lang w:val="es-ES_tradnl"/>
        </w:rPr>
        <w:t xml:space="preserve">Planes de Acción Estratégicos </w:t>
      </w:r>
    </w:p>
    <w:p w14:paraId="704130B4" w14:textId="30561AD0" w:rsidR="00273842" w:rsidRPr="00F0798B" w:rsidRDefault="005C3771" w:rsidP="005F60E5">
      <w:pPr>
        <w:pStyle w:val="paragraphs"/>
        <w:numPr>
          <w:ilvl w:val="0"/>
          <w:numId w:val="7"/>
        </w:numPr>
        <w:ind w:left="0" w:firstLine="720"/>
      </w:pPr>
      <w:r w:rsidRPr="00F0798B">
        <w:t xml:space="preserve">La Secretaría Ejecutiva culminó con la preparación de los Planes de Acción relativos a los Objetivos Estratégicos 1 y 2 del Plan Estratégico 2017-2021.  De esta manera, todos los documentos relativos a los planes de acción de los cinco objetivos estratégicos y el programa especial cuentan con la aprobación del Comité de Evaluación de Proyectos (CEP) de la OEA. </w:t>
      </w:r>
    </w:p>
    <w:p w14:paraId="6AE0B05E" w14:textId="77777777" w:rsidR="005C3771" w:rsidRPr="00F0798B" w:rsidRDefault="005C3771" w:rsidP="005F60E5">
      <w:pPr>
        <w:pStyle w:val="paragraphs"/>
        <w:numPr>
          <w:ilvl w:val="0"/>
          <w:numId w:val="7"/>
        </w:numPr>
        <w:ind w:left="0" w:firstLine="720"/>
      </w:pPr>
      <w:r w:rsidRPr="00F0798B">
        <w:t>Fue preparado el primer informe parcial sobre la implementación del Plan Estratégico, el cual fue divulgado ampliamente. Este informe fue presentado a países miembros y países observadores, así como en el Consejo Permanente.</w:t>
      </w:r>
    </w:p>
    <w:p w14:paraId="626022E1" w14:textId="77777777" w:rsidR="005C3771" w:rsidRPr="00F0798B" w:rsidRDefault="005C3771" w:rsidP="005F60E5">
      <w:pPr>
        <w:pStyle w:val="ListParagraph"/>
        <w:numPr>
          <w:ilvl w:val="0"/>
          <w:numId w:val="3"/>
        </w:numPr>
        <w:spacing w:after="240"/>
        <w:ind w:left="1440" w:hanging="720"/>
        <w:jc w:val="both"/>
        <w:rPr>
          <w:rFonts w:ascii="Cambria" w:eastAsia="Calibri" w:hAnsi="Cambria"/>
          <w:b/>
          <w:sz w:val="22"/>
          <w:lang w:val="es-ES_tradnl"/>
        </w:rPr>
      </w:pPr>
      <w:r w:rsidRPr="00F0798B">
        <w:rPr>
          <w:rFonts w:ascii="Cambria" w:eastAsia="Calibri" w:hAnsi="Cambria"/>
          <w:b/>
          <w:sz w:val="22"/>
          <w:lang w:val="es-ES_tradnl"/>
        </w:rPr>
        <w:t>Proyectos ejecutados en 2018</w:t>
      </w:r>
    </w:p>
    <w:p w14:paraId="7E63E22B" w14:textId="0A59B8EF" w:rsidR="005C3771" w:rsidRPr="00F0798B" w:rsidRDefault="005C3771" w:rsidP="005F60E5">
      <w:pPr>
        <w:pStyle w:val="paragraphs"/>
        <w:numPr>
          <w:ilvl w:val="0"/>
          <w:numId w:val="7"/>
        </w:numPr>
        <w:ind w:left="0" w:firstLine="720"/>
      </w:pPr>
      <w:r w:rsidRPr="00F0798B">
        <w:t>Durante el 2018, la Secretaría Ejecutiva de la CIDH preparó y entregó 25 informes narrativos intermedios o finales, correspondientes a 19  proyectos. A continuación se presenta un listado de los proyectos ejecutados y en ejecución durante el 2018 con sus respectivos donantes:</w:t>
      </w:r>
    </w:p>
    <w:tbl>
      <w:tblPr>
        <w:tblW w:w="1010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20" w:firstRow="1" w:lastRow="0" w:firstColumn="0" w:lastColumn="0" w:noHBand="0" w:noVBand="1"/>
      </w:tblPr>
      <w:tblGrid>
        <w:gridCol w:w="460"/>
        <w:gridCol w:w="6210"/>
        <w:gridCol w:w="1900"/>
        <w:gridCol w:w="1530"/>
      </w:tblGrid>
      <w:tr w:rsidR="005C3771" w:rsidRPr="00005C56" w14:paraId="448A9DDD" w14:textId="77777777" w:rsidTr="005C3771">
        <w:trPr>
          <w:trHeight w:val="915"/>
        </w:trPr>
        <w:tc>
          <w:tcPr>
            <w:tcW w:w="460" w:type="dxa"/>
            <w:tcBorders>
              <w:top w:val="single" w:sz="8" w:space="0" w:color="FFFFFF"/>
              <w:left w:val="single" w:sz="8" w:space="0" w:color="FFFFFF"/>
              <w:bottom w:val="single" w:sz="24" w:space="0" w:color="FFFFFF"/>
              <w:right w:val="single" w:sz="8" w:space="0" w:color="FFFFFF"/>
            </w:tcBorders>
            <w:shd w:val="clear" w:color="auto" w:fill="4F81BD"/>
            <w:hideMark/>
          </w:tcPr>
          <w:p w14:paraId="6BE1740D" w14:textId="77777777" w:rsidR="005C3771" w:rsidRPr="00005C56" w:rsidRDefault="005C3771" w:rsidP="005C3771">
            <w:pPr>
              <w:jc w:val="center"/>
              <w:rPr>
                <w:rFonts w:ascii="Cambria" w:eastAsia="Times New Roman" w:hAnsi="Cambria" w:cs="Arial"/>
                <w:b/>
                <w:bCs/>
                <w:color w:val="FFFFFF"/>
                <w:sz w:val="18"/>
                <w:lang w:val="es-ES_tradnl"/>
              </w:rPr>
            </w:pPr>
            <w:r w:rsidRPr="00005C56">
              <w:rPr>
                <w:rFonts w:ascii="Cambria" w:eastAsia="Times New Roman" w:hAnsi="Cambria" w:cs="Arial"/>
                <w:b/>
                <w:bCs/>
                <w:color w:val="FFFFFF"/>
                <w:sz w:val="18"/>
                <w:lang w:val="es-ES_tradnl"/>
              </w:rPr>
              <w:t> </w:t>
            </w:r>
          </w:p>
        </w:tc>
        <w:tc>
          <w:tcPr>
            <w:tcW w:w="6210" w:type="dxa"/>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432E1859" w14:textId="77777777" w:rsidR="005C3771" w:rsidRPr="00005C56" w:rsidRDefault="005C3771" w:rsidP="005C3771">
            <w:pPr>
              <w:jc w:val="center"/>
              <w:rPr>
                <w:rFonts w:ascii="Cambria" w:eastAsia="Times New Roman" w:hAnsi="Cambria" w:cs="Arial"/>
                <w:b/>
                <w:bCs/>
                <w:color w:val="FFFFFF"/>
                <w:sz w:val="18"/>
                <w:lang w:val="es-ES_tradnl"/>
              </w:rPr>
            </w:pPr>
            <w:r w:rsidRPr="00005C56">
              <w:rPr>
                <w:rFonts w:ascii="Cambria" w:eastAsia="Times New Roman" w:hAnsi="Cambria" w:cs="Arial"/>
                <w:b/>
                <w:bCs/>
                <w:color w:val="FFFFFF"/>
                <w:sz w:val="18"/>
                <w:lang w:val="es-ES_tradnl"/>
              </w:rPr>
              <w:t>Proyecto</w:t>
            </w:r>
          </w:p>
        </w:tc>
        <w:tc>
          <w:tcPr>
            <w:tcW w:w="1900" w:type="dxa"/>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5A68F176" w14:textId="77777777" w:rsidR="005C3771" w:rsidRPr="00005C56" w:rsidRDefault="005C3771" w:rsidP="005C3771">
            <w:pPr>
              <w:jc w:val="center"/>
              <w:rPr>
                <w:rFonts w:ascii="Cambria" w:eastAsia="Times New Roman" w:hAnsi="Cambria" w:cs="Arial"/>
                <w:b/>
                <w:bCs/>
                <w:color w:val="FFFFFF"/>
                <w:sz w:val="18"/>
                <w:lang w:val="es-ES_tradnl"/>
              </w:rPr>
            </w:pPr>
            <w:r w:rsidRPr="00005C56">
              <w:rPr>
                <w:rFonts w:ascii="Cambria" w:eastAsia="Times New Roman" w:hAnsi="Cambria" w:cs="Arial"/>
                <w:b/>
                <w:bCs/>
                <w:color w:val="FFFFFF"/>
                <w:sz w:val="18"/>
                <w:lang w:val="es-ES_tradnl"/>
              </w:rPr>
              <w:t>Donante</w:t>
            </w:r>
          </w:p>
        </w:tc>
        <w:tc>
          <w:tcPr>
            <w:tcW w:w="1530" w:type="dxa"/>
            <w:tcBorders>
              <w:top w:val="single" w:sz="8" w:space="0" w:color="FFFFFF"/>
              <w:left w:val="single" w:sz="8" w:space="0" w:color="FFFFFF"/>
              <w:bottom w:val="single" w:sz="24" w:space="0" w:color="FFFFFF"/>
              <w:right w:val="single" w:sz="8" w:space="0" w:color="FFFFFF"/>
            </w:tcBorders>
            <w:shd w:val="clear" w:color="auto" w:fill="4F81BD"/>
            <w:vAlign w:val="center"/>
            <w:hideMark/>
          </w:tcPr>
          <w:p w14:paraId="070421A0" w14:textId="77777777" w:rsidR="005C3771" w:rsidRPr="00005C56" w:rsidRDefault="005C3771" w:rsidP="005C3771">
            <w:pPr>
              <w:jc w:val="center"/>
              <w:rPr>
                <w:rFonts w:ascii="Cambria" w:eastAsia="Times New Roman" w:hAnsi="Cambria" w:cs="Arial"/>
                <w:b/>
                <w:bCs/>
                <w:color w:val="FFFFFF"/>
                <w:sz w:val="18"/>
                <w:lang w:val="es-ES_tradnl"/>
              </w:rPr>
            </w:pPr>
            <w:r w:rsidRPr="00005C56">
              <w:rPr>
                <w:rFonts w:ascii="Cambria" w:eastAsia="Times New Roman" w:hAnsi="Cambria" w:cs="Arial"/>
                <w:b/>
                <w:bCs/>
                <w:color w:val="FFFFFF"/>
                <w:sz w:val="18"/>
                <w:lang w:val="es-ES_tradnl"/>
              </w:rPr>
              <w:t>Informes entregados</w:t>
            </w:r>
          </w:p>
        </w:tc>
      </w:tr>
      <w:tr w:rsidR="005C3771" w:rsidRPr="00005C56" w14:paraId="21C88F7B" w14:textId="77777777" w:rsidTr="005C3771">
        <w:trPr>
          <w:trHeight w:val="540"/>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14D6FD9B"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16CBE061"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“Beca sobre Protección Internacional y Desplazamiento interno y apoyo al fortalecimiento institucional”</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266B9E24"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ACNUR</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099E87B3"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72CA56F4" w14:textId="77777777" w:rsidTr="005C3771">
        <w:trPr>
          <w:trHeight w:val="525"/>
        </w:trPr>
        <w:tc>
          <w:tcPr>
            <w:tcW w:w="460" w:type="dxa"/>
            <w:shd w:val="clear" w:color="auto" w:fill="D3DFEE"/>
            <w:hideMark/>
          </w:tcPr>
          <w:p w14:paraId="26353707"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2</w:t>
            </w:r>
          </w:p>
        </w:tc>
        <w:tc>
          <w:tcPr>
            <w:tcW w:w="6210" w:type="dxa"/>
            <w:shd w:val="clear" w:color="auto" w:fill="D3DFEE"/>
            <w:hideMark/>
          </w:tcPr>
          <w:p w14:paraId="628CDD1C"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“Implementación del Grupo Interdisciplinario de Expertos en Nicaragua (GIEI)”</w:t>
            </w:r>
          </w:p>
        </w:tc>
        <w:tc>
          <w:tcPr>
            <w:tcW w:w="1900" w:type="dxa"/>
            <w:shd w:val="clear" w:color="auto" w:fill="D3DFEE"/>
            <w:hideMark/>
          </w:tcPr>
          <w:p w14:paraId="510B65A5"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Alemania</w:t>
            </w:r>
          </w:p>
        </w:tc>
        <w:tc>
          <w:tcPr>
            <w:tcW w:w="1530" w:type="dxa"/>
            <w:shd w:val="clear" w:color="auto" w:fill="D3DFEE"/>
            <w:hideMark/>
          </w:tcPr>
          <w:p w14:paraId="3D47490D"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Intermedio</w:t>
            </w:r>
          </w:p>
        </w:tc>
      </w:tr>
      <w:tr w:rsidR="005C3771" w:rsidRPr="00005C56" w14:paraId="19CABFFC"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5776C9AC"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3</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0323AF38"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“Promoción de los derechos de los migrantes y sus familias, particularmente el acceso a la Justicia para Migrantes”. </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0B05A1C2" w14:textId="77777777" w:rsidR="005C3771" w:rsidRPr="00005C56" w:rsidRDefault="005C3771" w:rsidP="005C3771">
            <w:pPr>
              <w:jc w:val="both"/>
              <w:rPr>
                <w:rFonts w:ascii="Cambria" w:eastAsia="Times New Roman" w:hAnsi="Cambria" w:cs="Arial"/>
                <w:sz w:val="18"/>
                <w:szCs w:val="18"/>
                <w:lang w:val="es-ES_tradnl"/>
              </w:rPr>
            </w:pPr>
            <w:proofErr w:type="spellStart"/>
            <w:r w:rsidRPr="00005C56">
              <w:rPr>
                <w:rFonts w:ascii="Cambria" w:eastAsia="Times New Roman" w:hAnsi="Cambria" w:cs="Arial"/>
                <w:sz w:val="18"/>
                <w:szCs w:val="18"/>
                <w:lang w:val="es-ES_tradnl"/>
              </w:rPr>
              <w:t>Avina</w:t>
            </w:r>
            <w:proofErr w:type="spellEnd"/>
            <w:r w:rsidRPr="00005C56">
              <w:rPr>
                <w:rFonts w:ascii="Cambria" w:eastAsia="Times New Roman" w:hAnsi="Cambria" w:cs="Arial"/>
                <w:sz w:val="18"/>
                <w:szCs w:val="18"/>
                <w:lang w:val="es-ES_tradnl"/>
              </w:rPr>
              <w:t>/</w:t>
            </w:r>
            <w:proofErr w:type="spellStart"/>
            <w:r w:rsidRPr="00005C56">
              <w:rPr>
                <w:rFonts w:ascii="Cambria" w:eastAsia="Times New Roman" w:hAnsi="Cambria" w:cs="Arial"/>
                <w:sz w:val="18"/>
                <w:szCs w:val="18"/>
                <w:lang w:val="es-ES_tradnl"/>
              </w:rPr>
              <w:t>Cammina</w:t>
            </w:r>
            <w:proofErr w:type="spellEnd"/>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721B3B9C"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Informes Intermedio y Final</w:t>
            </w:r>
          </w:p>
        </w:tc>
      </w:tr>
      <w:tr w:rsidR="005C3771" w:rsidRPr="001C1EBC" w14:paraId="1F6F3D75" w14:textId="77777777" w:rsidTr="005C3771">
        <w:trPr>
          <w:trHeight w:val="780"/>
        </w:trPr>
        <w:tc>
          <w:tcPr>
            <w:tcW w:w="460" w:type="dxa"/>
            <w:shd w:val="clear" w:color="auto" w:fill="D3DFEE"/>
            <w:hideMark/>
          </w:tcPr>
          <w:p w14:paraId="1233D588"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4</w:t>
            </w:r>
          </w:p>
        </w:tc>
        <w:tc>
          <w:tcPr>
            <w:tcW w:w="6210" w:type="dxa"/>
            <w:shd w:val="clear" w:color="auto" w:fill="D3DFEE"/>
            <w:hideMark/>
          </w:tcPr>
          <w:p w14:paraId="6993719C"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“Promover el cumplimiento de recomendaciones y decisiones sobre los derechos de las mujeres y las niñas emitidas por la CIDH en los Estados Miembros de América Latina y el Caribe”.</w:t>
            </w:r>
          </w:p>
        </w:tc>
        <w:tc>
          <w:tcPr>
            <w:tcW w:w="1900" w:type="dxa"/>
            <w:shd w:val="clear" w:color="auto" w:fill="D3DFEE"/>
            <w:hideMark/>
          </w:tcPr>
          <w:p w14:paraId="587A5825"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Canadá</w:t>
            </w:r>
          </w:p>
        </w:tc>
        <w:tc>
          <w:tcPr>
            <w:tcW w:w="1530" w:type="dxa"/>
            <w:shd w:val="clear" w:color="auto" w:fill="D3DFEE"/>
            <w:hideMark/>
          </w:tcPr>
          <w:p w14:paraId="6894618D" w14:textId="77777777" w:rsidR="005C3771" w:rsidRPr="005A4FF9" w:rsidRDefault="005C3771" w:rsidP="005C3771">
            <w:pPr>
              <w:jc w:val="both"/>
              <w:rPr>
                <w:rFonts w:ascii="Cambria" w:eastAsia="Times New Roman" w:hAnsi="Cambria" w:cs="Arial"/>
                <w:sz w:val="18"/>
                <w:szCs w:val="18"/>
                <w:lang w:val="pt-BR"/>
              </w:rPr>
            </w:pPr>
            <w:r w:rsidRPr="005A4FF9">
              <w:rPr>
                <w:rFonts w:ascii="Cambria" w:eastAsia="Times New Roman" w:hAnsi="Cambria" w:cs="Arial"/>
                <w:sz w:val="18"/>
                <w:szCs w:val="18"/>
                <w:lang w:val="pt-BR"/>
              </w:rPr>
              <w:t>Informe Semi-anual y Anual</w:t>
            </w:r>
          </w:p>
        </w:tc>
      </w:tr>
      <w:tr w:rsidR="005C3771" w:rsidRPr="00005C56" w14:paraId="2C216D15" w14:textId="77777777" w:rsidTr="005C3771">
        <w:trPr>
          <w:trHeight w:val="525"/>
        </w:trPr>
        <w:tc>
          <w:tcPr>
            <w:tcW w:w="460" w:type="dxa"/>
            <w:shd w:val="clear" w:color="auto" w:fill="D3DFEE"/>
            <w:hideMark/>
          </w:tcPr>
          <w:p w14:paraId="0995862D"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5</w:t>
            </w:r>
          </w:p>
        </w:tc>
        <w:tc>
          <w:tcPr>
            <w:tcW w:w="6210" w:type="dxa"/>
            <w:shd w:val="clear" w:color="auto" w:fill="D3DFEE"/>
            <w:hideMark/>
          </w:tcPr>
          <w:p w14:paraId="48492990"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“Contribución suplementaria a la Comisión Interamericana de Derechos Humanos para su planificación estratégica” 2017</w:t>
            </w:r>
          </w:p>
        </w:tc>
        <w:tc>
          <w:tcPr>
            <w:tcW w:w="1900" w:type="dxa"/>
            <w:shd w:val="clear" w:color="auto" w:fill="D3DFEE"/>
            <w:hideMark/>
          </w:tcPr>
          <w:p w14:paraId="39CC6283"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Estados Unidos</w:t>
            </w:r>
          </w:p>
        </w:tc>
        <w:tc>
          <w:tcPr>
            <w:tcW w:w="1530" w:type="dxa"/>
            <w:shd w:val="clear" w:color="auto" w:fill="D3DFEE"/>
            <w:hideMark/>
          </w:tcPr>
          <w:p w14:paraId="70EC1653"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20AE1074"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19628D15"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6</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74CB18EC"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 xml:space="preserve"> “Fortalecer la capacidad de la CIDH para promover y defender los derechos humanos en el hemisferio” 2017</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2E87FBB7"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Estados Unidos</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31D05733"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6D855F29" w14:textId="77777777" w:rsidTr="005C3771">
        <w:trPr>
          <w:trHeight w:val="525"/>
        </w:trPr>
        <w:tc>
          <w:tcPr>
            <w:tcW w:w="460" w:type="dxa"/>
            <w:shd w:val="clear" w:color="auto" w:fill="D3DFEE"/>
            <w:hideMark/>
          </w:tcPr>
          <w:p w14:paraId="50B9EC36"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7</w:t>
            </w:r>
          </w:p>
        </w:tc>
        <w:tc>
          <w:tcPr>
            <w:tcW w:w="6210" w:type="dxa"/>
            <w:shd w:val="clear" w:color="auto" w:fill="D3DFEE"/>
            <w:hideMark/>
          </w:tcPr>
          <w:p w14:paraId="07A7A4B2"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“Incrementar la efectividad del trabajo de la CIDH durante 2018-2020”</w:t>
            </w:r>
          </w:p>
        </w:tc>
        <w:tc>
          <w:tcPr>
            <w:tcW w:w="1900" w:type="dxa"/>
            <w:shd w:val="clear" w:color="auto" w:fill="D3DFEE"/>
            <w:hideMark/>
          </w:tcPr>
          <w:p w14:paraId="4565E24F"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Estados Unidos</w:t>
            </w:r>
          </w:p>
        </w:tc>
        <w:tc>
          <w:tcPr>
            <w:tcW w:w="1530" w:type="dxa"/>
            <w:shd w:val="clear" w:color="auto" w:fill="D3DFEE"/>
            <w:hideMark/>
          </w:tcPr>
          <w:p w14:paraId="70A7B987"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Trimestral</w:t>
            </w:r>
          </w:p>
        </w:tc>
      </w:tr>
      <w:tr w:rsidR="005C3771" w:rsidRPr="00005C56" w14:paraId="18FEB43C" w14:textId="77777777" w:rsidTr="005C3771">
        <w:trPr>
          <w:trHeight w:val="103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30A0901F"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lastRenderedPageBreak/>
              <w:t>8</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1AC5C237"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“Promoción y protección de los derechos económicos, sociales y culturales en el Sistema Interamericano de Derechos Humanos - Fase I (Énfasis en el tema relativo a derechos humanos y empresas)”</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2FB8805D"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Fondo Español</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54213518"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intermedio y Final</w:t>
            </w:r>
          </w:p>
        </w:tc>
      </w:tr>
      <w:tr w:rsidR="005C3771" w:rsidRPr="00005C56" w14:paraId="4F5C6254" w14:textId="77777777" w:rsidTr="005C3771">
        <w:trPr>
          <w:trHeight w:val="780"/>
        </w:trPr>
        <w:tc>
          <w:tcPr>
            <w:tcW w:w="460" w:type="dxa"/>
            <w:shd w:val="clear" w:color="auto" w:fill="D3DFEE"/>
            <w:hideMark/>
          </w:tcPr>
          <w:p w14:paraId="7E552574"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9</w:t>
            </w:r>
          </w:p>
        </w:tc>
        <w:tc>
          <w:tcPr>
            <w:tcW w:w="6210" w:type="dxa"/>
            <w:shd w:val="clear" w:color="auto" w:fill="D3DFEE"/>
            <w:hideMark/>
          </w:tcPr>
          <w:p w14:paraId="238AD42B"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 xml:space="preserve">“Promoción del uso de mecanismo de soluciones amistosas ante la CIDH para la protección de los derechos humanos en las américas –fase II”. </w:t>
            </w:r>
          </w:p>
        </w:tc>
        <w:tc>
          <w:tcPr>
            <w:tcW w:w="1900" w:type="dxa"/>
            <w:shd w:val="clear" w:color="auto" w:fill="D3DFEE"/>
            <w:hideMark/>
          </w:tcPr>
          <w:p w14:paraId="1FFA475F"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Fondo Español</w:t>
            </w:r>
          </w:p>
        </w:tc>
        <w:tc>
          <w:tcPr>
            <w:tcW w:w="1530" w:type="dxa"/>
            <w:shd w:val="clear" w:color="auto" w:fill="D3DFEE"/>
            <w:hideMark/>
          </w:tcPr>
          <w:p w14:paraId="5F90C181"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2E612864"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26352302"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10</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5F8CCC2E"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 xml:space="preserve"> “Hacia una reducción de la discriminación racial en el Sistema policial de la Américas”</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3781F35A"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Francia</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0F619A17"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62CD3385" w14:textId="77777777" w:rsidTr="005C3771">
        <w:trPr>
          <w:trHeight w:val="525"/>
        </w:trPr>
        <w:tc>
          <w:tcPr>
            <w:tcW w:w="460" w:type="dxa"/>
            <w:shd w:val="clear" w:color="auto" w:fill="D3DFEE"/>
            <w:hideMark/>
          </w:tcPr>
          <w:p w14:paraId="60575B78"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11</w:t>
            </w:r>
          </w:p>
        </w:tc>
        <w:tc>
          <w:tcPr>
            <w:tcW w:w="6210" w:type="dxa"/>
            <w:shd w:val="clear" w:color="auto" w:fill="D3DFEE"/>
            <w:hideMark/>
          </w:tcPr>
          <w:p w14:paraId="125CEDF4"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 xml:space="preserve"> “Hacia la abolición gradual de la pena de muerte en las américas”</w:t>
            </w:r>
          </w:p>
        </w:tc>
        <w:tc>
          <w:tcPr>
            <w:tcW w:w="1900" w:type="dxa"/>
            <w:shd w:val="clear" w:color="auto" w:fill="D3DFEE"/>
            <w:hideMark/>
          </w:tcPr>
          <w:p w14:paraId="12215793"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Francia</w:t>
            </w:r>
          </w:p>
        </w:tc>
        <w:tc>
          <w:tcPr>
            <w:tcW w:w="1530" w:type="dxa"/>
            <w:shd w:val="clear" w:color="auto" w:fill="D3DFEE"/>
            <w:hideMark/>
          </w:tcPr>
          <w:p w14:paraId="24296324"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3B2A6052"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753E4E2E"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12</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724A24E2"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“Apoyar a la CIDH con la implementación de su Plan Estratégico 2017-2020”.</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2175DAC7"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Holanda</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4156D4B1"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Anual</w:t>
            </w:r>
          </w:p>
        </w:tc>
      </w:tr>
      <w:tr w:rsidR="005C3771" w:rsidRPr="00005C56" w14:paraId="0D3DC61C" w14:textId="77777777" w:rsidTr="005C3771">
        <w:trPr>
          <w:trHeight w:val="780"/>
        </w:trPr>
        <w:tc>
          <w:tcPr>
            <w:tcW w:w="460" w:type="dxa"/>
            <w:shd w:val="clear" w:color="auto" w:fill="D3DFEE"/>
            <w:hideMark/>
          </w:tcPr>
          <w:p w14:paraId="63BDF158"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13</w:t>
            </w:r>
          </w:p>
        </w:tc>
        <w:tc>
          <w:tcPr>
            <w:tcW w:w="6210" w:type="dxa"/>
            <w:shd w:val="clear" w:color="auto" w:fill="D3DFEE"/>
            <w:hideMark/>
          </w:tcPr>
          <w:p w14:paraId="08E0A8B8"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“Acceso a la justicia internacional a través de la atención a las peticiones presentadas ante la CIDH, para personas discriminadas en el Hemisferio”</w:t>
            </w:r>
          </w:p>
        </w:tc>
        <w:tc>
          <w:tcPr>
            <w:tcW w:w="1900" w:type="dxa"/>
            <w:shd w:val="clear" w:color="auto" w:fill="D3DFEE"/>
            <w:hideMark/>
          </w:tcPr>
          <w:p w14:paraId="2DB555F7"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Irlanda</w:t>
            </w:r>
          </w:p>
        </w:tc>
        <w:tc>
          <w:tcPr>
            <w:tcW w:w="1530" w:type="dxa"/>
            <w:shd w:val="clear" w:color="auto" w:fill="D3DFEE"/>
            <w:hideMark/>
          </w:tcPr>
          <w:p w14:paraId="20AFA446"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4039CE4A" w14:textId="77777777" w:rsidTr="005C3771">
        <w:trPr>
          <w:trHeight w:val="270"/>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15E5C7E3"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14</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2B320D48"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“Implementación del Mecanismo de Seguimiento de Ayotzinapa”</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3A345760"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México</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0508DE03"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Anual</w:t>
            </w:r>
          </w:p>
        </w:tc>
      </w:tr>
      <w:tr w:rsidR="005C3771" w:rsidRPr="00005C56" w14:paraId="21D6D63E" w14:textId="77777777" w:rsidTr="005C3771">
        <w:trPr>
          <w:trHeight w:val="525"/>
        </w:trPr>
        <w:tc>
          <w:tcPr>
            <w:tcW w:w="460" w:type="dxa"/>
            <w:shd w:val="clear" w:color="auto" w:fill="D3DFEE"/>
            <w:hideMark/>
          </w:tcPr>
          <w:p w14:paraId="04ABC561"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15</w:t>
            </w:r>
          </w:p>
        </w:tc>
        <w:tc>
          <w:tcPr>
            <w:tcW w:w="6210" w:type="dxa"/>
            <w:shd w:val="clear" w:color="auto" w:fill="D3DFEE"/>
            <w:hideMark/>
          </w:tcPr>
          <w:p w14:paraId="4CBFBB35"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 xml:space="preserve">“Promover y proteger los derechos humanos en el Triángulo Norte de América Central”.  </w:t>
            </w:r>
          </w:p>
        </w:tc>
        <w:tc>
          <w:tcPr>
            <w:tcW w:w="1900" w:type="dxa"/>
            <w:shd w:val="clear" w:color="auto" w:fill="D3DFEE"/>
            <w:hideMark/>
          </w:tcPr>
          <w:p w14:paraId="727DB718"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PADF</w:t>
            </w:r>
          </w:p>
        </w:tc>
        <w:tc>
          <w:tcPr>
            <w:tcW w:w="1530" w:type="dxa"/>
            <w:shd w:val="clear" w:color="auto" w:fill="D3DFEE"/>
            <w:hideMark/>
          </w:tcPr>
          <w:p w14:paraId="5BE60190"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Informes trimestrales y Anual</w:t>
            </w:r>
          </w:p>
        </w:tc>
      </w:tr>
      <w:tr w:rsidR="005C3771" w:rsidRPr="00005C56" w14:paraId="45075A57" w14:textId="77777777" w:rsidTr="005C3771">
        <w:trPr>
          <w:trHeight w:val="525"/>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49E5D5B3"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16</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11441151"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“Taller sobre Planes de Acción Nacionales en Empresas y Derechos Humanos en las Américas”.</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7B59095E"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Suiza</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21C95D27"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12D05AA7" w14:textId="77777777" w:rsidTr="005C3771">
        <w:trPr>
          <w:trHeight w:val="358"/>
        </w:trPr>
        <w:tc>
          <w:tcPr>
            <w:tcW w:w="460" w:type="dxa"/>
            <w:shd w:val="clear" w:color="auto" w:fill="D3DFEE"/>
            <w:hideMark/>
          </w:tcPr>
          <w:p w14:paraId="462185C9"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17</w:t>
            </w:r>
          </w:p>
        </w:tc>
        <w:tc>
          <w:tcPr>
            <w:tcW w:w="6210" w:type="dxa"/>
            <w:shd w:val="clear" w:color="auto" w:fill="D3DFEE"/>
            <w:hideMark/>
          </w:tcPr>
          <w:p w14:paraId="0F16431E"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“Fortalecimiento de la Gobernanza y los Derechos Humanos en América Central”</w:t>
            </w:r>
          </w:p>
        </w:tc>
        <w:tc>
          <w:tcPr>
            <w:tcW w:w="1900" w:type="dxa"/>
            <w:shd w:val="clear" w:color="auto" w:fill="D3DFEE"/>
            <w:hideMark/>
          </w:tcPr>
          <w:p w14:paraId="64199A3B"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Suiza</w:t>
            </w:r>
          </w:p>
        </w:tc>
        <w:tc>
          <w:tcPr>
            <w:tcW w:w="1530" w:type="dxa"/>
            <w:shd w:val="clear" w:color="auto" w:fill="D3DFEE"/>
            <w:hideMark/>
          </w:tcPr>
          <w:p w14:paraId="453EBC73"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Mensual</w:t>
            </w:r>
          </w:p>
        </w:tc>
      </w:tr>
      <w:tr w:rsidR="005C3771" w:rsidRPr="00005C56" w14:paraId="7A340DFA" w14:textId="77777777" w:rsidTr="005C3771">
        <w:trPr>
          <w:trHeight w:val="502"/>
        </w:trPr>
        <w:tc>
          <w:tcPr>
            <w:tcW w:w="460" w:type="dxa"/>
            <w:tcBorders>
              <w:top w:val="single" w:sz="8" w:space="0" w:color="FFFFFF"/>
              <w:left w:val="single" w:sz="8" w:space="0" w:color="FFFFFF"/>
              <w:bottom w:val="single" w:sz="8" w:space="0" w:color="FFFFFF"/>
              <w:right w:val="single" w:sz="8" w:space="0" w:color="FFFFFF"/>
            </w:tcBorders>
            <w:shd w:val="clear" w:color="auto" w:fill="A7BFDE"/>
            <w:hideMark/>
          </w:tcPr>
          <w:p w14:paraId="5E326819"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18</w:t>
            </w:r>
          </w:p>
        </w:tc>
        <w:tc>
          <w:tcPr>
            <w:tcW w:w="6210" w:type="dxa"/>
            <w:tcBorders>
              <w:top w:val="single" w:sz="8" w:space="0" w:color="FFFFFF"/>
              <w:left w:val="single" w:sz="8" w:space="0" w:color="FFFFFF"/>
              <w:bottom w:val="single" w:sz="8" w:space="0" w:color="FFFFFF"/>
              <w:right w:val="single" w:sz="8" w:space="0" w:color="FFFFFF"/>
            </w:tcBorders>
            <w:shd w:val="clear" w:color="auto" w:fill="A7BFDE"/>
            <w:hideMark/>
          </w:tcPr>
          <w:p w14:paraId="4ED06019"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 xml:space="preserve"> “Acceso a la justicia internacional a las personas y grupos en condición de vulnerabilidad en México a través de la atención de peticiones ante la CIDH”</w:t>
            </w:r>
          </w:p>
        </w:tc>
        <w:tc>
          <w:tcPr>
            <w:tcW w:w="1900" w:type="dxa"/>
            <w:tcBorders>
              <w:top w:val="single" w:sz="8" w:space="0" w:color="FFFFFF"/>
              <w:left w:val="single" w:sz="8" w:space="0" w:color="FFFFFF"/>
              <w:bottom w:val="single" w:sz="8" w:space="0" w:color="FFFFFF"/>
              <w:right w:val="single" w:sz="8" w:space="0" w:color="FFFFFF"/>
            </w:tcBorders>
            <w:shd w:val="clear" w:color="auto" w:fill="A7BFDE"/>
            <w:hideMark/>
          </w:tcPr>
          <w:p w14:paraId="2B0370D5"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Unión Europea</w:t>
            </w:r>
          </w:p>
        </w:tc>
        <w:tc>
          <w:tcPr>
            <w:tcW w:w="1530" w:type="dxa"/>
            <w:tcBorders>
              <w:top w:val="single" w:sz="8" w:space="0" w:color="FFFFFF"/>
              <w:left w:val="single" w:sz="8" w:space="0" w:color="FFFFFF"/>
              <w:bottom w:val="single" w:sz="8" w:space="0" w:color="FFFFFF"/>
              <w:right w:val="single" w:sz="8" w:space="0" w:color="FFFFFF"/>
            </w:tcBorders>
            <w:shd w:val="clear" w:color="auto" w:fill="A7BFDE"/>
            <w:hideMark/>
          </w:tcPr>
          <w:p w14:paraId="3E0C5560"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r w:rsidR="005C3771" w:rsidRPr="00005C56" w14:paraId="0AECF913" w14:textId="77777777" w:rsidTr="005C3771">
        <w:trPr>
          <w:trHeight w:val="525"/>
        </w:trPr>
        <w:tc>
          <w:tcPr>
            <w:tcW w:w="460" w:type="dxa"/>
            <w:shd w:val="clear" w:color="auto" w:fill="D3DFEE"/>
            <w:hideMark/>
          </w:tcPr>
          <w:p w14:paraId="3A092250" w14:textId="77777777" w:rsidR="005C3771" w:rsidRPr="00005C56" w:rsidRDefault="005C3771" w:rsidP="005C3771">
            <w:pPr>
              <w:jc w:val="right"/>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19</w:t>
            </w:r>
          </w:p>
        </w:tc>
        <w:tc>
          <w:tcPr>
            <w:tcW w:w="6210" w:type="dxa"/>
            <w:shd w:val="clear" w:color="auto" w:fill="D3DFEE"/>
            <w:hideMark/>
          </w:tcPr>
          <w:p w14:paraId="0B761F86" w14:textId="77777777" w:rsidR="005C3771" w:rsidRPr="00005C56" w:rsidRDefault="005C3771" w:rsidP="005C3771">
            <w:pPr>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 xml:space="preserve"> “Sistemas Nacionales de Promoción y Protección de Derechos en las Américas con especial énfasis en el nivel local”</w:t>
            </w:r>
          </w:p>
        </w:tc>
        <w:tc>
          <w:tcPr>
            <w:tcW w:w="1900" w:type="dxa"/>
            <w:shd w:val="clear" w:color="auto" w:fill="D3DFEE"/>
            <w:hideMark/>
          </w:tcPr>
          <w:p w14:paraId="4DA3FD98"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Visión Mundial</w:t>
            </w:r>
          </w:p>
        </w:tc>
        <w:tc>
          <w:tcPr>
            <w:tcW w:w="1530" w:type="dxa"/>
            <w:shd w:val="clear" w:color="auto" w:fill="D3DFEE"/>
            <w:hideMark/>
          </w:tcPr>
          <w:p w14:paraId="2744869D" w14:textId="77777777" w:rsidR="005C3771" w:rsidRPr="00005C56" w:rsidRDefault="005C3771" w:rsidP="005C3771">
            <w:pPr>
              <w:jc w:val="both"/>
              <w:rPr>
                <w:rFonts w:ascii="Cambria" w:eastAsia="Times New Roman" w:hAnsi="Cambria" w:cs="Arial"/>
                <w:sz w:val="18"/>
                <w:szCs w:val="18"/>
                <w:lang w:val="es-ES_tradnl"/>
              </w:rPr>
            </w:pPr>
            <w:r w:rsidRPr="00005C56">
              <w:rPr>
                <w:rFonts w:ascii="Cambria" w:eastAsia="Times New Roman" w:hAnsi="Cambria" w:cs="Arial"/>
                <w:sz w:val="18"/>
                <w:szCs w:val="18"/>
                <w:lang w:val="es-ES_tradnl"/>
              </w:rPr>
              <w:t>Informe Final</w:t>
            </w:r>
          </w:p>
        </w:tc>
      </w:tr>
    </w:tbl>
    <w:p w14:paraId="401BFEAE" w14:textId="77777777" w:rsidR="005C3771" w:rsidRPr="00F0798B" w:rsidRDefault="005C3771" w:rsidP="005C3771">
      <w:pPr>
        <w:rPr>
          <w:rFonts w:ascii="Cambria" w:hAnsi="Cambria"/>
          <w:lang w:val="es-ES_tradnl"/>
        </w:rPr>
      </w:pPr>
    </w:p>
    <w:p w14:paraId="0D063C92" w14:textId="77777777" w:rsidR="005C3771" w:rsidRPr="00F0798B" w:rsidRDefault="005C3771" w:rsidP="005F60E5">
      <w:pPr>
        <w:pStyle w:val="ListParagraph"/>
        <w:numPr>
          <w:ilvl w:val="0"/>
          <w:numId w:val="3"/>
        </w:numPr>
        <w:spacing w:after="240"/>
        <w:ind w:left="1440" w:hanging="720"/>
        <w:jc w:val="both"/>
        <w:rPr>
          <w:rFonts w:ascii="Cambria" w:eastAsia="Calibri" w:hAnsi="Cambria"/>
          <w:b/>
          <w:sz w:val="22"/>
          <w:lang w:val="es-ES_tradnl"/>
        </w:rPr>
      </w:pPr>
      <w:r w:rsidRPr="00F0798B">
        <w:rPr>
          <w:rFonts w:ascii="Cambria" w:eastAsia="Calibri" w:hAnsi="Cambria"/>
          <w:b/>
          <w:sz w:val="22"/>
          <w:lang w:val="es-ES_tradnl"/>
        </w:rPr>
        <w:t>Propuestas de proyectos de Financiamiento</w:t>
      </w:r>
    </w:p>
    <w:p w14:paraId="3004C332" w14:textId="27632A18" w:rsidR="005C3771" w:rsidRPr="00F0798B" w:rsidRDefault="005C3771" w:rsidP="005F60E5">
      <w:pPr>
        <w:pStyle w:val="paragraphs"/>
        <w:numPr>
          <w:ilvl w:val="0"/>
          <w:numId w:val="7"/>
        </w:numPr>
        <w:ind w:left="0" w:firstLine="720"/>
      </w:pPr>
      <w:r w:rsidRPr="00F0798B">
        <w:t>Durante el año 2018 la Secretaría Ejecutiva de la CIDH elaboró 22 notas conceptuales y propuestas de proyectos de financiamiento para presentar a donantes. La mayor parte de las propuestas fue aprobada.</w:t>
      </w:r>
    </w:p>
    <w:p w14:paraId="41C12C9B" w14:textId="77777777" w:rsidR="005C3771" w:rsidRPr="00F0798B" w:rsidRDefault="005C3771" w:rsidP="005D5132">
      <w:pPr>
        <w:pStyle w:val="ListParagraph"/>
        <w:numPr>
          <w:ilvl w:val="0"/>
          <w:numId w:val="8"/>
        </w:numPr>
        <w:spacing w:after="200"/>
        <w:ind w:left="1440" w:hanging="720"/>
        <w:jc w:val="both"/>
        <w:rPr>
          <w:rFonts w:ascii="Cambria" w:hAnsi="Cambria"/>
          <w:sz w:val="20"/>
          <w:szCs w:val="20"/>
          <w:lang w:val="es-ES_tradnl"/>
        </w:rPr>
      </w:pPr>
      <w:r w:rsidRPr="00F0798B">
        <w:rPr>
          <w:rFonts w:ascii="Cambria" w:hAnsi="Cambria"/>
          <w:sz w:val="20"/>
          <w:szCs w:val="20"/>
          <w:lang w:val="es-ES_tradnl"/>
        </w:rPr>
        <w:t xml:space="preserve">Elaboración y presentación de propuesta técnica para  </w:t>
      </w:r>
      <w:proofErr w:type="spellStart"/>
      <w:r w:rsidRPr="00F0798B">
        <w:rPr>
          <w:rFonts w:ascii="Cambria" w:hAnsi="Cambria"/>
          <w:sz w:val="20"/>
          <w:szCs w:val="20"/>
          <w:lang w:val="es-ES_tradnl"/>
        </w:rPr>
        <w:t>Wellspring</w:t>
      </w:r>
      <w:proofErr w:type="spellEnd"/>
      <w:r w:rsidRPr="00F0798B">
        <w:rPr>
          <w:rFonts w:ascii="Cambria" w:hAnsi="Cambria"/>
          <w:sz w:val="20"/>
          <w:szCs w:val="20"/>
          <w:lang w:val="es-ES_tradnl"/>
        </w:rPr>
        <w:t xml:space="preserve"> a través de Trust for The </w:t>
      </w:r>
      <w:proofErr w:type="spellStart"/>
      <w:r w:rsidRPr="00F0798B">
        <w:rPr>
          <w:rFonts w:ascii="Cambria" w:hAnsi="Cambria"/>
          <w:sz w:val="20"/>
          <w:szCs w:val="20"/>
          <w:lang w:val="es-ES_tradnl"/>
        </w:rPr>
        <w:t>Americas</w:t>
      </w:r>
      <w:proofErr w:type="spellEnd"/>
      <w:r w:rsidRPr="00F0798B">
        <w:rPr>
          <w:rFonts w:ascii="Cambria" w:hAnsi="Cambria"/>
          <w:sz w:val="20"/>
          <w:szCs w:val="20"/>
          <w:lang w:val="es-ES_tradnl"/>
        </w:rPr>
        <w:t xml:space="preserve"> para apoyar el Proyecto para Apoyar a la Relatoría de Derechos de Personas LGTBI de la CIDH – Fase  II por $</w:t>
      </w:r>
      <w:proofErr w:type="gramStart"/>
      <w:r w:rsidRPr="00F0798B">
        <w:rPr>
          <w:rFonts w:ascii="Cambria" w:hAnsi="Cambria"/>
          <w:sz w:val="20"/>
          <w:szCs w:val="20"/>
          <w:lang w:val="es-ES_tradnl"/>
        </w:rPr>
        <w:t>250,000 .</w:t>
      </w:r>
      <w:proofErr w:type="gramEnd"/>
      <w:r w:rsidRPr="00F0798B">
        <w:rPr>
          <w:rFonts w:ascii="Cambria" w:hAnsi="Cambria"/>
          <w:sz w:val="20"/>
          <w:szCs w:val="20"/>
          <w:lang w:val="es-ES_tradnl"/>
        </w:rPr>
        <w:t xml:space="preserve"> La propuesta fue aprobada y el proyecto se encuentra en ejecución.</w:t>
      </w:r>
    </w:p>
    <w:p w14:paraId="51961E6A" w14:textId="77777777" w:rsidR="005D5132" w:rsidRPr="00F0798B" w:rsidRDefault="005D5132" w:rsidP="005D5132">
      <w:pPr>
        <w:pStyle w:val="ListParagraph"/>
        <w:spacing w:after="200"/>
        <w:ind w:left="1440"/>
        <w:jc w:val="both"/>
        <w:rPr>
          <w:rFonts w:ascii="Cambria" w:hAnsi="Cambria"/>
          <w:sz w:val="20"/>
          <w:szCs w:val="20"/>
          <w:lang w:val="es-ES_tradnl"/>
        </w:rPr>
      </w:pPr>
    </w:p>
    <w:p w14:paraId="7F4D6CCA" w14:textId="621541AC" w:rsidR="005D5132" w:rsidRPr="00F0798B" w:rsidRDefault="005C3771" w:rsidP="005D5132">
      <w:pPr>
        <w:pStyle w:val="ListParagraph"/>
        <w:numPr>
          <w:ilvl w:val="0"/>
          <w:numId w:val="8"/>
        </w:numPr>
        <w:spacing w:after="200"/>
        <w:ind w:left="1440" w:hanging="720"/>
        <w:jc w:val="both"/>
        <w:rPr>
          <w:rFonts w:ascii="Cambria" w:hAnsi="Cambria"/>
          <w:sz w:val="20"/>
          <w:szCs w:val="20"/>
          <w:lang w:val="es-ES_tradnl"/>
        </w:rPr>
      </w:pPr>
      <w:r w:rsidRPr="00F0798B">
        <w:rPr>
          <w:rFonts w:ascii="Cambria" w:hAnsi="Cambria"/>
          <w:sz w:val="20"/>
          <w:szCs w:val="20"/>
          <w:lang w:val="es-ES_tradnl"/>
        </w:rPr>
        <w:t>Preparación de propuesta para apoyar la Relatoría LGTBI para USAID a través de PADF sobre incremento de capacidades local para monitorear la violencia y promover la investigación sobre crímene</w:t>
      </w:r>
      <w:r w:rsidR="005D5132" w:rsidRPr="00F0798B">
        <w:rPr>
          <w:rFonts w:ascii="Cambria" w:hAnsi="Cambria"/>
          <w:sz w:val="20"/>
          <w:szCs w:val="20"/>
          <w:lang w:val="es-ES_tradnl"/>
        </w:rPr>
        <w:t>s de odio contra personas LGTBI.</w:t>
      </w:r>
    </w:p>
    <w:p w14:paraId="6485409E" w14:textId="77777777" w:rsidR="005D5132" w:rsidRPr="00F0798B" w:rsidRDefault="005D5132" w:rsidP="005D5132">
      <w:pPr>
        <w:pStyle w:val="ListParagraph"/>
        <w:ind w:left="1440"/>
        <w:jc w:val="both"/>
        <w:rPr>
          <w:rFonts w:ascii="Cambria" w:hAnsi="Cambria"/>
          <w:sz w:val="20"/>
          <w:szCs w:val="20"/>
          <w:lang w:val="es-ES_tradnl"/>
        </w:rPr>
      </w:pPr>
    </w:p>
    <w:p w14:paraId="6427F528" w14:textId="77777777" w:rsidR="005C3771" w:rsidRPr="00F0798B" w:rsidRDefault="005C3771" w:rsidP="005D5132">
      <w:pPr>
        <w:pStyle w:val="ListParagraph"/>
        <w:numPr>
          <w:ilvl w:val="0"/>
          <w:numId w:val="8"/>
        </w:numPr>
        <w:spacing w:after="200"/>
        <w:ind w:left="1440" w:hanging="720"/>
        <w:jc w:val="both"/>
        <w:rPr>
          <w:rFonts w:ascii="Cambria" w:hAnsi="Cambria"/>
          <w:sz w:val="20"/>
          <w:szCs w:val="20"/>
          <w:lang w:val="es-ES_tradnl"/>
        </w:rPr>
      </w:pPr>
      <w:r w:rsidRPr="00F0798B">
        <w:rPr>
          <w:rFonts w:ascii="Cambria" w:hAnsi="Cambria"/>
          <w:sz w:val="20"/>
          <w:szCs w:val="20"/>
          <w:lang w:val="es-ES_tradnl"/>
        </w:rPr>
        <w:t>Preparación de propuesta para apoyar la Relatoría LGTBI con la Secretaría de Acceso a Derechos de la OEA para promover la inclusión social de personas LGTBI y no discriminación.</w:t>
      </w:r>
    </w:p>
    <w:p w14:paraId="48E07AAD" w14:textId="77777777" w:rsidR="005D5132" w:rsidRPr="00F0798B" w:rsidRDefault="005D5132" w:rsidP="005D5132">
      <w:pPr>
        <w:jc w:val="both"/>
        <w:rPr>
          <w:rFonts w:ascii="Cambria" w:hAnsi="Cambria"/>
          <w:sz w:val="20"/>
          <w:szCs w:val="20"/>
          <w:lang w:val="es-ES_tradnl"/>
        </w:rPr>
      </w:pPr>
    </w:p>
    <w:p w14:paraId="6BF4E821" w14:textId="77777777" w:rsidR="005C3771" w:rsidRPr="00F0798B" w:rsidRDefault="005C3771" w:rsidP="005D5132">
      <w:pPr>
        <w:pStyle w:val="ListParagraph"/>
        <w:numPr>
          <w:ilvl w:val="0"/>
          <w:numId w:val="8"/>
        </w:numPr>
        <w:spacing w:after="200"/>
        <w:ind w:left="1440" w:hanging="720"/>
        <w:jc w:val="both"/>
        <w:rPr>
          <w:rFonts w:ascii="Cambria" w:hAnsi="Cambria"/>
          <w:sz w:val="20"/>
          <w:szCs w:val="20"/>
          <w:lang w:val="es-ES_tradnl"/>
        </w:rPr>
      </w:pPr>
      <w:r w:rsidRPr="00F0798B">
        <w:rPr>
          <w:rFonts w:ascii="Cambria" w:hAnsi="Cambria"/>
          <w:sz w:val="20"/>
          <w:szCs w:val="20"/>
          <w:lang w:val="es-ES_tradnl"/>
        </w:rPr>
        <w:t>Preparación y presentación de una nota conceptual, en convocatoria abierta, al Reino Unido para prestar asistencia técnica al gobierno de Colombia en la implementación de recomendaciones y decisiones emitidas por la CIDH por $170,000.</w:t>
      </w:r>
    </w:p>
    <w:p w14:paraId="2D7A29B5" w14:textId="77777777" w:rsidR="005C3771" w:rsidRPr="00F0798B" w:rsidRDefault="005C3771" w:rsidP="005D5132">
      <w:pPr>
        <w:pStyle w:val="ListParagraph"/>
        <w:numPr>
          <w:ilvl w:val="0"/>
          <w:numId w:val="8"/>
        </w:numPr>
        <w:spacing w:after="200"/>
        <w:ind w:left="1440" w:hanging="720"/>
        <w:jc w:val="both"/>
        <w:rPr>
          <w:rFonts w:ascii="Cambria" w:hAnsi="Cambria"/>
          <w:sz w:val="20"/>
          <w:szCs w:val="20"/>
          <w:lang w:val="es-ES_tradnl"/>
        </w:rPr>
      </w:pPr>
      <w:r w:rsidRPr="00F0798B">
        <w:rPr>
          <w:rFonts w:ascii="Cambria" w:hAnsi="Cambria"/>
          <w:sz w:val="20"/>
          <w:szCs w:val="20"/>
          <w:lang w:val="es-ES_tradnl"/>
        </w:rPr>
        <w:lastRenderedPageBreak/>
        <w:t>Preparación y presentación de propuesta del proyecto “Incrementar la efectividad del trabajo de la CIDH durante 2018-2020” para el Departamento de Estado de los Estados Unidos. El proyecto fue aprobado y comenzó su ejecución en Julio de 2019.</w:t>
      </w:r>
    </w:p>
    <w:p w14:paraId="54F6CFF6" w14:textId="77777777" w:rsidR="005D5132" w:rsidRPr="00F0798B" w:rsidRDefault="005D5132" w:rsidP="005D5132">
      <w:pPr>
        <w:pStyle w:val="ListParagraph"/>
        <w:spacing w:after="200"/>
        <w:ind w:left="1440"/>
        <w:jc w:val="both"/>
        <w:rPr>
          <w:rFonts w:ascii="Cambria" w:hAnsi="Cambria"/>
          <w:sz w:val="20"/>
          <w:szCs w:val="20"/>
          <w:lang w:val="es-ES_tradnl"/>
        </w:rPr>
      </w:pPr>
    </w:p>
    <w:p w14:paraId="429ED800"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 xml:space="preserve">Elaboración y presentación de nota conceptual para el proyecto “Visita in loco a Honduras” a gobierno de Suiza por un valor de $64.000. El proyecto fue aprobado y ejecutado durante 2018. </w:t>
      </w:r>
    </w:p>
    <w:p w14:paraId="1B94E051" w14:textId="77777777" w:rsidR="005D5132" w:rsidRPr="00F0798B" w:rsidRDefault="005D5132" w:rsidP="005D5132">
      <w:pPr>
        <w:jc w:val="both"/>
        <w:rPr>
          <w:rFonts w:ascii="Cambria" w:hAnsi="Cambria"/>
          <w:sz w:val="20"/>
          <w:szCs w:val="20"/>
          <w:lang w:val="es-ES_tradnl"/>
        </w:rPr>
      </w:pPr>
    </w:p>
    <w:p w14:paraId="62D14A45"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y presentación de propuesta para el proyecto “Apoyo a implementación de la Mesa de Trabajo sobre Implementación de Políticas de Derechos Humanos en República Dominicana” para ACNUR por $31.600. La propuesta fue aprobado y el proyecto fue ejecutado durante el  segundo semestre de 2018.</w:t>
      </w:r>
    </w:p>
    <w:p w14:paraId="524FDAEA" w14:textId="456DBBF9" w:rsidR="005D5132" w:rsidRPr="00F0798B" w:rsidRDefault="005D5132" w:rsidP="005D5132">
      <w:pPr>
        <w:jc w:val="both"/>
        <w:rPr>
          <w:rFonts w:ascii="Cambria" w:hAnsi="Cambria"/>
          <w:sz w:val="20"/>
          <w:szCs w:val="20"/>
          <w:lang w:val="es-ES_tradnl"/>
        </w:rPr>
      </w:pPr>
    </w:p>
    <w:p w14:paraId="121B23D8"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 xml:space="preserve">Elaboración y presentación de propuesta de proyecto para el desarrollo del  “Programa Regional de Derechos Humanos y Democracia en Centroamérica”, para la Agencia Suiza de Cooperación en Centroamérica- COSUDE, por un monto de $1,207,500. La propuesta fue aprobada y el proyecto comenzó su ejecución en Octubre de 2018. </w:t>
      </w:r>
    </w:p>
    <w:p w14:paraId="573DBD22" w14:textId="77777777" w:rsidR="005D5132" w:rsidRPr="00F0798B" w:rsidRDefault="005D5132" w:rsidP="005D5132">
      <w:pPr>
        <w:jc w:val="both"/>
        <w:rPr>
          <w:rFonts w:ascii="Cambria" w:hAnsi="Cambria"/>
          <w:sz w:val="20"/>
          <w:szCs w:val="20"/>
          <w:lang w:val="es-ES_tradnl"/>
        </w:rPr>
      </w:pPr>
    </w:p>
    <w:p w14:paraId="074D2853" w14:textId="442658DD"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 xml:space="preserve">Elaboración de Nota conceptual y documento de proyecto sobre la Implementación del Grupo Interdisciplinario de Expertos - GIEI en Nicaragua, a partir de la cual se hizo la gestión de movilización de fondos  lo cual generó ofrecimiento de contribuciones y proyectos por $964,400 a varios donantes. A partir de la aprobación del proyecto, se elaboraron propuestas ampliadas para el desarrollo de componentes específicos para Suiza, Alemania, </w:t>
      </w:r>
      <w:proofErr w:type="spellStart"/>
      <w:r w:rsidRPr="00F0798B">
        <w:rPr>
          <w:rFonts w:ascii="Cambria" w:hAnsi="Cambria"/>
          <w:sz w:val="20"/>
          <w:szCs w:val="20"/>
          <w:lang w:val="es-ES_tradnl"/>
        </w:rPr>
        <w:t>Freedom</w:t>
      </w:r>
      <w:proofErr w:type="spellEnd"/>
      <w:r w:rsidRPr="00F0798B">
        <w:rPr>
          <w:rFonts w:ascii="Cambria" w:hAnsi="Cambria"/>
          <w:sz w:val="20"/>
          <w:szCs w:val="20"/>
          <w:lang w:val="es-ES_tradnl"/>
        </w:rPr>
        <w:t xml:space="preserve"> </w:t>
      </w:r>
      <w:proofErr w:type="spellStart"/>
      <w:r w:rsidRPr="00F0798B">
        <w:rPr>
          <w:rFonts w:ascii="Cambria" w:hAnsi="Cambria"/>
          <w:sz w:val="20"/>
          <w:szCs w:val="20"/>
          <w:lang w:val="es-ES_tradnl"/>
        </w:rPr>
        <w:t>House</w:t>
      </w:r>
      <w:proofErr w:type="spellEnd"/>
      <w:r w:rsidRPr="00F0798B">
        <w:rPr>
          <w:rFonts w:ascii="Cambria" w:hAnsi="Cambria"/>
          <w:sz w:val="20"/>
          <w:szCs w:val="20"/>
          <w:lang w:val="es-ES_tradnl"/>
        </w:rPr>
        <w:t xml:space="preserve"> y España. Igualmente, fueron efectuadas contribuciones generales para el desarrollo de la iniciativa por parte de Italia, España y Argentina. Los proyectos se encuentran en ejecución desde el segundo semestre de 2018.</w:t>
      </w:r>
    </w:p>
    <w:p w14:paraId="6FB101DE" w14:textId="77777777" w:rsidR="005D5132" w:rsidRPr="00F0798B" w:rsidRDefault="005D5132" w:rsidP="005D5132">
      <w:pPr>
        <w:jc w:val="both"/>
        <w:rPr>
          <w:rFonts w:ascii="Cambria" w:hAnsi="Cambria"/>
          <w:sz w:val="20"/>
          <w:szCs w:val="20"/>
          <w:lang w:val="es-ES_tradnl"/>
        </w:rPr>
      </w:pPr>
    </w:p>
    <w:p w14:paraId="3610A7F5"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 xml:space="preserve">Preparación de Nota Conceptual con propuesta de Implementación del Mecanismo de Seguimiento a la Vista de Nicaragua –MESENI, a partir de la cual se  hizo la gestión de movilización de fondos $1,406,699 a varios donantes.  Fueron anunciadas y efectuadas contribuciones generales para el desarrollo de la iniciativa por parte de Luxemburgo, España, Suiza y Argentina. </w:t>
      </w:r>
    </w:p>
    <w:p w14:paraId="02D27594" w14:textId="77777777" w:rsidR="005D5132" w:rsidRPr="00F0798B" w:rsidRDefault="005D5132" w:rsidP="005D5132">
      <w:pPr>
        <w:jc w:val="both"/>
        <w:rPr>
          <w:rFonts w:ascii="Cambria" w:hAnsi="Cambria"/>
          <w:sz w:val="20"/>
          <w:szCs w:val="20"/>
          <w:lang w:val="es-ES_tradnl"/>
        </w:rPr>
      </w:pPr>
    </w:p>
    <w:p w14:paraId="3808377F"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A partir de la nota conceptual se elaboró la propuesta de proyecto para el desarrollo del componente específico del MESENI al Departamento de Estado de Estados Unidos por valor de $300,000. El proyecto fue aprobado y comenzará su ejecución en Enero de 2019.</w:t>
      </w:r>
    </w:p>
    <w:p w14:paraId="7DEB52A9" w14:textId="77777777" w:rsidR="005D5132" w:rsidRPr="00F0798B" w:rsidRDefault="005D5132" w:rsidP="005D5132">
      <w:pPr>
        <w:jc w:val="both"/>
        <w:rPr>
          <w:rFonts w:ascii="Cambria" w:hAnsi="Cambria"/>
          <w:sz w:val="20"/>
          <w:szCs w:val="20"/>
          <w:lang w:val="es-ES_tradnl"/>
        </w:rPr>
      </w:pPr>
    </w:p>
    <w:p w14:paraId="2E45E6A5"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y presentación del documento de proyecto para la “Protección y defensa de los derechos humanos en Nicaragua” que incluye componentes de GIEI ($300,000) y de MESENI ($565,000), con destino a la Comisión Europea. El proyecto fue aprobado y comenzó su ejecución en Noviembre 2018. El componente del GIE no ejecutado será reprogramado para hacer el seguimiento del Informe de GIEI por el MESENI.</w:t>
      </w:r>
    </w:p>
    <w:p w14:paraId="7F34D1AC" w14:textId="77777777" w:rsidR="005D5132" w:rsidRPr="00F0798B" w:rsidRDefault="005D5132" w:rsidP="005D5132">
      <w:pPr>
        <w:jc w:val="both"/>
        <w:rPr>
          <w:rFonts w:ascii="Cambria" w:hAnsi="Cambria"/>
          <w:sz w:val="20"/>
          <w:szCs w:val="20"/>
          <w:lang w:val="es-ES_tradnl"/>
        </w:rPr>
      </w:pPr>
    </w:p>
    <w:p w14:paraId="4AAE03CF"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y presentación de propuesta de proyecto al Gobierno de la Comunidad Autónoma de Islas Baleares, para fortalecer las capacidades de Defensores y Defensoras de Derechos Humanos en las Américas. El proyecto fue aprobado y comienza su ejecución en Febrero 2019.</w:t>
      </w:r>
    </w:p>
    <w:p w14:paraId="31B0E084" w14:textId="77777777" w:rsidR="005D5132" w:rsidRPr="00F0798B" w:rsidRDefault="005D5132" w:rsidP="005D5132">
      <w:pPr>
        <w:jc w:val="both"/>
        <w:rPr>
          <w:rFonts w:ascii="Cambria" w:hAnsi="Cambria"/>
          <w:sz w:val="20"/>
          <w:szCs w:val="20"/>
          <w:lang w:val="es-ES_tradnl"/>
        </w:rPr>
      </w:pPr>
    </w:p>
    <w:p w14:paraId="10D4FB10"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y presentación de propuesta de proyecto de cooperación técnica con el Ministerio de Derechos Humanos de Brasil en materia de política pública para la promoción y protección de defensores y defensoras de derechos humanos en Brasil.</w:t>
      </w:r>
    </w:p>
    <w:p w14:paraId="38ADD011" w14:textId="77777777" w:rsidR="005D5132" w:rsidRPr="00F0798B" w:rsidRDefault="005D5132" w:rsidP="005D5132">
      <w:pPr>
        <w:jc w:val="both"/>
        <w:rPr>
          <w:rFonts w:ascii="Cambria" w:hAnsi="Cambria"/>
          <w:sz w:val="20"/>
          <w:szCs w:val="20"/>
          <w:lang w:val="es-ES_tradnl"/>
        </w:rPr>
      </w:pPr>
    </w:p>
    <w:p w14:paraId="55B046A4"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y presentación de propuesta para el proyecto “Promoción y protección de los derechos económicos sociales, culturales y ambientales en el Sistema Interamericano de Derechos Humanos (Fase II)” para el Fondo Español. El proyecto fue aprobado y comienza su ejecución en Abril de 2019.</w:t>
      </w:r>
    </w:p>
    <w:p w14:paraId="7210038F" w14:textId="77777777" w:rsidR="005D5132" w:rsidRPr="00F0798B" w:rsidRDefault="005D5132" w:rsidP="005D5132">
      <w:pPr>
        <w:jc w:val="both"/>
        <w:rPr>
          <w:rFonts w:ascii="Cambria" w:hAnsi="Cambria"/>
          <w:sz w:val="20"/>
          <w:szCs w:val="20"/>
          <w:lang w:val="es-ES_tradnl"/>
        </w:rPr>
      </w:pPr>
    </w:p>
    <w:p w14:paraId="6692D366"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y presentación de propuesta para el proyecto Fortalecimiento de las acciones de promoción y protección de las personas defensoras de derechos humanos y operadores judiciales en Latinoamérica para el Fondo Español. El proyecto fue aprobado y comienza su ejecución en Abril de 2019.</w:t>
      </w:r>
    </w:p>
    <w:p w14:paraId="5B735EB6" w14:textId="77777777" w:rsidR="005D5132" w:rsidRPr="00F0798B" w:rsidRDefault="005D5132" w:rsidP="005D5132">
      <w:pPr>
        <w:jc w:val="both"/>
        <w:rPr>
          <w:rFonts w:ascii="Cambria" w:hAnsi="Cambria"/>
          <w:sz w:val="20"/>
          <w:szCs w:val="20"/>
          <w:lang w:val="es-ES_tradnl"/>
        </w:rPr>
      </w:pPr>
    </w:p>
    <w:p w14:paraId="29C4D762"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y presentación de propuesta para el proyecto “Acceso a la justicia internacional a través de la atención de peticiones presentadas a la CIDH pendientes de análisis de admisibilidad” para el gobierno de Irlanda por 50.000 Euros. El proyecto fue aprobado y comienza su ejecución en 2019.</w:t>
      </w:r>
    </w:p>
    <w:p w14:paraId="4A21E18E" w14:textId="77777777" w:rsidR="005D5132" w:rsidRPr="00F0798B" w:rsidRDefault="005D5132" w:rsidP="005D5132">
      <w:pPr>
        <w:jc w:val="both"/>
        <w:rPr>
          <w:rFonts w:ascii="Cambria" w:hAnsi="Cambria"/>
          <w:sz w:val="20"/>
          <w:szCs w:val="20"/>
          <w:lang w:val="es-ES_tradnl"/>
        </w:rPr>
      </w:pPr>
    </w:p>
    <w:p w14:paraId="6B2E2D7E" w14:textId="58EEE3B2" w:rsidR="005D5132"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de propuesta para el proyecto “Protección de los derechos humanos de las personas en situación de movilidad humana” para ACNUR por $100.000. La propuesta será  presentada a ACNUR en Enero 2019.</w:t>
      </w:r>
    </w:p>
    <w:p w14:paraId="5FA1FA5B" w14:textId="77777777" w:rsidR="005D5132" w:rsidRPr="00F0798B" w:rsidRDefault="005D5132" w:rsidP="005D5132">
      <w:pPr>
        <w:jc w:val="both"/>
        <w:rPr>
          <w:rFonts w:ascii="Cambria" w:hAnsi="Cambria"/>
          <w:sz w:val="20"/>
          <w:szCs w:val="20"/>
          <w:lang w:val="es-ES_tradnl"/>
        </w:rPr>
      </w:pPr>
    </w:p>
    <w:p w14:paraId="13340E54" w14:textId="6D728E60" w:rsidR="005D5132"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de propuesta para el proyecto “Promover en el ámbito regional la protección de los derechos de las personas mayores”.</w:t>
      </w:r>
    </w:p>
    <w:p w14:paraId="5ECCDCD4" w14:textId="77777777" w:rsidR="005D5132" w:rsidRPr="00F0798B" w:rsidRDefault="005D5132" w:rsidP="005D5132">
      <w:pPr>
        <w:jc w:val="both"/>
        <w:rPr>
          <w:rFonts w:ascii="Cambria" w:hAnsi="Cambria"/>
          <w:sz w:val="20"/>
          <w:szCs w:val="20"/>
          <w:lang w:val="es-ES_tradnl"/>
        </w:rPr>
      </w:pPr>
    </w:p>
    <w:p w14:paraId="5A2779A5"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de propuesta para el proyecto “Incrementar la capacidad de los Defensores de los Derechos Humanos y organizaciones en Cuba para proteger y defender los derechos humanos” para PADF por un valor de $202.000.</w:t>
      </w:r>
    </w:p>
    <w:p w14:paraId="4744C784" w14:textId="77777777" w:rsidR="005D5132" w:rsidRPr="00F0798B" w:rsidRDefault="005D5132" w:rsidP="005D5132">
      <w:pPr>
        <w:jc w:val="both"/>
        <w:rPr>
          <w:rFonts w:ascii="Cambria" w:hAnsi="Cambria"/>
          <w:sz w:val="20"/>
          <w:szCs w:val="20"/>
          <w:lang w:val="es-ES_tradnl"/>
        </w:rPr>
      </w:pPr>
    </w:p>
    <w:p w14:paraId="377293F2"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del componente “Incremento de la protección de los derechos humanos de las personas venezolanas que han migrado forzadamente” para el proyecto “Fortalecimiento de la respuesta de los Estados Miembros de la OEA a la crisis humanitaria en Venezuela y las necesidades de los migrantes y refugiados venezolanos” para el Departamento de Estado de los Estados Unidos por un valor de $250.000.</w:t>
      </w:r>
    </w:p>
    <w:p w14:paraId="34C947BB" w14:textId="77777777" w:rsidR="005D5132" w:rsidRPr="00F0798B" w:rsidRDefault="005D5132" w:rsidP="005D5132">
      <w:pPr>
        <w:jc w:val="both"/>
        <w:rPr>
          <w:rFonts w:ascii="Cambria" w:hAnsi="Cambria"/>
          <w:sz w:val="20"/>
          <w:szCs w:val="20"/>
          <w:lang w:val="es-ES_tradnl"/>
        </w:rPr>
      </w:pPr>
    </w:p>
    <w:p w14:paraId="41A27F0F" w14:textId="77777777" w:rsidR="005C3771" w:rsidRPr="00F0798B" w:rsidRDefault="005C3771" w:rsidP="005D5132">
      <w:pPr>
        <w:pStyle w:val="ListParagraph"/>
        <w:numPr>
          <w:ilvl w:val="0"/>
          <w:numId w:val="8"/>
        </w:numPr>
        <w:ind w:left="1440" w:hanging="720"/>
        <w:contextualSpacing w:val="0"/>
        <w:jc w:val="both"/>
        <w:rPr>
          <w:rFonts w:ascii="Cambria" w:hAnsi="Cambria"/>
          <w:sz w:val="20"/>
          <w:szCs w:val="20"/>
          <w:lang w:val="es-ES_tradnl"/>
        </w:rPr>
      </w:pPr>
      <w:r w:rsidRPr="00F0798B">
        <w:rPr>
          <w:rFonts w:ascii="Cambria" w:hAnsi="Cambria"/>
          <w:sz w:val="20"/>
          <w:szCs w:val="20"/>
          <w:lang w:val="es-ES_tradnl"/>
        </w:rPr>
        <w:t>Elaboración de nota conceptual “Encuentros de promoción y difusión del informe de Mujeres Indígenas (CIDH)” por un valor de $12.000 (en especie).</w:t>
      </w:r>
    </w:p>
    <w:p w14:paraId="4E05B3C4" w14:textId="553EDBE7" w:rsidR="00D25CAC" w:rsidRPr="00F0798B" w:rsidRDefault="00D25CAC" w:rsidP="005D5132">
      <w:pPr>
        <w:pStyle w:val="ListParagraph"/>
        <w:numPr>
          <w:ilvl w:val="0"/>
          <w:numId w:val="1"/>
        </w:numPr>
        <w:spacing w:before="240" w:after="240"/>
        <w:ind w:left="1440" w:hanging="720"/>
        <w:contextualSpacing w:val="0"/>
        <w:rPr>
          <w:rFonts w:ascii="Cambria" w:hAnsi="Cambria"/>
          <w:b/>
          <w:sz w:val="22"/>
          <w:szCs w:val="20"/>
          <w:lang w:val="es-ES_tradnl"/>
        </w:rPr>
      </w:pPr>
      <w:r w:rsidRPr="00F0798B">
        <w:rPr>
          <w:rFonts w:ascii="Cambria" w:hAnsi="Cambria"/>
          <w:b/>
          <w:sz w:val="22"/>
          <w:szCs w:val="20"/>
          <w:lang w:val="es-ES_tradnl"/>
        </w:rPr>
        <w:t>Avances tecnológicos</w:t>
      </w:r>
    </w:p>
    <w:p w14:paraId="02252613" w14:textId="2C3959F8" w:rsidR="004B5C8C" w:rsidRPr="00F0798B" w:rsidRDefault="004B5C8C" w:rsidP="005F60E5">
      <w:pPr>
        <w:pStyle w:val="paragraphs"/>
        <w:numPr>
          <w:ilvl w:val="0"/>
          <w:numId w:val="7"/>
        </w:numPr>
        <w:ind w:left="0" w:firstLine="720"/>
      </w:pPr>
      <w:r w:rsidRPr="00F0798B">
        <w:t>Los avances tecnológicos son muy importantes para la Comisión a fin de respaldar el trabajo de muchos usuarios del sistema de peticiones individuales y el acceso a la información tanto para los peticionarios como para los estados. Mediante el uso estratégico de limitados fondos especiales y con el apoyo de la Sección de Tecnología y Sistemas (STS), la Comisión ha podido dar pasos importantes para hacer que el sistema de casos individuales sea más eficiente, efectivo y receptivo para sus usuarios. Esta Sección respalda los intereses de la Secretaría Ejecutiva al recomendar, formular, mejorar e implementar métodos y procedimientos para llevar a cabo las directivas de la Comisión, incluida la creciente automatización de los procesos de trabajo actuales de la CIDH mediante la aplicación de soluciones basadas en la tecnología.</w:t>
      </w:r>
    </w:p>
    <w:p w14:paraId="7BC9BA85" w14:textId="165C7B58" w:rsidR="004B5C8C" w:rsidRPr="00F0798B" w:rsidRDefault="004B5C8C" w:rsidP="005F60E5">
      <w:pPr>
        <w:pStyle w:val="paragraphs"/>
        <w:numPr>
          <w:ilvl w:val="0"/>
          <w:numId w:val="7"/>
        </w:numPr>
        <w:ind w:left="0" w:firstLine="720"/>
      </w:pPr>
      <w:r w:rsidRPr="00F0798B">
        <w:t>Se implementó por primera vez un Período de Sesiones innovador con documentos digitalizados durante el PS 167°, para el mejoramiento del flujo de información electrónica para la Comisión. Se contó con la facilidad de tener en equipos portátiles, toda la información digital concerniente a las audiencias y sesiones, lo cual antes se trasladaba en grandes cantidades de papel, materiales de oficina y mucho tiempo de trabajo manual para el personal.</w:t>
      </w:r>
    </w:p>
    <w:p w14:paraId="05057476" w14:textId="432272F5" w:rsidR="004B5C8C" w:rsidRPr="00F0798B" w:rsidRDefault="004B5C8C" w:rsidP="005F60E5">
      <w:pPr>
        <w:pStyle w:val="paragraphs"/>
        <w:numPr>
          <w:ilvl w:val="0"/>
          <w:numId w:val="7"/>
        </w:numPr>
        <w:ind w:left="0" w:firstLine="720"/>
      </w:pPr>
      <w:r w:rsidRPr="00F0798B">
        <w:t>Los siguientes sistemas automatizados se pusieron en línea para colaborar en la recolección de información digitalmente, de manera gratuita y accesible para nuestros usuarios, ayudándonos a mejorar la sistematización de data y tiempos de respuesta de diferentes áreas de la Secretaría Ejecutiva de la CIDH:</w:t>
      </w:r>
    </w:p>
    <w:p w14:paraId="3D5174F6" w14:textId="50F03B4E" w:rsidR="004B5C8C" w:rsidRPr="00F0798B" w:rsidRDefault="004B5C8C" w:rsidP="005F60E5">
      <w:pPr>
        <w:pStyle w:val="ListParagraph"/>
        <w:numPr>
          <w:ilvl w:val="0"/>
          <w:numId w:val="9"/>
        </w:numPr>
        <w:ind w:hanging="720"/>
        <w:jc w:val="both"/>
        <w:rPr>
          <w:rFonts w:ascii="Cambria" w:hAnsi="Cambria"/>
          <w:sz w:val="20"/>
          <w:szCs w:val="20"/>
          <w:lang w:val="es-ES_tradnl"/>
        </w:rPr>
      </w:pPr>
      <w:r w:rsidRPr="00F0798B">
        <w:rPr>
          <w:rFonts w:ascii="Cambria" w:hAnsi="Cambria"/>
          <w:sz w:val="20"/>
          <w:szCs w:val="20"/>
          <w:lang w:val="es-ES_tradnl"/>
        </w:rPr>
        <w:t>Solicitudes de Audiencia/Reunión de Trabajo – PS 167°, 168°, 169° 170° y 171° PS, en los 4 idiomas oficiales.</w:t>
      </w:r>
    </w:p>
    <w:p w14:paraId="7900CDA4" w14:textId="70913443" w:rsidR="004B5C8C" w:rsidRPr="00F0798B" w:rsidRDefault="004B5C8C" w:rsidP="005F60E5">
      <w:pPr>
        <w:pStyle w:val="ListParagraph"/>
        <w:numPr>
          <w:ilvl w:val="0"/>
          <w:numId w:val="9"/>
        </w:numPr>
        <w:ind w:hanging="720"/>
        <w:jc w:val="both"/>
        <w:rPr>
          <w:rFonts w:ascii="Cambria" w:hAnsi="Cambria"/>
          <w:sz w:val="20"/>
          <w:szCs w:val="20"/>
          <w:lang w:val="es-ES_tradnl"/>
        </w:rPr>
      </w:pPr>
      <w:r w:rsidRPr="00F0798B">
        <w:rPr>
          <w:rFonts w:ascii="Cambria" w:hAnsi="Cambria"/>
          <w:sz w:val="20"/>
          <w:szCs w:val="20"/>
          <w:lang w:val="es-ES_tradnl"/>
        </w:rPr>
        <w:t xml:space="preserve">Beca sobre Derechos de Personas LGBTI </w:t>
      </w:r>
    </w:p>
    <w:p w14:paraId="2EDE0956" w14:textId="430FD332" w:rsidR="004B5C8C" w:rsidRPr="00F0798B" w:rsidRDefault="004B5C8C" w:rsidP="005F60E5">
      <w:pPr>
        <w:pStyle w:val="ListParagraph"/>
        <w:numPr>
          <w:ilvl w:val="0"/>
          <w:numId w:val="9"/>
        </w:numPr>
        <w:ind w:hanging="720"/>
        <w:jc w:val="both"/>
        <w:rPr>
          <w:rFonts w:ascii="Cambria" w:hAnsi="Cambria"/>
          <w:sz w:val="20"/>
          <w:szCs w:val="20"/>
          <w:lang w:val="es-ES_tradnl"/>
        </w:rPr>
      </w:pPr>
      <w:r w:rsidRPr="00F0798B">
        <w:rPr>
          <w:rFonts w:ascii="Cambria" w:hAnsi="Cambria"/>
          <w:sz w:val="20"/>
          <w:szCs w:val="20"/>
          <w:lang w:val="es-ES_tradnl"/>
        </w:rPr>
        <w:lastRenderedPageBreak/>
        <w:t>Convocatoria para Participar en Consulta Pública de la Unidad sobre Derechos de las Personas con Discapacidad</w:t>
      </w:r>
    </w:p>
    <w:p w14:paraId="1718EC5B" w14:textId="42E8797F" w:rsidR="004B5C8C" w:rsidRPr="00F0798B" w:rsidRDefault="004B5C8C" w:rsidP="005F60E5">
      <w:pPr>
        <w:pStyle w:val="ListParagraph"/>
        <w:numPr>
          <w:ilvl w:val="0"/>
          <w:numId w:val="9"/>
        </w:numPr>
        <w:ind w:hanging="720"/>
        <w:jc w:val="both"/>
        <w:rPr>
          <w:rFonts w:ascii="Cambria" w:hAnsi="Cambria"/>
          <w:sz w:val="20"/>
          <w:szCs w:val="20"/>
          <w:lang w:val="es-ES_tradnl"/>
        </w:rPr>
      </w:pPr>
      <w:r w:rsidRPr="00F0798B">
        <w:rPr>
          <w:rFonts w:ascii="Cambria" w:hAnsi="Cambria"/>
          <w:sz w:val="20"/>
          <w:szCs w:val="20"/>
          <w:lang w:val="es-ES_tradnl"/>
        </w:rPr>
        <w:t xml:space="preserve">Beca sobre Protección Internacional y Desplazamiento Interno 2018 </w:t>
      </w:r>
    </w:p>
    <w:p w14:paraId="323016CE" w14:textId="167504DC" w:rsidR="004B5C8C" w:rsidRPr="00F0798B" w:rsidRDefault="004B5C8C" w:rsidP="005F60E5">
      <w:pPr>
        <w:pStyle w:val="ListParagraph"/>
        <w:numPr>
          <w:ilvl w:val="0"/>
          <w:numId w:val="9"/>
        </w:numPr>
        <w:ind w:hanging="720"/>
        <w:jc w:val="both"/>
        <w:rPr>
          <w:rFonts w:ascii="Cambria" w:hAnsi="Cambria"/>
          <w:sz w:val="20"/>
          <w:szCs w:val="20"/>
          <w:lang w:val="es-ES_tradnl"/>
        </w:rPr>
      </w:pPr>
      <w:r w:rsidRPr="00F0798B">
        <w:rPr>
          <w:rFonts w:ascii="Cambria" w:hAnsi="Cambria"/>
          <w:sz w:val="20"/>
          <w:szCs w:val="20"/>
          <w:lang w:val="es-ES_tradnl"/>
        </w:rPr>
        <w:t>Beca Seguimiento de Recomendaciones de la CIDH 2019</w:t>
      </w:r>
    </w:p>
    <w:p w14:paraId="79E7BC11" w14:textId="0DB05D52" w:rsidR="004B5C8C" w:rsidRPr="00F0798B" w:rsidRDefault="004B5C8C" w:rsidP="005F60E5">
      <w:pPr>
        <w:pStyle w:val="ListParagraph"/>
        <w:numPr>
          <w:ilvl w:val="0"/>
          <w:numId w:val="9"/>
        </w:numPr>
        <w:ind w:hanging="720"/>
        <w:jc w:val="both"/>
        <w:rPr>
          <w:rFonts w:ascii="Cambria" w:hAnsi="Cambria"/>
          <w:sz w:val="20"/>
          <w:szCs w:val="20"/>
          <w:lang w:val="es-ES_tradnl"/>
        </w:rPr>
      </w:pPr>
      <w:r w:rsidRPr="00F0798B">
        <w:rPr>
          <w:rFonts w:ascii="Cambria" w:hAnsi="Cambria"/>
          <w:sz w:val="20"/>
          <w:szCs w:val="20"/>
          <w:lang w:val="es-ES_tradnl"/>
        </w:rPr>
        <w:t>Consulta Regional sobre el Combate al Racismo, Discriminación Racial, Xenofobia y Otras Formas Conexas de Intolerancia en América</w:t>
      </w:r>
    </w:p>
    <w:p w14:paraId="4A26D335" w14:textId="77777777" w:rsidR="004B5C8C" w:rsidRPr="00F0798B" w:rsidRDefault="004B5C8C" w:rsidP="004B5C8C">
      <w:pPr>
        <w:ind w:firstLine="360"/>
        <w:jc w:val="both"/>
        <w:rPr>
          <w:rFonts w:ascii="Cambria" w:hAnsi="Cambria"/>
          <w:sz w:val="20"/>
          <w:szCs w:val="20"/>
          <w:lang w:val="es-ES_tradnl"/>
        </w:rPr>
      </w:pPr>
    </w:p>
    <w:p w14:paraId="4E817BFC" w14:textId="053A91F1" w:rsidR="004B5C8C" w:rsidRPr="00F0798B" w:rsidRDefault="004B5C8C" w:rsidP="005F60E5">
      <w:pPr>
        <w:pStyle w:val="paragraphs"/>
        <w:numPr>
          <w:ilvl w:val="0"/>
          <w:numId w:val="7"/>
        </w:numPr>
        <w:ind w:left="0" w:firstLine="720"/>
        <w:rPr>
          <w:rFonts w:eastAsia="Arial Unicode MS"/>
        </w:rPr>
      </w:pPr>
      <w:r w:rsidRPr="00F0798B">
        <w:t xml:space="preserve">En miras de un mejor uso de las soluciones de tecnología de la información y comunicaciones, para aumentar la productividad, reducir costos de trabajo manual y horas de personal en trabajos manuales, más propiciar sostenibilidad y apoyo en temas de la Comisión, la Sección de Tecnología y Sistemas está trabajando en el análisis de los requerimientos técnicos y prestando asesoría tecnológica para el estudio de la pronta implementación de un Sistema de Monitoreo de Recomendaciones (SIMORE) en la CIDH.  Lo anterior, con el fin de lograr una integración de procesos de trabajo a nivel estratégico, táctico y operacional que permitan a quienes se acercan a la CIDH hacer uso de esta herramienta que traerá grandes ventajas para el seguimiento de recomendaciones del SIDH. </w:t>
      </w:r>
      <w:r w:rsidRPr="00F0798B">
        <w:rPr>
          <w:rFonts w:eastAsia="Arial Unicode MS"/>
        </w:rPr>
        <w:t>En seguimiento a la implementación del Sistema de Monitoreo de Recomendaciones (SIMORE), se trabajó de cerca con el equipo técnico de Paraguay para asegurar que este sistema se adecue a las necesidades y requerimientos de la CIDH en cuanto a contenido y procesos de información sobre seguimiento de recomendaciones para nuestros usuarios del SIDH. También se trabajó con el Departamento de Servicios de Información y Tecnología (DSIT) y el Departamento de Prensa y Comunicaciones (DPC) de la OEA, para asegurar que esta herramienta automatizada cumple con certificación de ambos departamentos para su futura implementación y concordancia con los lineamientos de la Organización. En conclusión, se está trabajando de manera que se cumpla con los esquemas técnicos y de seguridad de datos que rigen la gobernabilidad de información digital dentro de la OEA, así como también los lineamientos jurídicos que establece la CIDH para el seguimiento de recomendaciones de los casos.</w:t>
      </w:r>
    </w:p>
    <w:p w14:paraId="7EE97348" w14:textId="64A77AB0" w:rsidR="004B5C8C" w:rsidRPr="00F0798B" w:rsidRDefault="004B5C8C" w:rsidP="005F60E5">
      <w:pPr>
        <w:pStyle w:val="paragraphs"/>
        <w:numPr>
          <w:ilvl w:val="0"/>
          <w:numId w:val="7"/>
        </w:numPr>
        <w:ind w:left="0" w:firstLine="720"/>
      </w:pPr>
      <w:r w:rsidRPr="00F0798B">
        <w:t>Se trabajó en la recopilación de información, análisis funcional y diseño de un sistema de votación electrónica para facilitar a la Comisión y a la Secretaría Ejecutiva a optimizar las labores de debate y la toma de decisiones de las consultas a la CIDH. Se elaboró en conjunto al DSIT un prototipo del sistema de información gerencial para demostrar las ventajas, alcances, funcionalidades y operatividad que tendría el sistema. Se está a la espera de las observaciones de la Comisión y de los recursos necesarios para poder comenzar con el desarrollo y posterior implementación de esta herramienta que facilitará al colegiado de la CIDH los debates y tomas de decisiones.</w:t>
      </w:r>
    </w:p>
    <w:p w14:paraId="1406B4E0" w14:textId="53D8B785" w:rsidR="004B5C8C" w:rsidRPr="00F0798B" w:rsidRDefault="004B5C8C" w:rsidP="005F60E5">
      <w:pPr>
        <w:pStyle w:val="paragraphs"/>
        <w:numPr>
          <w:ilvl w:val="0"/>
          <w:numId w:val="7"/>
        </w:numPr>
        <w:ind w:left="0" w:firstLine="720"/>
      </w:pPr>
      <w:r w:rsidRPr="00F0798B">
        <w:t xml:space="preserve">Se realizó el Plan Integral de Reestructuración Digital, para que los espacios de almacenamiento de información electrónica y sistemas de información estuviesen actualizados y compatibles a la nueva estructura organizacional de la CIDH. Se actualizaron el sistema de manejo de documentos (DMS, por sus siglas en inglés), el sistema de manejo de peticiones y casos (PCMS, por sus siglas en inglés), sistemas de almacenamiento de información digital (G drive, I drive y Public Folder) y casillas de correo electrónico institucionales para el contacto e intercambio de información con los usuarios de la CIDH. Se trabajó en la transferencia digital de los portafolios de casos en nuestros sistemas en unos 35.756 documentos transferidos, para que nuestro cuerpo jurídico y de asistencia administrativa quedara trabajando acorde con la implementación el nuevo organigrama institucional. </w:t>
      </w:r>
    </w:p>
    <w:p w14:paraId="54D91B39" w14:textId="5D82BFBC" w:rsidR="004B5C8C" w:rsidRPr="00F0798B" w:rsidRDefault="004B5C8C" w:rsidP="005F60E5">
      <w:pPr>
        <w:pStyle w:val="paragraphs"/>
        <w:numPr>
          <w:ilvl w:val="0"/>
          <w:numId w:val="7"/>
        </w:numPr>
        <w:ind w:left="0" w:firstLine="720"/>
      </w:pPr>
      <w:r w:rsidRPr="00F0798B">
        <w:t xml:space="preserve">Se gestionó la instalación de dos herramientas extras de colaboración de contacto por videoconferencia. Con este tipo de plataformas tecnológicas podemos tener más alcance para efectuar reuniones virtuales entre las diferentes partes de la Secretaría Ejecutiva de la CIDH y con quienes es necesario establecer contacto en tiempo real a distancia. </w:t>
      </w:r>
    </w:p>
    <w:p w14:paraId="2D6EB926" w14:textId="074E483A" w:rsidR="004B5C8C" w:rsidRPr="00F0798B" w:rsidRDefault="004B5C8C" w:rsidP="005F60E5">
      <w:pPr>
        <w:pStyle w:val="paragraphs"/>
        <w:numPr>
          <w:ilvl w:val="0"/>
          <w:numId w:val="7"/>
        </w:numPr>
        <w:ind w:left="0" w:firstLine="720"/>
      </w:pPr>
      <w:r w:rsidRPr="00F0798B">
        <w:t>Se actualizaron 342 cartas modelos dentro de nuestro sistema PCMS (</w:t>
      </w:r>
      <w:proofErr w:type="spellStart"/>
      <w:r w:rsidRPr="00F0798B">
        <w:t>Petition</w:t>
      </w:r>
      <w:proofErr w:type="spellEnd"/>
      <w:r w:rsidRPr="00F0798B">
        <w:t xml:space="preserve"> Case Management </w:t>
      </w:r>
      <w:proofErr w:type="spellStart"/>
      <w:r w:rsidRPr="00F0798B">
        <w:t>System</w:t>
      </w:r>
      <w:proofErr w:type="spellEnd"/>
      <w:r w:rsidRPr="00F0798B">
        <w:t>), a cada una con el nuevo membrete de la CIDH para estar acorde con la imagen institucional en la generación de cartas modelos existentes en el sistema.</w:t>
      </w:r>
    </w:p>
    <w:p w14:paraId="237586B3" w14:textId="65520619" w:rsidR="004B5C8C" w:rsidRPr="00F0798B" w:rsidRDefault="004B5C8C" w:rsidP="005F60E5">
      <w:pPr>
        <w:pStyle w:val="paragraphs"/>
        <w:numPr>
          <w:ilvl w:val="0"/>
          <w:numId w:val="7"/>
        </w:numPr>
        <w:ind w:left="0" w:firstLine="720"/>
      </w:pPr>
      <w:r w:rsidRPr="00F0798B">
        <w:t>Se está trabajando en la implementación de un nuevo módulo en el Portal del Sistema Individual de Peticiones, que sea específico para la solicitud de Medidas Cautelares. Seguimos avanzando en el desarrollo y pruebas, planteamos tenerlo listo antes de finalizar el año 2019.</w:t>
      </w:r>
    </w:p>
    <w:p w14:paraId="70C9CE86" w14:textId="753DA079" w:rsidR="004B5C8C" w:rsidRPr="00F0798B" w:rsidRDefault="004B5C8C" w:rsidP="005F60E5">
      <w:pPr>
        <w:pStyle w:val="paragraphs"/>
        <w:numPr>
          <w:ilvl w:val="0"/>
          <w:numId w:val="7"/>
        </w:numPr>
        <w:ind w:left="0" w:firstLine="720"/>
      </w:pPr>
      <w:r w:rsidRPr="00F0798B">
        <w:lastRenderedPageBreak/>
        <w:t xml:space="preserve">Se ha trabajado de manera continua con el apoyo del DSIT en el seguimiento de inconvenientes para solucionar problemas en nuestros sistemas centrales y en cuanto a servicios tecnológicos, pruebas e implementación de nuevas funcionalidades en nuestros sistemas gerenciales y reportes personalizados. </w:t>
      </w:r>
    </w:p>
    <w:p w14:paraId="1D8E2806" w14:textId="20E11306" w:rsidR="004B5C8C" w:rsidRPr="00F0798B" w:rsidRDefault="004B5C8C" w:rsidP="005F60E5">
      <w:pPr>
        <w:pStyle w:val="paragraphs"/>
        <w:numPr>
          <w:ilvl w:val="0"/>
          <w:numId w:val="7"/>
        </w:numPr>
        <w:ind w:left="0" w:firstLine="720"/>
      </w:pPr>
      <w:r w:rsidRPr="00F0798B">
        <w:t xml:space="preserve">Se implementó un cambio en la vista principal de pendientes en el sistema DMS para facilitar a quienes usan este sistema para visualizar mejor los temas pendientes y sus documentos relacionados en una sola vista, lo cual acelera el proceso de revisión de correspondencia e instrucciones dentro del sistema. Se crearon 2 trámites nuevos en el sistema PCMS para que en el Portal sean visibles para los peticionarios las cartas de no otorgamiento. Se crearon otros 4 nuevos trámites en PCMS para Medidas Cautelares, que ofrecen la facilidad de aplicar la </w:t>
      </w:r>
      <w:hyperlink r:id="rId16" w:history="1">
        <w:r w:rsidRPr="00F0798B">
          <w:t>resolución 3/18</w:t>
        </w:r>
      </w:hyperlink>
      <w:r w:rsidRPr="00F0798B">
        <w:t xml:space="preserve"> en cuanto a desactivación de Medidas Cautelares. </w:t>
      </w:r>
    </w:p>
    <w:p w14:paraId="73FA9B50" w14:textId="05A86440" w:rsidR="004B5C8C" w:rsidRPr="00F0798B" w:rsidRDefault="004B5C8C" w:rsidP="005F60E5">
      <w:pPr>
        <w:pStyle w:val="paragraphs"/>
        <w:numPr>
          <w:ilvl w:val="0"/>
          <w:numId w:val="7"/>
        </w:numPr>
        <w:ind w:left="0" w:firstLine="720"/>
      </w:pPr>
      <w:r w:rsidRPr="00F0798B">
        <w:t>Atendiendo la retroalimentación de usuarios del Portal del Sistema Individual de Peticiones, Estados Miembros y Sociedad civil, se han implementado funcionalidades que les permiten ver en orden cronológico los estados procesales y trámites de los asuntos. Adicionalmente, el trámite más reciente tendrá desplegado automáticamente al entrar al Portal, las cartas asociadas al trámite y los anexos que se desplegarán solamente en el trámite más reciente. También se podrá visualizar al lado de cada carta,  la identificación de a quién va dirigido el envío de la carta si al Peticionario o Estado. Por último, los usuarios podrán encontrar un mensaje de ayuda que describe los cambios para orientar a las personas que entran al sistema con respecto a las nuevas funcionalidades descritas anteriormente.</w:t>
      </w:r>
    </w:p>
    <w:p w14:paraId="70253F86" w14:textId="45D6C992" w:rsidR="004B5C8C" w:rsidRPr="00F0798B" w:rsidRDefault="004B5C8C" w:rsidP="005F60E5">
      <w:pPr>
        <w:pStyle w:val="paragraphs"/>
        <w:numPr>
          <w:ilvl w:val="0"/>
          <w:numId w:val="7"/>
        </w:numPr>
        <w:ind w:left="0" w:firstLine="720"/>
      </w:pPr>
      <w:r w:rsidRPr="00F0798B">
        <w:t>Tuvimos una crisis en nuestros sistemas en octubre de 2018, que no nos permitió acceder a la información ni realizar las labores cotidianas con respecto a las peticiones, casos, medidas cautelares, medidas provisionales y casos ante la corte por alrededor de casi 5 días. Hemos venido enfrentando los siguientes problemas de rendimiento relacionados a nuestros sistemas centrales DMS (</w:t>
      </w:r>
      <w:proofErr w:type="spellStart"/>
      <w:r w:rsidRPr="00F0798B">
        <w:t>Document</w:t>
      </w:r>
      <w:proofErr w:type="spellEnd"/>
      <w:r w:rsidRPr="00F0798B">
        <w:t xml:space="preserve"> Management </w:t>
      </w:r>
      <w:proofErr w:type="spellStart"/>
      <w:r w:rsidRPr="00F0798B">
        <w:t>System</w:t>
      </w:r>
      <w:proofErr w:type="spellEnd"/>
      <w:r w:rsidRPr="00F0798B">
        <w:t>) y PCMS (</w:t>
      </w:r>
      <w:proofErr w:type="spellStart"/>
      <w:r w:rsidRPr="00F0798B">
        <w:t>Petition</w:t>
      </w:r>
      <w:proofErr w:type="spellEnd"/>
      <w:r w:rsidRPr="00F0798B">
        <w:t xml:space="preserve"> Case Management </w:t>
      </w:r>
      <w:proofErr w:type="spellStart"/>
      <w:r w:rsidRPr="00F0798B">
        <w:t>System</w:t>
      </w:r>
      <w:proofErr w:type="spellEnd"/>
      <w:r w:rsidRPr="00F0798B">
        <w:t>), según nos reporta el Departamento de Servicios de Información y Tecnología de la OEA (DSIT):</w:t>
      </w:r>
    </w:p>
    <w:p w14:paraId="6002F46F" w14:textId="77777777" w:rsidR="004B5C8C" w:rsidRPr="00F0798B" w:rsidRDefault="004B5C8C" w:rsidP="005F60E5">
      <w:pPr>
        <w:pStyle w:val="ListParagraph"/>
        <w:numPr>
          <w:ilvl w:val="0"/>
          <w:numId w:val="10"/>
        </w:numPr>
        <w:ind w:hanging="720"/>
        <w:jc w:val="both"/>
        <w:rPr>
          <w:rFonts w:ascii="Cambria" w:eastAsia="Arial Unicode MS" w:hAnsi="Cambria"/>
          <w:sz w:val="20"/>
          <w:szCs w:val="20"/>
          <w:lang w:val="es-ES_tradnl"/>
        </w:rPr>
      </w:pPr>
      <w:r w:rsidRPr="00F0798B">
        <w:rPr>
          <w:rFonts w:ascii="Cambria" w:eastAsia="Arial Unicode MS" w:hAnsi="Cambria"/>
          <w:sz w:val="20"/>
          <w:szCs w:val="20"/>
          <w:lang w:val="es-ES_tradnl"/>
        </w:rPr>
        <w:t xml:space="preserve">Demoras en desplegar la información referente a los documentos de Peticiones y Casos y Medidas Cautelares. </w:t>
      </w:r>
    </w:p>
    <w:p w14:paraId="6C6830CC" w14:textId="77777777" w:rsidR="004B5C8C" w:rsidRPr="00F0798B" w:rsidRDefault="004B5C8C" w:rsidP="005F60E5">
      <w:pPr>
        <w:pStyle w:val="ListParagraph"/>
        <w:numPr>
          <w:ilvl w:val="0"/>
          <w:numId w:val="10"/>
        </w:numPr>
        <w:ind w:hanging="720"/>
        <w:jc w:val="both"/>
        <w:rPr>
          <w:rFonts w:ascii="Cambria" w:eastAsia="Arial Unicode MS" w:hAnsi="Cambria"/>
          <w:sz w:val="20"/>
          <w:szCs w:val="20"/>
          <w:lang w:val="es-ES_tradnl"/>
        </w:rPr>
      </w:pPr>
      <w:r w:rsidRPr="00F0798B">
        <w:rPr>
          <w:rFonts w:ascii="Cambria" w:eastAsia="Arial Unicode MS" w:hAnsi="Cambria"/>
          <w:sz w:val="20"/>
          <w:szCs w:val="20"/>
          <w:lang w:val="es-ES_tradnl"/>
        </w:rPr>
        <w:t xml:space="preserve">Demoras en el procesamiento de los flujos de trabajo de documentos pendientes referentes a tramitaciones de correspondencia entrante y saliente. </w:t>
      </w:r>
    </w:p>
    <w:p w14:paraId="7424E037" w14:textId="77777777" w:rsidR="004B5C8C" w:rsidRPr="00F0798B" w:rsidRDefault="004B5C8C" w:rsidP="005F60E5">
      <w:pPr>
        <w:pStyle w:val="ListParagraph"/>
        <w:numPr>
          <w:ilvl w:val="0"/>
          <w:numId w:val="10"/>
        </w:numPr>
        <w:ind w:hanging="720"/>
        <w:jc w:val="both"/>
        <w:rPr>
          <w:rFonts w:ascii="Cambria" w:eastAsia="Arial Unicode MS" w:hAnsi="Cambria"/>
          <w:sz w:val="20"/>
          <w:szCs w:val="20"/>
          <w:lang w:val="es-ES_tradnl"/>
        </w:rPr>
      </w:pPr>
      <w:r w:rsidRPr="00F0798B">
        <w:rPr>
          <w:rFonts w:ascii="Cambria" w:eastAsia="Arial Unicode MS" w:hAnsi="Cambria"/>
          <w:sz w:val="20"/>
          <w:szCs w:val="20"/>
          <w:lang w:val="es-ES_tradnl"/>
        </w:rPr>
        <w:t xml:space="preserve">El servidor de aplicaciones del DMS utiliza una versión de contenedor de datos la cual ya no cuenta con soporte técnico de la compañía que lo implementó, por tratarse de una versión con 11 años de antigüedad. </w:t>
      </w:r>
    </w:p>
    <w:p w14:paraId="45BAA394" w14:textId="77777777" w:rsidR="004B5C8C" w:rsidRPr="00F0798B" w:rsidRDefault="004B5C8C" w:rsidP="005F60E5">
      <w:pPr>
        <w:pStyle w:val="ListParagraph"/>
        <w:numPr>
          <w:ilvl w:val="0"/>
          <w:numId w:val="10"/>
        </w:numPr>
        <w:ind w:hanging="720"/>
        <w:jc w:val="both"/>
        <w:rPr>
          <w:rFonts w:ascii="Cambria" w:eastAsia="Arial Unicode MS" w:hAnsi="Cambria"/>
          <w:sz w:val="20"/>
          <w:szCs w:val="20"/>
          <w:lang w:val="es-ES_tradnl"/>
        </w:rPr>
      </w:pPr>
      <w:r w:rsidRPr="00F0798B">
        <w:rPr>
          <w:rFonts w:ascii="Cambria" w:eastAsia="Arial Unicode MS" w:hAnsi="Cambria"/>
          <w:sz w:val="20"/>
          <w:szCs w:val="20"/>
          <w:lang w:val="es-ES_tradnl"/>
        </w:rPr>
        <w:t>Las actualizaciones de la nueva versión requeridas no se han realizado debido a la falta de presupuesto el cual ha sido solicitado a la CIDH para dicho fin, desde el 2015.</w:t>
      </w:r>
    </w:p>
    <w:p w14:paraId="24223983" w14:textId="77777777" w:rsidR="004B5C8C" w:rsidRPr="00F0798B" w:rsidRDefault="004B5C8C" w:rsidP="005F60E5">
      <w:pPr>
        <w:pStyle w:val="ListParagraph"/>
        <w:numPr>
          <w:ilvl w:val="0"/>
          <w:numId w:val="10"/>
        </w:numPr>
        <w:spacing w:after="240"/>
        <w:ind w:hanging="720"/>
        <w:contextualSpacing w:val="0"/>
        <w:jc w:val="both"/>
        <w:rPr>
          <w:rFonts w:ascii="Cambria" w:eastAsia="Arial Unicode MS" w:hAnsi="Cambria"/>
          <w:sz w:val="20"/>
          <w:szCs w:val="20"/>
          <w:lang w:val="es-ES_tradnl"/>
        </w:rPr>
      </w:pPr>
      <w:r w:rsidRPr="00F0798B">
        <w:rPr>
          <w:rFonts w:ascii="Cambria" w:eastAsia="Arial Unicode MS" w:hAnsi="Cambria"/>
          <w:sz w:val="20"/>
          <w:szCs w:val="20"/>
          <w:lang w:val="es-ES_tradnl"/>
        </w:rPr>
        <w:t>El servidor del DMS presenta constantemente problemas de performance, los cuales se derivan de la falta de un rediseño integral de los sistemas centrales de la CIDH: PCMS y DMS, dado que la manera como la CIDH está trabajando actualmente, así como la nueva estructura jerárquica relativa a la asignación de pendientes, es diferente a como era cuando se implementó el DMS en Mayo del 2010.</w:t>
      </w:r>
    </w:p>
    <w:p w14:paraId="493D3ED7" w14:textId="211C741C" w:rsidR="004B5C8C" w:rsidRPr="00F0798B" w:rsidRDefault="004B5C8C" w:rsidP="005F60E5">
      <w:pPr>
        <w:pStyle w:val="paragraphs"/>
        <w:numPr>
          <w:ilvl w:val="0"/>
          <w:numId w:val="7"/>
        </w:numPr>
        <w:ind w:left="0" w:firstLine="720"/>
      </w:pPr>
      <w:r w:rsidRPr="00F0798B">
        <w:t>Referente al proyecto de modernización de equipos tecnológicos  de la CIDH, en concordancia con el plan de modernización de la OEA, se pudo avanzar en materia de actualización y reemplazo de todos los equipos de cómputo obsoletos. Se creció en un 56% en equipos nuevos. Se adquirieron 13 nuevos equipos de cómputo, los cuales ya fueron instalados para el personal nuevo que se adhiere al trabajo de la Secretaría Ejecutiva de la CIDH, conformando así un total de 165 equipos de cómputos dentro de la Secretaría Ejecutiva de la CIDH, para el uso del personal en sus labores cotidianas.</w:t>
      </w:r>
    </w:p>
    <w:p w14:paraId="4DA09326" w14:textId="5A8F5B09" w:rsidR="004B5C8C" w:rsidRPr="00F0798B" w:rsidRDefault="004B5C8C" w:rsidP="005F60E5">
      <w:pPr>
        <w:pStyle w:val="paragraphs"/>
        <w:numPr>
          <w:ilvl w:val="0"/>
          <w:numId w:val="7"/>
        </w:numPr>
        <w:ind w:left="0" w:firstLine="720"/>
      </w:pPr>
      <w:r w:rsidRPr="00F0798B">
        <w:t>Asimismo, la STS coordinó y ejecutó 16 entrenamientos sobre los diferentes sistemas de la CIDH y recursos tecnológicos con los que se cuentan en la organización para 139 usuarios, incluyendo funcionarios, consultores, becarios y pasantes. En los cursos de entrenamiento se les brindó además del material de capacitación y presentación, documentación adicional referente a protocolos y manuales de uso de los sistemas.</w:t>
      </w:r>
    </w:p>
    <w:sectPr w:rsidR="004B5C8C" w:rsidRPr="00F0798B" w:rsidSect="00CC1081">
      <w:headerReference w:type="default" r:id="rId17"/>
      <w:footerReference w:type="default" r:id="rId18"/>
      <w:headerReference w:type="first" r:id="rId19"/>
      <w:pgSz w:w="12240" w:h="15840"/>
      <w:pgMar w:top="1440" w:right="1440" w:bottom="1440" w:left="1440" w:header="720" w:footer="720" w:gutter="0"/>
      <w:pgNumType w:start="3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90C06" w14:textId="77777777" w:rsidR="00EF061E" w:rsidRDefault="00EF061E" w:rsidP="00797A51">
      <w:r>
        <w:separator/>
      </w:r>
    </w:p>
  </w:endnote>
  <w:endnote w:type="continuationSeparator" w:id="0">
    <w:p w14:paraId="44FC2A59" w14:textId="77777777" w:rsidR="00EF061E" w:rsidRDefault="00EF061E" w:rsidP="0079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Univers">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65872"/>
      <w:docPartObj>
        <w:docPartGallery w:val="Page Numbers (Bottom of Page)"/>
        <w:docPartUnique/>
      </w:docPartObj>
    </w:sdtPr>
    <w:sdtEndPr>
      <w:rPr>
        <w:noProof/>
      </w:rPr>
    </w:sdtEndPr>
    <w:sdtContent>
      <w:p w14:paraId="005AF9CE" w14:textId="008FF6DA" w:rsidR="005A4FF9" w:rsidRDefault="005A4FF9" w:rsidP="00CC1081">
        <w:pPr>
          <w:pStyle w:val="Footer"/>
          <w:jc w:val="center"/>
        </w:pPr>
        <w:r w:rsidRPr="005D5132">
          <w:rPr>
            <w:sz w:val="16"/>
            <w:szCs w:val="16"/>
          </w:rPr>
          <w:fldChar w:fldCharType="begin"/>
        </w:r>
        <w:r w:rsidRPr="005D5132">
          <w:rPr>
            <w:sz w:val="16"/>
            <w:szCs w:val="16"/>
          </w:rPr>
          <w:instrText xml:space="preserve"> PAGE   \* MERGEFORMAT </w:instrText>
        </w:r>
        <w:r w:rsidRPr="005D5132">
          <w:rPr>
            <w:sz w:val="16"/>
            <w:szCs w:val="16"/>
          </w:rPr>
          <w:fldChar w:fldCharType="separate"/>
        </w:r>
        <w:r w:rsidR="00723C78">
          <w:rPr>
            <w:noProof/>
            <w:sz w:val="16"/>
            <w:szCs w:val="16"/>
          </w:rPr>
          <w:t>318</w:t>
        </w:r>
        <w:r w:rsidRPr="005D5132">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BBA13" w14:textId="77777777" w:rsidR="00EF061E" w:rsidRDefault="00EF061E" w:rsidP="00797A51">
      <w:r>
        <w:separator/>
      </w:r>
    </w:p>
  </w:footnote>
  <w:footnote w:type="continuationSeparator" w:id="0">
    <w:p w14:paraId="0224EB1E" w14:textId="77777777" w:rsidR="00EF061E" w:rsidRDefault="00EF061E" w:rsidP="00797A51">
      <w:r>
        <w:continuationSeparator/>
      </w:r>
    </w:p>
  </w:footnote>
  <w:footnote w:id="1">
    <w:p w14:paraId="19AD82D3" w14:textId="77777777" w:rsidR="005A4FF9" w:rsidRPr="00437CDA" w:rsidRDefault="005A4FF9" w:rsidP="00437CDA">
      <w:pPr>
        <w:pStyle w:val="FootnoteText"/>
        <w:spacing w:before="0" w:beforeAutospacing="0" w:after="120" w:afterAutospacing="0"/>
        <w:ind w:firstLine="720"/>
        <w:rPr>
          <w:rFonts w:ascii="Cambria" w:hAnsi="Cambria"/>
          <w:sz w:val="18"/>
          <w:lang w:val="es-CO"/>
        </w:rPr>
      </w:pPr>
      <w:r w:rsidRPr="00437CDA">
        <w:rPr>
          <w:rStyle w:val="FootnoteReference"/>
          <w:rFonts w:ascii="Cambria" w:hAnsi="Cambria"/>
          <w:sz w:val="18"/>
        </w:rPr>
        <w:footnoteRef/>
      </w:r>
      <w:r w:rsidRPr="00437CDA">
        <w:rPr>
          <w:rFonts w:ascii="Cambria" w:hAnsi="Cambria"/>
          <w:sz w:val="18"/>
          <w:lang w:val="es-CO"/>
        </w:rPr>
        <w:t xml:space="preserve"> Esta tabla es un resumen del Reporte “Informe de Fondos Variaciones en el Saldo de Fondos Específicos” publicado por el Departamento de Servicios Financieros de la SG/OEA.</w:t>
      </w:r>
    </w:p>
  </w:footnote>
  <w:footnote w:id="2">
    <w:p w14:paraId="3080853C" w14:textId="77777777" w:rsidR="005A4FF9" w:rsidRPr="00437CDA" w:rsidRDefault="005A4FF9" w:rsidP="00437CDA">
      <w:pPr>
        <w:pStyle w:val="FootnoteText"/>
        <w:spacing w:before="0" w:beforeAutospacing="0" w:after="120" w:afterAutospacing="0"/>
        <w:ind w:firstLine="720"/>
        <w:rPr>
          <w:rFonts w:ascii="Cambria" w:hAnsi="Cambria"/>
          <w:sz w:val="18"/>
          <w:lang w:val="es-CO"/>
        </w:rPr>
      </w:pPr>
      <w:r w:rsidRPr="00437CDA">
        <w:rPr>
          <w:rStyle w:val="FootnoteReference"/>
          <w:rFonts w:ascii="Cambria" w:hAnsi="Cambria"/>
          <w:sz w:val="18"/>
        </w:rPr>
        <w:footnoteRef/>
      </w:r>
      <w:r w:rsidRPr="00437CDA">
        <w:rPr>
          <w:rFonts w:ascii="Cambria" w:hAnsi="Cambria"/>
          <w:sz w:val="18"/>
          <w:lang w:val="es-CO"/>
        </w:rPr>
        <w:t xml:space="preserve"> Esta línea de proyecto presenta saldos finales negativos ya que la modalidad de desembolsos de los donantes es contra ejecución.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C001" w14:textId="5B661B8A" w:rsidR="005A4FF9" w:rsidRPr="0058688A" w:rsidRDefault="005A4FF9" w:rsidP="00CC1081">
    <w:pPr>
      <w:pStyle w:val="Header"/>
      <w:jc w:val="center"/>
      <w:rPr>
        <w:lang w:val="es-ES_tradnl"/>
      </w:rPr>
    </w:pPr>
    <w:r>
      <w:rPr>
        <w:noProof/>
      </w:rPr>
      <w:drawing>
        <wp:inline distT="0" distB="0" distL="0" distR="0" wp14:anchorId="0945C681" wp14:editId="4C89BEB6">
          <wp:extent cx="2286000" cy="123825"/>
          <wp:effectExtent l="0" t="0" r="0" b="9525"/>
          <wp:docPr id="9" name="Picture 9"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14:paraId="30CBAFDF" w14:textId="77777777" w:rsidR="005A4FF9" w:rsidRDefault="00EF061E" w:rsidP="00CC1081">
    <w:pPr>
      <w:pStyle w:val="Header"/>
    </w:pPr>
    <w:r>
      <w:pict w14:anchorId="54DCF271">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62B4F" w14:textId="40574D9A" w:rsidR="005A4FF9" w:rsidRDefault="005A4FF9" w:rsidP="00CC1081">
    <w:pPr>
      <w:pStyle w:val="Header"/>
    </w:pPr>
    <w:r>
      <w:rPr>
        <w:noProof/>
      </w:rPr>
      <w:drawing>
        <wp:anchor distT="0" distB="0" distL="114300" distR="114300" simplePos="0" relativeHeight="251663360" behindDoc="1" locked="0" layoutInCell="1" allowOverlap="1" wp14:anchorId="76F42A48" wp14:editId="380F5C5E">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8" name="Picture 8"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006F4D6" wp14:editId="4E00FAB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5" name="Picture 5"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78639F" w14:textId="77777777" w:rsidR="005A4FF9" w:rsidRDefault="005A4FF9" w:rsidP="00CC1081">
    <w:pPr>
      <w:pStyle w:val="Header"/>
    </w:pPr>
  </w:p>
  <w:p w14:paraId="47929025" w14:textId="77777777" w:rsidR="005A4FF9" w:rsidRDefault="00EF061E" w:rsidP="00CC1081">
    <w:pPr>
      <w:pStyle w:val="Header"/>
    </w:pPr>
    <w:r>
      <w:pict w14:anchorId="75EB5FC6">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905DF"/>
    <w:multiLevelType w:val="hybridMultilevel"/>
    <w:tmpl w:val="E4C05F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515F13"/>
    <w:multiLevelType w:val="hybridMultilevel"/>
    <w:tmpl w:val="6BA89266"/>
    <w:lvl w:ilvl="0" w:tplc="240A0001">
      <w:start w:val="1"/>
      <w:numFmt w:val="bullet"/>
      <w:lvlText w:val=""/>
      <w:lvlJc w:val="left"/>
      <w:pPr>
        <w:ind w:left="1080" w:hanging="36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1DB737AD"/>
    <w:multiLevelType w:val="hybridMultilevel"/>
    <w:tmpl w:val="7A7C6636"/>
    <w:lvl w:ilvl="0" w:tplc="0409000F">
      <w:start w:val="1"/>
      <w:numFmt w:val="decimal"/>
      <w:pStyle w:val="paragraphs"/>
      <w:lvlText w:val="%1."/>
      <w:lvlJc w:val="left"/>
      <w:pPr>
        <w:ind w:left="1260" w:hanging="360"/>
      </w:pPr>
      <w:rPr>
        <w:rFonts w:hint="default"/>
        <w:b w:val="0"/>
        <w:i w:val="0"/>
        <w:strike w:val="0"/>
        <w:color w:val="auto"/>
        <w:sz w:val="20"/>
        <w:szCs w:val="20"/>
      </w:rPr>
    </w:lvl>
    <w:lvl w:ilvl="1" w:tplc="0409000F">
      <w:start w:val="1"/>
      <w:numFmt w:val="lowerLetter"/>
      <w:lvlText w:val="%2."/>
      <w:lvlJc w:val="left"/>
      <w:pPr>
        <w:ind w:left="1080" w:hanging="360"/>
      </w:pPr>
    </w:lvl>
    <w:lvl w:ilvl="2" w:tplc="8E108FAA">
      <w:numFmt w:val="bullet"/>
      <w:lvlText w:val="•"/>
      <w:lvlJc w:val="left"/>
      <w:pPr>
        <w:ind w:left="1980" w:hanging="360"/>
      </w:pPr>
      <w:rPr>
        <w:rFonts w:ascii="Cambria" w:eastAsia="Arial Unicode MS" w:hAnsi="Cambria" w:cstheme="minorHAns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F42EA2"/>
    <w:multiLevelType w:val="hybridMultilevel"/>
    <w:tmpl w:val="C9B26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068FB"/>
    <w:multiLevelType w:val="hybridMultilevel"/>
    <w:tmpl w:val="C3B47F92"/>
    <w:lvl w:ilvl="0" w:tplc="0409000F">
      <w:start w:val="1"/>
      <w:numFmt w:val="decimal"/>
      <w:pStyle w:val="Heading1"/>
      <w:lvlText w:val="%1."/>
      <w:lvlJc w:val="left"/>
      <w:pPr>
        <w:ind w:left="1080" w:hanging="360"/>
      </w:pPr>
      <w:rPr>
        <w:rFonts w:hint="default"/>
      </w:rPr>
    </w:lvl>
    <w:lvl w:ilvl="1" w:tplc="4A8A026C">
      <w:start w:val="1"/>
      <w:numFmt w:val="bullet"/>
      <w:lvlText w:val="-"/>
      <w:lvlJc w:val="left"/>
      <w:pPr>
        <w:tabs>
          <w:tab w:val="num" w:pos="1800"/>
        </w:tabs>
        <w:ind w:left="1800" w:hanging="360"/>
      </w:pPr>
      <w:rPr>
        <w:rFonts w:ascii="Cambria" w:eastAsia="Times New Roman" w:hAnsi="Cambria"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E7A58A3"/>
    <w:multiLevelType w:val="hybridMultilevel"/>
    <w:tmpl w:val="F5265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C3B30"/>
    <w:multiLevelType w:val="hybridMultilevel"/>
    <w:tmpl w:val="C10673A2"/>
    <w:lvl w:ilvl="0" w:tplc="04090019">
      <w:start w:val="1"/>
      <w:numFmt w:val="lowerLetter"/>
      <w:lvlText w:val="%1."/>
      <w:lvlJc w:val="left"/>
      <w:pPr>
        <w:ind w:left="144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7" w15:restartNumberingAfterBreak="0">
    <w:nsid w:val="5BB86B6E"/>
    <w:multiLevelType w:val="hybridMultilevel"/>
    <w:tmpl w:val="2D9C1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614300F"/>
    <w:multiLevelType w:val="hybridMultilevel"/>
    <w:tmpl w:val="46B4EDF2"/>
    <w:lvl w:ilvl="0" w:tplc="20D01E4C">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635860"/>
    <w:multiLevelType w:val="hybridMultilevel"/>
    <w:tmpl w:val="5E80D6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0"/>
  </w:num>
  <w:num w:numId="10">
    <w:abstractNumId w:val="6"/>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83"/>
    <w:rsid w:val="00005C56"/>
    <w:rsid w:val="00044853"/>
    <w:rsid w:val="000460F2"/>
    <w:rsid w:val="000504A7"/>
    <w:rsid w:val="0006053B"/>
    <w:rsid w:val="000778C6"/>
    <w:rsid w:val="000854E7"/>
    <w:rsid w:val="000918A5"/>
    <w:rsid w:val="000E59D7"/>
    <w:rsid w:val="001029D5"/>
    <w:rsid w:val="0011548E"/>
    <w:rsid w:val="00116AFA"/>
    <w:rsid w:val="00181219"/>
    <w:rsid w:val="001A30C3"/>
    <w:rsid w:val="001C1EBC"/>
    <w:rsid w:val="001E5623"/>
    <w:rsid w:val="001F5DB5"/>
    <w:rsid w:val="0020396E"/>
    <w:rsid w:val="00206490"/>
    <w:rsid w:val="002112CD"/>
    <w:rsid w:val="00227F9F"/>
    <w:rsid w:val="00242700"/>
    <w:rsid w:val="00273842"/>
    <w:rsid w:val="00276066"/>
    <w:rsid w:val="002A7974"/>
    <w:rsid w:val="002B1BA2"/>
    <w:rsid w:val="002B3F32"/>
    <w:rsid w:val="00302DE4"/>
    <w:rsid w:val="00347C53"/>
    <w:rsid w:val="00361CFA"/>
    <w:rsid w:val="00382CFA"/>
    <w:rsid w:val="003978FD"/>
    <w:rsid w:val="003A26FF"/>
    <w:rsid w:val="003C6514"/>
    <w:rsid w:val="004139A0"/>
    <w:rsid w:val="00437CDA"/>
    <w:rsid w:val="0045383C"/>
    <w:rsid w:val="00465905"/>
    <w:rsid w:val="004B2C16"/>
    <w:rsid w:val="004B2FD8"/>
    <w:rsid w:val="004B5C8C"/>
    <w:rsid w:val="004E6425"/>
    <w:rsid w:val="004E7779"/>
    <w:rsid w:val="00515AA8"/>
    <w:rsid w:val="00544ED6"/>
    <w:rsid w:val="00580638"/>
    <w:rsid w:val="005A105F"/>
    <w:rsid w:val="005A1783"/>
    <w:rsid w:val="005A4FF9"/>
    <w:rsid w:val="005C3771"/>
    <w:rsid w:val="005D5132"/>
    <w:rsid w:val="005E09C5"/>
    <w:rsid w:val="005F60E5"/>
    <w:rsid w:val="00600E7E"/>
    <w:rsid w:val="006469AD"/>
    <w:rsid w:val="00653845"/>
    <w:rsid w:val="006762EE"/>
    <w:rsid w:val="00684E7B"/>
    <w:rsid w:val="006A07AA"/>
    <w:rsid w:val="00703243"/>
    <w:rsid w:val="0072022C"/>
    <w:rsid w:val="00723C78"/>
    <w:rsid w:val="00750229"/>
    <w:rsid w:val="00766117"/>
    <w:rsid w:val="00797A51"/>
    <w:rsid w:val="007A146E"/>
    <w:rsid w:val="00831014"/>
    <w:rsid w:val="00853CD5"/>
    <w:rsid w:val="008D32A8"/>
    <w:rsid w:val="008E4CF4"/>
    <w:rsid w:val="008F10FD"/>
    <w:rsid w:val="008F77AB"/>
    <w:rsid w:val="00920450"/>
    <w:rsid w:val="009B7B96"/>
    <w:rsid w:val="009D1128"/>
    <w:rsid w:val="00A87658"/>
    <w:rsid w:val="00AB68D4"/>
    <w:rsid w:val="00AC6F0A"/>
    <w:rsid w:val="00AD34F9"/>
    <w:rsid w:val="00AD3AB2"/>
    <w:rsid w:val="00AD6095"/>
    <w:rsid w:val="00AF0310"/>
    <w:rsid w:val="00B10C8C"/>
    <w:rsid w:val="00B75F23"/>
    <w:rsid w:val="00B769BC"/>
    <w:rsid w:val="00BC241B"/>
    <w:rsid w:val="00BF3B42"/>
    <w:rsid w:val="00C45EFC"/>
    <w:rsid w:val="00C536C6"/>
    <w:rsid w:val="00C80416"/>
    <w:rsid w:val="00C910B2"/>
    <w:rsid w:val="00C93FE9"/>
    <w:rsid w:val="00CC1081"/>
    <w:rsid w:val="00CD17C8"/>
    <w:rsid w:val="00CF18C5"/>
    <w:rsid w:val="00D1240B"/>
    <w:rsid w:val="00D2319D"/>
    <w:rsid w:val="00D25CAC"/>
    <w:rsid w:val="00D60C4B"/>
    <w:rsid w:val="00D915EF"/>
    <w:rsid w:val="00D9193F"/>
    <w:rsid w:val="00DF13F4"/>
    <w:rsid w:val="00DF7BFD"/>
    <w:rsid w:val="00E27D13"/>
    <w:rsid w:val="00E66223"/>
    <w:rsid w:val="00EA54E9"/>
    <w:rsid w:val="00ED52E3"/>
    <w:rsid w:val="00EF061E"/>
    <w:rsid w:val="00F028A5"/>
    <w:rsid w:val="00F0798B"/>
    <w:rsid w:val="00F67378"/>
    <w:rsid w:val="00F71746"/>
    <w:rsid w:val="00F72113"/>
    <w:rsid w:val="00F772D8"/>
    <w:rsid w:val="00FE4281"/>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0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9"/>
    <w:qFormat/>
    <w:rsid w:val="00797A51"/>
    <w:pPr>
      <w:keepNext w:val="0"/>
      <w:keepLines w:val="0"/>
      <w:numPr>
        <w:numId w:val="2"/>
      </w:numPr>
      <w:spacing w:before="0"/>
      <w:jc w:val="both"/>
      <w:outlineLvl w:val="0"/>
    </w:pPr>
    <w:rPr>
      <w:rFonts w:eastAsia="Times New Roman" w:cs="Times New Roman"/>
      <w:b/>
      <w:iCs/>
      <w:color w:val="auto"/>
      <w:sz w:val="22"/>
      <w:szCs w:val="20"/>
      <w:lang w:val="es-AR"/>
    </w:rPr>
  </w:style>
  <w:style w:type="paragraph" w:styleId="Heading2">
    <w:name w:val="heading 2"/>
    <w:basedOn w:val="Normal"/>
    <w:next w:val="Normal"/>
    <w:link w:val="Heading2Char"/>
    <w:uiPriority w:val="9"/>
    <w:semiHidden/>
    <w:unhideWhenUsed/>
    <w:qFormat/>
    <w:rsid w:val="00797A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Segundo nivel de viñetas,List Paragraph1,titulo 3,Bullets,Llista Nivell1,Párrafo de lista1,Ha,Párrafo de lista2,Lista vistosa - Énfasis 11,Cuadrícula clara - Énfasis 31,Dot pt,F5 List Paragraph,No Spacing1,Indicator Text,Bullet 1"/>
    <w:basedOn w:val="Normal"/>
    <w:link w:val="ListParagraphChar"/>
    <w:uiPriority w:val="34"/>
    <w:qFormat/>
    <w:rsid w:val="005A1783"/>
    <w:pPr>
      <w:ind w:left="720"/>
      <w:contextualSpacing/>
    </w:pPr>
  </w:style>
  <w:style w:type="character" w:customStyle="1" w:styleId="Heading1Char">
    <w:name w:val="Heading 1 Char"/>
    <w:basedOn w:val="DefaultParagraphFont"/>
    <w:link w:val="Heading1"/>
    <w:uiPriority w:val="99"/>
    <w:rsid w:val="00797A51"/>
    <w:rPr>
      <w:rFonts w:asciiTheme="majorHAnsi" w:eastAsia="Times New Roman" w:hAnsiTheme="majorHAnsi" w:cs="Times New Roman"/>
      <w:b/>
      <w:iCs/>
      <w:sz w:val="22"/>
      <w:szCs w:val="20"/>
      <w:lang w:val="es-AR"/>
    </w:rPr>
  </w:style>
  <w:style w:type="paragraph" w:styleId="NormalWeb">
    <w:name w:val="Normal (Web)"/>
    <w:basedOn w:val="Normal"/>
    <w:uiPriority w:val="99"/>
    <w:rsid w:val="00797A51"/>
    <w:pPr>
      <w:spacing w:before="100" w:beforeAutospacing="1" w:after="100" w:afterAutospacing="1"/>
    </w:pPr>
    <w:rPr>
      <w:rFonts w:ascii="Univers" w:eastAsia="Times New Roman" w:hAnsi="Univers" w:cs="Times New Roman"/>
      <w:lang w:val="es-ES"/>
    </w:rPr>
  </w:style>
  <w:style w:type="paragraph" w:styleId="BodyTextIndent">
    <w:name w:val="Body Text Indent"/>
    <w:basedOn w:val="Normal"/>
    <w:link w:val="BodyTextIndentChar"/>
    <w:uiPriority w:val="99"/>
    <w:rsid w:val="00797A51"/>
    <w:pPr>
      <w:spacing w:after="120"/>
      <w:ind w:left="360"/>
    </w:pPr>
    <w:rPr>
      <w:rFonts w:ascii="Univers" w:eastAsia="Times New Roman" w:hAnsi="Univers" w:cs="Times New Roman"/>
      <w:lang w:val="es-ES"/>
    </w:rPr>
  </w:style>
  <w:style w:type="character" w:customStyle="1" w:styleId="BodyTextIndentChar">
    <w:name w:val="Body Text Indent Char"/>
    <w:basedOn w:val="DefaultParagraphFont"/>
    <w:link w:val="BodyTextIndent"/>
    <w:uiPriority w:val="99"/>
    <w:rsid w:val="00797A51"/>
    <w:rPr>
      <w:rFonts w:ascii="Univers" w:eastAsia="Times New Roman" w:hAnsi="Univers" w:cs="Times New Roman"/>
      <w:lang w:val="es-E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qFormat/>
    <w:rsid w:val="00797A51"/>
    <w:pPr>
      <w:spacing w:before="100" w:beforeAutospacing="1" w:after="100" w:afterAutospacing="1"/>
    </w:pPr>
    <w:rPr>
      <w:rFonts w:ascii="Univers" w:eastAsia="Times New Roman" w:hAnsi="Univers" w:cs="Times New Roman"/>
      <w:szCs w:val="20"/>
      <w:lang w:val="es-ES"/>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797A51"/>
    <w:rPr>
      <w:rFonts w:ascii="Univers" w:eastAsia="Times New Roman" w:hAnsi="Univers" w:cs="Times New Roman"/>
      <w:szCs w:val="20"/>
      <w:lang w:val="es-ES"/>
    </w:rPr>
  </w:style>
  <w:style w:type="paragraph" w:customStyle="1" w:styleId="style1">
    <w:name w:val="style1"/>
    <w:basedOn w:val="Normal"/>
    <w:rsid w:val="00797A51"/>
    <w:pPr>
      <w:spacing w:before="100" w:beforeAutospacing="1" w:after="100" w:afterAutospacing="1"/>
    </w:pPr>
    <w:rPr>
      <w:rFonts w:ascii="Univers" w:eastAsia="Times New Roman" w:hAnsi="Univers" w:cs="Times New Roman"/>
      <w:lang w:val="es-ES"/>
    </w:rPr>
  </w:style>
  <w:style w:type="character" w:styleId="Hyperlink">
    <w:name w:val="Hyperlink"/>
    <w:basedOn w:val="DefaultParagraphFont"/>
    <w:uiPriority w:val="99"/>
    <w:rsid w:val="00797A51"/>
    <w:rPr>
      <w:rFonts w:cs="Times New Roman"/>
      <w:color w:val="0000FF"/>
      <w:u w:val="single"/>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qFormat/>
    <w:rsid w:val="00797A51"/>
    <w:rPr>
      <w:rFonts w:cs="Times New Roman"/>
      <w:vertAlign w:val="superscript"/>
    </w:rPr>
  </w:style>
  <w:style w:type="paragraph" w:customStyle="1" w:styleId="Default">
    <w:name w:val="Default"/>
    <w:rsid w:val="00797A51"/>
    <w:pPr>
      <w:autoSpaceDE w:val="0"/>
      <w:autoSpaceDN w:val="0"/>
      <w:adjustRightInd w:val="0"/>
    </w:pPr>
    <w:rPr>
      <w:rFonts w:ascii="Calibri" w:eastAsia="Times New Roman" w:hAnsi="Calibri" w:cs="Calibri"/>
      <w:color w:val="000000"/>
    </w:rPr>
  </w:style>
  <w:style w:type="paragraph" w:styleId="HTMLPreformatted">
    <w:name w:val="HTML Preformatted"/>
    <w:basedOn w:val="Normal"/>
    <w:link w:val="HTMLPreformattedChar"/>
    <w:uiPriority w:val="99"/>
    <w:rsid w:val="00797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es-ES"/>
    </w:rPr>
  </w:style>
  <w:style w:type="character" w:customStyle="1" w:styleId="HTMLPreformattedChar">
    <w:name w:val="HTML Preformatted Char"/>
    <w:basedOn w:val="DefaultParagraphFont"/>
    <w:link w:val="HTMLPreformatted"/>
    <w:uiPriority w:val="99"/>
    <w:rsid w:val="00797A51"/>
    <w:rPr>
      <w:rFonts w:ascii="Courier New" w:eastAsia="Times New Roman" w:hAnsi="Courier New" w:cs="Times New Roman"/>
      <w:sz w:val="20"/>
      <w:szCs w:val="20"/>
      <w:lang w:val="es-ES"/>
    </w:rPr>
  </w:style>
  <w:style w:type="character" w:styleId="Strong">
    <w:name w:val="Strong"/>
    <w:basedOn w:val="DefaultParagraphFont"/>
    <w:uiPriority w:val="22"/>
    <w:qFormat/>
    <w:rsid w:val="00797A51"/>
    <w:rPr>
      <w:rFonts w:cs="Times New Roman"/>
      <w:b/>
    </w:rPr>
  </w:style>
  <w:style w:type="table" w:styleId="TableContemporary">
    <w:name w:val="Table Contemporary"/>
    <w:basedOn w:val="TableNormal"/>
    <w:uiPriority w:val="99"/>
    <w:rsid w:val="00797A51"/>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har2">
    <w:name w:val="Char2"/>
    <w:basedOn w:val="Normal"/>
    <w:link w:val="FootnoteReference"/>
    <w:uiPriority w:val="99"/>
    <w:rsid w:val="00797A51"/>
    <w:pPr>
      <w:spacing w:after="160" w:line="240" w:lineRule="exact"/>
    </w:pPr>
    <w:rPr>
      <w:rFonts w:cs="Times New Roman"/>
      <w:vertAlign w:val="superscript"/>
    </w:rPr>
  </w:style>
  <w:style w:type="character" w:customStyle="1" w:styleId="Hyperlink0">
    <w:name w:val="Hyperlink.0"/>
    <w:basedOn w:val="DefaultParagraphFont"/>
    <w:rsid w:val="00797A51"/>
    <w:rPr>
      <w:rFonts w:ascii="Cambria" w:eastAsia="Cambria" w:hAnsi="Cambria" w:cs="Cambria"/>
      <w:color w:val="0000FF"/>
      <w:sz w:val="16"/>
      <w:szCs w:val="16"/>
      <w:u w:val="single" w:color="0000FF"/>
      <w:lang w:val="es-ES_tradnl"/>
    </w:rPr>
  </w:style>
  <w:style w:type="paragraph" w:customStyle="1" w:styleId="Style10">
    <w:name w:val="Style1"/>
    <w:basedOn w:val="Normal"/>
    <w:link w:val="Style1Char"/>
    <w:qFormat/>
    <w:rsid w:val="00797A51"/>
    <w:pPr>
      <w:shd w:val="clear" w:color="auto" w:fill="FFFFFF"/>
      <w:ind w:firstLine="720"/>
      <w:jc w:val="both"/>
    </w:pPr>
    <w:rPr>
      <w:rFonts w:asciiTheme="majorHAnsi" w:eastAsia="Times New Roman" w:hAnsiTheme="majorHAnsi" w:cs="Tahoma"/>
      <w:b/>
      <w:sz w:val="20"/>
      <w:szCs w:val="20"/>
      <w:lang w:val="es-AR"/>
    </w:rPr>
  </w:style>
  <w:style w:type="character" w:customStyle="1" w:styleId="Style1Char">
    <w:name w:val="Style1 Char"/>
    <w:basedOn w:val="DefaultParagraphFont"/>
    <w:link w:val="Style10"/>
    <w:rsid w:val="00797A51"/>
    <w:rPr>
      <w:rFonts w:asciiTheme="majorHAnsi" w:eastAsia="Times New Roman" w:hAnsiTheme="majorHAnsi" w:cs="Tahoma"/>
      <w:b/>
      <w:sz w:val="20"/>
      <w:szCs w:val="20"/>
      <w:shd w:val="clear" w:color="auto" w:fill="FFFFFF"/>
      <w:lang w:val="es-AR"/>
    </w:rPr>
  </w:style>
  <w:style w:type="character" w:customStyle="1" w:styleId="Nenhum">
    <w:name w:val="Nenhum"/>
    <w:rsid w:val="00797A51"/>
  </w:style>
  <w:style w:type="character" w:customStyle="1" w:styleId="ListParagraphChar">
    <w:name w:val="List Paragraph Char"/>
    <w:aliases w:val="List Char,Segundo nivel de viñetas Char,List Paragraph1 Char,titulo 3 Char,Bullets Char,Llista Nivell1 Char,Párrafo de lista1 Char,Ha Char,Párrafo de lista2 Char,Lista vistosa - Énfasis 11 Char,Cuadrícula clara - Énfasis 31 Char"/>
    <w:link w:val="ListParagraph"/>
    <w:uiPriority w:val="34"/>
    <w:locked/>
    <w:rsid w:val="00797A51"/>
  </w:style>
  <w:style w:type="character" w:customStyle="1" w:styleId="Heading2Char">
    <w:name w:val="Heading 2 Char"/>
    <w:basedOn w:val="DefaultParagraphFont"/>
    <w:link w:val="Heading2"/>
    <w:uiPriority w:val="9"/>
    <w:semiHidden/>
    <w:rsid w:val="00797A51"/>
    <w:rPr>
      <w:rFonts w:asciiTheme="majorHAnsi" w:eastAsiaTheme="majorEastAsia" w:hAnsiTheme="majorHAnsi" w:cstheme="majorBidi"/>
      <w:color w:val="2F5496" w:themeColor="accent1" w:themeShade="BF"/>
      <w:sz w:val="26"/>
      <w:szCs w:val="26"/>
    </w:rPr>
  </w:style>
  <w:style w:type="character" w:customStyle="1" w:styleId="TextoNormalChar">
    <w:name w:val="Texto Normal Char"/>
    <w:link w:val="TextoNormal"/>
    <w:rsid w:val="00920450"/>
    <w:rPr>
      <w:rFonts w:ascii="Calibri" w:eastAsia="MS Mincho" w:hAnsi="Calibri"/>
      <w:lang w:val="es-MX" w:eastAsia="es-ES"/>
    </w:rPr>
  </w:style>
  <w:style w:type="paragraph" w:customStyle="1" w:styleId="TextoNormal">
    <w:name w:val="Texto Normal"/>
    <w:basedOn w:val="Normal"/>
    <w:link w:val="TextoNormalChar"/>
    <w:rsid w:val="00920450"/>
    <w:pPr>
      <w:jc w:val="both"/>
    </w:pPr>
    <w:rPr>
      <w:rFonts w:ascii="Calibri" w:eastAsia="MS Mincho" w:hAnsi="Calibri"/>
      <w:lang w:val="es-MX" w:eastAsia="es-ES"/>
    </w:rPr>
  </w:style>
  <w:style w:type="paragraph" w:styleId="BalloonText">
    <w:name w:val="Balloon Text"/>
    <w:basedOn w:val="Normal"/>
    <w:link w:val="BalloonTextChar"/>
    <w:uiPriority w:val="99"/>
    <w:semiHidden/>
    <w:unhideWhenUsed/>
    <w:rsid w:val="001812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21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06490"/>
    <w:rPr>
      <w:color w:val="954F72" w:themeColor="followedHyperlink"/>
      <w:u w:val="single"/>
    </w:rPr>
  </w:style>
  <w:style w:type="character" w:styleId="CommentReference">
    <w:name w:val="annotation reference"/>
    <w:basedOn w:val="DefaultParagraphFont"/>
    <w:uiPriority w:val="99"/>
    <w:semiHidden/>
    <w:unhideWhenUsed/>
    <w:rsid w:val="004B2C16"/>
    <w:rPr>
      <w:sz w:val="16"/>
      <w:szCs w:val="16"/>
    </w:rPr>
  </w:style>
  <w:style w:type="paragraph" w:styleId="CommentText">
    <w:name w:val="annotation text"/>
    <w:basedOn w:val="Normal"/>
    <w:link w:val="CommentTextChar"/>
    <w:uiPriority w:val="99"/>
    <w:semiHidden/>
    <w:unhideWhenUsed/>
    <w:rsid w:val="004B2C16"/>
    <w:rPr>
      <w:sz w:val="20"/>
      <w:szCs w:val="20"/>
    </w:rPr>
  </w:style>
  <w:style w:type="character" w:customStyle="1" w:styleId="CommentTextChar">
    <w:name w:val="Comment Text Char"/>
    <w:basedOn w:val="DefaultParagraphFont"/>
    <w:link w:val="CommentText"/>
    <w:uiPriority w:val="99"/>
    <w:semiHidden/>
    <w:rsid w:val="004B2C16"/>
    <w:rPr>
      <w:sz w:val="20"/>
      <w:szCs w:val="20"/>
    </w:rPr>
  </w:style>
  <w:style w:type="paragraph" w:styleId="CommentSubject">
    <w:name w:val="annotation subject"/>
    <w:basedOn w:val="CommentText"/>
    <w:next w:val="CommentText"/>
    <w:link w:val="CommentSubjectChar"/>
    <w:uiPriority w:val="99"/>
    <w:semiHidden/>
    <w:unhideWhenUsed/>
    <w:rsid w:val="004B2C16"/>
    <w:rPr>
      <w:b/>
      <w:bCs/>
    </w:rPr>
  </w:style>
  <w:style w:type="character" w:customStyle="1" w:styleId="CommentSubjectChar">
    <w:name w:val="Comment Subject Char"/>
    <w:basedOn w:val="CommentTextChar"/>
    <w:link w:val="CommentSubject"/>
    <w:uiPriority w:val="99"/>
    <w:semiHidden/>
    <w:rsid w:val="004B2C16"/>
    <w:rPr>
      <w:b/>
      <w:bCs/>
      <w:sz w:val="20"/>
      <w:szCs w:val="20"/>
    </w:rPr>
  </w:style>
  <w:style w:type="character" w:customStyle="1" w:styleId="apple-converted-space">
    <w:name w:val="apple-converted-space"/>
    <w:basedOn w:val="DefaultParagraphFont"/>
    <w:rsid w:val="00580638"/>
  </w:style>
  <w:style w:type="paragraph" w:customStyle="1" w:styleId="paragraphs">
    <w:name w:val="paragraphs"/>
    <w:basedOn w:val="Normal"/>
    <w:link w:val="paragraphsChar"/>
    <w:qFormat/>
    <w:rsid w:val="00580638"/>
    <w:pPr>
      <w:numPr>
        <w:numId w:val="4"/>
      </w:numPr>
      <w:spacing w:after="240"/>
      <w:jc w:val="both"/>
    </w:pPr>
    <w:rPr>
      <w:rFonts w:ascii="Cambria" w:eastAsia="Calibri" w:hAnsi="Cambria" w:cs="Times New Roman"/>
      <w:sz w:val="20"/>
      <w:szCs w:val="20"/>
      <w:lang w:val="es-ES_tradnl"/>
    </w:rPr>
  </w:style>
  <w:style w:type="character" w:customStyle="1" w:styleId="paragraphsChar">
    <w:name w:val="paragraphs Char"/>
    <w:link w:val="paragraphs"/>
    <w:rsid w:val="00580638"/>
    <w:rPr>
      <w:rFonts w:ascii="Cambria" w:eastAsia="Calibri" w:hAnsi="Cambria" w:cs="Times New Roman"/>
      <w:sz w:val="20"/>
      <w:szCs w:val="20"/>
      <w:lang w:val="es-ES_tradnl"/>
    </w:rPr>
  </w:style>
  <w:style w:type="paragraph" w:styleId="Header">
    <w:name w:val="header"/>
    <w:basedOn w:val="Normal"/>
    <w:link w:val="HeaderChar"/>
    <w:uiPriority w:val="99"/>
    <w:unhideWhenUsed/>
    <w:rsid w:val="00CC1081"/>
    <w:pPr>
      <w:tabs>
        <w:tab w:val="center" w:pos="4680"/>
        <w:tab w:val="right" w:pos="9360"/>
      </w:tabs>
    </w:pPr>
  </w:style>
  <w:style w:type="character" w:customStyle="1" w:styleId="HeaderChar">
    <w:name w:val="Header Char"/>
    <w:basedOn w:val="DefaultParagraphFont"/>
    <w:link w:val="Header"/>
    <w:uiPriority w:val="99"/>
    <w:rsid w:val="00CC1081"/>
  </w:style>
  <w:style w:type="paragraph" w:styleId="Footer">
    <w:name w:val="footer"/>
    <w:basedOn w:val="Normal"/>
    <w:link w:val="FooterChar"/>
    <w:uiPriority w:val="99"/>
    <w:unhideWhenUsed/>
    <w:rsid w:val="00CC1081"/>
    <w:pPr>
      <w:tabs>
        <w:tab w:val="center" w:pos="4680"/>
        <w:tab w:val="right" w:pos="9360"/>
      </w:tabs>
    </w:pPr>
  </w:style>
  <w:style w:type="character" w:customStyle="1" w:styleId="FooterChar">
    <w:name w:val="Footer Char"/>
    <w:basedOn w:val="DefaultParagraphFont"/>
    <w:link w:val="Footer"/>
    <w:uiPriority w:val="99"/>
    <w:rsid w:val="00CC1081"/>
  </w:style>
  <w:style w:type="table" w:styleId="LightShading-Accent1">
    <w:name w:val="Light Shading Accent 1"/>
    <w:basedOn w:val="TableNormal"/>
    <w:uiPriority w:val="60"/>
    <w:rsid w:val="005A4FF9"/>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5">
    <w:name w:val="Light Shading Accent 5"/>
    <w:basedOn w:val="TableNormal"/>
    <w:uiPriority w:val="60"/>
    <w:rsid w:val="005A4FF9"/>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TableGrid">
    <w:name w:val="Table Grid"/>
    <w:basedOn w:val="TableNormal"/>
    <w:uiPriority w:val="39"/>
    <w:rsid w:val="005A4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A4F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95180">
      <w:bodyDiv w:val="1"/>
      <w:marLeft w:val="0"/>
      <w:marRight w:val="0"/>
      <w:marTop w:val="0"/>
      <w:marBottom w:val="0"/>
      <w:divBdr>
        <w:top w:val="none" w:sz="0" w:space="0" w:color="auto"/>
        <w:left w:val="none" w:sz="0" w:space="0" w:color="auto"/>
        <w:bottom w:val="none" w:sz="0" w:space="0" w:color="auto"/>
        <w:right w:val="none" w:sz="0" w:space="0" w:color="auto"/>
      </w:divBdr>
    </w:div>
    <w:div w:id="512378556">
      <w:bodyDiv w:val="1"/>
      <w:marLeft w:val="0"/>
      <w:marRight w:val="0"/>
      <w:marTop w:val="0"/>
      <w:marBottom w:val="0"/>
      <w:divBdr>
        <w:top w:val="none" w:sz="0" w:space="0" w:color="auto"/>
        <w:left w:val="none" w:sz="0" w:space="0" w:color="auto"/>
        <w:bottom w:val="none" w:sz="0" w:space="0" w:color="auto"/>
        <w:right w:val="none" w:sz="0" w:space="0" w:color="auto"/>
      </w:divBdr>
    </w:div>
    <w:div w:id="1698433229">
      <w:bodyDiv w:val="1"/>
      <w:marLeft w:val="0"/>
      <w:marRight w:val="0"/>
      <w:marTop w:val="0"/>
      <w:marBottom w:val="0"/>
      <w:divBdr>
        <w:top w:val="none" w:sz="0" w:space="0" w:color="auto"/>
        <w:left w:val="none" w:sz="0" w:space="0" w:color="auto"/>
        <w:bottom w:val="none" w:sz="0" w:space="0" w:color="auto"/>
        <w:right w:val="none" w:sz="0" w:space="0" w:color="auto"/>
      </w:divBdr>
    </w:div>
    <w:div w:id="20794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mandato/PlanEstrategico2017/docs/PlanEstrategico-2017-2021.pdf" TargetMode="Externa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as.org/legal/spanish/gensec/EXOR1706.pdf" TargetMode="Externa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as.org/es/cidh/decisiones/pdf/Resolucion-3-18-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oas.org/es/cidh/mandato/docs/Organigrama-CIDH.pdf"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rivas\AppData\Roaming\Microsoft\Excel\012418-Fund%20Balance%20Report%20as%20dec-31-2018%20(version%20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4920747789961838"/>
          <c:y val="0.15477208947497481"/>
          <c:w val="0.64866862642148271"/>
          <c:h val="0.63970610940068473"/>
        </c:manualLayout>
      </c:layout>
      <c:pie3DChart>
        <c:varyColors val="1"/>
        <c:ser>
          <c:idx val="0"/>
          <c:order val="0"/>
          <c:explosion val="6"/>
          <c:dLbls>
            <c:dLbl>
              <c:idx val="0"/>
              <c:layout>
                <c:manualLayout>
                  <c:x val="-1.261829444044902E-2"/>
                  <c:y val="-5.3932584269662923E-2"/>
                </c:manualLayout>
              </c:layout>
              <c:tx>
                <c:rich>
                  <a:bodyPr/>
                  <a:lstStyle/>
                  <a:p>
                    <a:r>
                      <a:rPr lang="en-US"/>
                      <a:t>Administración
 $9,129.90 
11%</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0-6A29-5E4F-8850-8FF7F4C90883}"/>
                </c:ext>
                <c:ext xmlns:c15="http://schemas.microsoft.com/office/drawing/2012/chart" uri="{CE6537A1-D6FC-4f65-9D91-7224C49458BB}"/>
              </c:extLst>
            </c:dLbl>
            <c:dLbl>
              <c:idx val="1"/>
              <c:layout>
                <c:manualLayout>
                  <c:x val="-5.3830126654226323E-3"/>
                  <c:y val="-0.10841983852364476"/>
                </c:manualLayout>
              </c:layout>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6A29-5E4F-8850-8FF7F4C90883}"/>
                </c:ext>
                <c:ext xmlns:c15="http://schemas.microsoft.com/office/drawing/2012/chart" uri="{CE6537A1-D6FC-4f65-9D91-7224C49458BB}"/>
              </c:extLst>
            </c:dLbl>
            <c:dLbl>
              <c:idx val="2"/>
              <c:layout>
                <c:manualLayout>
                  <c:x val="0"/>
                  <c:y val="-0.24221453287197231"/>
                </c:manualLayout>
              </c:layout>
              <c:tx>
                <c:rich>
                  <a:bodyPr/>
                  <a:lstStyle/>
                  <a:p>
                    <a:r>
                      <a:rPr lang="en-US"/>
                      <a:t>Infraestru</a:t>
                    </a:r>
                    <a:r>
                      <a:rPr lang="en-US" baseline="0"/>
                      <a:t>ctura y Costos Comunes</a:t>
                    </a:r>
                    <a:r>
                      <a:rPr lang="en-US"/>
                      <a:t>
 $12,539.20 
15%</a:t>
                    </a:r>
                  </a:p>
                </c:rich>
              </c:tx>
              <c:dLblPos val="bestFit"/>
              <c:showLegendKey val="1"/>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2-6A29-5E4F-8850-8FF7F4C90883}"/>
                </c:ext>
                <c:ext xmlns:c15="http://schemas.microsoft.com/office/drawing/2012/chart" uri="{CE6537A1-D6FC-4f65-9D91-7224C49458BB}"/>
              </c:extLst>
            </c:dLbl>
            <c:dLbl>
              <c:idx val="3"/>
              <c:layout>
                <c:manualLayout>
                  <c:x val="-8.9353797352870995E-2"/>
                  <c:y val="0.17030615117746961"/>
                </c:manualLayout>
              </c:layout>
              <c:tx>
                <c:rich>
                  <a:bodyPr/>
                  <a:lstStyle/>
                  <a:p>
                    <a:r>
                      <a:rPr lang="en-US"/>
                      <a:t>Otros</a:t>
                    </a:r>
                    <a:r>
                      <a:rPr lang="en-US" baseline="0"/>
                      <a:t> Programas, </a:t>
                    </a:r>
                    <a:r>
                      <a:rPr lang="en-US"/>
                      <a:t>$48,735.00 , 60%</a:t>
                    </a:r>
                  </a:p>
                </c:rich>
              </c:tx>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3-6A29-5E4F-8850-8FF7F4C90883}"/>
                </c:ext>
                <c:ext xmlns:c15="http://schemas.microsoft.com/office/drawing/2012/chart" uri="{CE6537A1-D6FC-4f65-9D91-7224C49458BB}"/>
              </c:extLst>
            </c:dLbl>
            <c:dLbl>
              <c:idx val="4"/>
              <c:layout>
                <c:manualLayout>
                  <c:x val="0"/>
                  <c:y val="-4.794007490636705E-2"/>
                </c:manualLayout>
              </c:layout>
              <c:tx>
                <c:rich>
                  <a:bodyPr/>
                  <a:lstStyle/>
                  <a:p>
                    <a:r>
                      <a:rPr lang="en-US"/>
                      <a:t>Corte IDH
 $3,665.70 
5%</a:t>
                    </a:r>
                  </a:p>
                </c:rich>
              </c:tx>
              <c:dLblPos val="bestFi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4-6A29-5E4F-8850-8FF7F4C90883}"/>
                </c:ext>
                <c:ext xmlns:c15="http://schemas.microsoft.com/office/drawing/2012/chart" uri="{CE6537A1-D6FC-4f65-9D91-7224C49458BB}"/>
              </c:extLst>
            </c:dLbl>
            <c:dLbl>
              <c:idx val="5"/>
              <c:layout>
                <c:manualLayout>
                  <c:x val="4.0641711229946528E-3"/>
                  <c:y val="0.3082739830531564"/>
                </c:manualLayout>
              </c:layout>
              <c:showLegendKey val="0"/>
              <c:showVal val="1"/>
              <c:showCatName val="1"/>
              <c:showSerName val="0"/>
              <c:showPercent val="1"/>
              <c:showBubbleSize val="0"/>
              <c:extLst xmlns:c16r2="http://schemas.microsoft.com/office/drawing/2015/06/chart">
                <c:ext xmlns:c16="http://schemas.microsoft.com/office/drawing/2014/chart" uri="{C3380CC4-5D6E-409C-BE32-E72D297353CC}">
                  <c16:uniqueId val="{00000005-6A29-5E4F-8850-8FF7F4C90883}"/>
                </c:ext>
                <c:ext xmlns:c15="http://schemas.microsoft.com/office/drawing/2012/chart" uri="{CE6537A1-D6FC-4f65-9D91-7224C49458BB}"/>
              </c:extLst>
            </c:dLbl>
            <c:spPr>
              <a:noFill/>
              <a:ln>
                <a:noFill/>
              </a:ln>
              <a:effectLst/>
            </c:sp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'Figura 1. FR OEA-CIDH'!$A$13:$A$18</c:f>
              <c:strCache>
                <c:ptCount val="5"/>
                <c:pt idx="0">
                  <c:v>Administration</c:v>
                </c:pt>
                <c:pt idx="1">
                  <c:v>CIDH</c:v>
                </c:pt>
                <c:pt idx="2">
                  <c:v>Infrastructure and Common Costs</c:v>
                </c:pt>
                <c:pt idx="3">
                  <c:v>Other Programs</c:v>
                </c:pt>
                <c:pt idx="4">
                  <c:v>Court IDH</c:v>
                </c:pt>
              </c:strCache>
            </c:strRef>
          </c:cat>
          <c:val>
            <c:numRef>
              <c:f>'Figura 1. FR OEA-CIDH'!$B$13:$B$18</c:f>
              <c:numCache>
                <c:formatCode>_("$"* #,##0.00_);_("$"* \(#,##0.00\);_("$"* "-"??_);_(@_)</c:formatCode>
                <c:ptCount val="6"/>
                <c:pt idx="0">
                  <c:v>9129.9</c:v>
                </c:pt>
                <c:pt idx="1">
                  <c:v>7505.2</c:v>
                </c:pt>
                <c:pt idx="2">
                  <c:v>12539.2</c:v>
                </c:pt>
                <c:pt idx="3">
                  <c:v>48735</c:v>
                </c:pt>
                <c:pt idx="4">
                  <c:v>3665.7</c:v>
                </c:pt>
              </c:numCache>
            </c:numRef>
          </c:val>
          <c:extLst xmlns:c16r2="http://schemas.microsoft.com/office/drawing/2015/06/chart">
            <c:ext xmlns:c16="http://schemas.microsoft.com/office/drawing/2014/chart" uri="{C3380CC4-5D6E-409C-BE32-E72D297353CC}">
              <c16:uniqueId val="{00000006-6A29-5E4F-8850-8FF7F4C90883}"/>
            </c:ext>
          </c:extLst>
        </c:ser>
        <c:dLbls>
          <c:showLegendKey val="0"/>
          <c:showVal val="1"/>
          <c:showCatName val="1"/>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19</Pages>
  <Words>5720</Words>
  <Characters>30947</Characters>
  <Application>Microsoft Office Word</Application>
  <DocSecurity>0</DocSecurity>
  <Lines>1190</Lines>
  <Paragraphs>763</Paragraphs>
  <ScaleCrop>false</ScaleCrop>
  <HeadingPairs>
    <vt:vector size="2" baseType="variant">
      <vt:variant>
        <vt:lpstr>Title</vt:lpstr>
      </vt:variant>
      <vt:variant>
        <vt:i4>1</vt:i4>
      </vt:variant>
    </vt:vector>
  </HeadingPairs>
  <TitlesOfParts>
    <vt:vector size="1" baseType="lpstr">
      <vt:lpstr>Informe Anual 2018 - Capítulo VI</vt:lpstr>
    </vt:vector>
  </TitlesOfParts>
  <LinksUpToDate>false</LinksUpToDate>
  <CharactersWithSpaces>35904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2018 - Capítulo VI</dc:title>
  <dc:creator/>
  <cp:lastModifiedBy/>
  <cp:revision>1</cp:revision>
  <dcterms:created xsi:type="dcterms:W3CDTF">2019-03-22T16:27:00Z</dcterms:created>
  <dcterms:modified xsi:type="dcterms:W3CDTF">2019-03-22T16:28:00Z</dcterms:modified>
</cp:coreProperties>
</file>