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74732" w14:textId="77777777" w:rsidR="00A26F35" w:rsidRPr="000C12E2" w:rsidRDefault="00E55039" w:rsidP="0087537D">
      <w:pPr>
        <w:pStyle w:val="NoSpacing"/>
        <w:spacing w:after="0"/>
        <w:jc w:val="center"/>
        <w:rPr>
          <w:rFonts w:ascii="Cambria" w:eastAsia="Cambria" w:hAnsi="Cambria" w:cs="Cambria"/>
          <w:b/>
          <w:bCs/>
          <w:sz w:val="20"/>
          <w:szCs w:val="20"/>
          <w:lang w:val="es-ES_tradnl"/>
        </w:rPr>
      </w:pPr>
      <w:r w:rsidRPr="000C12E2">
        <w:rPr>
          <w:rFonts w:ascii="Cambria" w:eastAsia="Cambria" w:hAnsi="Cambria" w:cs="Cambria"/>
          <w:b/>
          <w:bCs/>
          <w:sz w:val="20"/>
          <w:szCs w:val="20"/>
          <w:lang w:val="es-ES_tradnl"/>
        </w:rPr>
        <w:t xml:space="preserve">FICHA DE SEGUIMIENTO DEL INFORME </w:t>
      </w:r>
      <w:proofErr w:type="spellStart"/>
      <w:r w:rsidRPr="000C12E2">
        <w:rPr>
          <w:rFonts w:ascii="Cambria" w:eastAsia="Cambria" w:hAnsi="Cambria" w:cs="Cambria"/>
          <w:b/>
          <w:bCs/>
          <w:sz w:val="20"/>
          <w:szCs w:val="20"/>
          <w:lang w:val="es-ES_tradnl"/>
        </w:rPr>
        <w:t>Nº</w:t>
      </w:r>
      <w:proofErr w:type="spellEnd"/>
      <w:r w:rsidRPr="000C12E2">
        <w:rPr>
          <w:rFonts w:ascii="Cambria" w:eastAsia="Cambria" w:hAnsi="Cambria" w:cs="Cambria"/>
          <w:b/>
          <w:bCs/>
          <w:sz w:val="20"/>
          <w:szCs w:val="20"/>
          <w:lang w:val="es-ES_tradnl"/>
        </w:rPr>
        <w:t xml:space="preserve"> </w:t>
      </w:r>
      <w:r w:rsidR="005E0569" w:rsidRPr="000C12E2">
        <w:rPr>
          <w:rFonts w:ascii="Cambria" w:eastAsia="Cambria" w:hAnsi="Cambria" w:cs="Cambria"/>
          <w:b/>
          <w:bCs/>
          <w:sz w:val="20"/>
          <w:szCs w:val="20"/>
          <w:lang w:val="es-ES_tradnl"/>
        </w:rPr>
        <w:t>25</w:t>
      </w:r>
      <w:r w:rsidRPr="000C12E2">
        <w:rPr>
          <w:rFonts w:ascii="Cambria" w:eastAsia="Cambria" w:hAnsi="Cambria" w:cs="Cambria"/>
          <w:b/>
          <w:bCs/>
          <w:sz w:val="20"/>
          <w:szCs w:val="20"/>
          <w:lang w:val="es-ES_tradnl"/>
        </w:rPr>
        <w:t>/</w:t>
      </w:r>
      <w:r w:rsidR="005E0569" w:rsidRPr="000C12E2">
        <w:rPr>
          <w:rFonts w:ascii="Cambria" w:eastAsia="Cambria" w:hAnsi="Cambria" w:cs="Cambria"/>
          <w:b/>
          <w:bCs/>
          <w:sz w:val="20"/>
          <w:szCs w:val="20"/>
          <w:lang w:val="es-ES_tradnl"/>
        </w:rPr>
        <w:t>20</w:t>
      </w:r>
    </w:p>
    <w:p w14:paraId="133EDEBA" w14:textId="77777777" w:rsidR="00A26F35" w:rsidRPr="000C12E2" w:rsidRDefault="00E55039" w:rsidP="0087537D">
      <w:pPr>
        <w:pStyle w:val="NoSpacing"/>
        <w:spacing w:after="0"/>
        <w:jc w:val="center"/>
        <w:rPr>
          <w:rFonts w:ascii="Cambria" w:eastAsia="Cambria" w:hAnsi="Cambria" w:cs="Cambria"/>
          <w:b/>
          <w:bCs/>
          <w:sz w:val="20"/>
          <w:szCs w:val="20"/>
          <w:lang w:val="es-ES_tradnl"/>
        </w:rPr>
      </w:pPr>
      <w:r w:rsidRPr="000C12E2">
        <w:rPr>
          <w:rFonts w:ascii="Cambria" w:eastAsia="Cambria" w:hAnsi="Cambria" w:cs="Cambria"/>
          <w:b/>
          <w:bCs/>
          <w:sz w:val="20"/>
          <w:szCs w:val="20"/>
          <w:lang w:val="es-ES_tradnl"/>
        </w:rPr>
        <w:t>CASO 1</w:t>
      </w:r>
      <w:r w:rsidR="005E0569" w:rsidRPr="000C12E2">
        <w:rPr>
          <w:rFonts w:ascii="Cambria" w:eastAsia="Cambria" w:hAnsi="Cambria" w:cs="Cambria"/>
          <w:b/>
          <w:bCs/>
          <w:sz w:val="20"/>
          <w:szCs w:val="20"/>
          <w:lang w:val="es-ES_tradnl"/>
        </w:rPr>
        <w:t>2.780</w:t>
      </w:r>
    </w:p>
    <w:p w14:paraId="43F9A1A7" w14:textId="77777777" w:rsidR="00A26F35" w:rsidRPr="000C12E2" w:rsidRDefault="005E0569" w:rsidP="0087537D">
      <w:pPr>
        <w:pStyle w:val="NoSpacing"/>
        <w:spacing w:after="0"/>
        <w:jc w:val="center"/>
        <w:rPr>
          <w:rFonts w:ascii="Cambria" w:eastAsia="Cambria" w:hAnsi="Cambria" w:cs="Cambria"/>
          <w:b/>
          <w:bCs/>
          <w:sz w:val="20"/>
          <w:szCs w:val="20"/>
          <w:lang w:val="es-ES_tradnl"/>
        </w:rPr>
      </w:pPr>
      <w:r w:rsidRPr="000C12E2">
        <w:rPr>
          <w:rFonts w:ascii="Cambria" w:eastAsia="Cambria" w:hAnsi="Cambria" w:cs="Cambria"/>
          <w:b/>
          <w:bCs/>
          <w:sz w:val="20"/>
          <w:szCs w:val="20"/>
          <w:lang w:val="es-ES_tradnl"/>
        </w:rPr>
        <w:t>CARLOS ARTURO BETANCOURT ESTRADA Y FAMILIA</w:t>
      </w:r>
      <w:r w:rsidRPr="000C12E2">
        <w:rPr>
          <w:rFonts w:ascii="Cambria" w:eastAsia="Cambria" w:hAnsi="Cambria" w:cs="Cambria"/>
          <w:b/>
          <w:bCs/>
          <w:sz w:val="20"/>
          <w:szCs w:val="20"/>
          <w:lang w:val="es-ES_tradnl"/>
        </w:rPr>
        <w:tab/>
      </w:r>
    </w:p>
    <w:p w14:paraId="64F18118" w14:textId="77777777" w:rsidR="00A26F35" w:rsidRPr="000C12E2" w:rsidRDefault="00E55039" w:rsidP="006572A1">
      <w:pPr>
        <w:pStyle w:val="NoSpacing"/>
        <w:spacing w:after="0"/>
        <w:jc w:val="center"/>
        <w:rPr>
          <w:rFonts w:ascii="Cambria" w:eastAsia="Cambria" w:hAnsi="Cambria" w:cs="Cambria"/>
          <w:b/>
          <w:bCs/>
          <w:sz w:val="20"/>
          <w:szCs w:val="20"/>
          <w:lang w:val="es-ES_tradnl"/>
        </w:rPr>
      </w:pPr>
      <w:r w:rsidRPr="000C12E2">
        <w:rPr>
          <w:rFonts w:ascii="Cambria" w:eastAsia="Cambria" w:hAnsi="Cambria" w:cs="Cambria"/>
          <w:b/>
          <w:bCs/>
          <w:sz w:val="20"/>
          <w:szCs w:val="20"/>
          <w:lang w:val="es-ES_tradnl"/>
        </w:rPr>
        <w:t>(Colombia)</w:t>
      </w:r>
    </w:p>
    <w:p w14:paraId="672A6659" w14:textId="77777777" w:rsidR="006572A1" w:rsidRPr="000C12E2" w:rsidRDefault="006572A1" w:rsidP="006572A1">
      <w:pPr>
        <w:pStyle w:val="NoSpacing"/>
        <w:spacing w:after="0"/>
        <w:jc w:val="center"/>
        <w:rPr>
          <w:rFonts w:ascii="Cambria" w:eastAsia="Cambria" w:hAnsi="Cambria" w:cs="Cambria"/>
          <w:b/>
          <w:bCs/>
          <w:sz w:val="20"/>
          <w:szCs w:val="20"/>
          <w:lang w:val="es-ES_tradnl"/>
        </w:rPr>
      </w:pPr>
    </w:p>
    <w:p w14:paraId="71A55A42" w14:textId="77777777" w:rsidR="00A26F35" w:rsidRPr="000C12E2" w:rsidRDefault="00E55039">
      <w:pPr>
        <w:numPr>
          <w:ilvl w:val="0"/>
          <w:numId w:val="2"/>
        </w:numPr>
        <w:spacing w:after="0" w:line="240" w:lineRule="auto"/>
        <w:rPr>
          <w:rFonts w:ascii="Cambria" w:eastAsia="Cambria" w:hAnsi="Cambria" w:cs="Cambria"/>
          <w:b/>
          <w:bCs/>
          <w:sz w:val="20"/>
          <w:szCs w:val="20"/>
        </w:rPr>
      </w:pPr>
      <w:r w:rsidRPr="000C12E2">
        <w:rPr>
          <w:rFonts w:ascii="Cambria" w:eastAsia="Cambria" w:hAnsi="Cambria" w:cs="Cambria"/>
          <w:b/>
          <w:bCs/>
          <w:sz w:val="20"/>
          <w:szCs w:val="20"/>
        </w:rPr>
        <w:t xml:space="preserve">Resumen del caso </w:t>
      </w:r>
    </w:p>
    <w:p w14:paraId="0A37501D" w14:textId="77777777" w:rsidR="00A26F35" w:rsidRPr="000C12E2" w:rsidRDefault="00A26F35">
      <w:pPr>
        <w:spacing w:after="0" w:line="240" w:lineRule="auto"/>
        <w:ind w:left="1080"/>
        <w:rPr>
          <w:rFonts w:ascii="Cambria" w:eastAsia="Cambria" w:hAnsi="Cambria" w:cs="Cambria"/>
          <w:b/>
          <w:bCs/>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A26F35" w:rsidRPr="000C12E2" w14:paraId="0B0D165C" w14:textId="77777777" w:rsidTr="0061233C">
        <w:trPr>
          <w:trHeight w:val="51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43751AC" w14:textId="77777777" w:rsidR="00A26F35" w:rsidRPr="000C12E2" w:rsidRDefault="00E55039">
            <w:pPr>
              <w:pStyle w:val="NoSpacing"/>
              <w:spacing w:before="120" w:after="0" w:line="240" w:lineRule="auto"/>
              <w:jc w:val="both"/>
              <w:rPr>
                <w:rFonts w:ascii="Cambria" w:eastAsia="Cambria" w:hAnsi="Cambria" w:cs="Cambria"/>
                <w:sz w:val="20"/>
                <w:szCs w:val="20"/>
              </w:rPr>
            </w:pPr>
            <w:r w:rsidRPr="000C12E2">
              <w:rPr>
                <w:rFonts w:ascii="Cambria" w:eastAsia="Cambria" w:hAnsi="Cambria" w:cs="Cambria"/>
                <w:b/>
                <w:bCs/>
                <w:sz w:val="20"/>
                <w:szCs w:val="20"/>
              </w:rPr>
              <w:t>Víctima (s):</w:t>
            </w:r>
            <w:r w:rsidR="005E0569" w:rsidRPr="000C12E2">
              <w:rPr>
                <w:rFonts w:ascii="Cambria" w:eastAsia="Cambria" w:hAnsi="Cambria" w:cs="Cambria"/>
                <w:sz w:val="20"/>
                <w:szCs w:val="20"/>
              </w:rPr>
              <w:t xml:space="preserve"> Carlos Arturo Betancourt Estrada</w:t>
            </w:r>
          </w:p>
          <w:p w14:paraId="79C00374" w14:textId="77777777" w:rsidR="00A26F35" w:rsidRPr="000C12E2" w:rsidRDefault="00E55039">
            <w:pPr>
              <w:pStyle w:val="NoSpacing"/>
              <w:spacing w:after="0" w:line="240" w:lineRule="auto"/>
              <w:jc w:val="both"/>
              <w:rPr>
                <w:rFonts w:ascii="Cambria" w:eastAsia="Cambria" w:hAnsi="Cambria" w:cs="Cambria"/>
                <w:sz w:val="20"/>
                <w:szCs w:val="20"/>
                <w:lang w:val="es-MX"/>
              </w:rPr>
            </w:pPr>
            <w:r w:rsidRPr="000C12E2">
              <w:rPr>
                <w:rFonts w:ascii="Cambria" w:eastAsia="Cambria" w:hAnsi="Cambria" w:cs="Cambria"/>
                <w:b/>
                <w:bCs/>
                <w:sz w:val="20"/>
                <w:szCs w:val="20"/>
                <w:lang w:val="es-MX"/>
              </w:rPr>
              <w:t xml:space="preserve">Peticionario (s): </w:t>
            </w:r>
            <w:r w:rsidR="005E0569" w:rsidRPr="000C12E2">
              <w:rPr>
                <w:rFonts w:ascii="Cambria" w:eastAsia="Cambria" w:hAnsi="Cambria" w:cs="Cambria"/>
                <w:sz w:val="20"/>
                <w:szCs w:val="20"/>
                <w:lang w:val="es-ES_tradnl"/>
              </w:rPr>
              <w:t xml:space="preserve">Javier Villegas Posada </w:t>
            </w:r>
          </w:p>
          <w:p w14:paraId="063F3B6E" w14:textId="77777777" w:rsidR="00A26F35" w:rsidRPr="000C12E2" w:rsidRDefault="00E55039">
            <w:pPr>
              <w:pStyle w:val="NoSpacing"/>
              <w:spacing w:after="0" w:line="240" w:lineRule="auto"/>
              <w:jc w:val="both"/>
              <w:rPr>
                <w:rFonts w:ascii="Cambria" w:eastAsia="Cambria" w:hAnsi="Cambria" w:cs="Cambria"/>
                <w:sz w:val="20"/>
                <w:szCs w:val="20"/>
                <w:lang w:val="es-MX"/>
              </w:rPr>
            </w:pPr>
            <w:r w:rsidRPr="000C12E2">
              <w:rPr>
                <w:rFonts w:ascii="Cambria" w:eastAsia="Cambria" w:hAnsi="Cambria" w:cs="Cambria"/>
                <w:b/>
                <w:bCs/>
                <w:sz w:val="20"/>
                <w:szCs w:val="20"/>
                <w:lang w:val="es-MX"/>
              </w:rPr>
              <w:t>Estado:</w:t>
            </w:r>
            <w:r w:rsidRPr="000C12E2">
              <w:rPr>
                <w:rFonts w:ascii="Cambria" w:eastAsia="Cambria" w:hAnsi="Cambria" w:cs="Cambria"/>
                <w:sz w:val="20"/>
                <w:szCs w:val="20"/>
                <w:lang w:val="es-MX"/>
              </w:rPr>
              <w:t xml:space="preserve"> Colombia</w:t>
            </w:r>
          </w:p>
          <w:p w14:paraId="02A6939A" w14:textId="77777777" w:rsidR="00A26F35" w:rsidRPr="000C12E2" w:rsidRDefault="00E55039">
            <w:pPr>
              <w:pStyle w:val="NoSpacing"/>
              <w:spacing w:after="0" w:line="240" w:lineRule="auto"/>
              <w:jc w:val="both"/>
              <w:rPr>
                <w:rFonts w:ascii="Cambria" w:eastAsia="Cambria" w:hAnsi="Cambria" w:cs="Cambria"/>
                <w:sz w:val="20"/>
                <w:szCs w:val="20"/>
                <w:lang w:val="es-MX"/>
              </w:rPr>
            </w:pPr>
            <w:r w:rsidRPr="000C12E2">
              <w:rPr>
                <w:rFonts w:ascii="Cambria" w:eastAsia="Cambria" w:hAnsi="Cambria" w:cs="Cambria"/>
                <w:b/>
                <w:bCs/>
                <w:sz w:val="20"/>
                <w:szCs w:val="20"/>
                <w:lang w:val="es-MX"/>
              </w:rPr>
              <w:t xml:space="preserve">Informe de Fondo </w:t>
            </w:r>
            <w:proofErr w:type="spellStart"/>
            <w:r w:rsidRPr="000C12E2">
              <w:rPr>
                <w:rFonts w:ascii="Cambria" w:eastAsia="Cambria" w:hAnsi="Cambria" w:cs="Cambria"/>
                <w:b/>
                <w:bCs/>
                <w:sz w:val="20"/>
                <w:szCs w:val="20"/>
                <w:lang w:val="es-MX"/>
              </w:rPr>
              <w:t>Nº</w:t>
            </w:r>
            <w:proofErr w:type="spellEnd"/>
            <w:r w:rsidRPr="000C12E2">
              <w:rPr>
                <w:rFonts w:ascii="Cambria" w:eastAsia="Cambria" w:hAnsi="Cambria" w:cs="Cambria"/>
                <w:b/>
                <w:bCs/>
                <w:sz w:val="20"/>
                <w:szCs w:val="20"/>
                <w:lang w:val="es-MX"/>
              </w:rPr>
              <w:t xml:space="preserve">: </w:t>
            </w:r>
            <w:hyperlink r:id="rId9" w:history="1">
              <w:r w:rsidR="005E0569" w:rsidRPr="000C12E2">
                <w:rPr>
                  <w:rStyle w:val="Hyperlink"/>
                  <w:rFonts w:ascii="Cambria" w:hAnsi="Cambria"/>
                  <w:sz w:val="20"/>
                  <w:szCs w:val="20"/>
                </w:rPr>
                <w:t>25</w:t>
              </w:r>
              <w:r w:rsidR="00DB695B" w:rsidRPr="000C12E2">
                <w:rPr>
                  <w:rStyle w:val="Hyperlink"/>
                  <w:rFonts w:ascii="Cambria" w:eastAsia="Cambria" w:hAnsi="Cambria" w:cs="Cambria"/>
                  <w:sz w:val="20"/>
                  <w:szCs w:val="20"/>
                  <w:lang w:val="es-MX"/>
                </w:rPr>
                <w:t>/</w:t>
              </w:r>
              <w:r w:rsidR="005E0569" w:rsidRPr="000C12E2">
                <w:rPr>
                  <w:rStyle w:val="Hyperlink"/>
                  <w:rFonts w:ascii="Cambria" w:eastAsia="Cambria" w:hAnsi="Cambria" w:cs="Cambria"/>
                  <w:sz w:val="20"/>
                  <w:szCs w:val="20"/>
                  <w:lang w:val="es-MX"/>
                </w:rPr>
                <w:t>20</w:t>
              </w:r>
            </w:hyperlink>
            <w:r w:rsidRPr="000C12E2">
              <w:rPr>
                <w:rFonts w:ascii="Cambria" w:eastAsia="Cambria" w:hAnsi="Cambria" w:cs="Cambria"/>
                <w:sz w:val="20"/>
                <w:szCs w:val="20"/>
                <w:lang w:val="es-MX"/>
              </w:rPr>
              <w:t xml:space="preserve">, publicado el </w:t>
            </w:r>
            <w:r w:rsidR="005E0569" w:rsidRPr="000C12E2">
              <w:rPr>
                <w:rFonts w:ascii="Cambria" w:eastAsia="Cambria" w:hAnsi="Cambria" w:cs="Cambria"/>
                <w:sz w:val="20"/>
                <w:szCs w:val="20"/>
                <w:lang w:val="es-MX"/>
              </w:rPr>
              <w:t>22</w:t>
            </w:r>
            <w:r w:rsidRPr="000C12E2">
              <w:rPr>
                <w:rFonts w:ascii="Cambria" w:eastAsia="Cambria" w:hAnsi="Cambria" w:cs="Cambria"/>
                <w:sz w:val="20"/>
                <w:szCs w:val="20"/>
                <w:lang w:val="es-MX"/>
              </w:rPr>
              <w:t xml:space="preserve"> de </w:t>
            </w:r>
            <w:r w:rsidR="005E0569" w:rsidRPr="000C12E2">
              <w:rPr>
                <w:rFonts w:ascii="Cambria" w:eastAsia="Cambria" w:hAnsi="Cambria" w:cs="Cambria"/>
                <w:sz w:val="20"/>
                <w:szCs w:val="20"/>
                <w:lang w:val="es-MX"/>
              </w:rPr>
              <w:t>abril</w:t>
            </w:r>
            <w:r w:rsidRPr="000C12E2">
              <w:rPr>
                <w:rFonts w:ascii="Cambria" w:eastAsia="Cambria" w:hAnsi="Cambria" w:cs="Cambria"/>
                <w:sz w:val="20"/>
                <w:szCs w:val="20"/>
                <w:lang w:val="es-MX"/>
              </w:rPr>
              <w:t xml:space="preserve"> de 20</w:t>
            </w:r>
            <w:r w:rsidR="005E0569" w:rsidRPr="000C12E2">
              <w:rPr>
                <w:rFonts w:ascii="Cambria" w:eastAsia="Cambria" w:hAnsi="Cambria" w:cs="Cambria"/>
                <w:sz w:val="20"/>
                <w:szCs w:val="20"/>
                <w:lang w:val="es-MX"/>
              </w:rPr>
              <w:t>20</w:t>
            </w:r>
          </w:p>
          <w:p w14:paraId="7E211A6F" w14:textId="77777777" w:rsidR="00A26F35" w:rsidRPr="000C12E2" w:rsidRDefault="00E55039">
            <w:pPr>
              <w:pStyle w:val="NoSpacing"/>
              <w:spacing w:after="0" w:line="240" w:lineRule="auto"/>
              <w:jc w:val="both"/>
              <w:rPr>
                <w:rFonts w:ascii="Cambria" w:eastAsia="Cambria" w:hAnsi="Cambria" w:cs="Cambria"/>
                <w:sz w:val="20"/>
                <w:szCs w:val="20"/>
                <w:lang w:val="es-MX"/>
              </w:rPr>
            </w:pPr>
            <w:r w:rsidRPr="000C12E2">
              <w:rPr>
                <w:rFonts w:ascii="Cambria" w:eastAsia="Cambria" w:hAnsi="Cambria" w:cs="Cambria"/>
                <w:b/>
                <w:bCs/>
                <w:sz w:val="20"/>
                <w:szCs w:val="20"/>
                <w:lang w:val="es-MX"/>
              </w:rPr>
              <w:t xml:space="preserve">Informe de Admisibilidad </w:t>
            </w:r>
            <w:proofErr w:type="spellStart"/>
            <w:r w:rsidRPr="000C12E2">
              <w:rPr>
                <w:rFonts w:ascii="Cambria" w:eastAsia="Cambria" w:hAnsi="Cambria" w:cs="Cambria"/>
                <w:b/>
                <w:bCs/>
                <w:sz w:val="20"/>
                <w:szCs w:val="20"/>
                <w:lang w:val="es-MX"/>
              </w:rPr>
              <w:t>Nº</w:t>
            </w:r>
            <w:proofErr w:type="spellEnd"/>
            <w:r w:rsidR="00DB695B" w:rsidRPr="000C12E2">
              <w:rPr>
                <w:rFonts w:ascii="Cambria" w:eastAsia="Cambria" w:hAnsi="Cambria" w:cs="Cambria"/>
                <w:b/>
                <w:bCs/>
                <w:sz w:val="20"/>
                <w:szCs w:val="20"/>
                <w:lang w:val="es-MX"/>
              </w:rPr>
              <w:t>:</w:t>
            </w:r>
            <w:r w:rsidR="005E0569" w:rsidRPr="000C12E2">
              <w:rPr>
                <w:rFonts w:ascii="Cambria" w:eastAsia="Cambria" w:hAnsi="Cambria" w:cs="Cambria"/>
                <w:sz w:val="20"/>
                <w:szCs w:val="20"/>
                <w:lang w:val="es-MX"/>
              </w:rPr>
              <w:t xml:space="preserve"> 122/10</w:t>
            </w:r>
            <w:r w:rsidR="00DB695B" w:rsidRPr="000C12E2">
              <w:rPr>
                <w:rFonts w:ascii="Cambria" w:eastAsia="Cambria" w:hAnsi="Cambria" w:cs="Cambria"/>
                <w:sz w:val="20"/>
                <w:szCs w:val="20"/>
                <w:lang w:val="es-MX"/>
              </w:rPr>
              <w:t>,</w:t>
            </w:r>
            <w:r w:rsidRPr="000C12E2">
              <w:rPr>
                <w:rFonts w:ascii="Cambria" w:eastAsia="Cambria" w:hAnsi="Cambria" w:cs="Cambria"/>
                <w:sz w:val="20"/>
                <w:szCs w:val="20"/>
                <w:lang w:val="es-MX"/>
              </w:rPr>
              <w:t xml:space="preserve"> publicado el </w:t>
            </w:r>
            <w:r w:rsidR="005E0569" w:rsidRPr="000C12E2">
              <w:rPr>
                <w:rFonts w:ascii="Cambria" w:eastAsia="Cambria" w:hAnsi="Cambria" w:cs="Cambria"/>
                <w:sz w:val="20"/>
                <w:szCs w:val="20"/>
                <w:lang w:val="es-MX"/>
              </w:rPr>
              <w:t>23</w:t>
            </w:r>
            <w:r w:rsidR="00DB695B" w:rsidRPr="000C12E2">
              <w:rPr>
                <w:rFonts w:ascii="Cambria" w:eastAsia="Cambria" w:hAnsi="Cambria" w:cs="Cambria"/>
                <w:sz w:val="20"/>
                <w:szCs w:val="20"/>
                <w:lang w:val="es-MX"/>
              </w:rPr>
              <w:t xml:space="preserve"> de octubre de 20</w:t>
            </w:r>
            <w:r w:rsidR="005E0569" w:rsidRPr="000C12E2">
              <w:rPr>
                <w:rFonts w:ascii="Cambria" w:eastAsia="Cambria" w:hAnsi="Cambria" w:cs="Cambria"/>
                <w:sz w:val="20"/>
                <w:szCs w:val="20"/>
                <w:lang w:val="es-MX"/>
              </w:rPr>
              <w:t>10</w:t>
            </w:r>
          </w:p>
          <w:p w14:paraId="53659DEE" w14:textId="77777777" w:rsidR="002F57DA" w:rsidRPr="000C12E2" w:rsidRDefault="00E55039">
            <w:pPr>
              <w:pStyle w:val="NoSpacing"/>
              <w:spacing w:after="120" w:line="240" w:lineRule="auto"/>
              <w:jc w:val="both"/>
              <w:rPr>
                <w:rFonts w:ascii="Cambria" w:eastAsia="Cambria" w:hAnsi="Cambria" w:cs="Cambria"/>
                <w:sz w:val="20"/>
                <w:szCs w:val="20"/>
                <w:lang w:val="es-ES_tradnl"/>
              </w:rPr>
            </w:pPr>
            <w:r w:rsidRPr="000C12E2">
              <w:rPr>
                <w:rFonts w:ascii="Cambria" w:eastAsia="Cambria" w:hAnsi="Cambria" w:cs="Cambria"/>
                <w:b/>
                <w:bCs/>
                <w:sz w:val="20"/>
                <w:szCs w:val="20"/>
                <w:lang w:val="es-ES_tradnl"/>
              </w:rPr>
              <w:t>Temas:</w:t>
            </w:r>
            <w:r w:rsidRPr="000C12E2">
              <w:rPr>
                <w:rFonts w:ascii="Cambria" w:eastAsia="Cambria" w:hAnsi="Cambria" w:cs="Cambria"/>
                <w:sz w:val="20"/>
                <w:szCs w:val="20"/>
                <w:lang w:val="es-ES_tradnl"/>
              </w:rPr>
              <w:t xml:space="preserve"> </w:t>
            </w:r>
            <w:r w:rsidR="002F57DA" w:rsidRPr="000C12E2">
              <w:rPr>
                <w:rFonts w:ascii="Cambria" w:eastAsia="Cambria" w:hAnsi="Cambria" w:cs="Cambria"/>
                <w:sz w:val="20"/>
                <w:szCs w:val="20"/>
                <w:lang w:val="es-ES_tradnl"/>
              </w:rPr>
              <w:t>Derecho a la Integridad Personal / Derecho a la Libertad</w:t>
            </w:r>
            <w:r w:rsidR="00B327C9" w:rsidRPr="000C12E2">
              <w:rPr>
                <w:rFonts w:ascii="Cambria" w:eastAsia="Cambria" w:hAnsi="Cambria" w:cs="Cambria"/>
                <w:sz w:val="20"/>
                <w:szCs w:val="20"/>
                <w:lang w:val="es-ES_tradnl"/>
              </w:rPr>
              <w:t xml:space="preserve"> y Seguridad</w:t>
            </w:r>
            <w:r w:rsidR="002F57DA" w:rsidRPr="000C12E2">
              <w:rPr>
                <w:rFonts w:ascii="Cambria" w:eastAsia="Cambria" w:hAnsi="Cambria" w:cs="Cambria"/>
                <w:sz w:val="20"/>
                <w:szCs w:val="20"/>
                <w:lang w:val="es-ES_tradnl"/>
              </w:rPr>
              <w:t xml:space="preserve"> Personal</w:t>
            </w:r>
            <w:r w:rsidR="00B327C9" w:rsidRPr="000C12E2">
              <w:rPr>
                <w:rFonts w:ascii="Cambria" w:eastAsia="Cambria" w:hAnsi="Cambria" w:cs="Cambria"/>
                <w:sz w:val="20"/>
                <w:szCs w:val="20"/>
                <w:lang w:val="es-ES_tradnl"/>
              </w:rPr>
              <w:t>es</w:t>
            </w:r>
            <w:r w:rsidR="002F57DA" w:rsidRPr="000C12E2">
              <w:rPr>
                <w:rFonts w:ascii="Cambria" w:eastAsia="Cambria" w:hAnsi="Cambria" w:cs="Cambria"/>
                <w:sz w:val="20"/>
                <w:szCs w:val="20"/>
                <w:lang w:val="es-ES_tradnl"/>
              </w:rPr>
              <w:t xml:space="preserve"> / </w:t>
            </w:r>
            <w:r w:rsidR="00B327C9" w:rsidRPr="000C12E2">
              <w:rPr>
                <w:rFonts w:ascii="Cambria" w:eastAsia="Cambria" w:hAnsi="Cambria" w:cs="Cambria"/>
                <w:sz w:val="20"/>
                <w:szCs w:val="20"/>
                <w:lang w:val="es-ES_tradnl"/>
              </w:rPr>
              <w:t>Derecho a la Libertad de Circulación y Residencia / Garantías Judiciales / Protección Judicial</w:t>
            </w:r>
          </w:p>
          <w:p w14:paraId="38C92943" w14:textId="77777777" w:rsidR="0011535D" w:rsidRPr="000C12E2" w:rsidRDefault="00E55039" w:rsidP="0061233C">
            <w:pPr>
              <w:pStyle w:val="Default"/>
              <w:spacing w:after="240"/>
              <w:jc w:val="both"/>
              <w:rPr>
                <w:rFonts w:eastAsia="Cambria"/>
                <w:sz w:val="20"/>
                <w:szCs w:val="20"/>
                <w:lang w:val="es-ES_tradnl"/>
              </w:rPr>
            </w:pPr>
            <w:r w:rsidRPr="000C12E2">
              <w:rPr>
                <w:rFonts w:eastAsia="Cambria"/>
                <w:b/>
                <w:bCs/>
                <w:sz w:val="20"/>
                <w:szCs w:val="20"/>
                <w:lang w:val="es-ES_tradnl"/>
              </w:rPr>
              <w:t>Hechos:</w:t>
            </w:r>
            <w:r w:rsidRPr="000C12E2">
              <w:rPr>
                <w:rFonts w:eastAsia="Cambria"/>
                <w:sz w:val="20"/>
                <w:szCs w:val="20"/>
                <w:lang w:val="es-ES_tradnl"/>
              </w:rPr>
              <w:t xml:space="preserve"> </w:t>
            </w:r>
            <w:r w:rsidR="002F57DA" w:rsidRPr="000C12E2">
              <w:rPr>
                <w:rFonts w:eastAsia="Cambria"/>
                <w:sz w:val="20"/>
                <w:szCs w:val="20"/>
                <w:lang w:val="es-ES_tradnl"/>
              </w:rPr>
              <w:t>El caso se refiere a</w:t>
            </w:r>
            <w:r w:rsidR="00B327C9" w:rsidRPr="000C12E2">
              <w:rPr>
                <w:rFonts w:eastAsia="Cambria"/>
                <w:sz w:val="20"/>
                <w:szCs w:val="20"/>
                <w:lang w:val="es-ES_tradnl"/>
              </w:rPr>
              <w:t xml:space="preserve">l secuestro del señor Carlos Arturo Betancourt Estrada, el 14 de noviembre de 1999, por miembros de la guerrilla colombiana. </w:t>
            </w:r>
            <w:r w:rsidR="0061233C" w:rsidRPr="000C12E2">
              <w:rPr>
                <w:rFonts w:eastAsia="Cambria"/>
                <w:sz w:val="20"/>
                <w:szCs w:val="20"/>
                <w:lang w:val="es-ES_tradnl"/>
              </w:rPr>
              <w:t>El señor Betancourt</w:t>
            </w:r>
            <w:r w:rsidR="00B327C9" w:rsidRPr="000C12E2">
              <w:rPr>
                <w:rFonts w:eastAsia="Cambria"/>
                <w:sz w:val="20"/>
                <w:szCs w:val="20"/>
                <w:lang w:val="es-ES_tradnl"/>
              </w:rPr>
              <w:t xml:space="preserve"> </w:t>
            </w:r>
            <w:r w:rsidR="0061233C" w:rsidRPr="000C12E2">
              <w:rPr>
                <w:rFonts w:eastAsia="Cambria"/>
                <w:sz w:val="20"/>
                <w:szCs w:val="20"/>
                <w:lang w:val="es-ES_tradnl"/>
              </w:rPr>
              <w:t>r</w:t>
            </w:r>
            <w:r w:rsidR="00B327C9" w:rsidRPr="000C12E2">
              <w:rPr>
                <w:rFonts w:eastAsia="Cambria"/>
                <w:sz w:val="20"/>
                <w:szCs w:val="20"/>
                <w:lang w:val="es-ES_tradnl"/>
              </w:rPr>
              <w:t xml:space="preserve">ecibió amenazas </w:t>
            </w:r>
            <w:r w:rsidR="0061233C" w:rsidRPr="000C12E2">
              <w:rPr>
                <w:rFonts w:eastAsia="Cambria"/>
                <w:sz w:val="20"/>
                <w:szCs w:val="20"/>
                <w:lang w:val="es-ES_tradnl"/>
              </w:rPr>
              <w:t xml:space="preserve">antes del secuestro, las cuales </w:t>
            </w:r>
            <w:r w:rsidR="00B327C9" w:rsidRPr="000C12E2">
              <w:rPr>
                <w:rFonts w:eastAsia="Cambria"/>
                <w:sz w:val="20"/>
                <w:szCs w:val="20"/>
                <w:lang w:val="es-ES_tradnl"/>
              </w:rPr>
              <w:t xml:space="preserve">fueron debidamente denunciadas, sin lograr obtener protección del Estado. </w:t>
            </w:r>
            <w:r w:rsidR="0061233C" w:rsidRPr="000C12E2">
              <w:rPr>
                <w:rFonts w:eastAsia="Cambria"/>
                <w:sz w:val="20"/>
                <w:szCs w:val="20"/>
                <w:lang w:val="es-ES_tradnl"/>
              </w:rPr>
              <w:t>F</w:t>
            </w:r>
            <w:r w:rsidR="00B327C9" w:rsidRPr="000C12E2">
              <w:rPr>
                <w:rFonts w:eastAsia="Cambria"/>
                <w:sz w:val="20"/>
                <w:szCs w:val="20"/>
                <w:lang w:val="es-ES_tradnl"/>
              </w:rPr>
              <w:t xml:space="preserve">ue liberado el 17 de febrero de 2000, tras lo cual continuaron las amenazas, lo que lo obligó a abandonar el país </w:t>
            </w:r>
            <w:r w:rsidR="0061233C" w:rsidRPr="000C12E2">
              <w:rPr>
                <w:rFonts w:eastAsia="Cambria"/>
                <w:sz w:val="20"/>
                <w:szCs w:val="20"/>
                <w:lang w:val="es-ES_tradnl"/>
              </w:rPr>
              <w:t xml:space="preserve">con miembros de su familia, por miedo a represalias y por la falta de protección de parte del Estado, generando la interrupción de sus planes de vida, profundas aflicciones y pérdidas patrimoniales. Tampoco se logró, a través de la investigación penal, identificar ni sancionar a los responsables. </w:t>
            </w:r>
          </w:p>
          <w:p w14:paraId="03FC1961" w14:textId="77777777" w:rsidR="00A26F35" w:rsidRPr="000C12E2" w:rsidRDefault="00E55039" w:rsidP="0061233C">
            <w:pPr>
              <w:pStyle w:val="Default"/>
              <w:jc w:val="both"/>
              <w:rPr>
                <w:sz w:val="20"/>
                <w:szCs w:val="20"/>
                <w:lang w:val="es-MX"/>
              </w:rPr>
            </w:pPr>
            <w:r w:rsidRPr="000C12E2">
              <w:rPr>
                <w:rFonts w:eastAsia="Cambria"/>
                <w:b/>
                <w:bCs/>
                <w:sz w:val="20"/>
                <w:szCs w:val="20"/>
                <w:lang w:val="es-ES_tradnl"/>
              </w:rPr>
              <w:t>Derechos violados:</w:t>
            </w:r>
            <w:r w:rsidRPr="000C12E2">
              <w:rPr>
                <w:rFonts w:eastAsia="Cambria"/>
                <w:sz w:val="20"/>
                <w:szCs w:val="20"/>
                <w:lang w:val="es-ES_tradnl"/>
              </w:rPr>
              <w:t xml:space="preserve"> </w:t>
            </w:r>
            <w:r w:rsidR="0061233C" w:rsidRPr="000C12E2">
              <w:rPr>
                <w:rFonts w:eastAsia="Cambria"/>
                <w:sz w:val="20"/>
                <w:szCs w:val="20"/>
                <w:lang w:val="es-ES_tradnl"/>
              </w:rPr>
              <w:t xml:space="preserve">la Comisión Interamericana concluyó que el Estado colombiano es responsable por la violación de los artículos 5.1 (derecho a la integridad), 7.1 (libertad y seguridad personales), 22.1 (libre circulación y residencia), 8.1 (garantías judiciales), 25.1 (protección judicial) de la Convención Americana sobre Derechos Humanos, en relación con las obligaciones establecidas en el artículo 1.1 del mismo instrumento, en perjuicio de Carlos Arturo Betancourt Estrada y su familia. </w:t>
            </w:r>
          </w:p>
        </w:tc>
      </w:tr>
    </w:tbl>
    <w:p w14:paraId="5DAB6C7B" w14:textId="77777777" w:rsidR="00A26F35" w:rsidRPr="000C12E2" w:rsidRDefault="00A26F35" w:rsidP="00834462">
      <w:pPr>
        <w:spacing w:after="0" w:line="240" w:lineRule="auto"/>
        <w:rPr>
          <w:rFonts w:ascii="Cambria" w:eastAsia="Cambria" w:hAnsi="Cambria" w:cs="Cambria"/>
          <w:sz w:val="20"/>
          <w:szCs w:val="20"/>
          <w:lang w:val="es-ES_tradnl"/>
        </w:rPr>
      </w:pPr>
    </w:p>
    <w:p w14:paraId="24EFBE3B" w14:textId="77777777" w:rsidR="00A26F35" w:rsidRPr="000C12E2" w:rsidRDefault="00E55039">
      <w:pPr>
        <w:numPr>
          <w:ilvl w:val="0"/>
          <w:numId w:val="3"/>
        </w:numPr>
        <w:spacing w:after="0" w:line="240" w:lineRule="auto"/>
        <w:jc w:val="both"/>
        <w:rPr>
          <w:rFonts w:ascii="Cambria" w:eastAsia="Cambria" w:hAnsi="Cambria" w:cs="Cambria"/>
          <w:b/>
          <w:bCs/>
          <w:sz w:val="20"/>
          <w:szCs w:val="20"/>
        </w:rPr>
      </w:pPr>
      <w:r w:rsidRPr="000C12E2">
        <w:rPr>
          <w:rFonts w:ascii="Cambria" w:eastAsia="Cambria" w:hAnsi="Cambria" w:cs="Cambria"/>
          <w:b/>
          <w:bCs/>
          <w:sz w:val="20"/>
          <w:szCs w:val="20"/>
        </w:rPr>
        <w:t xml:space="preserve">Recomendaciones </w:t>
      </w:r>
    </w:p>
    <w:p w14:paraId="02EB378F" w14:textId="77777777" w:rsidR="00A26F35" w:rsidRPr="000C12E2" w:rsidRDefault="00A26F35">
      <w:pPr>
        <w:spacing w:after="0" w:line="240" w:lineRule="auto"/>
        <w:ind w:left="1080"/>
        <w:jc w:val="both"/>
        <w:rPr>
          <w:rFonts w:ascii="Cambria" w:eastAsia="Cambria" w:hAnsi="Cambria" w:cs="Cambria"/>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20"/>
        <w:gridCol w:w="2520"/>
      </w:tblGrid>
      <w:tr w:rsidR="00A26F35" w:rsidRPr="000C12E2" w14:paraId="3ADF4F6D" w14:textId="77777777">
        <w:trPr>
          <w:trHeight w:val="4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E7ED3" w14:textId="77777777" w:rsidR="00A26F35" w:rsidRPr="000C12E2" w:rsidRDefault="00E55039">
            <w:pPr>
              <w:spacing w:after="0" w:line="240" w:lineRule="auto"/>
              <w:jc w:val="center"/>
              <w:rPr>
                <w:rFonts w:ascii="Cambria" w:hAnsi="Cambria"/>
                <w:sz w:val="18"/>
                <w:szCs w:val="18"/>
              </w:rPr>
            </w:pPr>
            <w:r w:rsidRPr="000C12E2">
              <w:rPr>
                <w:rFonts w:ascii="Cambria" w:eastAsia="Cambria" w:hAnsi="Cambria" w:cs="Cambria"/>
                <w:b/>
                <w:bCs/>
                <w:sz w:val="18"/>
                <w:szCs w:val="18"/>
              </w:rPr>
              <w:t>Recomendaciones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D0DFC" w14:textId="77777777" w:rsidR="00A26F35" w:rsidRPr="000C12E2" w:rsidRDefault="00E55039">
            <w:pPr>
              <w:spacing w:after="0" w:line="240" w:lineRule="auto"/>
              <w:jc w:val="center"/>
              <w:rPr>
                <w:rFonts w:ascii="Cambria" w:hAnsi="Cambria"/>
                <w:sz w:val="18"/>
                <w:szCs w:val="18"/>
                <w:lang w:val="es-MX"/>
              </w:rPr>
            </w:pPr>
            <w:r w:rsidRPr="000C12E2">
              <w:rPr>
                <w:rFonts w:ascii="Cambria" w:eastAsia="Cambria" w:hAnsi="Cambria" w:cs="Cambria"/>
                <w:b/>
                <w:bCs/>
                <w:sz w:val="18"/>
                <w:szCs w:val="18"/>
                <w:lang w:val="es-MX"/>
              </w:rPr>
              <w:t>Estado de cumplimiento en el 20</w:t>
            </w:r>
            <w:r w:rsidR="005B25C9" w:rsidRPr="000C12E2">
              <w:rPr>
                <w:rFonts w:ascii="Cambria" w:eastAsia="Cambria" w:hAnsi="Cambria" w:cs="Cambria"/>
                <w:b/>
                <w:bCs/>
                <w:sz w:val="18"/>
                <w:szCs w:val="18"/>
                <w:lang w:val="es-MX"/>
              </w:rPr>
              <w:t>2</w:t>
            </w:r>
            <w:r w:rsidR="0061233C" w:rsidRPr="000C12E2">
              <w:rPr>
                <w:rFonts w:ascii="Cambria" w:eastAsia="Cambria" w:hAnsi="Cambria" w:cs="Cambria"/>
                <w:b/>
                <w:bCs/>
                <w:sz w:val="18"/>
                <w:szCs w:val="18"/>
                <w:lang w:val="es-MX"/>
              </w:rPr>
              <w:t>1</w:t>
            </w:r>
          </w:p>
        </w:tc>
      </w:tr>
      <w:tr w:rsidR="00A26F35" w:rsidRPr="000C12E2" w14:paraId="01E5817E" w14:textId="77777777">
        <w:trPr>
          <w:trHeight w:val="6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FEDBE" w14:textId="77777777" w:rsidR="00A26F35" w:rsidRPr="000C12E2" w:rsidRDefault="00E55039" w:rsidP="0061233C">
            <w:pPr>
              <w:pStyle w:val="Default"/>
              <w:jc w:val="both"/>
              <w:rPr>
                <w:sz w:val="18"/>
                <w:szCs w:val="18"/>
                <w:lang w:val="es-CO"/>
              </w:rPr>
            </w:pPr>
            <w:r w:rsidRPr="000C12E2">
              <w:rPr>
                <w:rFonts w:eastAsia="Cambria"/>
                <w:sz w:val="18"/>
                <w:szCs w:val="18"/>
                <w:lang w:val="es-ES_tradnl"/>
              </w:rPr>
              <w:t xml:space="preserve">1. </w:t>
            </w:r>
            <w:r w:rsidR="0061233C" w:rsidRPr="000C12E2">
              <w:rPr>
                <w:sz w:val="18"/>
                <w:szCs w:val="18"/>
                <w:lang w:val="es-CO"/>
              </w:rPr>
              <w:t>Reparar integralmente las violaciones de derechos humanos declaradas en el informe de fondo, tanto en el aspecto material como inmaterial. El Estado deberá adoptar las medidas de compensación económica y satisfacción a favor de las víctimas.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DFFD0" w14:textId="77777777" w:rsidR="00A26F35" w:rsidRPr="000C12E2" w:rsidRDefault="0061233C">
            <w:pPr>
              <w:spacing w:after="0" w:line="240" w:lineRule="auto"/>
              <w:jc w:val="center"/>
              <w:rPr>
                <w:rFonts w:ascii="Cambria" w:hAnsi="Cambria"/>
                <w:sz w:val="18"/>
                <w:szCs w:val="18"/>
              </w:rPr>
            </w:pPr>
            <w:r w:rsidRPr="000C12E2">
              <w:rPr>
                <w:rFonts w:ascii="Cambria" w:eastAsia="Cambria" w:hAnsi="Cambria" w:cs="Cambria"/>
                <w:sz w:val="18"/>
                <w:szCs w:val="18"/>
                <w:lang w:val="es-ES_tradnl"/>
              </w:rPr>
              <w:t>Pendiente de cumplimiento</w:t>
            </w:r>
          </w:p>
        </w:tc>
      </w:tr>
      <w:tr w:rsidR="00A26F35" w:rsidRPr="000C12E2" w14:paraId="1B3AC054" w14:textId="77777777">
        <w:trPr>
          <w:trHeight w:val="4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AF528" w14:textId="77777777" w:rsidR="00A26F35" w:rsidRPr="000C12E2" w:rsidRDefault="00E55039" w:rsidP="0061233C">
            <w:pPr>
              <w:spacing w:after="0" w:line="240" w:lineRule="auto"/>
              <w:jc w:val="both"/>
              <w:rPr>
                <w:rFonts w:ascii="Cambria" w:hAnsi="Cambria"/>
                <w:sz w:val="18"/>
                <w:szCs w:val="18"/>
              </w:rPr>
            </w:pPr>
            <w:r w:rsidRPr="000C12E2">
              <w:rPr>
                <w:rFonts w:ascii="Cambria" w:eastAsia="Cambria" w:hAnsi="Cambria" w:cs="Cambria"/>
                <w:sz w:val="18"/>
                <w:szCs w:val="18"/>
                <w:lang w:val="es-ES_tradnl"/>
              </w:rPr>
              <w:t xml:space="preserve">2. </w:t>
            </w:r>
            <w:r w:rsidR="0061233C" w:rsidRPr="000C12E2">
              <w:rPr>
                <w:rFonts w:ascii="Cambria" w:hAnsi="Cambria"/>
                <w:sz w:val="18"/>
                <w:szCs w:val="18"/>
              </w:rPr>
              <w:t>Disponer las medidas de atención en salud mental necesarias para la rehabilitación de Carlos Arturo</w:t>
            </w:r>
            <w:r w:rsidR="00962765" w:rsidRPr="000C12E2">
              <w:rPr>
                <w:rFonts w:ascii="Cambria" w:hAnsi="Cambria"/>
                <w:sz w:val="18"/>
                <w:szCs w:val="18"/>
              </w:rPr>
              <w:t xml:space="preserve"> </w:t>
            </w:r>
            <w:r w:rsidR="0061233C" w:rsidRPr="000C12E2">
              <w:rPr>
                <w:rFonts w:ascii="Cambria" w:hAnsi="Cambria"/>
                <w:sz w:val="18"/>
                <w:szCs w:val="18"/>
              </w:rPr>
              <w:t>Betancourt Estrada y los miembros de su familia,</w:t>
            </w:r>
            <w:r w:rsidR="00962765" w:rsidRPr="000C12E2">
              <w:rPr>
                <w:rFonts w:ascii="Cambria" w:hAnsi="Cambria"/>
                <w:sz w:val="18"/>
                <w:szCs w:val="18"/>
              </w:rPr>
              <w:t xml:space="preserve"> </w:t>
            </w:r>
            <w:r w:rsidR="0061233C" w:rsidRPr="000C12E2">
              <w:rPr>
                <w:rFonts w:ascii="Cambria" w:hAnsi="Cambria"/>
                <w:sz w:val="18"/>
                <w:szCs w:val="18"/>
              </w:rPr>
              <w:t>de ser su voluntad y de manera concertada.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9A976" w14:textId="77777777" w:rsidR="00A26F35" w:rsidRPr="000C12E2" w:rsidRDefault="00AA4450">
            <w:pPr>
              <w:spacing w:after="0" w:line="240" w:lineRule="auto"/>
              <w:jc w:val="center"/>
              <w:rPr>
                <w:rFonts w:ascii="Cambria" w:hAnsi="Cambria"/>
                <w:sz w:val="18"/>
                <w:szCs w:val="18"/>
              </w:rPr>
            </w:pPr>
            <w:r w:rsidRPr="000C12E2">
              <w:rPr>
                <w:rFonts w:ascii="Cambria" w:eastAsia="Cambria" w:hAnsi="Cambria" w:cs="Cambria"/>
                <w:sz w:val="18"/>
                <w:szCs w:val="18"/>
                <w:lang w:val="es-ES_tradnl"/>
              </w:rPr>
              <w:t>Cumplimiento parcial</w:t>
            </w:r>
          </w:p>
        </w:tc>
      </w:tr>
      <w:tr w:rsidR="00A26F35" w:rsidRPr="000C12E2" w14:paraId="787182B9" w14:textId="77777777">
        <w:trPr>
          <w:trHeight w:val="6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D3FFD" w14:textId="77777777" w:rsidR="00A26F35" w:rsidRPr="000C12E2" w:rsidRDefault="00E55039" w:rsidP="00962765">
            <w:pPr>
              <w:spacing w:after="0" w:line="240" w:lineRule="auto"/>
              <w:jc w:val="both"/>
              <w:rPr>
                <w:rFonts w:ascii="Cambria" w:hAnsi="Cambria"/>
                <w:sz w:val="18"/>
                <w:szCs w:val="18"/>
              </w:rPr>
            </w:pPr>
            <w:r w:rsidRPr="000C12E2">
              <w:rPr>
                <w:rFonts w:ascii="Cambria" w:eastAsia="Cambria" w:hAnsi="Cambria" w:cs="Cambria"/>
                <w:sz w:val="18"/>
                <w:szCs w:val="18"/>
                <w:lang w:val="es-ES_tradnl"/>
              </w:rPr>
              <w:t xml:space="preserve">3. </w:t>
            </w:r>
            <w:r w:rsidR="00962765" w:rsidRPr="000C12E2">
              <w:rPr>
                <w:rFonts w:ascii="Cambria" w:hAnsi="Cambria"/>
                <w:sz w:val="18"/>
                <w:szCs w:val="18"/>
              </w:rPr>
              <w:t>Continuar 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informe de fondo.</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5B91C" w14:textId="77777777" w:rsidR="00A26F35" w:rsidRPr="000C12E2" w:rsidRDefault="001B4515" w:rsidP="001B4515">
            <w:pPr>
              <w:spacing w:after="0" w:line="240" w:lineRule="auto"/>
              <w:jc w:val="center"/>
              <w:rPr>
                <w:rFonts w:ascii="Cambria" w:hAnsi="Cambria"/>
                <w:sz w:val="18"/>
                <w:szCs w:val="18"/>
              </w:rPr>
            </w:pPr>
            <w:r w:rsidRPr="000C12E2">
              <w:rPr>
                <w:rFonts w:ascii="Cambria" w:eastAsia="Cambria" w:hAnsi="Cambria" w:cs="Cambria"/>
                <w:sz w:val="18"/>
                <w:szCs w:val="18"/>
                <w:lang w:val="es-ES_tradnl"/>
              </w:rPr>
              <w:t>Pendiente de cumplimiento</w:t>
            </w:r>
          </w:p>
        </w:tc>
      </w:tr>
    </w:tbl>
    <w:p w14:paraId="6A05A809" w14:textId="77777777" w:rsidR="00962765" w:rsidRPr="000C12E2" w:rsidRDefault="00962765">
      <w:pPr>
        <w:spacing w:after="0" w:line="240" w:lineRule="auto"/>
        <w:jc w:val="both"/>
        <w:rPr>
          <w:rFonts w:ascii="Cambria" w:eastAsia="Cambria" w:hAnsi="Cambria" w:cs="Cambria"/>
          <w:sz w:val="20"/>
          <w:szCs w:val="20"/>
        </w:rPr>
      </w:pPr>
    </w:p>
    <w:p w14:paraId="53C3CCD7" w14:textId="77777777" w:rsidR="00A26F35" w:rsidRPr="000C12E2" w:rsidRDefault="00E55039">
      <w:pPr>
        <w:pStyle w:val="ListParagraph"/>
        <w:numPr>
          <w:ilvl w:val="0"/>
          <w:numId w:val="4"/>
        </w:numPr>
        <w:spacing w:after="0" w:line="240" w:lineRule="auto"/>
        <w:jc w:val="both"/>
        <w:rPr>
          <w:rFonts w:ascii="Cambria" w:eastAsia="Cambria" w:hAnsi="Cambria" w:cs="Cambria"/>
          <w:b/>
          <w:bCs/>
          <w:sz w:val="20"/>
          <w:szCs w:val="20"/>
          <w:lang w:val="es-ES_tradnl"/>
        </w:rPr>
      </w:pPr>
      <w:r w:rsidRPr="000C12E2">
        <w:rPr>
          <w:rFonts w:ascii="Cambria" w:eastAsia="Cambria" w:hAnsi="Cambria" w:cs="Cambria"/>
          <w:b/>
          <w:bCs/>
          <w:sz w:val="20"/>
          <w:szCs w:val="20"/>
          <w:lang w:val="es-ES_tradnl"/>
        </w:rPr>
        <w:t>Actividad Procesal</w:t>
      </w:r>
    </w:p>
    <w:p w14:paraId="5A39BBE3" w14:textId="77777777" w:rsidR="00AD498E" w:rsidRPr="000C12E2" w:rsidRDefault="00AD498E" w:rsidP="00AD498E">
      <w:pPr>
        <w:pStyle w:val="BlockText"/>
        <w:spacing w:before="0" w:beforeAutospacing="0" w:after="0" w:afterAutospacing="0"/>
        <w:jc w:val="both"/>
        <w:rPr>
          <w:rFonts w:ascii="Cambria" w:eastAsia="Cambria" w:hAnsi="Cambria" w:cs="Cambria"/>
          <w:color w:val="000000"/>
          <w:sz w:val="20"/>
          <w:szCs w:val="20"/>
          <w:lang w:val="es-ES_tradnl"/>
        </w:rPr>
      </w:pPr>
    </w:p>
    <w:p w14:paraId="407144D1" w14:textId="77777777" w:rsidR="00B40453" w:rsidRPr="000C12E2" w:rsidRDefault="00B40453" w:rsidP="00962765">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0C12E2">
        <w:rPr>
          <w:rFonts w:ascii="Cambria" w:eastAsia="Cambria" w:hAnsi="Cambria" w:cs="Cambria"/>
          <w:color w:val="000000"/>
          <w:sz w:val="20"/>
          <w:szCs w:val="20"/>
          <w:lang w:val="es-ES_tradnl"/>
        </w:rPr>
        <w:t xml:space="preserve">En 2020, el Estado presentó información a la Comisión sobre el cumplimiento de las recomendaciones del Informe de Fondo </w:t>
      </w:r>
      <w:proofErr w:type="spellStart"/>
      <w:r w:rsidRPr="000C12E2">
        <w:rPr>
          <w:rFonts w:ascii="Cambria" w:hAnsi="Cambria" w:cs="Calibri Light"/>
          <w:color w:val="000000"/>
          <w:sz w:val="20"/>
          <w:szCs w:val="20"/>
          <w:lang w:val="es-ES"/>
        </w:rPr>
        <w:t>Nº</w:t>
      </w:r>
      <w:proofErr w:type="spellEnd"/>
      <w:r w:rsidRPr="000C12E2">
        <w:rPr>
          <w:rFonts w:ascii="Cambria" w:hAnsi="Cambria" w:cs="Calibri Light"/>
          <w:color w:val="000000"/>
          <w:sz w:val="20"/>
          <w:szCs w:val="20"/>
          <w:lang w:val="es-ES"/>
        </w:rPr>
        <w:t xml:space="preserve"> 25/20</w:t>
      </w:r>
      <w:r w:rsidR="00F57C38" w:rsidRPr="000C12E2">
        <w:rPr>
          <w:rFonts w:ascii="Cambria" w:hAnsi="Cambria" w:cs="Calibri Light"/>
          <w:color w:val="000000"/>
          <w:sz w:val="20"/>
          <w:szCs w:val="20"/>
          <w:lang w:val="es-ES"/>
        </w:rPr>
        <w:t xml:space="preserve"> los días 17 y 28 de agosto</w:t>
      </w:r>
      <w:r w:rsidRPr="000C12E2">
        <w:rPr>
          <w:rFonts w:ascii="Cambria" w:hAnsi="Cambria" w:cs="Calibri Light"/>
          <w:color w:val="000000"/>
          <w:sz w:val="20"/>
          <w:szCs w:val="20"/>
          <w:lang w:val="es-ES"/>
        </w:rPr>
        <w:t xml:space="preserve">. </w:t>
      </w:r>
    </w:p>
    <w:p w14:paraId="41C8F396" w14:textId="77777777" w:rsidR="00B40453" w:rsidRPr="000C12E2" w:rsidRDefault="00B40453" w:rsidP="00B40453">
      <w:pPr>
        <w:pStyle w:val="BlockText"/>
        <w:spacing w:before="0" w:beforeAutospacing="0" w:after="0" w:afterAutospacing="0"/>
        <w:ind w:left="720"/>
        <w:jc w:val="both"/>
        <w:rPr>
          <w:rFonts w:ascii="Cambria" w:eastAsia="Cambria" w:hAnsi="Cambria" w:cs="Cambria"/>
          <w:color w:val="000000"/>
          <w:sz w:val="20"/>
          <w:szCs w:val="20"/>
          <w:lang w:val="es-ES_tradnl"/>
        </w:rPr>
      </w:pPr>
    </w:p>
    <w:p w14:paraId="72438FCE" w14:textId="77777777" w:rsidR="00962765" w:rsidRPr="000C12E2" w:rsidRDefault="00AD498E" w:rsidP="00834462">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0C12E2">
        <w:rPr>
          <w:rFonts w:ascii="Cambria" w:eastAsia="Cambria" w:hAnsi="Cambria" w:cs="Cambria"/>
          <w:color w:val="000000"/>
          <w:sz w:val="20"/>
          <w:szCs w:val="20"/>
          <w:lang w:val="es-ES"/>
        </w:rPr>
        <w:t xml:space="preserve">El 16 de agosto de 2021, </w:t>
      </w:r>
      <w:r w:rsidRPr="000C12E2">
        <w:rPr>
          <w:rFonts w:ascii="Cambria" w:hAnsi="Cambria" w:cs="Calibri Light"/>
          <w:color w:val="000000"/>
          <w:sz w:val="20"/>
          <w:szCs w:val="20"/>
          <w:lang w:val="es-ES"/>
        </w:rPr>
        <w:t xml:space="preserve">la CIDH </w:t>
      </w:r>
      <w:r w:rsidRPr="000C12E2">
        <w:rPr>
          <w:rFonts w:ascii="Cambria" w:eastAsia="Cambria" w:hAnsi="Cambria" w:cs="Cambria"/>
          <w:color w:val="000000"/>
          <w:sz w:val="20"/>
          <w:szCs w:val="20"/>
          <w:lang w:val="es-ES_tradnl"/>
        </w:rPr>
        <w:t xml:space="preserve">solicitó al Estado </w:t>
      </w:r>
      <w:r w:rsidR="00962765" w:rsidRPr="000C12E2">
        <w:rPr>
          <w:rFonts w:ascii="Cambria" w:eastAsia="Cambria" w:hAnsi="Cambria" w:cs="Cambria"/>
          <w:color w:val="000000"/>
          <w:sz w:val="20"/>
          <w:szCs w:val="20"/>
          <w:lang w:val="es-ES_tradnl"/>
        </w:rPr>
        <w:t xml:space="preserve">información actualizada sobre el cumplimiento de las recomendaciones. El Estado presentó dicha información </w:t>
      </w:r>
      <w:r w:rsidR="00F57C38" w:rsidRPr="000C12E2">
        <w:rPr>
          <w:rFonts w:ascii="Cambria" w:eastAsia="Cambria" w:hAnsi="Cambria" w:cs="Cambria"/>
          <w:color w:val="000000"/>
          <w:sz w:val="20"/>
          <w:szCs w:val="20"/>
          <w:lang w:val="es-ES_tradnl"/>
        </w:rPr>
        <w:t>los días</w:t>
      </w:r>
      <w:r w:rsidR="00962765" w:rsidRPr="000C12E2">
        <w:rPr>
          <w:rFonts w:ascii="Cambria" w:eastAsia="Cambria" w:hAnsi="Cambria" w:cs="Cambria"/>
          <w:color w:val="000000"/>
          <w:sz w:val="20"/>
          <w:szCs w:val="20"/>
          <w:lang w:val="es-ES_tradnl"/>
        </w:rPr>
        <w:t xml:space="preserve"> 1</w:t>
      </w:r>
      <w:r w:rsidR="00F57C38" w:rsidRPr="000C12E2">
        <w:rPr>
          <w:rFonts w:ascii="Cambria" w:eastAsia="Cambria" w:hAnsi="Cambria" w:cs="Cambria"/>
          <w:color w:val="000000"/>
          <w:sz w:val="20"/>
          <w:szCs w:val="20"/>
          <w:lang w:val="es-ES_tradnl"/>
        </w:rPr>
        <w:t>4</w:t>
      </w:r>
      <w:r w:rsidR="00962765" w:rsidRPr="000C12E2">
        <w:rPr>
          <w:rFonts w:ascii="Cambria" w:eastAsia="Cambria" w:hAnsi="Cambria" w:cs="Cambria"/>
          <w:color w:val="000000"/>
          <w:sz w:val="20"/>
          <w:szCs w:val="20"/>
          <w:lang w:val="es-ES_tradnl"/>
        </w:rPr>
        <w:t xml:space="preserve"> </w:t>
      </w:r>
      <w:r w:rsidR="00F57C38" w:rsidRPr="000C12E2">
        <w:rPr>
          <w:rFonts w:ascii="Cambria" w:eastAsia="Cambria" w:hAnsi="Cambria" w:cs="Cambria"/>
          <w:color w:val="000000"/>
          <w:sz w:val="20"/>
          <w:szCs w:val="20"/>
          <w:lang w:val="es-ES_tradnl"/>
        </w:rPr>
        <w:t xml:space="preserve">y 29 </w:t>
      </w:r>
      <w:r w:rsidR="00962765" w:rsidRPr="000C12E2">
        <w:rPr>
          <w:rFonts w:ascii="Cambria" w:eastAsia="Cambria" w:hAnsi="Cambria" w:cs="Cambria"/>
          <w:color w:val="000000"/>
          <w:sz w:val="20"/>
          <w:szCs w:val="20"/>
          <w:lang w:val="es-ES_tradnl"/>
        </w:rPr>
        <w:t>de octubre de 2021.</w:t>
      </w:r>
    </w:p>
    <w:p w14:paraId="3C8A276E" w14:textId="77777777" w:rsidR="00962765" w:rsidRPr="000C12E2" w:rsidRDefault="00962765" w:rsidP="00962765">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0C12E2">
        <w:rPr>
          <w:rFonts w:ascii="Cambria" w:eastAsia="Cambria" w:hAnsi="Cambria" w:cs="Cambria"/>
          <w:color w:val="000000"/>
          <w:sz w:val="20"/>
          <w:szCs w:val="20"/>
          <w:lang w:val="es-ES_tradnl"/>
        </w:rPr>
        <w:t xml:space="preserve">El 16 de agosto de 2021, la CIDH solicitó a los peticionarios información actualizada sobre el cumplimiento de las recomendaciones. </w:t>
      </w:r>
      <w:r w:rsidR="00A027ED" w:rsidRPr="000C12E2">
        <w:rPr>
          <w:rFonts w:ascii="Cambria" w:eastAsia="Cambria" w:hAnsi="Cambria" w:cs="Cambria"/>
          <w:color w:val="000000"/>
          <w:sz w:val="20"/>
          <w:szCs w:val="20"/>
          <w:lang w:val="es-ES_tradnl"/>
        </w:rPr>
        <w:t xml:space="preserve">A la fecha del cierre de este informe, la parte peticionaria no había presentado esta información. </w:t>
      </w:r>
    </w:p>
    <w:p w14:paraId="72A3D3EC" w14:textId="77777777" w:rsidR="00A26F35" w:rsidRPr="000C12E2" w:rsidRDefault="00A26F35">
      <w:pPr>
        <w:spacing w:after="0" w:line="240" w:lineRule="auto"/>
        <w:jc w:val="both"/>
        <w:rPr>
          <w:rFonts w:ascii="Cambria" w:eastAsia="Cambria" w:hAnsi="Cambria" w:cs="Cambria"/>
          <w:sz w:val="20"/>
          <w:szCs w:val="20"/>
          <w:lang w:val="es-ES_tradnl"/>
        </w:rPr>
      </w:pPr>
    </w:p>
    <w:p w14:paraId="40C194C5" w14:textId="77777777" w:rsidR="00FA0F59" w:rsidRPr="000C12E2" w:rsidRDefault="00E55039" w:rsidP="00962765">
      <w:pPr>
        <w:pStyle w:val="ListParagraph"/>
        <w:numPr>
          <w:ilvl w:val="0"/>
          <w:numId w:val="7"/>
        </w:numPr>
        <w:spacing w:after="0" w:line="240" w:lineRule="auto"/>
        <w:rPr>
          <w:rFonts w:ascii="Cambria" w:eastAsia="Cambria" w:hAnsi="Cambria" w:cs="Cambria"/>
          <w:b/>
          <w:bCs/>
          <w:sz w:val="20"/>
          <w:szCs w:val="20"/>
          <w:lang w:val="es-ES_tradnl"/>
        </w:rPr>
      </w:pPr>
      <w:r w:rsidRPr="000C12E2">
        <w:rPr>
          <w:rFonts w:ascii="Cambria" w:eastAsia="Cambria" w:hAnsi="Cambria" w:cs="Cambria"/>
          <w:b/>
          <w:bCs/>
          <w:sz w:val="20"/>
          <w:szCs w:val="20"/>
          <w:lang w:val="es-ES_tradnl"/>
        </w:rPr>
        <w:t>Análisis relativo a la información proporcionada</w:t>
      </w:r>
      <w:r w:rsidRPr="000C12E2">
        <w:rPr>
          <w:rFonts w:ascii="Cambria" w:eastAsia="Cambria" w:hAnsi="Cambria" w:cs="Cambria"/>
          <w:b/>
          <w:bCs/>
          <w:sz w:val="20"/>
          <w:szCs w:val="20"/>
          <w:lang w:val="es-ES_tradnl"/>
        </w:rPr>
        <w:br/>
      </w:r>
    </w:p>
    <w:p w14:paraId="1725D7C2" w14:textId="77777777" w:rsidR="00FA0F59" w:rsidRPr="000C12E2" w:rsidRDefault="00FA0F59" w:rsidP="00FA0F59">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0C12E2">
        <w:rPr>
          <w:rFonts w:ascii="Cambria" w:hAnsi="Cambria" w:cs="Calibri Light"/>
          <w:color w:val="000000"/>
          <w:sz w:val="20"/>
          <w:szCs w:val="20"/>
          <w:lang w:val="es-ES"/>
        </w:rPr>
        <w:t xml:space="preserve">La Comisión considera que la información proporcionada por </w:t>
      </w:r>
      <w:r w:rsidR="00962765" w:rsidRPr="000C12E2">
        <w:rPr>
          <w:rFonts w:ascii="Cambria" w:hAnsi="Cambria" w:cs="Calibri Light"/>
          <w:color w:val="000000"/>
          <w:sz w:val="20"/>
          <w:szCs w:val="20"/>
          <w:lang w:val="es-ES"/>
        </w:rPr>
        <w:t>el Estado</w:t>
      </w:r>
      <w:r w:rsidRPr="000C12E2">
        <w:rPr>
          <w:rFonts w:ascii="Cambria" w:hAnsi="Cambria" w:cs="Calibri Light"/>
          <w:color w:val="000000"/>
          <w:sz w:val="20"/>
          <w:szCs w:val="20"/>
          <w:lang w:val="es-ES"/>
        </w:rPr>
        <w:t xml:space="preserve"> en</w:t>
      </w:r>
      <w:r w:rsidR="00855AEB" w:rsidRPr="000C12E2">
        <w:rPr>
          <w:rFonts w:ascii="Cambria" w:hAnsi="Cambria" w:cs="Calibri Light"/>
          <w:color w:val="000000"/>
          <w:sz w:val="20"/>
          <w:szCs w:val="20"/>
          <w:lang w:val="es-ES"/>
        </w:rPr>
        <w:t xml:space="preserve"> 2020 y</w:t>
      </w:r>
      <w:r w:rsidRPr="000C12E2">
        <w:rPr>
          <w:rFonts w:ascii="Cambria" w:hAnsi="Cambria" w:cs="Calibri Light"/>
          <w:color w:val="000000"/>
          <w:sz w:val="20"/>
          <w:szCs w:val="20"/>
          <w:lang w:val="es-ES"/>
        </w:rPr>
        <w:t xml:space="preserve"> 2021 es relevante </w:t>
      </w:r>
      <w:r w:rsidRPr="000C12E2">
        <w:rPr>
          <w:rFonts w:ascii="Cambria" w:hAnsi="Cambria"/>
          <w:color w:val="000000"/>
          <w:sz w:val="20"/>
          <w:szCs w:val="20"/>
          <w:lang w:val="es-US"/>
        </w:rPr>
        <w:t>sobre medidas adoptadas relativas al cumplimiento de al menos una de las recomendaciones emitidas en el Informe</w:t>
      </w:r>
      <w:r w:rsidRPr="000C12E2">
        <w:rPr>
          <w:rFonts w:ascii="Cambria" w:hAnsi="Cambria" w:cs="Calibri Light"/>
          <w:color w:val="000000"/>
          <w:sz w:val="20"/>
          <w:szCs w:val="20"/>
          <w:lang w:val="es-ES"/>
        </w:rPr>
        <w:t xml:space="preserve"> </w:t>
      </w:r>
      <w:proofErr w:type="spellStart"/>
      <w:r w:rsidRPr="000C12E2">
        <w:rPr>
          <w:rFonts w:ascii="Cambria" w:hAnsi="Cambria" w:cs="Calibri Light"/>
          <w:color w:val="000000"/>
          <w:sz w:val="20"/>
          <w:szCs w:val="20"/>
          <w:lang w:val="es-ES"/>
        </w:rPr>
        <w:t>Nº</w:t>
      </w:r>
      <w:proofErr w:type="spellEnd"/>
      <w:r w:rsidRPr="000C12E2">
        <w:rPr>
          <w:rFonts w:ascii="Cambria" w:hAnsi="Cambria" w:cs="Calibri Light"/>
          <w:color w:val="000000"/>
          <w:sz w:val="20"/>
          <w:szCs w:val="20"/>
          <w:lang w:val="es-ES"/>
        </w:rPr>
        <w:t xml:space="preserve"> </w:t>
      </w:r>
      <w:r w:rsidR="00962765" w:rsidRPr="000C12E2">
        <w:rPr>
          <w:rFonts w:ascii="Cambria" w:hAnsi="Cambria" w:cs="Calibri Light"/>
          <w:color w:val="000000"/>
          <w:sz w:val="20"/>
          <w:szCs w:val="20"/>
          <w:lang w:val="es-ES"/>
        </w:rPr>
        <w:t>25</w:t>
      </w:r>
      <w:r w:rsidRPr="000C12E2">
        <w:rPr>
          <w:rFonts w:ascii="Cambria" w:hAnsi="Cambria" w:cs="Calibri Light"/>
          <w:color w:val="000000"/>
          <w:sz w:val="20"/>
          <w:szCs w:val="20"/>
          <w:lang w:val="es-ES"/>
        </w:rPr>
        <w:t>/</w:t>
      </w:r>
      <w:r w:rsidR="00962765" w:rsidRPr="000C12E2">
        <w:rPr>
          <w:rFonts w:ascii="Cambria" w:hAnsi="Cambria" w:cs="Calibri Light"/>
          <w:color w:val="000000"/>
          <w:sz w:val="20"/>
          <w:szCs w:val="20"/>
          <w:lang w:val="es-ES"/>
        </w:rPr>
        <w:t>20</w:t>
      </w:r>
      <w:r w:rsidRPr="000C12E2">
        <w:rPr>
          <w:rFonts w:ascii="Cambria" w:hAnsi="Cambria" w:cs="Calibri Light"/>
          <w:color w:val="000000"/>
          <w:sz w:val="20"/>
          <w:szCs w:val="20"/>
          <w:lang w:val="es-ES"/>
        </w:rPr>
        <w:t xml:space="preserve">. </w:t>
      </w:r>
      <w:r w:rsidRPr="000C12E2">
        <w:rPr>
          <w:rFonts w:ascii="Cambria" w:eastAsia="Cambria" w:hAnsi="Cambria" w:cs="Cambria"/>
          <w:color w:val="000000"/>
          <w:sz w:val="20"/>
          <w:szCs w:val="20"/>
          <w:lang w:val="es-ES_tradnl"/>
        </w:rPr>
        <w:t xml:space="preserve"> </w:t>
      </w:r>
    </w:p>
    <w:p w14:paraId="0D0B940D" w14:textId="77777777" w:rsidR="00A26F35" w:rsidRPr="000C12E2" w:rsidRDefault="00A26F35">
      <w:pPr>
        <w:spacing w:after="0" w:line="240" w:lineRule="auto"/>
        <w:jc w:val="both"/>
        <w:rPr>
          <w:rFonts w:ascii="Cambria" w:eastAsia="Cambria" w:hAnsi="Cambria" w:cs="Cambria"/>
          <w:b/>
          <w:bCs/>
          <w:sz w:val="20"/>
          <w:szCs w:val="20"/>
          <w:lang w:val="es-ES_tradnl"/>
        </w:rPr>
      </w:pPr>
    </w:p>
    <w:p w14:paraId="3278B065" w14:textId="77777777" w:rsidR="00A26F35" w:rsidRPr="000C12E2" w:rsidRDefault="00E55039">
      <w:pPr>
        <w:pStyle w:val="ListParagraph"/>
        <w:numPr>
          <w:ilvl w:val="0"/>
          <w:numId w:val="9"/>
        </w:numPr>
        <w:spacing w:after="0" w:line="240" w:lineRule="auto"/>
        <w:jc w:val="both"/>
        <w:rPr>
          <w:rFonts w:ascii="Cambria" w:eastAsia="Cambria" w:hAnsi="Cambria" w:cs="Cambria"/>
          <w:b/>
          <w:bCs/>
          <w:sz w:val="20"/>
          <w:szCs w:val="20"/>
          <w:lang w:val="es-MX"/>
        </w:rPr>
      </w:pPr>
      <w:r w:rsidRPr="000C12E2">
        <w:rPr>
          <w:rFonts w:ascii="Cambria" w:eastAsia="Cambria" w:hAnsi="Cambria" w:cs="Cambria"/>
          <w:b/>
          <w:bCs/>
          <w:sz w:val="20"/>
          <w:szCs w:val="20"/>
          <w:lang w:val="es-MX"/>
        </w:rPr>
        <w:t>Análisis del cumplimiento de las recomendaciones</w:t>
      </w:r>
    </w:p>
    <w:p w14:paraId="0E27B00A" w14:textId="77777777" w:rsidR="00A26F35" w:rsidRPr="000C12E2" w:rsidRDefault="00A26F35" w:rsidP="00486174">
      <w:pPr>
        <w:spacing w:after="0" w:line="240" w:lineRule="auto"/>
        <w:jc w:val="both"/>
        <w:rPr>
          <w:rFonts w:ascii="Cambria" w:eastAsia="Cambria" w:hAnsi="Cambria" w:cs="Cambria"/>
          <w:sz w:val="20"/>
          <w:szCs w:val="20"/>
          <w:lang w:val="es-MX"/>
        </w:rPr>
      </w:pPr>
    </w:p>
    <w:p w14:paraId="29975504" w14:textId="77777777" w:rsidR="00FA0F59" w:rsidRPr="000C12E2" w:rsidRDefault="00E931D4" w:rsidP="002F3A90">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eastAsia="Cambria" w:hAnsi="Cambria" w:cs="Cambria"/>
          <w:b/>
          <w:bCs/>
          <w:color w:val="000000"/>
          <w:sz w:val="20"/>
          <w:szCs w:val="20"/>
          <w:lang w:val="es-MX"/>
        </w:rPr>
        <w:t>Respecto a la primera recomendación</w:t>
      </w:r>
      <w:r w:rsidRPr="000C12E2">
        <w:rPr>
          <w:rFonts w:ascii="Cambria" w:eastAsia="Cambria" w:hAnsi="Cambria" w:cs="Cambria"/>
          <w:color w:val="000000"/>
          <w:sz w:val="20"/>
          <w:szCs w:val="20"/>
          <w:lang w:val="es-MX"/>
        </w:rPr>
        <w:t xml:space="preserve">, </w:t>
      </w:r>
      <w:r w:rsidR="00645C0E" w:rsidRPr="000C12E2">
        <w:rPr>
          <w:rFonts w:ascii="Cambria" w:hAnsi="Cambria" w:cs="Calibri Light"/>
          <w:color w:val="000000"/>
          <w:sz w:val="20"/>
          <w:szCs w:val="20"/>
          <w:lang w:val="es-ES"/>
        </w:rPr>
        <w:t>e</w:t>
      </w:r>
      <w:r w:rsidR="00DD6EEC" w:rsidRPr="000C12E2">
        <w:rPr>
          <w:rFonts w:ascii="Cambria" w:eastAsia="Cambria" w:hAnsi="Cambria" w:cs="Cambria"/>
          <w:color w:val="000000"/>
          <w:sz w:val="20"/>
          <w:szCs w:val="20"/>
          <w:lang w:val="es-MX"/>
        </w:rPr>
        <w:t xml:space="preserve">n </w:t>
      </w:r>
      <w:r w:rsidR="00962765" w:rsidRPr="000C12E2">
        <w:rPr>
          <w:rFonts w:ascii="Cambria" w:eastAsia="Cambria" w:hAnsi="Cambria" w:cs="Cambria"/>
          <w:color w:val="000000"/>
          <w:sz w:val="20"/>
          <w:szCs w:val="20"/>
          <w:lang w:val="es-MX"/>
        </w:rPr>
        <w:t>2021, el Estado informó que</w:t>
      </w:r>
      <w:r w:rsidR="00836CF1" w:rsidRPr="000C12E2">
        <w:rPr>
          <w:rFonts w:ascii="Cambria" w:eastAsia="Cambria" w:hAnsi="Cambria" w:cs="Cambria"/>
          <w:color w:val="000000"/>
          <w:sz w:val="20"/>
          <w:szCs w:val="20"/>
          <w:lang w:val="es-MX"/>
        </w:rPr>
        <w:t>,</w:t>
      </w:r>
      <w:r w:rsidR="00962765" w:rsidRPr="000C12E2">
        <w:rPr>
          <w:rFonts w:ascii="Cambria" w:eastAsia="Cambria" w:hAnsi="Cambria" w:cs="Cambria"/>
          <w:color w:val="000000"/>
          <w:sz w:val="20"/>
          <w:szCs w:val="20"/>
          <w:lang w:val="es-MX"/>
        </w:rPr>
        <w:t xml:space="preserve"> </w:t>
      </w:r>
      <w:r w:rsidR="00231451" w:rsidRPr="000C12E2">
        <w:rPr>
          <w:rFonts w:ascii="Cambria" w:eastAsia="Cambria" w:hAnsi="Cambria" w:cs="Cambria"/>
          <w:color w:val="000000"/>
          <w:sz w:val="20"/>
          <w:szCs w:val="20"/>
          <w:lang w:val="es-MX"/>
        </w:rPr>
        <w:t>en</w:t>
      </w:r>
      <w:r w:rsidR="00962765" w:rsidRPr="000C12E2">
        <w:rPr>
          <w:rFonts w:ascii="Cambria" w:eastAsia="Cambria" w:hAnsi="Cambria" w:cs="Cambria"/>
          <w:color w:val="000000"/>
          <w:sz w:val="20"/>
          <w:szCs w:val="20"/>
          <w:lang w:val="es-MX"/>
        </w:rPr>
        <w:t xml:space="preserve"> octubre de 2020, las partes realizaron una reunión virtual</w:t>
      </w:r>
      <w:r w:rsidR="00645C0E" w:rsidRPr="000C12E2">
        <w:rPr>
          <w:rFonts w:ascii="Cambria" w:eastAsia="Cambria" w:hAnsi="Cambria" w:cs="Cambria"/>
          <w:color w:val="000000"/>
          <w:sz w:val="20"/>
          <w:szCs w:val="20"/>
          <w:lang w:val="es-MX"/>
        </w:rPr>
        <w:t xml:space="preserve"> con la Agencia Nacional de Defensa Jurídica del Estado (ANDJE) en </w:t>
      </w:r>
      <w:r w:rsidR="00962765" w:rsidRPr="000C12E2">
        <w:rPr>
          <w:rFonts w:ascii="Cambria" w:eastAsia="Cambria" w:hAnsi="Cambria" w:cs="Cambria"/>
          <w:color w:val="000000"/>
          <w:sz w:val="20"/>
          <w:szCs w:val="20"/>
          <w:lang w:val="es-MX"/>
        </w:rPr>
        <w:t xml:space="preserve">la cual se analizó la propuesta </w:t>
      </w:r>
      <w:r w:rsidR="00645C0E" w:rsidRPr="000C12E2">
        <w:rPr>
          <w:rFonts w:ascii="Cambria" w:eastAsia="Cambria" w:hAnsi="Cambria" w:cs="Cambria"/>
          <w:color w:val="000000"/>
          <w:sz w:val="20"/>
          <w:szCs w:val="20"/>
          <w:lang w:val="es-MX"/>
        </w:rPr>
        <w:t xml:space="preserve">de reparación </w:t>
      </w:r>
      <w:r w:rsidR="00962765" w:rsidRPr="000C12E2">
        <w:rPr>
          <w:rFonts w:ascii="Cambria" w:eastAsia="Cambria" w:hAnsi="Cambria" w:cs="Cambria"/>
          <w:color w:val="000000"/>
          <w:sz w:val="20"/>
          <w:szCs w:val="20"/>
          <w:lang w:val="es-MX"/>
        </w:rPr>
        <w:t xml:space="preserve">presentada por </w:t>
      </w:r>
      <w:r w:rsidR="00645C0E" w:rsidRPr="000C12E2">
        <w:rPr>
          <w:rFonts w:ascii="Cambria" w:eastAsia="Cambria" w:hAnsi="Cambria" w:cs="Cambria"/>
          <w:color w:val="000000"/>
          <w:sz w:val="20"/>
          <w:szCs w:val="20"/>
          <w:lang w:val="es-MX"/>
        </w:rPr>
        <w:t>la representación de las víctimas</w:t>
      </w:r>
      <w:r w:rsidR="00962765" w:rsidRPr="000C12E2">
        <w:rPr>
          <w:rFonts w:ascii="Cambria" w:eastAsia="Cambria" w:hAnsi="Cambria" w:cs="Cambria"/>
          <w:color w:val="000000"/>
          <w:sz w:val="20"/>
          <w:szCs w:val="20"/>
          <w:lang w:val="es-MX"/>
        </w:rPr>
        <w:t xml:space="preserve">. </w:t>
      </w:r>
      <w:r w:rsidR="00231451" w:rsidRPr="000C12E2">
        <w:rPr>
          <w:rFonts w:ascii="Cambria" w:eastAsia="Cambria" w:hAnsi="Cambria" w:cs="Cambria"/>
          <w:color w:val="000000"/>
          <w:sz w:val="20"/>
          <w:szCs w:val="20"/>
          <w:lang w:val="es-MX"/>
        </w:rPr>
        <w:t>Esta</w:t>
      </w:r>
      <w:r w:rsidR="00962765" w:rsidRPr="000C12E2">
        <w:rPr>
          <w:rFonts w:ascii="Cambria" w:eastAsia="Cambria" w:hAnsi="Cambria" w:cs="Cambria"/>
          <w:color w:val="000000"/>
          <w:sz w:val="20"/>
          <w:szCs w:val="20"/>
          <w:lang w:val="es-MX"/>
        </w:rPr>
        <w:t xml:space="preserve"> propuesta fue </w:t>
      </w:r>
      <w:r w:rsidR="00231451" w:rsidRPr="000C12E2">
        <w:rPr>
          <w:rFonts w:ascii="Cambria" w:eastAsia="Cambria" w:hAnsi="Cambria" w:cs="Cambria"/>
          <w:color w:val="000000"/>
          <w:sz w:val="20"/>
          <w:szCs w:val="20"/>
          <w:lang w:val="es-MX"/>
        </w:rPr>
        <w:t xml:space="preserve">ajustada y </w:t>
      </w:r>
      <w:r w:rsidR="00962765" w:rsidRPr="000C12E2">
        <w:rPr>
          <w:rFonts w:ascii="Cambria" w:eastAsia="Cambria" w:hAnsi="Cambria" w:cs="Cambria"/>
          <w:color w:val="000000"/>
          <w:sz w:val="20"/>
          <w:szCs w:val="20"/>
          <w:lang w:val="es-MX"/>
        </w:rPr>
        <w:t xml:space="preserve">remitida </w:t>
      </w:r>
      <w:r w:rsidR="00231451" w:rsidRPr="000C12E2">
        <w:rPr>
          <w:rFonts w:ascii="Cambria" w:eastAsia="Cambria" w:hAnsi="Cambria" w:cs="Cambria"/>
          <w:color w:val="000000"/>
          <w:sz w:val="20"/>
          <w:szCs w:val="20"/>
          <w:lang w:val="es-MX"/>
        </w:rPr>
        <w:t>en</w:t>
      </w:r>
      <w:r w:rsidR="00962765" w:rsidRPr="000C12E2">
        <w:rPr>
          <w:rFonts w:ascii="Cambria" w:eastAsia="Cambria" w:hAnsi="Cambria" w:cs="Cambria"/>
          <w:color w:val="000000"/>
          <w:sz w:val="20"/>
          <w:szCs w:val="20"/>
          <w:lang w:val="es-MX"/>
        </w:rPr>
        <w:t xml:space="preserve"> noviembre de 2020 a la</w:t>
      </w:r>
      <w:r w:rsidR="00231451" w:rsidRPr="000C12E2">
        <w:rPr>
          <w:rFonts w:ascii="Cambria" w:eastAsia="Cambria" w:hAnsi="Cambria" w:cs="Cambria"/>
          <w:color w:val="000000"/>
          <w:sz w:val="20"/>
          <w:szCs w:val="20"/>
          <w:lang w:val="es-MX"/>
        </w:rPr>
        <w:t xml:space="preserve"> </w:t>
      </w:r>
      <w:r w:rsidR="00962765" w:rsidRPr="000C12E2">
        <w:rPr>
          <w:rFonts w:ascii="Cambria" w:eastAsia="Cambria" w:hAnsi="Cambria" w:cs="Cambria"/>
          <w:color w:val="000000"/>
          <w:sz w:val="20"/>
          <w:szCs w:val="20"/>
          <w:lang w:val="es-MX"/>
        </w:rPr>
        <w:t xml:space="preserve">ANDJE y </w:t>
      </w:r>
      <w:r w:rsidR="00231451" w:rsidRPr="000C12E2">
        <w:rPr>
          <w:rFonts w:ascii="Cambria" w:eastAsia="Cambria" w:hAnsi="Cambria" w:cs="Cambria"/>
          <w:color w:val="000000"/>
          <w:sz w:val="20"/>
          <w:szCs w:val="20"/>
          <w:lang w:val="es-MX"/>
        </w:rPr>
        <w:t>en</w:t>
      </w:r>
      <w:r w:rsidR="00962765" w:rsidRPr="000C12E2">
        <w:rPr>
          <w:rFonts w:ascii="Cambria" w:eastAsia="Cambria" w:hAnsi="Cambria" w:cs="Cambria"/>
          <w:color w:val="000000"/>
          <w:sz w:val="20"/>
          <w:szCs w:val="20"/>
          <w:lang w:val="es-MX"/>
        </w:rPr>
        <w:t xml:space="preserve"> de marzo de 2021, se celebró una nueva reunión virtual entre las partes, a fin de absolver algunas dudas que se presentaron sobre la propuesta actualizada y el dictamen presentado por los peticionarios. </w:t>
      </w:r>
      <w:r w:rsidR="00962765" w:rsidRPr="000C12E2">
        <w:rPr>
          <w:rFonts w:ascii="Cambria" w:eastAsia="Cambria" w:hAnsi="Cambria" w:cs="Cambria"/>
          <w:color w:val="000000"/>
          <w:sz w:val="20"/>
          <w:szCs w:val="20"/>
          <w:lang w:val="pt-PT"/>
        </w:rPr>
        <w:t>E</w:t>
      </w:r>
      <w:r w:rsidR="00231451" w:rsidRPr="000C12E2">
        <w:rPr>
          <w:rFonts w:ascii="Cambria" w:eastAsia="Cambria" w:hAnsi="Cambria" w:cs="Cambria"/>
          <w:color w:val="000000"/>
          <w:sz w:val="20"/>
          <w:szCs w:val="20"/>
          <w:lang w:val="pt-PT"/>
        </w:rPr>
        <w:t>n</w:t>
      </w:r>
      <w:r w:rsidR="00962765" w:rsidRPr="000C12E2">
        <w:rPr>
          <w:rFonts w:ascii="Cambria" w:eastAsia="Cambria" w:hAnsi="Cambria" w:cs="Cambria"/>
          <w:color w:val="000000"/>
          <w:sz w:val="20"/>
          <w:szCs w:val="20"/>
          <w:lang w:val="pt-PT"/>
        </w:rPr>
        <w:t xml:space="preserve"> agosto</w:t>
      </w:r>
      <w:r w:rsidR="00231451" w:rsidRPr="000C12E2">
        <w:rPr>
          <w:rFonts w:ascii="Cambria" w:eastAsia="Cambria" w:hAnsi="Cambria" w:cs="Cambria"/>
          <w:color w:val="000000"/>
          <w:sz w:val="20"/>
          <w:szCs w:val="20"/>
          <w:lang w:val="pt-PT"/>
        </w:rPr>
        <w:t xml:space="preserve"> y septiembre de 2021</w:t>
      </w:r>
      <w:r w:rsidR="00962765" w:rsidRPr="000C12E2">
        <w:rPr>
          <w:rFonts w:ascii="Cambria" w:eastAsia="Cambria" w:hAnsi="Cambria" w:cs="Cambria"/>
          <w:color w:val="000000"/>
          <w:sz w:val="20"/>
          <w:szCs w:val="20"/>
          <w:lang w:val="pt-PT"/>
        </w:rPr>
        <w:t xml:space="preserve">, la </w:t>
      </w:r>
      <w:r w:rsidR="00231451" w:rsidRPr="000C12E2">
        <w:rPr>
          <w:rFonts w:ascii="Cambria" w:eastAsia="Cambria" w:hAnsi="Cambria" w:cs="Cambria"/>
          <w:color w:val="000000"/>
          <w:sz w:val="20"/>
          <w:szCs w:val="20"/>
          <w:lang w:val="pt-PT"/>
        </w:rPr>
        <w:t>ANDJE</w:t>
      </w:r>
      <w:r w:rsidR="00962765" w:rsidRPr="000C12E2">
        <w:rPr>
          <w:rFonts w:ascii="Cambria" w:eastAsia="Cambria" w:hAnsi="Cambria" w:cs="Cambria"/>
          <w:color w:val="000000"/>
          <w:sz w:val="20"/>
          <w:szCs w:val="20"/>
          <w:lang w:val="pt-PT"/>
        </w:rPr>
        <w:t xml:space="preserve"> </w:t>
      </w:r>
      <w:r w:rsidR="00231451" w:rsidRPr="000C12E2">
        <w:rPr>
          <w:rFonts w:ascii="Cambria" w:eastAsia="Cambria" w:hAnsi="Cambria" w:cs="Cambria"/>
          <w:color w:val="000000"/>
          <w:sz w:val="20"/>
          <w:szCs w:val="20"/>
          <w:lang w:val="pt-PT"/>
        </w:rPr>
        <w:t>solicitó</w:t>
      </w:r>
      <w:r w:rsidR="00962765" w:rsidRPr="000C12E2">
        <w:rPr>
          <w:rFonts w:ascii="Cambria" w:eastAsia="Cambria" w:hAnsi="Cambria" w:cs="Cambria"/>
          <w:color w:val="000000"/>
          <w:sz w:val="20"/>
          <w:szCs w:val="20"/>
          <w:lang w:val="pt-PT"/>
        </w:rPr>
        <w:t xml:space="preserve"> a l</w:t>
      </w:r>
      <w:r w:rsidR="00231451" w:rsidRPr="000C12E2">
        <w:rPr>
          <w:rFonts w:ascii="Cambria" w:eastAsia="Cambria" w:hAnsi="Cambria" w:cs="Cambria"/>
          <w:color w:val="000000"/>
          <w:sz w:val="20"/>
          <w:szCs w:val="20"/>
          <w:lang w:val="pt-PT"/>
        </w:rPr>
        <w:t>a</w:t>
      </w:r>
      <w:r w:rsidR="00962765" w:rsidRPr="000C12E2">
        <w:rPr>
          <w:rFonts w:ascii="Cambria" w:eastAsia="Cambria" w:hAnsi="Cambria" w:cs="Cambria"/>
          <w:color w:val="000000"/>
          <w:sz w:val="20"/>
          <w:szCs w:val="20"/>
          <w:lang w:val="pt-PT"/>
        </w:rPr>
        <w:t xml:space="preserve"> representan</w:t>
      </w:r>
      <w:r w:rsidR="00231451" w:rsidRPr="000C12E2">
        <w:rPr>
          <w:rFonts w:ascii="Cambria" w:eastAsia="Cambria" w:hAnsi="Cambria" w:cs="Cambria"/>
          <w:color w:val="000000"/>
          <w:sz w:val="20"/>
          <w:szCs w:val="20"/>
          <w:lang w:val="pt-PT"/>
        </w:rPr>
        <w:t>ción</w:t>
      </w:r>
      <w:r w:rsidR="00962765" w:rsidRPr="000C12E2">
        <w:rPr>
          <w:rFonts w:ascii="Cambria" w:eastAsia="Cambria" w:hAnsi="Cambria" w:cs="Cambria"/>
          <w:color w:val="000000"/>
          <w:sz w:val="20"/>
          <w:szCs w:val="20"/>
          <w:lang w:val="pt-PT"/>
        </w:rPr>
        <w:t xml:space="preserve"> de las víctimas los documentos ajustados </w:t>
      </w:r>
      <w:r w:rsidR="00231451" w:rsidRPr="000C12E2">
        <w:rPr>
          <w:rFonts w:ascii="Cambria" w:eastAsia="Cambria" w:hAnsi="Cambria" w:cs="Cambria"/>
          <w:color w:val="000000"/>
          <w:sz w:val="20"/>
          <w:szCs w:val="20"/>
          <w:lang w:val="pt-PT"/>
        </w:rPr>
        <w:t>para</w:t>
      </w:r>
      <w:r w:rsidR="00962765" w:rsidRPr="000C12E2">
        <w:rPr>
          <w:rFonts w:ascii="Cambria" w:eastAsia="Cambria" w:hAnsi="Cambria" w:cs="Cambria"/>
          <w:color w:val="000000"/>
          <w:sz w:val="20"/>
          <w:szCs w:val="20"/>
          <w:lang w:val="pt-PT"/>
        </w:rPr>
        <w:t xml:space="preserve"> convocar a una nueva reunión.</w:t>
      </w:r>
      <w:r w:rsidR="00962765" w:rsidRPr="000C12E2">
        <w:rPr>
          <w:rFonts w:ascii="Cambria" w:eastAsia="Calibri" w:hAnsi="Cambria" w:cs="Calibri"/>
          <w:color w:val="000000"/>
          <w:sz w:val="20"/>
          <w:szCs w:val="20"/>
          <w:bdr w:val="nil"/>
          <w:lang w:val="pt-PT" w:eastAsia="es-MX"/>
        </w:rPr>
        <w:t xml:space="preserve"> </w:t>
      </w:r>
      <w:r w:rsidR="00962765" w:rsidRPr="000C12E2">
        <w:rPr>
          <w:rFonts w:ascii="Cambria" w:eastAsia="Cambria" w:hAnsi="Cambria" w:cs="Cambria"/>
          <w:color w:val="000000"/>
          <w:sz w:val="20"/>
          <w:szCs w:val="20"/>
          <w:lang w:val="pt-PT"/>
        </w:rPr>
        <w:t xml:space="preserve">A la fecha de presentación del informe, el Estado </w:t>
      </w:r>
      <w:r w:rsidR="006C4F9E" w:rsidRPr="000C12E2">
        <w:rPr>
          <w:rFonts w:ascii="Cambria" w:eastAsia="Cambria" w:hAnsi="Cambria" w:cs="Cambria"/>
          <w:color w:val="000000"/>
          <w:sz w:val="20"/>
          <w:szCs w:val="20"/>
          <w:lang w:val="pt-PT"/>
        </w:rPr>
        <w:t xml:space="preserve">señaló que </w:t>
      </w:r>
      <w:r w:rsidR="00231451" w:rsidRPr="000C12E2">
        <w:rPr>
          <w:rFonts w:ascii="Cambria" w:eastAsia="Cambria" w:hAnsi="Cambria" w:cs="Cambria"/>
          <w:color w:val="000000"/>
          <w:sz w:val="20"/>
          <w:szCs w:val="20"/>
          <w:lang w:val="pt-PT"/>
        </w:rPr>
        <w:t>no se había remitido</w:t>
      </w:r>
      <w:r w:rsidR="00962765" w:rsidRPr="000C12E2">
        <w:rPr>
          <w:rFonts w:ascii="Cambria" w:eastAsia="Cambria" w:hAnsi="Cambria" w:cs="Cambria"/>
          <w:color w:val="000000"/>
          <w:sz w:val="20"/>
          <w:szCs w:val="20"/>
          <w:lang w:val="pt-PT"/>
        </w:rPr>
        <w:t xml:space="preserve"> la propuesta </w:t>
      </w:r>
      <w:r w:rsidR="00231451" w:rsidRPr="000C12E2">
        <w:rPr>
          <w:rFonts w:ascii="Cambria" w:eastAsia="Cambria" w:hAnsi="Cambria" w:cs="Cambria"/>
          <w:color w:val="000000"/>
          <w:sz w:val="20"/>
          <w:szCs w:val="20"/>
          <w:lang w:val="pt-PT"/>
        </w:rPr>
        <w:t>por la representación de la parte peticionaria ni</w:t>
      </w:r>
      <w:r w:rsidR="00962765" w:rsidRPr="000C12E2">
        <w:rPr>
          <w:rFonts w:ascii="Cambria" w:eastAsia="Cambria" w:hAnsi="Cambria" w:cs="Cambria"/>
          <w:color w:val="000000"/>
          <w:sz w:val="20"/>
          <w:szCs w:val="20"/>
          <w:lang w:val="pt-PT"/>
        </w:rPr>
        <w:t xml:space="preserve"> el peritaje ajustado. </w:t>
      </w:r>
      <w:r w:rsidR="00231451" w:rsidRPr="000C12E2">
        <w:rPr>
          <w:rFonts w:ascii="Cambria" w:eastAsia="Cambria" w:hAnsi="Cambria" w:cs="Cambria"/>
          <w:color w:val="000000"/>
          <w:sz w:val="20"/>
          <w:szCs w:val="20"/>
          <w:lang w:val="pt-PT"/>
        </w:rPr>
        <w:t xml:space="preserve">Señaló que estos documentos son importantes para que </w:t>
      </w:r>
      <w:r w:rsidR="00962765" w:rsidRPr="000C12E2">
        <w:rPr>
          <w:rFonts w:ascii="Cambria" w:eastAsia="Cambria" w:hAnsi="Cambria" w:cs="Cambria"/>
          <w:color w:val="000000"/>
          <w:sz w:val="20"/>
          <w:szCs w:val="20"/>
          <w:lang w:val="pt-PT"/>
        </w:rPr>
        <w:t>la A</w:t>
      </w:r>
      <w:r w:rsidR="00231451" w:rsidRPr="000C12E2">
        <w:rPr>
          <w:rFonts w:ascii="Cambria" w:eastAsia="Cambria" w:hAnsi="Cambria" w:cs="Cambria"/>
          <w:color w:val="000000"/>
          <w:sz w:val="20"/>
          <w:szCs w:val="20"/>
          <w:lang w:val="pt-PT"/>
        </w:rPr>
        <w:t xml:space="preserve">NDJE estudie los ajustes </w:t>
      </w:r>
      <w:r w:rsidR="00962765" w:rsidRPr="000C12E2">
        <w:rPr>
          <w:rFonts w:ascii="Cambria" w:eastAsia="Cambria" w:hAnsi="Cambria" w:cs="Cambria"/>
          <w:color w:val="000000"/>
          <w:sz w:val="20"/>
          <w:szCs w:val="20"/>
          <w:lang w:val="pt-PT"/>
        </w:rPr>
        <w:t xml:space="preserve">y convoque a una nueva reunión </w:t>
      </w:r>
      <w:r w:rsidR="00231451" w:rsidRPr="000C12E2">
        <w:rPr>
          <w:rFonts w:ascii="Cambria" w:eastAsia="Cambria" w:hAnsi="Cambria" w:cs="Cambria"/>
          <w:color w:val="000000"/>
          <w:sz w:val="20"/>
          <w:szCs w:val="20"/>
          <w:lang w:val="pt-PT"/>
        </w:rPr>
        <w:t>para</w:t>
      </w:r>
      <w:r w:rsidR="00962765" w:rsidRPr="000C12E2">
        <w:rPr>
          <w:rFonts w:ascii="Cambria" w:eastAsia="Cambria" w:hAnsi="Cambria" w:cs="Cambria"/>
          <w:color w:val="000000"/>
          <w:sz w:val="20"/>
          <w:szCs w:val="20"/>
          <w:lang w:val="pt-PT"/>
        </w:rPr>
        <w:t xml:space="preserve"> avanzar en el trámite de liquidació</w:t>
      </w:r>
      <w:r w:rsidR="00231451" w:rsidRPr="000C12E2">
        <w:rPr>
          <w:rFonts w:ascii="Cambria" w:eastAsia="Cambria" w:hAnsi="Cambria" w:cs="Cambria"/>
          <w:color w:val="000000"/>
          <w:sz w:val="20"/>
          <w:szCs w:val="20"/>
          <w:lang w:val="pt-PT"/>
        </w:rPr>
        <w:t>n</w:t>
      </w:r>
      <w:r w:rsidR="006C4F9E" w:rsidRPr="000C12E2">
        <w:rPr>
          <w:rFonts w:ascii="Cambria" w:eastAsia="Cambria" w:hAnsi="Cambria" w:cs="Cambria"/>
          <w:color w:val="000000"/>
          <w:sz w:val="20"/>
          <w:szCs w:val="20"/>
          <w:lang w:val="pt-PT"/>
        </w:rPr>
        <w:t>.</w:t>
      </w:r>
    </w:p>
    <w:p w14:paraId="60061E4C" w14:textId="77777777" w:rsidR="00E0174D" w:rsidRPr="000C12E2" w:rsidRDefault="00E0174D" w:rsidP="00E0174D">
      <w:pPr>
        <w:pStyle w:val="BlockText"/>
        <w:spacing w:before="0" w:beforeAutospacing="0" w:after="0" w:afterAutospacing="0"/>
        <w:ind w:left="720"/>
        <w:jc w:val="both"/>
        <w:rPr>
          <w:rFonts w:ascii="Cambria" w:hAnsi="Cambria" w:cs="Calibri Light"/>
          <w:color w:val="000000"/>
          <w:sz w:val="20"/>
          <w:szCs w:val="20"/>
          <w:lang w:val="es-ES"/>
        </w:rPr>
      </w:pPr>
    </w:p>
    <w:p w14:paraId="37CDD91B" w14:textId="77777777" w:rsidR="006C4F9E" w:rsidRPr="000C12E2" w:rsidRDefault="00E0174D" w:rsidP="006C4F9E">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hAnsi="Cambria" w:cs="Calibri Light"/>
          <w:color w:val="000000"/>
          <w:sz w:val="20"/>
          <w:szCs w:val="20"/>
          <w:lang w:val="es-ES"/>
        </w:rPr>
        <w:t>En 202</w:t>
      </w:r>
      <w:r w:rsidR="006C4F9E" w:rsidRPr="000C12E2">
        <w:rPr>
          <w:rFonts w:ascii="Cambria" w:hAnsi="Cambria" w:cs="Calibri Light"/>
          <w:color w:val="000000"/>
          <w:sz w:val="20"/>
          <w:szCs w:val="20"/>
          <w:lang w:val="es-ES"/>
        </w:rPr>
        <w:t>1, los peticionarios no presentaron información</w:t>
      </w:r>
      <w:r w:rsidR="00D11BF7" w:rsidRPr="000C12E2">
        <w:rPr>
          <w:rFonts w:ascii="Cambria" w:hAnsi="Cambria" w:cs="Calibri Light"/>
          <w:color w:val="000000"/>
          <w:sz w:val="20"/>
          <w:szCs w:val="20"/>
          <w:lang w:val="es-ES"/>
        </w:rPr>
        <w:t xml:space="preserve"> </w:t>
      </w:r>
      <w:r w:rsidR="006C4F9E" w:rsidRPr="000C12E2">
        <w:rPr>
          <w:rFonts w:ascii="Cambria" w:hAnsi="Cambria" w:cs="Calibri Light"/>
          <w:color w:val="000000"/>
          <w:sz w:val="20"/>
          <w:szCs w:val="20"/>
          <w:lang w:val="es-ES"/>
        </w:rPr>
        <w:t xml:space="preserve">acerca del cumplimento de esta recomendación. </w:t>
      </w:r>
    </w:p>
    <w:p w14:paraId="44EAFD9C" w14:textId="77777777" w:rsidR="006C4F9E" w:rsidRPr="000C12E2" w:rsidRDefault="006C4F9E" w:rsidP="006C4F9E">
      <w:pPr>
        <w:pStyle w:val="BlockText"/>
        <w:spacing w:before="0" w:beforeAutospacing="0" w:after="0" w:afterAutospacing="0"/>
        <w:jc w:val="both"/>
        <w:rPr>
          <w:rFonts w:ascii="Cambria" w:hAnsi="Cambria" w:cs="Calibri Light"/>
          <w:color w:val="000000"/>
          <w:sz w:val="20"/>
          <w:szCs w:val="20"/>
          <w:lang w:val="es-ES"/>
        </w:rPr>
      </w:pPr>
    </w:p>
    <w:p w14:paraId="5E4280AF" w14:textId="77777777" w:rsidR="00E931D4" w:rsidRPr="000C12E2" w:rsidRDefault="006C4F9E" w:rsidP="006C4F9E">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hAnsi="Cambria" w:cs="Calibri Light"/>
          <w:color w:val="000000"/>
          <w:sz w:val="20"/>
          <w:szCs w:val="20"/>
          <w:lang w:val="es-ES"/>
        </w:rPr>
        <w:t>La Comisión toma nota de la información proporcionada por el Estad</w:t>
      </w:r>
      <w:r w:rsidR="00836CF1" w:rsidRPr="000C12E2">
        <w:rPr>
          <w:rFonts w:ascii="Cambria" w:hAnsi="Cambria" w:cs="Calibri Light"/>
          <w:color w:val="000000"/>
          <w:sz w:val="20"/>
          <w:szCs w:val="20"/>
          <w:lang w:val="es-ES"/>
        </w:rPr>
        <w:t xml:space="preserve">o. Al respecto, valora que el Estado haya empezado a implementar una ruta de cumplimiento a partir de la evaluación de una propuesta de cumplimiento. Considerando que el Estado ha quedado a la espera de la remisión de documentación adicional de la parte peticionaria para continuar con las diligencias que permitan liquidar la compensación para las víctimas, la Comisión invita a la parte peticionaria a remitir la información solicitada y a continuar de manera continua el diálogo con el Estado con miras a concretar avances concretos en el reconocimiento de esta medida de reparación. Asimismo, la Comisión invita a ambas partes a remitir información que permita evaluar el cumplimiento de esta recomendación. Por lo anterior, la Comisión considera que esta recomendación está pendiente de cumplimiento. </w:t>
      </w:r>
    </w:p>
    <w:p w14:paraId="4B94D5A5" w14:textId="77777777" w:rsidR="00C345CE" w:rsidRPr="000C12E2" w:rsidRDefault="00C345CE" w:rsidP="00C345CE">
      <w:pPr>
        <w:pStyle w:val="BlockText"/>
        <w:spacing w:before="0" w:beforeAutospacing="0" w:after="0" w:afterAutospacing="0"/>
        <w:jc w:val="both"/>
        <w:rPr>
          <w:rFonts w:ascii="Cambria" w:hAnsi="Cambria" w:cs="Calibri Light"/>
          <w:color w:val="000000"/>
          <w:sz w:val="20"/>
          <w:szCs w:val="20"/>
          <w:lang w:val="es-ES"/>
        </w:rPr>
      </w:pPr>
    </w:p>
    <w:p w14:paraId="7902E415" w14:textId="77777777" w:rsidR="00C50E2F" w:rsidRPr="000C12E2" w:rsidRDefault="00E55039" w:rsidP="002F0114">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hAnsi="Cambria" w:cs="Calibri Light"/>
          <w:b/>
          <w:color w:val="000000"/>
          <w:sz w:val="20"/>
          <w:szCs w:val="20"/>
          <w:lang w:val="es-ES"/>
        </w:rPr>
        <w:t xml:space="preserve">En relación con la </w:t>
      </w:r>
      <w:r w:rsidR="00E931D4" w:rsidRPr="000C12E2">
        <w:rPr>
          <w:rFonts w:ascii="Cambria" w:hAnsi="Cambria" w:cs="Calibri Light"/>
          <w:b/>
          <w:color w:val="000000"/>
          <w:sz w:val="20"/>
          <w:szCs w:val="20"/>
          <w:lang w:val="es-ES"/>
        </w:rPr>
        <w:t>segunda</w:t>
      </w:r>
      <w:r w:rsidRPr="000C12E2">
        <w:rPr>
          <w:rFonts w:ascii="Cambria" w:hAnsi="Cambria" w:cs="Calibri Light"/>
          <w:b/>
          <w:color w:val="000000"/>
          <w:sz w:val="20"/>
          <w:szCs w:val="20"/>
          <w:lang w:val="es-ES"/>
        </w:rPr>
        <w:t xml:space="preserve"> recomendación</w:t>
      </w:r>
      <w:r w:rsidRPr="000C12E2">
        <w:rPr>
          <w:rFonts w:ascii="Cambria" w:hAnsi="Cambria" w:cs="Calibri Light"/>
          <w:color w:val="000000"/>
          <w:sz w:val="20"/>
          <w:szCs w:val="20"/>
          <w:lang w:val="es-ES"/>
        </w:rPr>
        <w:t xml:space="preserve">, </w:t>
      </w:r>
      <w:r w:rsidR="00C50E2F" w:rsidRPr="000C12E2">
        <w:rPr>
          <w:rFonts w:ascii="Cambria" w:hAnsi="Cambria" w:cs="Calibri Light"/>
          <w:color w:val="000000"/>
          <w:sz w:val="20"/>
          <w:szCs w:val="20"/>
          <w:lang w:val="es-ES"/>
        </w:rPr>
        <w:t>en 2020, el Estado remitió información del Ministerio de Salud y Protección Social. Señaló que, conforme a la Ley 1448 de 2011, esta entidad tiene la competencia de diseñar e implementar medidas de rehabilitación mediante el Programa de Atención Psicosocial y Salud Integral a Víctimas (PAPSIVI), a través de dos componentes:</w:t>
      </w:r>
      <w:r w:rsidR="004A0558" w:rsidRPr="000C12E2">
        <w:rPr>
          <w:rFonts w:ascii="Cambria" w:hAnsi="Cambria" w:cs="Calibri Light"/>
          <w:color w:val="000000"/>
          <w:sz w:val="20"/>
          <w:szCs w:val="20"/>
          <w:lang w:val="es-ES"/>
        </w:rPr>
        <w:t xml:space="preserve"> (i)</w:t>
      </w:r>
      <w:r w:rsidR="00C50E2F" w:rsidRPr="000C12E2">
        <w:rPr>
          <w:rFonts w:ascii="Cambria" w:hAnsi="Cambria" w:cs="Calibri Light"/>
          <w:color w:val="000000"/>
          <w:sz w:val="20"/>
          <w:szCs w:val="20"/>
          <w:lang w:val="es-ES"/>
        </w:rPr>
        <w:t xml:space="preserve"> salud integral, respecto del cual informó que de un listado de 12 personas víctimas del caso, </w:t>
      </w:r>
      <w:r w:rsidR="004A0558" w:rsidRPr="000C12E2">
        <w:rPr>
          <w:rFonts w:ascii="Cambria" w:hAnsi="Cambria" w:cs="Calibri Light"/>
          <w:color w:val="000000"/>
          <w:sz w:val="20"/>
          <w:szCs w:val="20"/>
          <w:lang w:val="es-ES"/>
        </w:rPr>
        <w:t>7 están vinculadas al sistema de salud, en el régimen contributivo. Informó que solicitó información a la ANDJE sobre cuáles personas víctimas del caso requieren de la atención psicológica para vincularlos al componente (</w:t>
      </w:r>
      <w:proofErr w:type="spellStart"/>
      <w:r w:rsidR="004A0558" w:rsidRPr="000C12E2">
        <w:rPr>
          <w:rFonts w:ascii="Cambria" w:hAnsi="Cambria" w:cs="Calibri Light"/>
          <w:color w:val="000000"/>
          <w:sz w:val="20"/>
          <w:szCs w:val="20"/>
          <w:lang w:val="es-ES"/>
        </w:rPr>
        <w:t>ii</w:t>
      </w:r>
      <w:proofErr w:type="spellEnd"/>
      <w:r w:rsidR="004A0558" w:rsidRPr="000C12E2">
        <w:rPr>
          <w:rFonts w:ascii="Cambria" w:hAnsi="Cambria" w:cs="Calibri Light"/>
          <w:color w:val="000000"/>
          <w:sz w:val="20"/>
          <w:szCs w:val="20"/>
          <w:lang w:val="es-ES"/>
        </w:rPr>
        <w:t>) atención psicosocial. Para el momento en que el Estado remitió esa información, todavía no se habían dado estos datos. El Estado informó que en octubre y agosto de 2020 se solicitó a la parte peticionaria contactar al Ministerio de Salud y a la fecha de la presentación del informe, no se había concretado este contacto.</w:t>
      </w:r>
    </w:p>
    <w:p w14:paraId="3DEEC669" w14:textId="77777777" w:rsidR="002F0114" w:rsidRPr="000C12E2" w:rsidRDefault="002F0114" w:rsidP="002F0114">
      <w:pPr>
        <w:pStyle w:val="BlockText"/>
        <w:spacing w:before="0" w:beforeAutospacing="0" w:after="0" w:afterAutospacing="0"/>
        <w:jc w:val="both"/>
        <w:rPr>
          <w:rFonts w:ascii="Cambria" w:hAnsi="Cambria" w:cs="Calibri Light"/>
          <w:color w:val="000000"/>
          <w:sz w:val="20"/>
          <w:szCs w:val="20"/>
          <w:lang w:val="es-ES"/>
        </w:rPr>
      </w:pPr>
    </w:p>
    <w:p w14:paraId="20014C52" w14:textId="77777777" w:rsidR="00D03E2F" w:rsidRPr="000C12E2" w:rsidRDefault="00C50E2F" w:rsidP="00ED0FB9">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hAnsi="Cambria" w:cs="Calibri Light"/>
          <w:color w:val="000000"/>
          <w:sz w:val="20"/>
          <w:szCs w:val="20"/>
          <w:lang w:val="es-ES"/>
        </w:rPr>
        <w:t>E</w:t>
      </w:r>
      <w:r w:rsidR="00547EF7" w:rsidRPr="000C12E2">
        <w:rPr>
          <w:rFonts w:ascii="Cambria" w:hAnsi="Cambria" w:cs="Calibri Light"/>
          <w:color w:val="000000"/>
          <w:sz w:val="20"/>
          <w:szCs w:val="20"/>
          <w:lang w:val="es-ES"/>
        </w:rPr>
        <w:t xml:space="preserve">n 2021, el </w:t>
      </w:r>
      <w:r w:rsidR="00ED0FB9" w:rsidRPr="000C12E2">
        <w:rPr>
          <w:rFonts w:ascii="Cambria" w:hAnsi="Cambria" w:cs="Calibri Light"/>
          <w:color w:val="000000"/>
          <w:sz w:val="20"/>
          <w:szCs w:val="20"/>
          <w:lang w:val="es-ES"/>
        </w:rPr>
        <w:t>reiteró la información remitida en 2020</w:t>
      </w:r>
      <w:r w:rsidR="006C4F9E" w:rsidRPr="000C12E2">
        <w:rPr>
          <w:rFonts w:ascii="Cambria" w:hAnsi="Cambria" w:cs="Calibri Light"/>
          <w:color w:val="000000"/>
          <w:sz w:val="20"/>
          <w:szCs w:val="20"/>
          <w:lang w:val="es-ES"/>
        </w:rPr>
        <w:t xml:space="preserve">. </w:t>
      </w:r>
      <w:r w:rsidR="00ED0FB9" w:rsidRPr="000C12E2">
        <w:rPr>
          <w:rFonts w:ascii="Cambria" w:hAnsi="Cambria" w:cs="Calibri Light"/>
          <w:color w:val="000000"/>
          <w:sz w:val="20"/>
          <w:szCs w:val="20"/>
          <w:lang w:val="es-ES"/>
        </w:rPr>
        <w:t>El Estado además reiteró que, desde la publicación del informe de fondo del caso,</w:t>
      </w:r>
      <w:r w:rsidR="008A57CD" w:rsidRPr="000C12E2">
        <w:rPr>
          <w:rFonts w:ascii="Cambria" w:hAnsi="Cambria" w:cs="Calibri Light"/>
          <w:color w:val="000000"/>
          <w:sz w:val="20"/>
          <w:szCs w:val="20"/>
          <w:lang w:val="pt-PT"/>
        </w:rPr>
        <w:t xml:space="preserve"> </w:t>
      </w:r>
      <w:r w:rsidR="00ED0FB9" w:rsidRPr="000C12E2">
        <w:rPr>
          <w:rFonts w:ascii="Cambria" w:hAnsi="Cambria" w:cs="Calibri Light"/>
          <w:color w:val="000000"/>
          <w:sz w:val="20"/>
          <w:szCs w:val="20"/>
          <w:lang w:val="pt-PT"/>
        </w:rPr>
        <w:t xml:space="preserve">el Ministerio de Salud y Protección Social no ha recibido solicitudes para </w:t>
      </w:r>
      <w:r w:rsidR="008A57CD" w:rsidRPr="000C12E2">
        <w:rPr>
          <w:rFonts w:ascii="Cambria" w:hAnsi="Cambria" w:cs="Calibri Light"/>
          <w:color w:val="000000"/>
          <w:sz w:val="20"/>
          <w:szCs w:val="20"/>
          <w:lang w:val="pt-PT"/>
        </w:rPr>
        <w:t xml:space="preserve">gestionar casos </w:t>
      </w:r>
      <w:r w:rsidR="00ED0FB9" w:rsidRPr="000C12E2">
        <w:rPr>
          <w:rFonts w:ascii="Cambria" w:hAnsi="Cambria" w:cs="Calibri Light"/>
          <w:color w:val="000000"/>
          <w:sz w:val="20"/>
          <w:szCs w:val="20"/>
          <w:lang w:val="pt-PT"/>
        </w:rPr>
        <w:t>de</w:t>
      </w:r>
      <w:r w:rsidR="008A57CD" w:rsidRPr="000C12E2">
        <w:rPr>
          <w:rFonts w:ascii="Cambria" w:hAnsi="Cambria" w:cs="Calibri Light"/>
          <w:color w:val="000000"/>
          <w:sz w:val="20"/>
          <w:szCs w:val="20"/>
          <w:lang w:val="pt-PT"/>
        </w:rPr>
        <w:t xml:space="preserve"> barreras de acceso </w:t>
      </w:r>
      <w:r w:rsidR="00ED0FB9" w:rsidRPr="000C12E2">
        <w:rPr>
          <w:rFonts w:ascii="Cambria" w:hAnsi="Cambria" w:cs="Calibri Light"/>
          <w:color w:val="000000"/>
          <w:sz w:val="20"/>
          <w:szCs w:val="20"/>
          <w:lang w:val="pt-PT"/>
        </w:rPr>
        <w:t>a</w:t>
      </w:r>
      <w:r w:rsidR="008A57CD" w:rsidRPr="000C12E2">
        <w:rPr>
          <w:rFonts w:ascii="Cambria" w:hAnsi="Cambria" w:cs="Calibri Light"/>
          <w:color w:val="000000"/>
          <w:sz w:val="20"/>
          <w:szCs w:val="20"/>
          <w:lang w:val="pt-PT"/>
        </w:rPr>
        <w:t xml:space="preserve"> la atención en salud integral</w:t>
      </w:r>
      <w:r w:rsidR="00ED0FB9" w:rsidRPr="000C12E2">
        <w:rPr>
          <w:rFonts w:ascii="Cambria" w:hAnsi="Cambria" w:cs="Calibri Light"/>
          <w:color w:val="000000"/>
          <w:sz w:val="20"/>
          <w:szCs w:val="20"/>
          <w:lang w:val="pt-PT"/>
        </w:rPr>
        <w:t xml:space="preserve"> por parte de las víctimas del caso. </w:t>
      </w:r>
    </w:p>
    <w:p w14:paraId="3656B9AB" w14:textId="77777777" w:rsidR="00D03E2F" w:rsidRPr="000C12E2" w:rsidRDefault="00D03E2F" w:rsidP="00D03E2F">
      <w:pPr>
        <w:pStyle w:val="BlockText"/>
        <w:spacing w:before="0" w:beforeAutospacing="0" w:after="0" w:afterAutospacing="0"/>
        <w:jc w:val="both"/>
        <w:rPr>
          <w:rFonts w:ascii="Cambria" w:hAnsi="Cambria" w:cs="Calibri Light"/>
          <w:color w:val="000000"/>
          <w:sz w:val="20"/>
          <w:szCs w:val="20"/>
          <w:lang w:val="es-ES"/>
        </w:rPr>
      </w:pPr>
    </w:p>
    <w:p w14:paraId="1C94416D" w14:textId="77777777" w:rsidR="00547EF7" w:rsidRPr="000C12E2" w:rsidRDefault="008233B7" w:rsidP="006C4F9E">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hAnsi="Cambria" w:cs="Calibri Light"/>
          <w:color w:val="000000"/>
          <w:sz w:val="20"/>
          <w:szCs w:val="20"/>
          <w:lang w:val="pt-PT"/>
        </w:rPr>
        <w:lastRenderedPageBreak/>
        <w:t xml:space="preserve">Acerca del componente de atención psicosocial, </w:t>
      </w:r>
      <w:r w:rsidR="00A35D88" w:rsidRPr="000C12E2">
        <w:rPr>
          <w:rFonts w:ascii="Cambria" w:hAnsi="Cambria" w:cs="Calibri Light"/>
          <w:color w:val="000000"/>
          <w:sz w:val="20"/>
          <w:szCs w:val="20"/>
          <w:lang w:val="pt-PT"/>
        </w:rPr>
        <w:t>el</w:t>
      </w:r>
      <w:r w:rsidR="00D03E2F" w:rsidRPr="000C12E2">
        <w:rPr>
          <w:rFonts w:ascii="Cambria" w:hAnsi="Cambria" w:cs="Calibri Light"/>
          <w:color w:val="000000"/>
          <w:sz w:val="20"/>
          <w:szCs w:val="20"/>
          <w:lang w:val="pt-PT"/>
        </w:rPr>
        <w:t xml:space="preserve"> Estado afirmó que es necesario </w:t>
      </w:r>
      <w:r w:rsidR="00DC7366" w:rsidRPr="000C12E2">
        <w:rPr>
          <w:rFonts w:ascii="Cambria" w:hAnsi="Cambria" w:cs="Calibri Light"/>
          <w:color w:val="000000"/>
          <w:sz w:val="20"/>
          <w:szCs w:val="20"/>
          <w:lang w:val="pt-PT"/>
        </w:rPr>
        <w:t>que se suministren los</w:t>
      </w:r>
      <w:r w:rsidR="00D03E2F" w:rsidRPr="000C12E2">
        <w:rPr>
          <w:rFonts w:ascii="Cambria" w:hAnsi="Cambria" w:cs="Calibri Light"/>
          <w:color w:val="000000"/>
          <w:sz w:val="20"/>
          <w:szCs w:val="20"/>
          <w:lang w:val="pt-PT"/>
        </w:rPr>
        <w:t xml:space="preserve"> datos de contacto de </w:t>
      </w:r>
      <w:r w:rsidR="00DC7366" w:rsidRPr="000C12E2">
        <w:rPr>
          <w:rFonts w:ascii="Cambria" w:hAnsi="Cambria" w:cs="Calibri Light"/>
          <w:color w:val="000000"/>
          <w:sz w:val="20"/>
          <w:szCs w:val="20"/>
          <w:lang w:val="pt-PT"/>
        </w:rPr>
        <w:t>las víctimas</w:t>
      </w:r>
      <w:r w:rsidR="00D03E2F" w:rsidRPr="000C12E2">
        <w:rPr>
          <w:rFonts w:ascii="Cambria" w:hAnsi="Cambria" w:cs="Calibri Light"/>
          <w:color w:val="000000"/>
          <w:sz w:val="20"/>
          <w:szCs w:val="20"/>
          <w:lang w:val="pt-PT"/>
        </w:rPr>
        <w:t xml:space="preserve"> </w:t>
      </w:r>
      <w:r w:rsidR="00DC7366" w:rsidRPr="000C12E2">
        <w:rPr>
          <w:rFonts w:ascii="Cambria" w:hAnsi="Cambria" w:cs="Calibri Light"/>
          <w:color w:val="000000"/>
          <w:sz w:val="20"/>
          <w:szCs w:val="20"/>
          <w:lang w:val="pt-PT"/>
        </w:rPr>
        <w:t xml:space="preserve">que requieren </w:t>
      </w:r>
      <w:r w:rsidR="00D03E2F" w:rsidRPr="000C12E2">
        <w:rPr>
          <w:rFonts w:ascii="Cambria" w:hAnsi="Cambria" w:cs="Calibri Light"/>
          <w:color w:val="000000"/>
          <w:sz w:val="20"/>
          <w:szCs w:val="20"/>
          <w:lang w:val="pt-PT"/>
        </w:rPr>
        <w:t>atención integral con énfasis en atención psicológica, con la finalidad de vincularlas al PAPSIVI</w:t>
      </w:r>
      <w:r w:rsidR="00DC7366" w:rsidRPr="000C12E2">
        <w:rPr>
          <w:rFonts w:ascii="Cambria" w:hAnsi="Cambria" w:cs="Calibri Light"/>
          <w:color w:val="000000"/>
          <w:sz w:val="20"/>
          <w:szCs w:val="20"/>
          <w:lang w:val="pt-PT"/>
        </w:rPr>
        <w:t>, pero</w:t>
      </w:r>
      <w:r w:rsidR="00D03E2F" w:rsidRPr="000C12E2">
        <w:rPr>
          <w:rFonts w:ascii="Cambria" w:hAnsi="Cambria" w:cs="Calibri Light"/>
          <w:color w:val="000000"/>
          <w:sz w:val="20"/>
          <w:szCs w:val="20"/>
          <w:lang w:val="pt-PT"/>
        </w:rPr>
        <w:t xml:space="preserve"> aun no se ha recibido tal información. Además, el Estado manifestó que se requieren los datos de las personas que no registran </w:t>
      </w:r>
      <w:r w:rsidR="00F76882" w:rsidRPr="000C12E2">
        <w:rPr>
          <w:rFonts w:ascii="Cambria" w:hAnsi="Cambria" w:cs="Calibri Light"/>
          <w:color w:val="000000"/>
          <w:sz w:val="20"/>
          <w:szCs w:val="20"/>
          <w:lang w:val="pt-PT"/>
        </w:rPr>
        <w:t>su sistema</w:t>
      </w:r>
      <w:r w:rsidR="00D03E2F" w:rsidRPr="000C12E2">
        <w:rPr>
          <w:rFonts w:ascii="Cambria" w:hAnsi="Cambria" w:cs="Calibri Light"/>
          <w:color w:val="000000"/>
          <w:sz w:val="20"/>
          <w:szCs w:val="20"/>
          <w:lang w:val="pt-PT"/>
        </w:rPr>
        <w:t>, con el objetivo de incluirlos igualmente en la atención psicosocial de P</w:t>
      </w:r>
      <w:r w:rsidR="00DC7366" w:rsidRPr="000C12E2">
        <w:rPr>
          <w:rFonts w:ascii="Cambria" w:hAnsi="Cambria" w:cs="Calibri Light"/>
          <w:color w:val="000000"/>
          <w:sz w:val="20"/>
          <w:szCs w:val="20"/>
          <w:lang w:val="pt-PT"/>
        </w:rPr>
        <w:t>APSIVI</w:t>
      </w:r>
      <w:r w:rsidR="00D03E2F" w:rsidRPr="000C12E2">
        <w:rPr>
          <w:rFonts w:ascii="Cambria" w:hAnsi="Cambria" w:cs="Calibri Light"/>
          <w:color w:val="000000"/>
          <w:sz w:val="20"/>
          <w:szCs w:val="20"/>
          <w:lang w:val="pt-PT"/>
        </w:rPr>
        <w:t xml:space="preserve">, y priorizar su inclusión en el régimen del </w:t>
      </w:r>
      <w:r w:rsidR="00F76882" w:rsidRPr="000C12E2">
        <w:rPr>
          <w:rFonts w:ascii="Cambria" w:hAnsi="Cambria" w:cs="Calibri Light"/>
          <w:color w:val="000000"/>
          <w:sz w:val="20"/>
          <w:szCs w:val="20"/>
          <w:lang w:val="pt-PT"/>
        </w:rPr>
        <w:t>sistema general de salud</w:t>
      </w:r>
      <w:r w:rsidR="00D03E2F" w:rsidRPr="000C12E2">
        <w:rPr>
          <w:rFonts w:ascii="Cambria" w:hAnsi="Cambria" w:cs="Calibri Light"/>
          <w:color w:val="000000"/>
          <w:sz w:val="20"/>
          <w:szCs w:val="20"/>
          <w:lang w:val="pt-PT"/>
        </w:rPr>
        <w:t>, de ser pertinente.</w:t>
      </w:r>
    </w:p>
    <w:p w14:paraId="45FB0818" w14:textId="77777777" w:rsidR="00D006C1" w:rsidRPr="000C12E2" w:rsidRDefault="00D006C1" w:rsidP="00D006C1">
      <w:pPr>
        <w:pStyle w:val="BlockText"/>
        <w:spacing w:before="0" w:beforeAutospacing="0" w:after="0" w:afterAutospacing="0"/>
        <w:jc w:val="both"/>
        <w:rPr>
          <w:rFonts w:ascii="Cambria" w:hAnsi="Cambria" w:cs="Calibri Light"/>
          <w:color w:val="000000"/>
          <w:sz w:val="20"/>
          <w:szCs w:val="20"/>
          <w:lang w:val="es-ES"/>
        </w:rPr>
      </w:pPr>
    </w:p>
    <w:p w14:paraId="62B29810" w14:textId="77777777" w:rsidR="00D006C1" w:rsidRPr="000C12E2" w:rsidRDefault="00D006C1" w:rsidP="00421D2A">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hAnsi="Cambria" w:cs="Calibri Light"/>
          <w:color w:val="000000"/>
          <w:sz w:val="20"/>
          <w:szCs w:val="20"/>
          <w:lang w:val="es-ES"/>
        </w:rPr>
        <w:t xml:space="preserve">En 2021, los peticionarios </w:t>
      </w:r>
      <w:r w:rsidR="00DC7366" w:rsidRPr="000C12E2">
        <w:rPr>
          <w:rFonts w:ascii="Cambria" w:hAnsi="Cambria" w:cs="Calibri Light"/>
          <w:color w:val="000000"/>
          <w:sz w:val="20"/>
          <w:szCs w:val="20"/>
          <w:lang w:val="es-ES"/>
        </w:rPr>
        <w:t xml:space="preserve">no allegaron información acerca del cumplimiento </w:t>
      </w:r>
      <w:r w:rsidR="00A35D88" w:rsidRPr="000C12E2">
        <w:rPr>
          <w:rFonts w:ascii="Cambria" w:hAnsi="Cambria" w:cs="Calibri Light"/>
          <w:color w:val="000000"/>
          <w:sz w:val="20"/>
          <w:szCs w:val="20"/>
          <w:lang w:val="es-ES"/>
        </w:rPr>
        <w:t xml:space="preserve">de esta recomendación. </w:t>
      </w:r>
    </w:p>
    <w:p w14:paraId="049F31CB" w14:textId="77777777" w:rsidR="006C209F" w:rsidRPr="000C12E2" w:rsidRDefault="006C209F" w:rsidP="006C209F">
      <w:pPr>
        <w:pStyle w:val="BlockText"/>
        <w:spacing w:before="0" w:beforeAutospacing="0" w:after="0" w:afterAutospacing="0"/>
        <w:jc w:val="both"/>
        <w:rPr>
          <w:rFonts w:ascii="Cambria" w:hAnsi="Cambria" w:cs="Calibri Light"/>
          <w:color w:val="000000"/>
          <w:sz w:val="20"/>
          <w:szCs w:val="20"/>
          <w:lang w:val="es-ES"/>
        </w:rPr>
      </w:pPr>
    </w:p>
    <w:p w14:paraId="2B2BD7E7" w14:textId="77777777" w:rsidR="00D4711D" w:rsidRPr="000C12E2" w:rsidRDefault="00912A8C" w:rsidP="00C345CE">
      <w:pPr>
        <w:pStyle w:val="BlockText"/>
        <w:numPr>
          <w:ilvl w:val="0"/>
          <w:numId w:val="6"/>
        </w:numPr>
        <w:spacing w:before="0" w:beforeAutospacing="0" w:after="0" w:afterAutospacing="0"/>
        <w:ind w:firstLine="720"/>
        <w:jc w:val="both"/>
        <w:rPr>
          <w:rFonts w:ascii="Cambria" w:hAnsi="Cambria" w:cs="Calibri Light"/>
          <w:color w:val="000000"/>
          <w:sz w:val="20"/>
          <w:szCs w:val="20"/>
          <w:lang w:val="es-CO"/>
        </w:rPr>
      </w:pPr>
      <w:r w:rsidRPr="000C12E2">
        <w:rPr>
          <w:rFonts w:ascii="Cambria" w:hAnsi="Cambria"/>
          <w:color w:val="000000"/>
          <w:sz w:val="20"/>
          <w:szCs w:val="20"/>
          <w:lang w:val="es-CO"/>
        </w:rPr>
        <w:t xml:space="preserve">La Comisión toma nota de la información proporcionada </w:t>
      </w:r>
      <w:r w:rsidR="00DC7366" w:rsidRPr="000C12E2">
        <w:rPr>
          <w:rFonts w:ascii="Cambria" w:hAnsi="Cambria"/>
          <w:color w:val="000000"/>
          <w:sz w:val="20"/>
          <w:szCs w:val="20"/>
          <w:lang w:val="es-CO"/>
        </w:rPr>
        <w:t>por el Estad</w:t>
      </w:r>
      <w:r w:rsidR="00E67F77" w:rsidRPr="000C12E2">
        <w:rPr>
          <w:rFonts w:ascii="Cambria" w:hAnsi="Cambria"/>
          <w:color w:val="000000"/>
          <w:sz w:val="20"/>
          <w:szCs w:val="20"/>
          <w:lang w:val="es-CO"/>
        </w:rPr>
        <w:t xml:space="preserve">o en cuanto a que 7 personas, incluida la víctima directa del caso y algunos de los miembros de su familia, están vinculadas al PAPSIVI. Sin embargo, la Comisión invita a ambas partes a entablar un diálogo concreto que permita determinar, de manera concertada, </w:t>
      </w:r>
      <w:r w:rsidR="00892418" w:rsidRPr="000C12E2">
        <w:rPr>
          <w:rFonts w:ascii="Cambria" w:hAnsi="Cambria"/>
          <w:color w:val="000000"/>
          <w:sz w:val="20"/>
          <w:szCs w:val="20"/>
          <w:lang w:val="es-CO"/>
        </w:rPr>
        <w:t xml:space="preserve">cuál </w:t>
      </w:r>
      <w:r w:rsidR="00E67F77" w:rsidRPr="000C12E2">
        <w:rPr>
          <w:rFonts w:ascii="Cambria" w:hAnsi="Cambria"/>
          <w:color w:val="000000"/>
          <w:sz w:val="20"/>
          <w:szCs w:val="20"/>
          <w:lang w:val="es-CO"/>
        </w:rPr>
        <w:t>va a ser la hoja de ruta de cumplimiento de esta recomendación y a quiénes y de qué forma se va a garantizar la atención</w:t>
      </w:r>
      <w:r w:rsidR="00C345CE" w:rsidRPr="000C12E2">
        <w:rPr>
          <w:rFonts w:ascii="Cambria" w:hAnsi="Cambria"/>
          <w:color w:val="000000"/>
          <w:sz w:val="20"/>
          <w:szCs w:val="20"/>
          <w:lang w:val="es-CO"/>
        </w:rPr>
        <w:t xml:space="preserve"> </w:t>
      </w:r>
      <w:r w:rsidR="00E67F77" w:rsidRPr="000C12E2">
        <w:rPr>
          <w:rFonts w:ascii="Cambria" w:hAnsi="Cambria"/>
          <w:color w:val="000000"/>
          <w:sz w:val="20"/>
          <w:szCs w:val="20"/>
          <w:lang w:val="es-CO"/>
        </w:rPr>
        <w:t xml:space="preserve">en salud mental. Al respecto, la CIDH invita al Estado a contactar a las víctimas del caso y a la parte peticionaria a entablar comunicación con el Estado con la finalidad de avanzar en esta concertación. Hasta tanto la Comisión conozca avances concretos en el acceso a la atención a la salud mental, considera que la recomendación </w:t>
      </w:r>
      <w:r w:rsidR="00C43C83" w:rsidRPr="000C12E2">
        <w:rPr>
          <w:rFonts w:ascii="Cambria" w:hAnsi="Cambria"/>
          <w:color w:val="000000"/>
          <w:sz w:val="20"/>
          <w:szCs w:val="20"/>
          <w:lang w:val="es-CO"/>
        </w:rPr>
        <w:t>está parcialmente cumplida</w:t>
      </w:r>
      <w:r w:rsidR="00E67F77" w:rsidRPr="000C12E2">
        <w:rPr>
          <w:rFonts w:ascii="Cambria" w:hAnsi="Cambria"/>
          <w:color w:val="000000"/>
          <w:sz w:val="20"/>
          <w:szCs w:val="20"/>
          <w:lang w:val="es-CO"/>
        </w:rPr>
        <w:t>.</w:t>
      </w:r>
    </w:p>
    <w:p w14:paraId="53128261" w14:textId="77777777" w:rsidR="00D4711D" w:rsidRPr="000C12E2" w:rsidRDefault="00D4711D" w:rsidP="00D4711D">
      <w:pPr>
        <w:pStyle w:val="BlockText"/>
        <w:spacing w:before="0" w:beforeAutospacing="0" w:after="0" w:afterAutospacing="0"/>
        <w:jc w:val="both"/>
        <w:rPr>
          <w:rFonts w:ascii="Cambria" w:hAnsi="Cambria" w:cs="Calibri Light"/>
          <w:color w:val="000000"/>
          <w:sz w:val="20"/>
          <w:szCs w:val="20"/>
          <w:lang w:val="es-ES"/>
        </w:rPr>
      </w:pPr>
    </w:p>
    <w:p w14:paraId="70D98FF5" w14:textId="77777777" w:rsidR="002F3A90" w:rsidRPr="000C12E2" w:rsidRDefault="00D4711D" w:rsidP="00F76882">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eastAsia="Cambria" w:hAnsi="Cambria" w:cs="Cambria"/>
          <w:b/>
          <w:bCs/>
          <w:color w:val="000000"/>
          <w:sz w:val="20"/>
          <w:szCs w:val="20"/>
          <w:lang w:val="es-MX"/>
        </w:rPr>
        <w:t xml:space="preserve">Respecto de la </w:t>
      </w:r>
      <w:r w:rsidR="00E931D4" w:rsidRPr="000C12E2">
        <w:rPr>
          <w:rFonts w:ascii="Cambria" w:eastAsia="Cambria" w:hAnsi="Cambria" w:cs="Cambria"/>
          <w:b/>
          <w:bCs/>
          <w:color w:val="000000"/>
          <w:sz w:val="20"/>
          <w:szCs w:val="20"/>
          <w:lang w:val="es-MX"/>
        </w:rPr>
        <w:t>tercera</w:t>
      </w:r>
      <w:r w:rsidRPr="000C12E2">
        <w:rPr>
          <w:rFonts w:ascii="Cambria" w:eastAsia="Cambria" w:hAnsi="Cambria" w:cs="Cambria"/>
          <w:b/>
          <w:bCs/>
          <w:color w:val="000000"/>
          <w:sz w:val="20"/>
          <w:szCs w:val="20"/>
          <w:lang w:val="es-MX"/>
        </w:rPr>
        <w:t xml:space="preserve"> recomendación</w:t>
      </w:r>
      <w:r w:rsidRPr="000C12E2">
        <w:rPr>
          <w:rFonts w:ascii="Cambria" w:eastAsia="Cambria" w:hAnsi="Cambria" w:cs="Cambria"/>
          <w:color w:val="000000"/>
          <w:sz w:val="20"/>
          <w:szCs w:val="20"/>
          <w:lang w:val="es-MX"/>
        </w:rPr>
        <w:t xml:space="preserve">, </w:t>
      </w:r>
      <w:r w:rsidR="002F3A90" w:rsidRPr="000C12E2">
        <w:rPr>
          <w:rFonts w:ascii="Cambria" w:eastAsia="Cambria" w:hAnsi="Cambria" w:cs="Cambria"/>
          <w:color w:val="000000"/>
          <w:sz w:val="20"/>
          <w:szCs w:val="20"/>
          <w:lang w:val="es-MX"/>
        </w:rPr>
        <w:t xml:space="preserve">en 2020, el Estado remitió información de la </w:t>
      </w:r>
      <w:proofErr w:type="gramStart"/>
      <w:r w:rsidR="002F3A90" w:rsidRPr="000C12E2">
        <w:rPr>
          <w:rFonts w:ascii="Cambria" w:eastAsia="Cambria" w:hAnsi="Cambria" w:cs="Cambria"/>
          <w:color w:val="000000"/>
          <w:sz w:val="20"/>
          <w:szCs w:val="20"/>
          <w:lang w:val="es-MX"/>
        </w:rPr>
        <w:t>Fiscalía General</w:t>
      </w:r>
      <w:proofErr w:type="gramEnd"/>
      <w:r w:rsidR="002F3A90" w:rsidRPr="000C12E2">
        <w:rPr>
          <w:rFonts w:ascii="Cambria" w:eastAsia="Cambria" w:hAnsi="Cambria" w:cs="Cambria"/>
          <w:color w:val="000000"/>
          <w:sz w:val="20"/>
          <w:szCs w:val="20"/>
          <w:lang w:val="es-MX"/>
        </w:rPr>
        <w:t xml:space="preserve"> de la Nación. Al respecto, esta entidad manifestó que la Fiscalía 54 Especializada adscrita a la Dirección Seccional de Medellín está a cargo de la investigación de estos hechos con base en la Ley 600 de 2000. Esta fiscalía indicó que en 2020 realizó </w:t>
      </w:r>
      <w:r w:rsidR="00C50E2F" w:rsidRPr="000C12E2">
        <w:rPr>
          <w:rFonts w:ascii="Cambria" w:eastAsia="Cambria" w:hAnsi="Cambria" w:cs="Cambria"/>
          <w:color w:val="000000"/>
          <w:sz w:val="20"/>
          <w:szCs w:val="20"/>
          <w:lang w:val="es-MX"/>
        </w:rPr>
        <w:t>5</w:t>
      </w:r>
      <w:r w:rsidR="002F3A90" w:rsidRPr="000C12E2">
        <w:rPr>
          <w:rFonts w:ascii="Cambria" w:eastAsia="Cambria" w:hAnsi="Cambria" w:cs="Cambria"/>
          <w:color w:val="000000"/>
          <w:sz w:val="20"/>
          <w:szCs w:val="20"/>
          <w:lang w:val="es-MX"/>
        </w:rPr>
        <w:t xml:space="preserve"> diligencias</w:t>
      </w:r>
      <w:r w:rsidR="00C50E2F" w:rsidRPr="000C12E2">
        <w:rPr>
          <w:rFonts w:ascii="Cambria" w:eastAsia="Cambria" w:hAnsi="Cambria" w:cs="Cambria"/>
          <w:color w:val="000000"/>
          <w:sz w:val="20"/>
          <w:szCs w:val="20"/>
          <w:lang w:val="es-MX"/>
        </w:rPr>
        <w:t xml:space="preserve"> de policía judicial y que la investigación continúa en la etapa previa.</w:t>
      </w:r>
    </w:p>
    <w:p w14:paraId="62486C05" w14:textId="77777777" w:rsidR="00F76882" w:rsidRPr="000C12E2" w:rsidRDefault="00F76882" w:rsidP="00F76882">
      <w:pPr>
        <w:pStyle w:val="BlockText"/>
        <w:spacing w:before="0" w:beforeAutospacing="0" w:after="0" w:afterAutospacing="0"/>
        <w:jc w:val="both"/>
        <w:rPr>
          <w:rFonts w:ascii="Cambria" w:hAnsi="Cambria" w:cs="Calibri Light"/>
          <w:color w:val="000000"/>
          <w:sz w:val="20"/>
          <w:szCs w:val="20"/>
          <w:lang w:val="es-ES"/>
        </w:rPr>
      </w:pPr>
    </w:p>
    <w:p w14:paraId="6A740760" w14:textId="77777777" w:rsidR="00294533" w:rsidRPr="000C12E2" w:rsidRDefault="002F3A90" w:rsidP="00FB391C">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eastAsia="Cambria" w:hAnsi="Cambria" w:cs="Cambria"/>
          <w:color w:val="000000"/>
          <w:sz w:val="20"/>
          <w:szCs w:val="20"/>
          <w:lang w:val="es-MX"/>
        </w:rPr>
        <w:t>E</w:t>
      </w:r>
      <w:r w:rsidR="00DC7366" w:rsidRPr="000C12E2">
        <w:rPr>
          <w:rFonts w:ascii="Cambria" w:eastAsia="Cambria" w:hAnsi="Cambria" w:cs="Cambria"/>
          <w:color w:val="000000"/>
          <w:sz w:val="20"/>
          <w:szCs w:val="20"/>
          <w:lang w:val="es-MX"/>
        </w:rPr>
        <w:t>n 2021,</w:t>
      </w:r>
      <w:r w:rsidR="00A35D88" w:rsidRPr="000C12E2">
        <w:rPr>
          <w:rFonts w:ascii="Cambria" w:eastAsia="Cambria" w:hAnsi="Cambria" w:cs="Cambria"/>
          <w:color w:val="000000"/>
          <w:sz w:val="20"/>
          <w:szCs w:val="20"/>
          <w:lang w:val="es-MX"/>
        </w:rPr>
        <w:t xml:space="preserve"> </w:t>
      </w:r>
      <w:r w:rsidR="00AC5151" w:rsidRPr="000C12E2">
        <w:rPr>
          <w:rFonts w:ascii="Cambria" w:eastAsia="Cambria" w:hAnsi="Cambria" w:cs="Cambria"/>
          <w:color w:val="000000"/>
          <w:sz w:val="20"/>
          <w:szCs w:val="20"/>
          <w:lang w:val="es-MX"/>
        </w:rPr>
        <w:t>el Estado señaló que la Fiscal</w:t>
      </w:r>
      <w:r w:rsidR="00F76882" w:rsidRPr="000C12E2">
        <w:rPr>
          <w:rFonts w:ascii="Cambria" w:eastAsia="Cambria" w:hAnsi="Cambria" w:cs="Cambria"/>
          <w:color w:val="000000"/>
          <w:sz w:val="20"/>
          <w:szCs w:val="20"/>
          <w:lang w:val="es-MX"/>
        </w:rPr>
        <w:t>ía</w:t>
      </w:r>
      <w:r w:rsidR="00AC5151" w:rsidRPr="000C12E2">
        <w:rPr>
          <w:rFonts w:ascii="Cambria" w:eastAsia="Cambria" w:hAnsi="Cambria" w:cs="Cambria"/>
          <w:color w:val="000000"/>
          <w:sz w:val="20"/>
          <w:szCs w:val="20"/>
          <w:lang w:val="es-MX"/>
        </w:rPr>
        <w:t xml:space="preserve"> 54 Especializada </w:t>
      </w:r>
      <w:r w:rsidR="00F76882" w:rsidRPr="000C12E2">
        <w:rPr>
          <w:rFonts w:ascii="Cambria" w:eastAsia="Cambria" w:hAnsi="Cambria" w:cs="Cambria"/>
          <w:color w:val="000000"/>
          <w:sz w:val="20"/>
          <w:szCs w:val="20"/>
          <w:lang w:val="es-MX"/>
        </w:rPr>
        <w:t>reiteró que está a cargo del desarrollo de la investigación de los hechos de este caso. Este despacho afirmó que se ha esforzado por</w:t>
      </w:r>
      <w:r w:rsidR="00AC5151" w:rsidRPr="000C12E2">
        <w:rPr>
          <w:rFonts w:ascii="Cambria" w:eastAsia="Cambria" w:hAnsi="Cambria" w:cs="Cambria"/>
          <w:color w:val="000000"/>
          <w:sz w:val="20"/>
          <w:szCs w:val="20"/>
          <w:lang w:val="es-MX"/>
        </w:rPr>
        <w:t xml:space="preserve"> establecer posibles autores o partícipes del delito, sin que haya sido posible </w:t>
      </w:r>
      <w:r w:rsidR="00F76882" w:rsidRPr="000C12E2">
        <w:rPr>
          <w:rFonts w:ascii="Cambria" w:eastAsia="Cambria" w:hAnsi="Cambria" w:cs="Cambria"/>
          <w:color w:val="000000"/>
          <w:sz w:val="20"/>
          <w:szCs w:val="20"/>
          <w:lang w:val="es-MX"/>
        </w:rPr>
        <w:t>identificar</w:t>
      </w:r>
      <w:r w:rsidR="00AC5151" w:rsidRPr="000C12E2">
        <w:rPr>
          <w:rFonts w:ascii="Cambria" w:eastAsia="Cambria" w:hAnsi="Cambria" w:cs="Cambria"/>
          <w:color w:val="000000"/>
          <w:sz w:val="20"/>
          <w:szCs w:val="20"/>
          <w:lang w:val="es-MX"/>
        </w:rPr>
        <w:t xml:space="preserve"> </w:t>
      </w:r>
      <w:r w:rsidR="00F76882" w:rsidRPr="000C12E2">
        <w:rPr>
          <w:rFonts w:ascii="Cambria" w:eastAsia="Cambria" w:hAnsi="Cambria" w:cs="Cambria"/>
          <w:color w:val="000000"/>
          <w:sz w:val="20"/>
          <w:szCs w:val="20"/>
          <w:lang w:val="es-MX"/>
        </w:rPr>
        <w:t>a</w:t>
      </w:r>
      <w:r w:rsidR="00AC5151" w:rsidRPr="000C12E2">
        <w:rPr>
          <w:rFonts w:ascii="Cambria" w:eastAsia="Cambria" w:hAnsi="Cambria" w:cs="Cambria"/>
          <w:color w:val="000000"/>
          <w:sz w:val="20"/>
          <w:szCs w:val="20"/>
          <w:lang w:val="es-MX"/>
        </w:rPr>
        <w:t xml:space="preserve"> </w:t>
      </w:r>
      <w:r w:rsidR="00F76882" w:rsidRPr="000C12E2">
        <w:rPr>
          <w:rFonts w:ascii="Cambria" w:eastAsia="Cambria" w:hAnsi="Cambria" w:cs="Cambria"/>
          <w:color w:val="000000"/>
          <w:sz w:val="20"/>
          <w:szCs w:val="20"/>
          <w:lang w:val="es-MX"/>
        </w:rPr>
        <w:t>las personas responsables, hasta el momento</w:t>
      </w:r>
      <w:r w:rsidR="00AC5151" w:rsidRPr="000C12E2">
        <w:rPr>
          <w:rFonts w:ascii="Cambria" w:eastAsia="Cambria" w:hAnsi="Cambria" w:cs="Cambria"/>
          <w:color w:val="000000"/>
          <w:sz w:val="20"/>
          <w:szCs w:val="20"/>
          <w:lang w:val="es-MX"/>
        </w:rPr>
        <w:t xml:space="preserve">. Según el Estado, para el ente acusador la investigación ha sido seria e imparcial y </w:t>
      </w:r>
      <w:r w:rsidR="00F76882" w:rsidRPr="000C12E2">
        <w:rPr>
          <w:rFonts w:ascii="Cambria" w:eastAsia="Cambria" w:hAnsi="Cambria" w:cs="Cambria"/>
          <w:color w:val="000000"/>
          <w:sz w:val="20"/>
          <w:szCs w:val="20"/>
          <w:lang w:val="es-MX"/>
        </w:rPr>
        <w:t>sus</w:t>
      </w:r>
      <w:r w:rsidR="00AC5151" w:rsidRPr="000C12E2">
        <w:rPr>
          <w:rFonts w:ascii="Cambria" w:eastAsia="Cambria" w:hAnsi="Cambria" w:cs="Cambria"/>
          <w:color w:val="000000"/>
          <w:sz w:val="20"/>
          <w:szCs w:val="20"/>
          <w:lang w:val="es-MX"/>
        </w:rPr>
        <w:t xml:space="preserve"> resultados no dependen de su gestión.</w:t>
      </w:r>
      <w:r w:rsidR="00AC5151" w:rsidRPr="000C12E2">
        <w:rPr>
          <w:rFonts w:ascii="Cambria" w:eastAsia="Calibri" w:hAnsi="Cambria" w:cs="Calibri"/>
          <w:color w:val="000000"/>
          <w:sz w:val="20"/>
          <w:szCs w:val="20"/>
          <w:bdr w:val="nil"/>
          <w:lang w:val="pt-PT" w:eastAsia="es-MX"/>
        </w:rPr>
        <w:t xml:space="preserve"> </w:t>
      </w:r>
      <w:r w:rsidR="00AC5151" w:rsidRPr="000C12E2">
        <w:rPr>
          <w:rFonts w:ascii="Cambria" w:eastAsia="Cambria" w:hAnsi="Cambria" w:cs="Cambria"/>
          <w:color w:val="000000"/>
          <w:sz w:val="20"/>
          <w:szCs w:val="20"/>
          <w:lang w:val="pt-PT"/>
        </w:rPr>
        <w:t>Finalmente, el Estado indic</w:t>
      </w:r>
      <w:r w:rsidR="00F76882" w:rsidRPr="000C12E2">
        <w:rPr>
          <w:rFonts w:ascii="Cambria" w:eastAsia="Cambria" w:hAnsi="Cambria" w:cs="Cambria"/>
          <w:color w:val="000000"/>
          <w:sz w:val="20"/>
          <w:szCs w:val="20"/>
          <w:lang w:val="pt-PT"/>
        </w:rPr>
        <w:t>ó</w:t>
      </w:r>
      <w:r w:rsidR="00AC5151" w:rsidRPr="000C12E2">
        <w:rPr>
          <w:rFonts w:ascii="Cambria" w:eastAsia="Cambria" w:hAnsi="Cambria" w:cs="Cambria"/>
          <w:color w:val="000000"/>
          <w:sz w:val="20"/>
          <w:szCs w:val="20"/>
          <w:lang w:val="pt-PT"/>
        </w:rPr>
        <w:t xml:space="preserve"> que se ha buscado aplica</w:t>
      </w:r>
      <w:r w:rsidR="00F76882" w:rsidRPr="000C12E2">
        <w:rPr>
          <w:rFonts w:ascii="Cambria" w:eastAsia="Cambria" w:hAnsi="Cambria" w:cs="Cambria"/>
          <w:color w:val="000000"/>
          <w:sz w:val="20"/>
          <w:szCs w:val="20"/>
          <w:lang w:val="pt-PT"/>
        </w:rPr>
        <w:t>r</w:t>
      </w:r>
      <w:r w:rsidR="00AC5151" w:rsidRPr="000C12E2">
        <w:rPr>
          <w:rFonts w:ascii="Cambria" w:eastAsia="Cambria" w:hAnsi="Cambria" w:cs="Cambria"/>
          <w:color w:val="000000"/>
          <w:sz w:val="20"/>
          <w:szCs w:val="20"/>
          <w:lang w:val="pt-PT"/>
        </w:rPr>
        <w:t xml:space="preserve"> sentencias como </w:t>
      </w:r>
      <w:r w:rsidR="00335EB0" w:rsidRPr="000C12E2">
        <w:rPr>
          <w:rFonts w:ascii="Cambria" w:eastAsia="Cambria" w:hAnsi="Cambria" w:cs="Cambria"/>
          <w:color w:val="000000"/>
          <w:sz w:val="20"/>
          <w:szCs w:val="20"/>
          <w:lang w:val="pt-PT"/>
        </w:rPr>
        <w:t xml:space="preserve">la </w:t>
      </w:r>
      <w:r w:rsidR="00F76882" w:rsidRPr="000C12E2">
        <w:rPr>
          <w:rFonts w:ascii="Cambria" w:eastAsia="Cambria" w:hAnsi="Cambria" w:cs="Cambria"/>
          <w:color w:val="000000"/>
          <w:sz w:val="20"/>
          <w:szCs w:val="20"/>
          <w:lang w:val="pt-PT"/>
        </w:rPr>
        <w:t xml:space="preserve">No. </w:t>
      </w:r>
      <w:r w:rsidR="00AC5151" w:rsidRPr="000C12E2">
        <w:rPr>
          <w:rFonts w:ascii="Cambria" w:eastAsia="Cambria" w:hAnsi="Cambria" w:cs="Cambria"/>
          <w:color w:val="000000"/>
          <w:sz w:val="20"/>
          <w:szCs w:val="20"/>
          <w:lang w:val="pt-PT"/>
        </w:rPr>
        <w:t>46</w:t>
      </w:r>
      <w:r w:rsidR="00335EB0" w:rsidRPr="000C12E2">
        <w:rPr>
          <w:rFonts w:ascii="Cambria" w:eastAsia="Cambria" w:hAnsi="Cambria" w:cs="Cambria"/>
          <w:color w:val="000000"/>
          <w:sz w:val="20"/>
          <w:szCs w:val="20"/>
          <w:lang w:val="pt-PT"/>
        </w:rPr>
        <w:t>.</w:t>
      </w:r>
      <w:r w:rsidR="00AC5151" w:rsidRPr="000C12E2">
        <w:rPr>
          <w:rFonts w:ascii="Cambria" w:eastAsia="Cambria" w:hAnsi="Cambria" w:cs="Cambria"/>
          <w:color w:val="000000"/>
          <w:sz w:val="20"/>
          <w:szCs w:val="20"/>
          <w:lang w:val="pt-PT"/>
        </w:rPr>
        <w:t xml:space="preserve">382 de la Corte Suprema de Justicia, </w:t>
      </w:r>
      <w:r w:rsidR="00F76882" w:rsidRPr="000C12E2">
        <w:rPr>
          <w:rFonts w:ascii="Cambria" w:eastAsia="Cambria" w:hAnsi="Cambria" w:cs="Cambria"/>
          <w:color w:val="000000"/>
          <w:sz w:val="20"/>
          <w:szCs w:val="20"/>
          <w:lang w:val="pt-PT"/>
        </w:rPr>
        <w:t>sin que</w:t>
      </w:r>
      <w:r w:rsidR="00AC5151" w:rsidRPr="000C12E2">
        <w:rPr>
          <w:rFonts w:ascii="Cambria" w:eastAsia="Cambria" w:hAnsi="Cambria" w:cs="Cambria"/>
          <w:color w:val="000000"/>
          <w:sz w:val="20"/>
          <w:szCs w:val="20"/>
          <w:lang w:val="pt-PT"/>
        </w:rPr>
        <w:t xml:space="preserve"> los elementos exigidos para aplicar </w:t>
      </w:r>
      <w:r w:rsidR="00F76882" w:rsidRPr="000C12E2">
        <w:rPr>
          <w:rFonts w:ascii="Cambria" w:eastAsia="Cambria" w:hAnsi="Cambria" w:cs="Cambria"/>
          <w:color w:val="000000"/>
          <w:sz w:val="20"/>
          <w:szCs w:val="20"/>
          <w:lang w:val="pt-PT"/>
        </w:rPr>
        <w:t>la</w:t>
      </w:r>
      <w:r w:rsidR="00AC5151" w:rsidRPr="000C12E2">
        <w:rPr>
          <w:rFonts w:ascii="Cambria" w:eastAsia="Cambria" w:hAnsi="Cambria" w:cs="Cambria"/>
          <w:color w:val="000000"/>
          <w:sz w:val="20"/>
          <w:szCs w:val="20"/>
          <w:lang w:val="pt-PT"/>
        </w:rPr>
        <w:t xml:space="preserve"> posición jurídica</w:t>
      </w:r>
      <w:r w:rsidR="00F76882" w:rsidRPr="000C12E2">
        <w:rPr>
          <w:rFonts w:ascii="Cambria" w:eastAsia="Cambria" w:hAnsi="Cambria" w:cs="Cambria"/>
          <w:color w:val="000000"/>
          <w:sz w:val="20"/>
          <w:szCs w:val="20"/>
          <w:lang w:val="pt-PT"/>
        </w:rPr>
        <w:t xml:space="preserve"> de esa decisión</w:t>
      </w:r>
      <w:r w:rsidR="00AC5151" w:rsidRPr="000C12E2">
        <w:rPr>
          <w:rFonts w:ascii="Cambria" w:eastAsia="Cambria" w:hAnsi="Cambria" w:cs="Cambria"/>
          <w:color w:val="000000"/>
          <w:sz w:val="20"/>
          <w:szCs w:val="20"/>
          <w:lang w:val="pt-PT"/>
        </w:rPr>
        <w:t xml:space="preserve"> no se encuentran plasmados dentro del proceso penal</w:t>
      </w:r>
      <w:r w:rsidR="00F76882" w:rsidRPr="000C12E2">
        <w:rPr>
          <w:rFonts w:ascii="Cambria" w:eastAsia="Cambria" w:hAnsi="Cambria" w:cs="Cambria"/>
          <w:color w:val="000000"/>
          <w:sz w:val="20"/>
          <w:szCs w:val="20"/>
          <w:lang w:val="pt-PT"/>
        </w:rPr>
        <w:t xml:space="preserve">. En consecuencia, informa que </w:t>
      </w:r>
      <w:r w:rsidR="00AC5151" w:rsidRPr="000C12E2">
        <w:rPr>
          <w:rFonts w:ascii="Cambria" w:eastAsia="Cambria" w:hAnsi="Cambria" w:cs="Cambria"/>
          <w:color w:val="000000"/>
          <w:sz w:val="20"/>
          <w:szCs w:val="20"/>
          <w:lang w:val="pt-PT"/>
        </w:rPr>
        <w:t>hasta el momento no se</w:t>
      </w:r>
      <w:r w:rsidR="00F76882" w:rsidRPr="000C12E2">
        <w:rPr>
          <w:rFonts w:ascii="Cambria" w:eastAsia="Cambria" w:hAnsi="Cambria" w:cs="Cambria"/>
          <w:color w:val="000000"/>
          <w:sz w:val="20"/>
          <w:szCs w:val="20"/>
          <w:lang w:val="pt-PT"/>
        </w:rPr>
        <w:t xml:space="preserve"> vinculado </w:t>
      </w:r>
      <w:r w:rsidR="00AC5151" w:rsidRPr="000C12E2">
        <w:rPr>
          <w:rFonts w:ascii="Cambria" w:eastAsia="Cambria" w:hAnsi="Cambria" w:cs="Cambria"/>
          <w:color w:val="000000"/>
          <w:sz w:val="20"/>
          <w:szCs w:val="20"/>
          <w:lang w:val="pt-PT"/>
        </w:rPr>
        <w:t>formal</w:t>
      </w:r>
      <w:r w:rsidR="00F76882" w:rsidRPr="000C12E2">
        <w:rPr>
          <w:rFonts w:ascii="Cambria" w:eastAsia="Cambria" w:hAnsi="Cambria" w:cs="Cambria"/>
          <w:color w:val="000000"/>
          <w:sz w:val="20"/>
          <w:szCs w:val="20"/>
          <w:lang w:val="pt-PT"/>
        </w:rPr>
        <w:t>mente</w:t>
      </w:r>
      <w:r w:rsidR="00AC5151" w:rsidRPr="000C12E2">
        <w:rPr>
          <w:rFonts w:ascii="Cambria" w:eastAsia="Cambria" w:hAnsi="Cambria" w:cs="Cambria"/>
          <w:color w:val="000000"/>
          <w:sz w:val="20"/>
          <w:szCs w:val="20"/>
          <w:lang w:val="pt-PT"/>
        </w:rPr>
        <w:t xml:space="preserve"> </w:t>
      </w:r>
      <w:r w:rsidR="00F76882" w:rsidRPr="000C12E2">
        <w:rPr>
          <w:rFonts w:ascii="Cambria" w:eastAsia="Cambria" w:hAnsi="Cambria" w:cs="Cambria"/>
          <w:color w:val="000000"/>
          <w:sz w:val="20"/>
          <w:szCs w:val="20"/>
          <w:lang w:val="pt-PT"/>
        </w:rPr>
        <w:t>a</w:t>
      </w:r>
      <w:r w:rsidR="00AC5151" w:rsidRPr="000C12E2">
        <w:rPr>
          <w:rFonts w:ascii="Cambria" w:eastAsia="Cambria" w:hAnsi="Cambria" w:cs="Cambria"/>
          <w:color w:val="000000"/>
          <w:sz w:val="20"/>
          <w:szCs w:val="20"/>
          <w:lang w:val="pt-PT"/>
        </w:rPr>
        <w:t xml:space="preserve"> la investigación.</w:t>
      </w:r>
    </w:p>
    <w:p w14:paraId="4101652C" w14:textId="77777777" w:rsidR="00A34F3B" w:rsidRPr="000C12E2" w:rsidRDefault="00A34F3B" w:rsidP="00A34F3B">
      <w:pPr>
        <w:pStyle w:val="BlockText"/>
        <w:spacing w:before="0" w:beforeAutospacing="0" w:after="0" w:afterAutospacing="0"/>
        <w:jc w:val="both"/>
        <w:rPr>
          <w:rFonts w:ascii="Cambria" w:hAnsi="Cambria" w:cs="Calibri Light"/>
          <w:color w:val="000000"/>
          <w:sz w:val="20"/>
          <w:szCs w:val="20"/>
          <w:lang w:val="es-ES"/>
        </w:rPr>
      </w:pPr>
    </w:p>
    <w:p w14:paraId="6E8EB22D" w14:textId="77777777" w:rsidR="00A34F3B" w:rsidRPr="000C12E2" w:rsidRDefault="001974A1" w:rsidP="00FB391C">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0C12E2">
        <w:rPr>
          <w:rFonts w:ascii="Cambria" w:hAnsi="Cambria" w:cs="Calibri Light"/>
          <w:color w:val="000000"/>
          <w:sz w:val="20"/>
          <w:szCs w:val="20"/>
          <w:lang w:val="es-ES"/>
        </w:rPr>
        <w:t>La Comisión valora la información proporcionada por el Estad</w:t>
      </w:r>
      <w:r w:rsidR="00C8591A" w:rsidRPr="000C12E2">
        <w:rPr>
          <w:rFonts w:ascii="Cambria" w:hAnsi="Cambria" w:cs="Calibri Light"/>
          <w:color w:val="000000"/>
          <w:sz w:val="20"/>
          <w:szCs w:val="20"/>
          <w:lang w:val="es-ES"/>
        </w:rPr>
        <w:t xml:space="preserve">o en cuanto a que, al momento, hay una investigación en etapa previa respecto de los hechos del caso. Sin embargo, </w:t>
      </w:r>
      <w:r w:rsidR="00BA1B8F" w:rsidRPr="000C12E2">
        <w:rPr>
          <w:rFonts w:ascii="Cambria" w:hAnsi="Cambria" w:cs="Calibri Light"/>
          <w:color w:val="000000"/>
          <w:sz w:val="20"/>
          <w:szCs w:val="20"/>
          <w:lang w:val="es-ES"/>
        </w:rPr>
        <w:t>con miras a determinar si ha habido avances en el cumplimiento de esta recomendación, la Comisión invita al Estado a informar cuando las diligencias realizadas permitan</w:t>
      </w:r>
      <w:r w:rsidR="006706B1" w:rsidRPr="000C12E2">
        <w:rPr>
          <w:rFonts w:ascii="Cambria" w:hAnsi="Cambria" w:cs="Calibri Light"/>
          <w:color w:val="000000"/>
          <w:sz w:val="20"/>
          <w:szCs w:val="20"/>
          <w:lang w:val="es-ES"/>
        </w:rPr>
        <w:t xml:space="preserve"> le hayan permitido</w:t>
      </w:r>
      <w:r w:rsidR="00BA1B8F" w:rsidRPr="000C12E2">
        <w:rPr>
          <w:rFonts w:ascii="Cambria" w:hAnsi="Cambria" w:cs="Calibri Light"/>
          <w:color w:val="000000"/>
          <w:sz w:val="20"/>
          <w:szCs w:val="20"/>
          <w:lang w:val="es-ES"/>
        </w:rPr>
        <w:t xml:space="preserve"> determinar una hipótesis investigativa sólida y, de ser el caso, individualizar a los presuntos responsables de los hechos del caso. </w:t>
      </w:r>
      <w:r w:rsidR="00C8591A" w:rsidRPr="000C12E2">
        <w:rPr>
          <w:rFonts w:ascii="Cambria" w:hAnsi="Cambria" w:cs="Calibri Light"/>
          <w:color w:val="000000"/>
          <w:sz w:val="20"/>
          <w:szCs w:val="20"/>
          <w:lang w:val="es-ES"/>
        </w:rPr>
        <w:t xml:space="preserve">En este sentido, la Comisión queda a la espera de información sobre el desarrollo de la investigación. A partir de lo anterior, la CIDH considera que la tercera recomendación está pendiente de cumplimiento. </w:t>
      </w:r>
    </w:p>
    <w:p w14:paraId="4B99056E" w14:textId="77777777" w:rsidR="00E453D3" w:rsidRPr="000C12E2" w:rsidRDefault="00E453D3" w:rsidP="00547EF7">
      <w:pPr>
        <w:pStyle w:val="BlockText"/>
        <w:spacing w:before="0" w:beforeAutospacing="0" w:after="0" w:afterAutospacing="0"/>
        <w:jc w:val="both"/>
        <w:rPr>
          <w:rFonts w:ascii="Cambria" w:eastAsia="Cambria" w:hAnsi="Cambria" w:cs="Cambria"/>
          <w:color w:val="000000"/>
          <w:sz w:val="20"/>
          <w:szCs w:val="20"/>
          <w:lang w:val="es-MX"/>
        </w:rPr>
      </w:pPr>
    </w:p>
    <w:p w14:paraId="150AD19A" w14:textId="77777777" w:rsidR="00A26F35" w:rsidRPr="000C12E2" w:rsidRDefault="00E55039">
      <w:pPr>
        <w:pStyle w:val="ListParagraph"/>
        <w:numPr>
          <w:ilvl w:val="0"/>
          <w:numId w:val="11"/>
        </w:numPr>
        <w:spacing w:after="0" w:line="240" w:lineRule="auto"/>
        <w:jc w:val="both"/>
        <w:rPr>
          <w:rFonts w:ascii="Cambria" w:eastAsia="Cambria" w:hAnsi="Cambria" w:cs="Cambria"/>
          <w:b/>
          <w:bCs/>
          <w:sz w:val="20"/>
          <w:szCs w:val="20"/>
          <w:lang w:val="es-CO"/>
        </w:rPr>
      </w:pPr>
      <w:r w:rsidRPr="000C12E2">
        <w:rPr>
          <w:rFonts w:ascii="Cambria" w:eastAsia="Cambria" w:hAnsi="Cambria" w:cs="Cambria"/>
          <w:b/>
          <w:bCs/>
          <w:sz w:val="20"/>
          <w:szCs w:val="20"/>
          <w:lang w:val="es-CO"/>
        </w:rPr>
        <w:t xml:space="preserve">Nivel del cumplimiento del caso </w:t>
      </w:r>
    </w:p>
    <w:p w14:paraId="1299C43A" w14:textId="77777777" w:rsidR="00A26F35" w:rsidRPr="000C12E2" w:rsidRDefault="00A26F35" w:rsidP="00756369">
      <w:pPr>
        <w:pStyle w:val="BlockText"/>
        <w:spacing w:before="0" w:beforeAutospacing="0" w:after="0" w:afterAutospacing="0"/>
        <w:ind w:left="720"/>
        <w:jc w:val="both"/>
        <w:rPr>
          <w:rFonts w:ascii="Cambria" w:hAnsi="Cambria" w:cs="Calibri Light"/>
          <w:color w:val="000000"/>
          <w:sz w:val="20"/>
          <w:szCs w:val="20"/>
          <w:lang w:val="es-ES"/>
        </w:rPr>
      </w:pPr>
    </w:p>
    <w:p w14:paraId="1EF0A6AE" w14:textId="164AC7A2" w:rsidR="00A26F35" w:rsidRPr="000C12E2" w:rsidRDefault="00E55039" w:rsidP="0EA69B84">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EA69B84">
        <w:rPr>
          <w:rFonts w:ascii="Cambria" w:hAnsi="Cambria" w:cs="Calibri Light"/>
          <w:color w:val="000000" w:themeColor="text1"/>
          <w:sz w:val="20"/>
          <w:szCs w:val="20"/>
          <w:lang w:val="es-ES"/>
        </w:rPr>
        <w:t>Por todo anterior, la Comisión concluye que</w:t>
      </w:r>
      <w:r w:rsidR="00A35D88" w:rsidRPr="0EA69B84">
        <w:rPr>
          <w:rFonts w:ascii="Cambria" w:hAnsi="Cambria" w:cs="Calibri Light"/>
          <w:color w:val="000000" w:themeColor="text1"/>
          <w:sz w:val="20"/>
          <w:szCs w:val="20"/>
          <w:lang w:val="es-ES"/>
        </w:rPr>
        <w:t xml:space="preserve"> </w:t>
      </w:r>
      <w:r w:rsidRPr="0EA69B84">
        <w:rPr>
          <w:rFonts w:ascii="Cambria" w:hAnsi="Cambria" w:cs="Calibri Light"/>
          <w:color w:val="000000" w:themeColor="text1"/>
          <w:sz w:val="20"/>
          <w:szCs w:val="20"/>
          <w:lang w:val="es-ES"/>
        </w:rPr>
        <w:t>el</w:t>
      </w:r>
      <w:r w:rsidR="4430D351" w:rsidRPr="0EA69B84">
        <w:rPr>
          <w:rFonts w:ascii="Cambria" w:hAnsi="Cambria" w:cs="Calibri Light"/>
          <w:color w:val="000000" w:themeColor="text1"/>
          <w:sz w:val="20"/>
          <w:szCs w:val="20"/>
          <w:lang w:val="es-ES"/>
        </w:rPr>
        <w:t xml:space="preserve"> nivel de c</w:t>
      </w:r>
      <w:r w:rsidR="58D33A46" w:rsidRPr="0EA69B84">
        <w:rPr>
          <w:rFonts w:ascii="Cambria" w:hAnsi="Cambria" w:cs="Calibri Light"/>
          <w:color w:val="000000" w:themeColor="text1"/>
          <w:sz w:val="20"/>
          <w:szCs w:val="20"/>
          <w:lang w:val="es-ES"/>
        </w:rPr>
        <w:t xml:space="preserve">umplimiento </w:t>
      </w:r>
      <w:r w:rsidR="4430D351" w:rsidRPr="0EA69B84">
        <w:rPr>
          <w:rFonts w:ascii="Cambria" w:hAnsi="Cambria" w:cs="Calibri Light"/>
          <w:color w:val="000000" w:themeColor="text1"/>
          <w:sz w:val="20"/>
          <w:szCs w:val="20"/>
          <w:lang w:val="es-ES"/>
        </w:rPr>
        <w:t>del</w:t>
      </w:r>
      <w:r w:rsidRPr="0EA69B84">
        <w:rPr>
          <w:rFonts w:ascii="Cambria" w:hAnsi="Cambria" w:cs="Calibri Light"/>
          <w:color w:val="000000" w:themeColor="text1"/>
          <w:sz w:val="20"/>
          <w:szCs w:val="20"/>
          <w:lang w:val="es-ES"/>
        </w:rPr>
        <w:t xml:space="preserve"> </w:t>
      </w:r>
      <w:r w:rsidR="00A35D88" w:rsidRPr="0EA69B84">
        <w:rPr>
          <w:rFonts w:ascii="Cambria" w:hAnsi="Cambria" w:cs="Calibri Light"/>
          <w:color w:val="000000" w:themeColor="text1"/>
          <w:sz w:val="20"/>
          <w:szCs w:val="20"/>
          <w:lang w:val="es-ES"/>
        </w:rPr>
        <w:t>caso</w:t>
      </w:r>
      <w:r w:rsidR="4C01B1C9" w:rsidRPr="0EA69B84">
        <w:rPr>
          <w:rFonts w:ascii="Cambria" w:hAnsi="Cambria" w:cs="Calibri Light"/>
          <w:color w:val="000000" w:themeColor="text1"/>
          <w:sz w:val="20"/>
          <w:szCs w:val="20"/>
          <w:lang w:val="es-ES"/>
        </w:rPr>
        <w:t xml:space="preserve"> es parcial</w:t>
      </w:r>
      <w:r w:rsidR="00F76882" w:rsidRPr="0EA69B84">
        <w:rPr>
          <w:rFonts w:ascii="Cambria" w:hAnsi="Cambria" w:cs="Calibri Light"/>
          <w:color w:val="000000" w:themeColor="text1"/>
          <w:sz w:val="20"/>
          <w:szCs w:val="20"/>
          <w:lang w:val="es-ES"/>
        </w:rPr>
        <w:t xml:space="preserve">. En consecuencia, continuará supervisando el cumplimiento de las recomendaciones primera, segunda y tercera del Informe de Fondo No. 25/20. </w:t>
      </w:r>
    </w:p>
    <w:p w14:paraId="4DDBEF00" w14:textId="77777777" w:rsidR="00834462" w:rsidRPr="000C12E2" w:rsidRDefault="00834462" w:rsidP="00834462">
      <w:pPr>
        <w:pStyle w:val="BlockText"/>
        <w:spacing w:before="0" w:beforeAutospacing="0" w:after="0" w:afterAutospacing="0"/>
        <w:ind w:left="720"/>
        <w:jc w:val="both"/>
        <w:rPr>
          <w:rFonts w:ascii="Cambria" w:hAnsi="Cambria" w:cs="Calibri Light"/>
          <w:color w:val="000000"/>
          <w:sz w:val="20"/>
          <w:szCs w:val="20"/>
          <w:lang w:val="es-ES"/>
        </w:rPr>
      </w:pPr>
    </w:p>
    <w:p w14:paraId="50346E3A" w14:textId="77777777" w:rsidR="00A26F35" w:rsidRPr="000C12E2" w:rsidRDefault="00E55039">
      <w:pPr>
        <w:pStyle w:val="ListParagraph"/>
        <w:numPr>
          <w:ilvl w:val="0"/>
          <w:numId w:val="13"/>
        </w:numPr>
        <w:spacing w:after="0" w:line="240" w:lineRule="auto"/>
        <w:jc w:val="both"/>
        <w:rPr>
          <w:rFonts w:ascii="Cambria" w:eastAsia="Cambria" w:hAnsi="Cambria" w:cs="Cambria"/>
          <w:b/>
          <w:bCs/>
          <w:sz w:val="20"/>
          <w:szCs w:val="20"/>
          <w:lang w:val="es-MX"/>
        </w:rPr>
      </w:pPr>
      <w:r w:rsidRPr="000C12E2">
        <w:rPr>
          <w:rFonts w:ascii="Cambria" w:eastAsia="Cambria" w:hAnsi="Cambria" w:cs="Cambria"/>
          <w:b/>
          <w:bCs/>
          <w:sz w:val="20"/>
          <w:szCs w:val="20"/>
          <w:lang w:val="es-MX"/>
        </w:rPr>
        <w:t>Resultados individuales y estructurales del caso</w:t>
      </w:r>
    </w:p>
    <w:p w14:paraId="3461D779" w14:textId="77777777" w:rsidR="00756369" w:rsidRPr="000C12E2" w:rsidRDefault="00756369" w:rsidP="00756369">
      <w:pPr>
        <w:spacing w:after="0" w:line="240" w:lineRule="auto"/>
        <w:jc w:val="both"/>
        <w:rPr>
          <w:rFonts w:ascii="Cambria" w:eastAsia="Cambria" w:hAnsi="Cambria" w:cs="Cambria"/>
          <w:sz w:val="20"/>
          <w:szCs w:val="20"/>
          <w:lang w:val="es-MX"/>
        </w:rPr>
      </w:pPr>
    </w:p>
    <w:p w14:paraId="2BFD91DD" w14:textId="77777777" w:rsidR="00A26F35" w:rsidRPr="000C12E2" w:rsidRDefault="00F76882" w:rsidP="00F76882">
      <w:pPr>
        <w:pStyle w:val="BlockText"/>
        <w:numPr>
          <w:ilvl w:val="0"/>
          <w:numId w:val="6"/>
        </w:numPr>
        <w:spacing w:before="0" w:beforeAutospacing="0" w:after="0" w:afterAutospacing="0"/>
        <w:jc w:val="both"/>
        <w:rPr>
          <w:rFonts w:ascii="Cambria" w:eastAsia="Cambria" w:hAnsi="Cambria" w:cs="Cambria"/>
          <w:color w:val="000000"/>
          <w:sz w:val="20"/>
          <w:szCs w:val="20"/>
          <w:lang w:val="es-MX"/>
        </w:rPr>
      </w:pPr>
      <w:r w:rsidRPr="000C12E2">
        <w:rPr>
          <w:rFonts w:ascii="Cambria" w:eastAsia="Cambria" w:hAnsi="Cambria" w:cs="Cambria"/>
          <w:color w:val="000000"/>
          <w:sz w:val="20"/>
          <w:szCs w:val="20"/>
          <w:lang w:val="es-MX"/>
        </w:rPr>
        <w:t xml:space="preserve">Al momento, no se han identificados resultados individuales ni estructurales del caso. </w:t>
      </w:r>
    </w:p>
    <w:sectPr w:rsidR="00A26F35" w:rsidRPr="000C12E2" w:rsidSect="008344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D925" w14:textId="77777777" w:rsidR="007660C1" w:rsidRDefault="007660C1">
      <w:pPr>
        <w:spacing w:after="0" w:line="240" w:lineRule="auto"/>
      </w:pPr>
      <w:r>
        <w:separator/>
      </w:r>
    </w:p>
  </w:endnote>
  <w:endnote w:type="continuationSeparator" w:id="0">
    <w:p w14:paraId="4AC5FBDB" w14:textId="77777777" w:rsidR="007660C1" w:rsidRDefault="0076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5CE8" w14:textId="77777777" w:rsidR="005A30C3" w:rsidRDefault="005A3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DB7167" w:rsidRPr="00834462" w:rsidRDefault="00DB7167">
    <w:pPr>
      <w:pStyle w:val="Footer"/>
      <w:spacing w:after="0" w:line="240" w:lineRule="auto"/>
      <w:jc w:val="center"/>
      <w:rPr>
        <w:rFonts w:ascii="Cambria" w:hAnsi="Cambria"/>
        <w:sz w:val="20"/>
        <w:szCs w:val="20"/>
      </w:rPr>
    </w:pPr>
    <w:r w:rsidRPr="00834462">
      <w:rPr>
        <w:rFonts w:ascii="Cambria" w:hAnsi="Cambria"/>
        <w:sz w:val="20"/>
        <w:szCs w:val="20"/>
      </w:rPr>
      <w:fldChar w:fldCharType="begin"/>
    </w:r>
    <w:r w:rsidRPr="00834462">
      <w:rPr>
        <w:rFonts w:ascii="Cambria" w:hAnsi="Cambria"/>
        <w:sz w:val="20"/>
        <w:szCs w:val="20"/>
      </w:rPr>
      <w:instrText xml:space="preserve"> PAGE </w:instrText>
    </w:r>
    <w:r w:rsidRPr="00834462">
      <w:rPr>
        <w:rFonts w:ascii="Cambria" w:hAnsi="Cambria"/>
        <w:sz w:val="20"/>
        <w:szCs w:val="20"/>
      </w:rPr>
      <w:fldChar w:fldCharType="separate"/>
    </w:r>
    <w:r w:rsidR="00AB7918" w:rsidRPr="00834462">
      <w:rPr>
        <w:rFonts w:ascii="Cambria" w:hAnsi="Cambria"/>
        <w:noProof/>
        <w:sz w:val="20"/>
        <w:szCs w:val="20"/>
      </w:rPr>
      <w:t>2</w:t>
    </w:r>
    <w:r w:rsidRPr="00834462">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859F" w14:textId="77777777" w:rsidR="005A30C3" w:rsidRDefault="005A3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C139" w14:textId="77777777" w:rsidR="007660C1" w:rsidRDefault="007660C1">
      <w:r>
        <w:separator/>
      </w:r>
    </w:p>
  </w:footnote>
  <w:footnote w:type="continuationSeparator" w:id="0">
    <w:p w14:paraId="7DC8F0EA" w14:textId="77777777" w:rsidR="007660C1" w:rsidRDefault="007660C1">
      <w:r>
        <w:continuationSeparator/>
      </w:r>
    </w:p>
  </w:footnote>
  <w:footnote w:type="continuationNotice" w:id="1">
    <w:p w14:paraId="4BA9337B" w14:textId="77777777" w:rsidR="007660C1" w:rsidRDefault="00766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99E" w14:textId="77777777" w:rsidR="005A30C3" w:rsidRDefault="005A3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0288" w14:textId="77777777" w:rsidR="00AD498E" w:rsidRPr="00AD498E" w:rsidRDefault="009A1929" w:rsidP="00AD498E">
    <w:pPr>
      <w:pStyle w:val="Header"/>
      <w:rPr>
        <w:rFonts w:ascii="Arial" w:hAnsi="Arial" w:cs="Arial"/>
        <w:color w:val="3B3838"/>
        <w:szCs w:val="28"/>
      </w:rPr>
    </w:pPr>
    <w:r>
      <w:rPr>
        <w:noProof/>
      </w:rPr>
      <w:drawing>
        <wp:anchor distT="0" distB="0" distL="114300" distR="114300" simplePos="0" relativeHeight="251659776" behindDoc="0" locked="0" layoutInCell="1" allowOverlap="1" wp14:anchorId="4955D7D5" wp14:editId="07777777">
          <wp:simplePos x="0" y="0"/>
          <wp:positionH relativeFrom="column">
            <wp:posOffset>4658995</wp:posOffset>
          </wp:positionH>
          <wp:positionV relativeFrom="paragraph">
            <wp:posOffset>-3175</wp:posOffset>
          </wp:positionV>
          <wp:extent cx="1485900" cy="346075"/>
          <wp:effectExtent l="0" t="0" r="0" b="0"/>
          <wp:wrapSquare wrapText="bothSides"/>
          <wp:docPr id="6"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98E">
      <w:rPr>
        <w:noProof/>
      </w:rPr>
      <w:drawing>
        <wp:inline distT="0" distB="0" distL="0" distR="0" wp14:anchorId="61A8550D" wp14:editId="07777777">
          <wp:extent cx="1333500" cy="314325"/>
          <wp:effectExtent l="0" t="0" r="0"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00AD498E" w:rsidRPr="00AD498E">
      <w:rPr>
        <w:rFonts w:ascii="Arial" w:hAnsi="Arial" w:cs="Arial"/>
        <w:color w:val="3B3838"/>
        <w:szCs w:val="28"/>
      </w:rPr>
      <w:softHyphen/>
    </w:r>
    <w:r w:rsidR="00AD498E" w:rsidRPr="00AD498E">
      <w:rPr>
        <w:rFonts w:ascii="Arial" w:hAnsi="Arial" w:cs="Arial"/>
        <w:color w:val="3B3838"/>
        <w:szCs w:val="28"/>
      </w:rPr>
      <w:softHyphen/>
      <w:t xml:space="preserve">                       </w:t>
    </w:r>
  </w:p>
  <w:p w14:paraId="648E07CC" w14:textId="77777777" w:rsidR="00AD498E" w:rsidRPr="00AD498E" w:rsidRDefault="009A1929" w:rsidP="005A30C3">
    <w:pPr>
      <w:pStyle w:val="Header"/>
      <w:spacing w:after="0" w:line="240"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8752" behindDoc="0" locked="0" layoutInCell="1" allowOverlap="1" wp14:anchorId="0267EF2B" wp14:editId="07777777">
              <wp:simplePos x="0" y="0"/>
              <wp:positionH relativeFrom="column">
                <wp:posOffset>-5080</wp:posOffset>
              </wp:positionH>
              <wp:positionV relativeFrom="paragraph">
                <wp:posOffset>173989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BD08006">
            <v:line id="Straight Connector 5"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262626" strokeweight="1.25pt" from="-.4pt,13.7pt" to="483.7pt,13.7pt" w14:anchorId="37342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A28A" w14:textId="77777777" w:rsidR="00AD498E" w:rsidRDefault="009A1929" w:rsidP="00AD498E">
    <w:pPr>
      <w:pStyle w:val="Header"/>
      <w:spacing w:line="216" w:lineRule="auto"/>
      <w:rPr>
        <w:rFonts w:ascii="Arial" w:hAnsi="Arial" w:cs="Arial"/>
        <w:color w:val="3B3838"/>
        <w:sz w:val="28"/>
        <w:szCs w:val="28"/>
        <w:lang w:val="es-ES"/>
      </w:rPr>
    </w:pPr>
    <w:r>
      <w:rPr>
        <w:noProof/>
      </w:rPr>
      <w:drawing>
        <wp:anchor distT="0" distB="0" distL="114300" distR="114300" simplePos="0" relativeHeight="251656704" behindDoc="0" locked="0" layoutInCell="1" allowOverlap="1" wp14:anchorId="7E5A645F" wp14:editId="07777777">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31A02F5" wp14:editId="07777777">
              <wp:simplePos x="0" y="0"/>
              <wp:positionH relativeFrom="column">
                <wp:posOffset>-166370</wp:posOffset>
              </wp:positionH>
              <wp:positionV relativeFrom="paragraph">
                <wp:posOffset>48895</wp:posOffset>
              </wp:positionV>
              <wp:extent cx="2936875"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0FB78278" w14:textId="77777777" w:rsidR="00AD498E" w:rsidRDefault="009A1929" w:rsidP="00AD498E">
                          <w:r w:rsidRPr="00AD498E">
                            <w:rPr>
                              <w:noProof/>
                            </w:rPr>
                            <w:drawing>
                              <wp:inline distT="0" distB="0" distL="0" distR="0" wp14:anchorId="556E5601" wp14:editId="07777777">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1A02F5" id="_x0000_t202" coordsize="21600,21600" o:spt="202" path="m,l,21600r21600,l21600,xe">
              <v:stroke joinstyle="miter"/>
              <v:path gradientshapeok="t" o:connecttype="rect"/>
            </v:shapetype>
            <v:shape id="Text Box 3" o:spid="_x0000_s1026" type="#_x0000_t202" style="position:absolute;margin-left:-13.1pt;margin-top:3.85pt;width:231.2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0FB78278" w14:textId="77777777" w:rsidR="00AD498E" w:rsidRDefault="009A1929" w:rsidP="00AD498E">
                    <w:r w:rsidRPr="00AD498E">
                      <w:rPr>
                        <w:noProof/>
                      </w:rPr>
                      <w:drawing>
                        <wp:inline distT="0" distB="0" distL="0" distR="0" wp14:anchorId="556E5601" wp14:editId="07777777">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AD498E" w:rsidRPr="00AD498E">
      <w:rPr>
        <w:rFonts w:ascii="Arial" w:hAnsi="Arial" w:cs="Arial"/>
        <w:color w:val="3B3838"/>
        <w:sz w:val="28"/>
        <w:szCs w:val="28"/>
        <w:lang w:val="es-ES"/>
      </w:rPr>
      <w:softHyphen/>
    </w:r>
    <w:r w:rsidR="00AD498E" w:rsidRPr="00AD498E">
      <w:rPr>
        <w:rFonts w:ascii="Arial" w:hAnsi="Arial" w:cs="Arial"/>
        <w:color w:val="3B3838"/>
        <w:sz w:val="28"/>
        <w:szCs w:val="28"/>
        <w:lang w:val="es-ES"/>
      </w:rPr>
      <w:softHyphen/>
    </w:r>
    <w:r w:rsidR="00AD498E" w:rsidRPr="00AD498E">
      <w:rPr>
        <w:rFonts w:ascii="Arial" w:hAnsi="Arial" w:cs="Arial"/>
        <w:color w:val="3B3838"/>
        <w:sz w:val="28"/>
        <w:szCs w:val="28"/>
        <w:lang w:val="es-ES"/>
      </w:rPr>
      <w:softHyphen/>
    </w:r>
  </w:p>
  <w:p w14:paraId="0562CB0E" w14:textId="77777777" w:rsidR="00AD498E" w:rsidRPr="00AD498E" w:rsidRDefault="00AD498E" w:rsidP="00AD498E">
    <w:pPr>
      <w:pStyle w:val="Header"/>
      <w:spacing w:line="216" w:lineRule="auto"/>
      <w:rPr>
        <w:rFonts w:ascii="Arial" w:hAnsi="Arial" w:cs="Arial"/>
        <w:color w:val="3B3838"/>
        <w:sz w:val="28"/>
        <w:szCs w:val="28"/>
        <w:lang w:val="es-ES"/>
      </w:rPr>
    </w:pPr>
  </w:p>
  <w:p w14:paraId="7910A94A" w14:textId="77777777" w:rsidR="00DB7167" w:rsidRPr="00AD498E" w:rsidRDefault="009A1929" w:rsidP="00AD498E">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5680" behindDoc="0" locked="0" layoutInCell="1" allowOverlap="1" wp14:anchorId="482C3D9B" wp14:editId="07777777">
              <wp:simplePos x="0" y="0"/>
              <wp:positionH relativeFrom="column">
                <wp:posOffset>-5715</wp:posOffset>
              </wp:positionH>
              <wp:positionV relativeFrom="paragraph">
                <wp:posOffset>167639</wp:posOffset>
              </wp:positionV>
              <wp:extent cx="61480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8206F11">
            <v:line id="Straight Connector 2"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262626" strokeweight="1.25pt" from="-.45pt,13.2pt" to="483.65pt,13.2pt" w14:anchorId="2AD3C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033"/>
    <w:multiLevelType w:val="hybridMultilevel"/>
    <w:tmpl w:val="3AF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7435"/>
    <w:multiLevelType w:val="hybridMultilevel"/>
    <w:tmpl w:val="389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22AB"/>
    <w:multiLevelType w:val="hybridMultilevel"/>
    <w:tmpl w:val="6C86DF4C"/>
    <w:styleLink w:val="EstiloImportado6"/>
    <w:lvl w:ilvl="0" w:tplc="16B694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2AD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E06B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3CE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2BF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F89F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A4D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C8E55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6A47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4F31D1C"/>
    <w:multiLevelType w:val="hybridMultilevel"/>
    <w:tmpl w:val="E1808D4A"/>
    <w:numStyleLink w:val="EstiloImportado3"/>
  </w:abstractNum>
  <w:abstractNum w:abstractNumId="4" w15:restartNumberingAfterBreak="0">
    <w:nsid w:val="367C7170"/>
    <w:multiLevelType w:val="hybridMultilevel"/>
    <w:tmpl w:val="36B4FCBE"/>
    <w:styleLink w:val="EstiloImportado2"/>
    <w:lvl w:ilvl="0" w:tplc="9E48B7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C29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04F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B25C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E21F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8ED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28A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1C0A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92D7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BFA14E1"/>
    <w:multiLevelType w:val="hybridMultilevel"/>
    <w:tmpl w:val="832C9622"/>
    <w:styleLink w:val="EstiloImportado1"/>
    <w:lvl w:ilvl="0" w:tplc="FCC26C48">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DA839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90C8D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65A6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5801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8608B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AD44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09D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ACCC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8CB4CED"/>
    <w:multiLevelType w:val="multilevel"/>
    <w:tmpl w:val="36B4FCBE"/>
    <w:numStyleLink w:val="EstiloImportado2"/>
  </w:abstractNum>
  <w:abstractNum w:abstractNumId="7" w15:restartNumberingAfterBreak="0">
    <w:nsid w:val="4D9E7D6B"/>
    <w:multiLevelType w:val="hybridMultilevel"/>
    <w:tmpl w:val="FAE26AEE"/>
    <w:lvl w:ilvl="0" w:tplc="3BF829DA">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6D6"/>
    <w:multiLevelType w:val="hybridMultilevel"/>
    <w:tmpl w:val="6C86DF4C"/>
    <w:numStyleLink w:val="EstiloImportado6"/>
  </w:abstractNum>
  <w:abstractNum w:abstractNumId="9" w15:restartNumberingAfterBreak="0">
    <w:nsid w:val="5165640A"/>
    <w:multiLevelType w:val="hybridMultilevel"/>
    <w:tmpl w:val="36B4FCBE"/>
    <w:lvl w:ilvl="0" w:tplc="41EEB7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04EF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C0C44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CC3F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AC5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639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2A338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CA34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4436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53D4E2A"/>
    <w:multiLevelType w:val="hybridMultilevel"/>
    <w:tmpl w:val="CE145C3E"/>
    <w:numStyleLink w:val="EstiloImportado5"/>
  </w:abstractNum>
  <w:abstractNum w:abstractNumId="11" w15:restartNumberingAfterBreak="0">
    <w:nsid w:val="5FF62E99"/>
    <w:multiLevelType w:val="hybridMultilevel"/>
    <w:tmpl w:val="CE145C3E"/>
    <w:styleLink w:val="EstiloImportado5"/>
    <w:lvl w:ilvl="0" w:tplc="374482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702F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000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4FB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C2D4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828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6889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8A98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8AE7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366111B"/>
    <w:multiLevelType w:val="hybridMultilevel"/>
    <w:tmpl w:val="E1808D4A"/>
    <w:styleLink w:val="EstiloImportado3"/>
    <w:lvl w:ilvl="0" w:tplc="B4500684">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49CA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AE68A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B2364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87AC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6EB1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66E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6A9A2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E83A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B8C2073"/>
    <w:multiLevelType w:val="hybridMultilevel"/>
    <w:tmpl w:val="832C9622"/>
    <w:numStyleLink w:val="EstiloImportado1"/>
  </w:abstractNum>
  <w:abstractNum w:abstractNumId="14" w15:restartNumberingAfterBreak="0">
    <w:nsid w:val="6BF67EF1"/>
    <w:multiLevelType w:val="hybridMultilevel"/>
    <w:tmpl w:val="7992549E"/>
    <w:styleLink w:val="EstiloImportado4"/>
    <w:lvl w:ilvl="0" w:tplc="BCE663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8890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5631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4B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D270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C480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01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8C2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6F2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5172CE"/>
    <w:multiLevelType w:val="hybridMultilevel"/>
    <w:tmpl w:val="7992549E"/>
    <w:numStyleLink w:val="EstiloImportado4"/>
  </w:abstractNum>
  <w:abstractNum w:abstractNumId="16" w15:restartNumberingAfterBreak="0">
    <w:nsid w:val="71081B0B"/>
    <w:multiLevelType w:val="hybridMultilevel"/>
    <w:tmpl w:val="5934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3"/>
    <w:lvlOverride w:ilvl="0">
      <w:startOverride w:val="2"/>
    </w:lvlOverride>
  </w:num>
  <w:num w:numId="4">
    <w:abstractNumId w:val="13"/>
    <w:lvlOverride w:ilvl="0">
      <w:startOverride w:val="3"/>
    </w:lvlOverride>
  </w:num>
  <w:num w:numId="5">
    <w:abstractNumId w:val="4"/>
  </w:num>
  <w:num w:numId="6">
    <w:abstractNumId w:val="6"/>
  </w:num>
  <w:num w:numId="7">
    <w:abstractNumId w:val="13"/>
  </w:num>
  <w:num w:numId="8">
    <w:abstractNumId w:val="6"/>
  </w:num>
  <w:num w:numId="9">
    <w:abstractNumId w:val="13"/>
  </w:num>
  <w:num w:numId="10">
    <w:abstractNumId w:val="6"/>
  </w:num>
  <w:num w:numId="11">
    <w:abstractNumId w:val="13"/>
  </w:num>
  <w:num w:numId="12">
    <w:abstractNumId w:val="6"/>
  </w:num>
  <w:num w:numId="13">
    <w:abstractNumId w:val="13"/>
  </w:num>
  <w:num w:numId="14">
    <w:abstractNumId w:val="6"/>
  </w:num>
  <w:num w:numId="15">
    <w:abstractNumId w:val="12"/>
  </w:num>
  <w:num w:numId="16">
    <w:abstractNumId w:val="3"/>
  </w:num>
  <w:num w:numId="17">
    <w:abstractNumId w:val="14"/>
  </w:num>
  <w:num w:numId="18">
    <w:abstractNumId w:val="15"/>
  </w:num>
  <w:num w:numId="19">
    <w:abstractNumId w:val="11"/>
  </w:num>
  <w:num w:numId="20">
    <w:abstractNumId w:val="10"/>
  </w:num>
  <w:num w:numId="21">
    <w:abstractNumId w:val="3"/>
  </w:num>
  <w:num w:numId="22">
    <w:abstractNumId w:val="2"/>
  </w:num>
  <w:num w:numId="23">
    <w:abstractNumId w:val="8"/>
  </w:num>
  <w:num w:numId="24">
    <w:abstractNumId w:val="0"/>
  </w:num>
  <w:num w:numId="25">
    <w:abstractNumId w:val="16"/>
  </w:num>
  <w:num w:numId="26">
    <w:abstractNumId w:val="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35"/>
    <w:rsid w:val="0001091F"/>
    <w:rsid w:val="00025EA7"/>
    <w:rsid w:val="00053723"/>
    <w:rsid w:val="00071043"/>
    <w:rsid w:val="000773BF"/>
    <w:rsid w:val="000C12E2"/>
    <w:rsid w:val="0011535D"/>
    <w:rsid w:val="00117242"/>
    <w:rsid w:val="001202B5"/>
    <w:rsid w:val="00122F33"/>
    <w:rsid w:val="001348E4"/>
    <w:rsid w:val="00157210"/>
    <w:rsid w:val="0016662A"/>
    <w:rsid w:val="00182FFC"/>
    <w:rsid w:val="00190FB4"/>
    <w:rsid w:val="00192A91"/>
    <w:rsid w:val="00196AC4"/>
    <w:rsid w:val="001974A1"/>
    <w:rsid w:val="001B4515"/>
    <w:rsid w:val="001D27AA"/>
    <w:rsid w:val="001F4A8C"/>
    <w:rsid w:val="00231451"/>
    <w:rsid w:val="002506E8"/>
    <w:rsid w:val="00285EBF"/>
    <w:rsid w:val="00294533"/>
    <w:rsid w:val="002F0114"/>
    <w:rsid w:val="002F3A90"/>
    <w:rsid w:val="002F57DA"/>
    <w:rsid w:val="00335DE8"/>
    <w:rsid w:val="00335EB0"/>
    <w:rsid w:val="003501E0"/>
    <w:rsid w:val="00354FCC"/>
    <w:rsid w:val="00370016"/>
    <w:rsid w:val="00374994"/>
    <w:rsid w:val="0038270A"/>
    <w:rsid w:val="00393A6B"/>
    <w:rsid w:val="003B40BC"/>
    <w:rsid w:val="003D1DA8"/>
    <w:rsid w:val="003D38CE"/>
    <w:rsid w:val="004049EA"/>
    <w:rsid w:val="00421D2A"/>
    <w:rsid w:val="00432A78"/>
    <w:rsid w:val="00435B03"/>
    <w:rsid w:val="0046699D"/>
    <w:rsid w:val="00471E6F"/>
    <w:rsid w:val="00486174"/>
    <w:rsid w:val="004A0558"/>
    <w:rsid w:val="004B5DE1"/>
    <w:rsid w:val="004B66D9"/>
    <w:rsid w:val="004E51FA"/>
    <w:rsid w:val="00500BAC"/>
    <w:rsid w:val="0050627A"/>
    <w:rsid w:val="0050703E"/>
    <w:rsid w:val="00507252"/>
    <w:rsid w:val="00514279"/>
    <w:rsid w:val="005278B9"/>
    <w:rsid w:val="0053043E"/>
    <w:rsid w:val="00534CE1"/>
    <w:rsid w:val="00547EF7"/>
    <w:rsid w:val="00562597"/>
    <w:rsid w:val="00585E40"/>
    <w:rsid w:val="005A30C3"/>
    <w:rsid w:val="005A6207"/>
    <w:rsid w:val="005B25C9"/>
    <w:rsid w:val="005B2C96"/>
    <w:rsid w:val="005E0569"/>
    <w:rsid w:val="0061233C"/>
    <w:rsid w:val="006418EC"/>
    <w:rsid w:val="00645C0E"/>
    <w:rsid w:val="00646BD0"/>
    <w:rsid w:val="006572A1"/>
    <w:rsid w:val="00665725"/>
    <w:rsid w:val="006705E6"/>
    <w:rsid w:val="006706B1"/>
    <w:rsid w:val="0068077E"/>
    <w:rsid w:val="00692134"/>
    <w:rsid w:val="00696610"/>
    <w:rsid w:val="006A00FC"/>
    <w:rsid w:val="006A6632"/>
    <w:rsid w:val="006B0236"/>
    <w:rsid w:val="006C209F"/>
    <w:rsid w:val="006C4F9E"/>
    <w:rsid w:val="00756369"/>
    <w:rsid w:val="007660C1"/>
    <w:rsid w:val="00785EC6"/>
    <w:rsid w:val="00797B2F"/>
    <w:rsid w:val="007B1AF6"/>
    <w:rsid w:val="007C08C0"/>
    <w:rsid w:val="007C2F58"/>
    <w:rsid w:val="007D38CA"/>
    <w:rsid w:val="007F2169"/>
    <w:rsid w:val="0080120F"/>
    <w:rsid w:val="0080403D"/>
    <w:rsid w:val="008108C3"/>
    <w:rsid w:val="008215F8"/>
    <w:rsid w:val="008233B7"/>
    <w:rsid w:val="008306B0"/>
    <w:rsid w:val="00832858"/>
    <w:rsid w:val="00834462"/>
    <w:rsid w:val="00836CF1"/>
    <w:rsid w:val="008477F2"/>
    <w:rsid w:val="00855AEB"/>
    <w:rsid w:val="00856EA9"/>
    <w:rsid w:val="0087537D"/>
    <w:rsid w:val="00892418"/>
    <w:rsid w:val="008A57CD"/>
    <w:rsid w:val="008D16E8"/>
    <w:rsid w:val="008D2DDB"/>
    <w:rsid w:val="008F176E"/>
    <w:rsid w:val="00912A8C"/>
    <w:rsid w:val="00920D04"/>
    <w:rsid w:val="0094323A"/>
    <w:rsid w:val="00953D63"/>
    <w:rsid w:val="00962765"/>
    <w:rsid w:val="0096392F"/>
    <w:rsid w:val="0099347E"/>
    <w:rsid w:val="009A1929"/>
    <w:rsid w:val="009C2981"/>
    <w:rsid w:val="009D3DDD"/>
    <w:rsid w:val="00A01818"/>
    <w:rsid w:val="00A027ED"/>
    <w:rsid w:val="00A2653E"/>
    <w:rsid w:val="00A267BF"/>
    <w:rsid w:val="00A26F35"/>
    <w:rsid w:val="00A34F3B"/>
    <w:rsid w:val="00A35D88"/>
    <w:rsid w:val="00A60420"/>
    <w:rsid w:val="00A61E61"/>
    <w:rsid w:val="00A71865"/>
    <w:rsid w:val="00A732EE"/>
    <w:rsid w:val="00A77B3C"/>
    <w:rsid w:val="00A80984"/>
    <w:rsid w:val="00A80A0E"/>
    <w:rsid w:val="00AA4450"/>
    <w:rsid w:val="00AB7918"/>
    <w:rsid w:val="00AC5151"/>
    <w:rsid w:val="00AD3E27"/>
    <w:rsid w:val="00AD498E"/>
    <w:rsid w:val="00AD5BD2"/>
    <w:rsid w:val="00B068D9"/>
    <w:rsid w:val="00B248DC"/>
    <w:rsid w:val="00B254D8"/>
    <w:rsid w:val="00B327C9"/>
    <w:rsid w:val="00B341DB"/>
    <w:rsid w:val="00B40453"/>
    <w:rsid w:val="00B43F34"/>
    <w:rsid w:val="00B47B76"/>
    <w:rsid w:val="00B76AF8"/>
    <w:rsid w:val="00B91E71"/>
    <w:rsid w:val="00B97DBA"/>
    <w:rsid w:val="00BA1B8F"/>
    <w:rsid w:val="00BB7159"/>
    <w:rsid w:val="00BD5C69"/>
    <w:rsid w:val="00BD66DD"/>
    <w:rsid w:val="00C26686"/>
    <w:rsid w:val="00C34518"/>
    <w:rsid w:val="00C345CE"/>
    <w:rsid w:val="00C3653B"/>
    <w:rsid w:val="00C43C83"/>
    <w:rsid w:val="00C44AD2"/>
    <w:rsid w:val="00C462E6"/>
    <w:rsid w:val="00C50E2F"/>
    <w:rsid w:val="00C53999"/>
    <w:rsid w:val="00C61D02"/>
    <w:rsid w:val="00C63910"/>
    <w:rsid w:val="00C8591A"/>
    <w:rsid w:val="00C95E95"/>
    <w:rsid w:val="00C96C04"/>
    <w:rsid w:val="00CA3B4B"/>
    <w:rsid w:val="00CA6E96"/>
    <w:rsid w:val="00CF5C9E"/>
    <w:rsid w:val="00D006C1"/>
    <w:rsid w:val="00D03E2F"/>
    <w:rsid w:val="00D11BF7"/>
    <w:rsid w:val="00D4711D"/>
    <w:rsid w:val="00DB695B"/>
    <w:rsid w:val="00DB7167"/>
    <w:rsid w:val="00DC40EC"/>
    <w:rsid w:val="00DC5BB1"/>
    <w:rsid w:val="00DC6E61"/>
    <w:rsid w:val="00DC7366"/>
    <w:rsid w:val="00DD6EEC"/>
    <w:rsid w:val="00E0174D"/>
    <w:rsid w:val="00E07581"/>
    <w:rsid w:val="00E15FD9"/>
    <w:rsid w:val="00E279AC"/>
    <w:rsid w:val="00E335E8"/>
    <w:rsid w:val="00E42D2E"/>
    <w:rsid w:val="00E453D3"/>
    <w:rsid w:val="00E50985"/>
    <w:rsid w:val="00E55039"/>
    <w:rsid w:val="00E67F77"/>
    <w:rsid w:val="00E72D25"/>
    <w:rsid w:val="00E837A9"/>
    <w:rsid w:val="00E912CF"/>
    <w:rsid w:val="00E931D4"/>
    <w:rsid w:val="00E95D26"/>
    <w:rsid w:val="00EA5B6A"/>
    <w:rsid w:val="00ED0FB9"/>
    <w:rsid w:val="00EE48BD"/>
    <w:rsid w:val="00EF17E9"/>
    <w:rsid w:val="00F1443F"/>
    <w:rsid w:val="00F166CB"/>
    <w:rsid w:val="00F16BBF"/>
    <w:rsid w:val="00F2178A"/>
    <w:rsid w:val="00F23B19"/>
    <w:rsid w:val="00F42728"/>
    <w:rsid w:val="00F47751"/>
    <w:rsid w:val="00F53A25"/>
    <w:rsid w:val="00F57C38"/>
    <w:rsid w:val="00F66C7C"/>
    <w:rsid w:val="00F76882"/>
    <w:rsid w:val="00F76DAC"/>
    <w:rsid w:val="00FA0F59"/>
    <w:rsid w:val="00FB2E71"/>
    <w:rsid w:val="00FB391C"/>
    <w:rsid w:val="00FB5742"/>
    <w:rsid w:val="00FC5796"/>
    <w:rsid w:val="00FD2750"/>
    <w:rsid w:val="00FD5CF5"/>
    <w:rsid w:val="0EA69B84"/>
    <w:rsid w:val="4430D351"/>
    <w:rsid w:val="4C01B1C9"/>
    <w:rsid w:val="58D33A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EF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eastAsia="es-MX"/>
    </w:rPr>
  </w:style>
  <w:style w:type="paragraph" w:styleId="Footer">
    <w:name w:val="footer"/>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eastAsia="es-MX"/>
    </w:rPr>
  </w:style>
  <w:style w:type="paragraph" w:customStyle="1" w:styleId="CabealhoeRodap">
    <w:name w:val="Cabeçalho e Rodapé"/>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s-MX" w:eastAsia="es-MX"/>
    </w:rPr>
  </w:style>
  <w:style w:type="paragraph" w:styleId="NoSpacing">
    <w:name w:val="No Spacing"/>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s-MX"/>
    </w:rPr>
  </w:style>
  <w:style w:type="numbering" w:customStyle="1" w:styleId="EstiloImportado1">
    <w:name w:val="Estilo Importado 1"/>
    <w:pPr>
      <w:numPr>
        <w:numId w:val="1"/>
      </w:numPr>
    </w:pPr>
  </w:style>
  <w:style w:type="character" w:customStyle="1" w:styleId="Link">
    <w:name w:val="Link"/>
    <w:rPr>
      <w:color w:val="0000FF"/>
      <w:u w:val="single" w:color="0000FF"/>
    </w:rPr>
  </w:style>
  <w:style w:type="character" w:customStyle="1" w:styleId="Hyperlink0">
    <w:name w:val="Hyperlink.0"/>
    <w:rPr>
      <w:color w:val="000000"/>
      <w:u w:val="single" w:color="000000"/>
    </w:rPr>
  </w:style>
  <w:style w:type="paragraph" w:customStyle="1" w:styleId="Padro">
    <w:name w:val="Padrão"/>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s-MX"/>
    </w:rPr>
  </w:style>
  <w:style w:type="numbering" w:customStyle="1" w:styleId="EstiloImportado2">
    <w:name w:val="Estilo Importado 2"/>
    <w:pPr>
      <w:numPr>
        <w:numId w:val="5"/>
      </w:numPr>
    </w:p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link w:val="FootnoteTextChar"/>
    <w:qFormat/>
    <w:pPr>
      <w:pBdr>
        <w:top w:val="nil"/>
        <w:left w:val="nil"/>
        <w:bottom w:val="nil"/>
        <w:right w:val="nil"/>
        <w:between w:val="nil"/>
        <w:bar w:val="nil"/>
      </w:pBdr>
    </w:pPr>
    <w:rPr>
      <w:rFonts w:eastAsia="Times New Roman"/>
      <w:color w:val="000000"/>
      <w:u w:color="000000"/>
      <w:bdr w:val="nil"/>
      <w:lang w:eastAsia="es-MX"/>
    </w:rPr>
  </w:style>
  <w:style w:type="character" w:customStyle="1" w:styleId="Hyperlink1">
    <w:name w:val="Hyperlink.1"/>
    <w:rPr>
      <w:rFonts w:ascii="Cambria" w:eastAsia="Cambria" w:hAnsi="Cambria" w:cs="Cambria"/>
      <w:color w:val="000000"/>
      <w:sz w:val="16"/>
      <w:szCs w:val="16"/>
      <w:u w:val="single" w:color="000000"/>
      <w:lang w:val="es-ES_tradnl"/>
    </w:rPr>
  </w:style>
  <w:style w:type="numbering" w:customStyle="1" w:styleId="EstiloImportado3">
    <w:name w:val="Estilo Importado 3"/>
    <w:pPr>
      <w:numPr>
        <w:numId w:val="15"/>
      </w:numPr>
    </w:pPr>
  </w:style>
  <w:style w:type="numbering" w:customStyle="1" w:styleId="EstiloImportado4">
    <w:name w:val="Estilo Importado 4"/>
    <w:pPr>
      <w:numPr>
        <w:numId w:val="17"/>
      </w:numPr>
    </w:pPr>
  </w:style>
  <w:style w:type="numbering" w:customStyle="1" w:styleId="EstiloImportado5">
    <w:name w:val="Estilo Importado 5"/>
    <w:pPr>
      <w:numPr>
        <w:numId w:val="19"/>
      </w:numPr>
    </w:pPr>
  </w:style>
  <w:style w:type="numbering" w:customStyle="1" w:styleId="EstiloImportado6">
    <w:name w:val="Estilo Importado 6"/>
    <w:pPr>
      <w:numPr>
        <w:numId w:val="22"/>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rFonts w:ascii="Calibri" w:eastAsia="Calibri" w:hAnsi="Calibri" w:cs="Calibri"/>
      <w:color w:val="000000"/>
      <w:u w:color="000000"/>
      <w:lang w:val="pt-PT"/>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0109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091F"/>
    <w:rPr>
      <w:rFonts w:ascii="Tahoma" w:eastAsia="Calibri" w:hAnsi="Tahoma" w:cs="Tahoma"/>
      <w:color w:val="000000"/>
      <w:sz w:val="16"/>
      <w:szCs w:val="16"/>
      <w:u w:color="000000"/>
      <w:lang w:val="pt-PT"/>
    </w:rPr>
  </w:style>
  <w:style w:type="paragraph" w:styleId="CommentSubject">
    <w:name w:val="annotation subject"/>
    <w:basedOn w:val="CommentText"/>
    <w:next w:val="CommentText"/>
    <w:link w:val="CommentSubjectChar"/>
    <w:uiPriority w:val="99"/>
    <w:semiHidden/>
    <w:unhideWhenUsed/>
    <w:rsid w:val="0087537D"/>
    <w:rPr>
      <w:b/>
      <w:bCs/>
    </w:rPr>
  </w:style>
  <w:style w:type="character" w:customStyle="1" w:styleId="CommentSubjectChar">
    <w:name w:val="Comment Subject Char"/>
    <w:link w:val="CommentSubject"/>
    <w:uiPriority w:val="99"/>
    <w:semiHidden/>
    <w:rsid w:val="0087537D"/>
    <w:rPr>
      <w:rFonts w:ascii="Calibri" w:eastAsia="Calibri" w:hAnsi="Calibri" w:cs="Calibri"/>
      <w:b/>
      <w:bCs/>
      <w:color w:val="000000"/>
      <w:u w:color="000000"/>
      <w:lang w:val="pt-PT"/>
    </w:rPr>
  </w:style>
  <w:style w:type="character" w:styleId="FootnoteReference">
    <w:name w:val="footnote reference"/>
    <w:uiPriority w:val="99"/>
    <w:semiHidden/>
    <w:unhideWhenUsed/>
    <w:rsid w:val="003D38CE"/>
    <w:rPr>
      <w:vertAlign w:val="superscript"/>
    </w:rPr>
  </w:style>
  <w:style w:type="paragraph" w:styleId="BlockText">
    <w:name w:val="Block Text"/>
    <w:basedOn w:val="Normal"/>
    <w:uiPriority w:val="99"/>
    <w:rsid w:val="00B43F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bdr w:val="none" w:sz="0" w:space="0" w:color="auto"/>
      <w:lang w:val="en-US" w:eastAsia="en-US"/>
    </w:rPr>
  </w:style>
  <w:style w:type="character" w:customStyle="1" w:styleId="HeaderChar">
    <w:name w:val="Header Char"/>
    <w:link w:val="Header"/>
    <w:uiPriority w:val="99"/>
    <w:rsid w:val="006705E6"/>
    <w:rPr>
      <w:rFonts w:ascii="Calibri" w:eastAsia="Calibri" w:hAnsi="Calibri" w:cs="Calibri"/>
      <w:color w:val="000000"/>
      <w:sz w:val="22"/>
      <w:szCs w:val="22"/>
      <w:u w:color="000000"/>
      <w:bdr w:val="nil"/>
      <w:lang w:val="pt-PT" w:eastAsia="es-MX"/>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link w:val="FootnoteText"/>
    <w:locked/>
    <w:rsid w:val="0016662A"/>
    <w:rPr>
      <w:rFonts w:eastAsia="Times New Roman"/>
      <w:color w:val="000000"/>
      <w:u w:color="000000"/>
      <w:bdr w:val="nil"/>
      <w:lang w:eastAsia="es-MX"/>
    </w:rPr>
  </w:style>
  <w:style w:type="character" w:customStyle="1" w:styleId="UnresolvedMention1">
    <w:name w:val="Unresolved Mention1"/>
    <w:uiPriority w:val="99"/>
    <w:semiHidden/>
    <w:unhideWhenUsed/>
    <w:rsid w:val="00DB695B"/>
    <w:rPr>
      <w:color w:val="605E5C"/>
      <w:shd w:val="clear" w:color="auto" w:fill="E1DFDD"/>
    </w:rPr>
  </w:style>
  <w:style w:type="paragraph" w:customStyle="1" w:styleId="Default">
    <w:name w:val="Default"/>
    <w:rsid w:val="00EA5B6A"/>
    <w:pPr>
      <w:autoSpaceDE w:val="0"/>
      <w:autoSpaceDN w:val="0"/>
      <w:adjustRightInd w:val="0"/>
    </w:pPr>
    <w:rPr>
      <w:rFonts w:ascii="Cambria" w:hAnsi="Cambria" w:cs="Cambria"/>
      <w:color w:val="000000"/>
      <w:sz w:val="24"/>
      <w:szCs w:val="24"/>
      <w:lang w:eastAsia="en-US"/>
    </w:rPr>
  </w:style>
  <w:style w:type="character" w:styleId="FollowedHyperlink">
    <w:name w:val="FollowedHyperlink"/>
    <w:uiPriority w:val="99"/>
    <w:semiHidden/>
    <w:unhideWhenUsed/>
    <w:rsid w:val="003D1D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as.org/es/cidh/decisiones/2019/COPU11726E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8A71-BFF5-4DDB-8818-0BE940F137A0}">
  <ds:schemaRefs>
    <ds:schemaRef ds:uri="http://schemas.microsoft.com/office/2006/metadata/longProperties"/>
  </ds:schemaRefs>
</ds:datastoreItem>
</file>

<file path=customXml/itemProps2.xml><?xml version="1.0" encoding="utf-8"?>
<ds:datastoreItem xmlns:ds="http://schemas.openxmlformats.org/officeDocument/2006/customXml" ds:itemID="{0C451059-DB0B-4A55-A5F6-58427A6C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9236</Characters>
  <Application>Microsoft Office Word</Application>
  <DocSecurity>0</DocSecurity>
  <Lines>76</Lines>
  <Paragraphs>21</Paragraphs>
  <ScaleCrop>false</ScaleCrop>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2022-03-28T19:12:00Z</dcterms:created>
  <dcterms:modified xsi:type="dcterms:W3CDTF">2022-03-28T19:13:00Z</dcterms:modified>
</cp:coreProperties>
</file>