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31C71" w14:textId="77777777" w:rsidR="00987D94" w:rsidRPr="00AA735E" w:rsidRDefault="00987D94" w:rsidP="00987D94">
      <w:pPr>
        <w:pStyle w:val="Header"/>
        <w:jc w:val="center"/>
        <w:rPr>
          <w:sz w:val="20"/>
          <w:szCs w:val="20"/>
          <w:lang w:val="es-ES"/>
        </w:rPr>
      </w:pPr>
      <w:r w:rsidRPr="51AB108E">
        <w:rPr>
          <w:rFonts w:ascii="Cambria" w:hAnsi="Cambria"/>
          <w:b/>
          <w:bCs/>
          <w:sz w:val="20"/>
          <w:szCs w:val="20"/>
          <w:lang w:val="es-ES"/>
        </w:rPr>
        <w:t>FICHA DE SEGUIMIENTO DEL INFORME Nº 63/08</w:t>
      </w:r>
    </w:p>
    <w:p w14:paraId="5466D412" w14:textId="77777777" w:rsidR="00987D94" w:rsidRPr="00AA735E" w:rsidRDefault="00987D94" w:rsidP="51AB108E">
      <w:pPr>
        <w:jc w:val="center"/>
        <w:rPr>
          <w:rFonts w:ascii="Cambria" w:hAnsi="Cambria"/>
          <w:b/>
          <w:bCs/>
          <w:sz w:val="20"/>
          <w:szCs w:val="20"/>
          <w:lang w:val="es-ES"/>
        </w:rPr>
      </w:pPr>
      <w:r w:rsidRPr="51AB108E">
        <w:rPr>
          <w:rFonts w:ascii="Cambria" w:hAnsi="Cambria"/>
          <w:b/>
          <w:bCs/>
          <w:sz w:val="20"/>
          <w:szCs w:val="20"/>
          <w:lang w:val="es-ES"/>
        </w:rPr>
        <w:t>CASO 12.534</w:t>
      </w:r>
    </w:p>
    <w:p w14:paraId="07E29926" w14:textId="77777777" w:rsidR="00987D94" w:rsidRPr="00AA735E" w:rsidRDefault="00987D94" w:rsidP="51AB108E">
      <w:pPr>
        <w:jc w:val="center"/>
        <w:rPr>
          <w:rFonts w:ascii="Cambria" w:hAnsi="Cambria"/>
          <w:b/>
          <w:bCs/>
          <w:sz w:val="20"/>
          <w:szCs w:val="20"/>
          <w:lang w:val="es-ES"/>
        </w:rPr>
      </w:pPr>
      <w:r w:rsidRPr="51AB108E">
        <w:rPr>
          <w:rFonts w:ascii="Cambria" w:hAnsi="Cambria"/>
          <w:b/>
          <w:bCs/>
          <w:sz w:val="20"/>
          <w:szCs w:val="20"/>
          <w:lang w:val="es-ES"/>
        </w:rPr>
        <w:t>ANDREA MORTLOCK</w:t>
      </w:r>
    </w:p>
    <w:p w14:paraId="1B19FBC8" w14:textId="77777777" w:rsidR="00987D94" w:rsidRPr="00AA735E" w:rsidRDefault="00987D94" w:rsidP="51AB108E">
      <w:pPr>
        <w:jc w:val="center"/>
        <w:rPr>
          <w:rFonts w:ascii="Cambria" w:hAnsi="Cambria"/>
          <w:b/>
          <w:bCs/>
          <w:sz w:val="20"/>
          <w:szCs w:val="20"/>
          <w:lang w:val="es-ES"/>
        </w:rPr>
      </w:pPr>
      <w:r w:rsidRPr="51AB108E">
        <w:rPr>
          <w:rFonts w:ascii="Cambria" w:hAnsi="Cambria"/>
          <w:b/>
          <w:bCs/>
          <w:sz w:val="20"/>
          <w:szCs w:val="20"/>
          <w:lang w:val="es-ES"/>
        </w:rPr>
        <w:t>(Estados Unidos)</w:t>
      </w:r>
    </w:p>
    <w:p w14:paraId="4EDCEB3E" w14:textId="77777777" w:rsidR="00987D94" w:rsidRPr="00AA735E" w:rsidRDefault="00987D94" w:rsidP="51AB108E">
      <w:pPr>
        <w:jc w:val="both"/>
        <w:rPr>
          <w:rFonts w:ascii="Cambria" w:hAnsi="Cambria"/>
          <w:b/>
          <w:bCs/>
          <w:sz w:val="20"/>
          <w:szCs w:val="20"/>
          <w:lang w:val="es-ES"/>
        </w:rPr>
      </w:pPr>
    </w:p>
    <w:p w14:paraId="0C397D39" w14:textId="77777777" w:rsidR="00987D94" w:rsidRPr="00AA735E" w:rsidRDefault="00987D94" w:rsidP="51AB108E">
      <w:pPr>
        <w:numPr>
          <w:ilvl w:val="0"/>
          <w:numId w:val="8"/>
        </w:numPr>
        <w:ind w:left="1440"/>
        <w:jc w:val="both"/>
        <w:rPr>
          <w:rFonts w:ascii="Cambria" w:hAnsi="Cambria" w:cs="Calibri Light"/>
          <w:b/>
          <w:bCs/>
          <w:sz w:val="20"/>
          <w:szCs w:val="20"/>
          <w:lang w:val="es-ES"/>
        </w:rPr>
      </w:pPr>
      <w:r w:rsidRPr="51AB108E">
        <w:rPr>
          <w:rFonts w:ascii="Cambria" w:hAnsi="Cambria" w:cs="Calibri Light"/>
          <w:b/>
          <w:bCs/>
          <w:sz w:val="20"/>
          <w:szCs w:val="20"/>
          <w:lang w:val="es-ES"/>
        </w:rPr>
        <w:t xml:space="preserve">Resumen del caso  </w:t>
      </w:r>
    </w:p>
    <w:p w14:paraId="1485A311" w14:textId="77777777" w:rsidR="00987D94" w:rsidRPr="00AA735E" w:rsidRDefault="00987D94" w:rsidP="51AB108E">
      <w:pPr>
        <w:ind w:left="1080"/>
        <w:jc w:val="both"/>
        <w:rPr>
          <w:rFonts w:ascii="Cambria" w:hAnsi="Cambria" w:cs="Calibri Light"/>
          <w:b/>
          <w:bCs/>
          <w:sz w:val="20"/>
          <w:szCs w:val="20"/>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987D94" w:rsidRPr="002D63F1" w14:paraId="16065AC7" w14:textId="77777777" w:rsidTr="51AB108E">
        <w:trPr>
          <w:jc w:val="center"/>
        </w:trPr>
        <w:tc>
          <w:tcPr>
            <w:tcW w:w="9576" w:type="dxa"/>
            <w:shd w:val="clear" w:color="auto" w:fill="F2F2F2" w:themeFill="background1" w:themeFillShade="F2"/>
          </w:tcPr>
          <w:p w14:paraId="65CD6EDB" w14:textId="77777777" w:rsidR="00987D94" w:rsidRPr="00AA735E" w:rsidRDefault="00987D94" w:rsidP="51AB108E">
            <w:pPr>
              <w:spacing w:before="120"/>
              <w:jc w:val="both"/>
              <w:rPr>
                <w:rFonts w:ascii="Cambria" w:hAnsi="Cambria"/>
                <w:b/>
                <w:bCs/>
                <w:sz w:val="20"/>
                <w:szCs w:val="20"/>
                <w:lang w:val="es-ES"/>
              </w:rPr>
            </w:pPr>
            <w:r w:rsidRPr="51AB108E">
              <w:rPr>
                <w:rFonts w:ascii="Cambria" w:hAnsi="Cambria"/>
                <w:b/>
                <w:bCs/>
                <w:sz w:val="20"/>
                <w:szCs w:val="20"/>
                <w:lang w:val="es-ES"/>
              </w:rPr>
              <w:t xml:space="preserve">Víctima (s): </w:t>
            </w:r>
            <w:r w:rsidRPr="51AB108E">
              <w:rPr>
                <w:rFonts w:ascii="Cambria" w:hAnsi="Cambria"/>
                <w:sz w:val="20"/>
                <w:szCs w:val="20"/>
                <w:lang w:val="es-ES"/>
              </w:rPr>
              <w:t xml:space="preserve">Andrea </w:t>
            </w:r>
            <w:proofErr w:type="spellStart"/>
            <w:r w:rsidRPr="51AB108E">
              <w:rPr>
                <w:rFonts w:ascii="Cambria" w:hAnsi="Cambria"/>
                <w:sz w:val="20"/>
                <w:szCs w:val="20"/>
                <w:lang w:val="es-ES"/>
              </w:rPr>
              <w:t>Mortlock</w:t>
            </w:r>
            <w:proofErr w:type="spellEnd"/>
          </w:p>
          <w:p w14:paraId="1522C3CB" w14:textId="77777777" w:rsidR="00987D94" w:rsidRPr="00AA735E" w:rsidRDefault="00987D94" w:rsidP="51AB108E">
            <w:pPr>
              <w:jc w:val="both"/>
              <w:rPr>
                <w:rFonts w:ascii="Cambria" w:hAnsi="Cambria"/>
                <w:b/>
                <w:bCs/>
                <w:sz w:val="20"/>
                <w:szCs w:val="20"/>
              </w:rPr>
            </w:pPr>
            <w:proofErr w:type="spellStart"/>
            <w:r w:rsidRPr="51AB108E">
              <w:rPr>
                <w:rFonts w:ascii="Cambria" w:hAnsi="Cambria"/>
                <w:b/>
                <w:bCs/>
                <w:sz w:val="20"/>
                <w:szCs w:val="20"/>
              </w:rPr>
              <w:t>Peticionario</w:t>
            </w:r>
            <w:proofErr w:type="spellEnd"/>
            <w:r w:rsidRPr="51AB108E">
              <w:rPr>
                <w:rFonts w:ascii="Cambria" w:hAnsi="Cambria"/>
                <w:b/>
                <w:bCs/>
                <w:sz w:val="20"/>
                <w:szCs w:val="20"/>
              </w:rPr>
              <w:t xml:space="preserve"> (s):</w:t>
            </w:r>
            <w:r w:rsidRPr="51AB108E">
              <w:rPr>
                <w:rFonts w:ascii="Cambria" w:hAnsi="Cambria"/>
                <w:sz w:val="20"/>
                <w:szCs w:val="20"/>
              </w:rPr>
              <w:t xml:space="preserve">  International Human Rights Law Clinic, American University - Washington College of Law</w:t>
            </w:r>
          </w:p>
          <w:p w14:paraId="71BDFC5D" w14:textId="77777777" w:rsidR="00987D94" w:rsidRPr="00AA735E" w:rsidRDefault="00987D94" w:rsidP="00D33854">
            <w:pPr>
              <w:jc w:val="both"/>
              <w:rPr>
                <w:rFonts w:ascii="Cambria" w:hAnsi="Cambria"/>
                <w:sz w:val="20"/>
                <w:szCs w:val="20"/>
                <w:lang w:val="es-ES"/>
              </w:rPr>
            </w:pPr>
            <w:r w:rsidRPr="51AB108E">
              <w:rPr>
                <w:rFonts w:ascii="Cambria" w:hAnsi="Cambria"/>
                <w:b/>
                <w:bCs/>
                <w:sz w:val="20"/>
                <w:szCs w:val="20"/>
                <w:lang w:val="es-ES"/>
              </w:rPr>
              <w:t xml:space="preserve">Estado: </w:t>
            </w:r>
            <w:r w:rsidRPr="51AB108E">
              <w:rPr>
                <w:rFonts w:ascii="Cambria" w:hAnsi="Cambria"/>
                <w:sz w:val="20"/>
                <w:szCs w:val="20"/>
                <w:lang w:val="es-ES"/>
              </w:rPr>
              <w:t>Estados Unidos</w:t>
            </w:r>
          </w:p>
          <w:p w14:paraId="20876FC7" w14:textId="77777777" w:rsidR="00987D94" w:rsidRPr="00AA735E" w:rsidRDefault="00987D94" w:rsidP="00D33854">
            <w:pPr>
              <w:jc w:val="both"/>
              <w:rPr>
                <w:rFonts w:ascii="Cambria" w:hAnsi="Cambria"/>
                <w:sz w:val="20"/>
                <w:szCs w:val="20"/>
                <w:lang w:val="es-ES"/>
              </w:rPr>
            </w:pPr>
            <w:r w:rsidRPr="51AB108E">
              <w:rPr>
                <w:rFonts w:ascii="Cambria" w:hAnsi="Cambria"/>
                <w:b/>
                <w:bCs/>
                <w:sz w:val="20"/>
                <w:szCs w:val="20"/>
                <w:lang w:val="es-ES"/>
              </w:rPr>
              <w:t xml:space="preserve">Informe de Fondo </w:t>
            </w:r>
            <w:proofErr w:type="spellStart"/>
            <w:r w:rsidRPr="51AB108E">
              <w:rPr>
                <w:rFonts w:ascii="Cambria" w:hAnsi="Cambria"/>
                <w:b/>
                <w:bCs/>
                <w:sz w:val="20"/>
                <w:szCs w:val="20"/>
                <w:lang w:val="es-ES"/>
              </w:rPr>
              <w:t>Nº</w:t>
            </w:r>
            <w:proofErr w:type="spellEnd"/>
            <w:r w:rsidRPr="51AB108E">
              <w:rPr>
                <w:rFonts w:ascii="Cambria" w:hAnsi="Cambria"/>
                <w:b/>
                <w:bCs/>
                <w:sz w:val="20"/>
                <w:szCs w:val="20"/>
                <w:lang w:val="es-ES"/>
              </w:rPr>
              <w:t xml:space="preserve">: </w:t>
            </w:r>
            <w:hyperlink r:id="rId8">
              <w:r w:rsidRPr="51AB108E">
                <w:rPr>
                  <w:rStyle w:val="Hyperlink"/>
                  <w:rFonts w:ascii="Cambria" w:hAnsi="Cambria"/>
                  <w:sz w:val="20"/>
                  <w:szCs w:val="20"/>
                  <w:lang w:val="es-ES"/>
                </w:rPr>
                <w:t>63/08,</w:t>
              </w:r>
            </w:hyperlink>
            <w:r w:rsidRPr="51AB108E">
              <w:rPr>
                <w:rFonts w:ascii="Cambria" w:hAnsi="Cambria"/>
                <w:sz w:val="20"/>
                <w:szCs w:val="20"/>
                <w:lang w:val="es-ES"/>
              </w:rPr>
              <w:t xml:space="preserve"> publicado el 25 de julio de 2008</w:t>
            </w:r>
          </w:p>
          <w:p w14:paraId="06D7DFAA" w14:textId="77777777" w:rsidR="00987D94" w:rsidRPr="00AA735E" w:rsidRDefault="00987D94" w:rsidP="00D33854">
            <w:pPr>
              <w:jc w:val="both"/>
              <w:rPr>
                <w:rStyle w:val="Hyperlink"/>
                <w:rFonts w:ascii="Cambria" w:hAnsi="Cambria"/>
                <w:sz w:val="20"/>
                <w:szCs w:val="20"/>
                <w:lang w:val="es-ES"/>
              </w:rPr>
            </w:pPr>
            <w:r w:rsidRPr="51AB108E">
              <w:rPr>
                <w:rFonts w:ascii="Cambria" w:hAnsi="Cambria"/>
                <w:b/>
                <w:bCs/>
                <w:sz w:val="20"/>
                <w:szCs w:val="20"/>
                <w:lang w:val="es-ES"/>
              </w:rPr>
              <w:t xml:space="preserve">Informe de Admisibilidad: </w:t>
            </w:r>
            <w:r w:rsidRPr="51AB108E">
              <w:rPr>
                <w:rFonts w:ascii="Cambria" w:hAnsi="Cambria"/>
                <w:sz w:val="20"/>
                <w:szCs w:val="20"/>
                <w:lang w:val="es-ES"/>
              </w:rPr>
              <w:t>Analizado junto con el Informe de Fondo Nº 63/08</w:t>
            </w:r>
          </w:p>
          <w:p w14:paraId="22AC4358" w14:textId="77777777" w:rsidR="00987D94" w:rsidRPr="00AA735E" w:rsidRDefault="00987D94" w:rsidP="00D33854">
            <w:pPr>
              <w:jc w:val="both"/>
              <w:rPr>
                <w:rFonts w:ascii="Cambria" w:hAnsi="Cambria"/>
                <w:sz w:val="20"/>
                <w:szCs w:val="20"/>
                <w:lang w:val="es-ES"/>
              </w:rPr>
            </w:pPr>
            <w:r w:rsidRPr="51AB108E">
              <w:rPr>
                <w:rFonts w:ascii="Cambria" w:hAnsi="Cambria"/>
                <w:b/>
                <w:bCs/>
                <w:sz w:val="20"/>
                <w:szCs w:val="20"/>
                <w:lang w:val="es-ES"/>
              </w:rPr>
              <w:t xml:space="preserve">Medidas cautelares: </w:t>
            </w:r>
            <w:hyperlink r:id="rId9">
              <w:r w:rsidRPr="51AB108E">
                <w:rPr>
                  <w:rStyle w:val="Hyperlink"/>
                  <w:rFonts w:ascii="Cambria" w:hAnsi="Cambria"/>
                  <w:sz w:val="20"/>
                  <w:szCs w:val="20"/>
                  <w:lang w:val="es-ES"/>
                </w:rPr>
                <w:t>Otorgadas el 19 de agosto de 2005</w:t>
              </w:r>
            </w:hyperlink>
          </w:p>
          <w:p w14:paraId="45A03E7E" w14:textId="77777777" w:rsidR="00987D94" w:rsidRPr="00AA735E" w:rsidRDefault="00987D94" w:rsidP="51AB108E">
            <w:pPr>
              <w:spacing w:after="120"/>
              <w:jc w:val="both"/>
              <w:rPr>
                <w:rFonts w:ascii="Cambria" w:hAnsi="Cambria"/>
                <w:b/>
                <w:bCs/>
                <w:sz w:val="20"/>
                <w:szCs w:val="20"/>
                <w:lang w:val="es-ES"/>
              </w:rPr>
            </w:pPr>
            <w:r w:rsidRPr="51AB108E">
              <w:rPr>
                <w:rFonts w:ascii="Cambria" w:hAnsi="Cambria"/>
                <w:b/>
                <w:bCs/>
                <w:sz w:val="20"/>
                <w:szCs w:val="20"/>
                <w:lang w:val="es-ES"/>
              </w:rPr>
              <w:t xml:space="preserve">Temas: </w:t>
            </w:r>
            <w:r w:rsidRPr="51AB108E">
              <w:rPr>
                <w:rFonts w:ascii="Cambria" w:hAnsi="Cambria"/>
                <w:sz w:val="20"/>
                <w:szCs w:val="20"/>
                <w:lang w:val="es-ES"/>
              </w:rPr>
              <w:t>Derecho a la Integridad Personal / Derecho a la Salud / Igualdad y No Discriminación / Acceso a Medicamentos / Deportación y Expulsión.</w:t>
            </w:r>
          </w:p>
          <w:p w14:paraId="2F8A321B" w14:textId="77777777" w:rsidR="00987D94" w:rsidRPr="00AA735E" w:rsidRDefault="00987D94" w:rsidP="51AB108E">
            <w:pPr>
              <w:pStyle w:val="BlockText"/>
              <w:spacing w:before="0" w:beforeAutospacing="0" w:after="120" w:afterAutospacing="0"/>
              <w:jc w:val="both"/>
              <w:rPr>
                <w:rFonts w:ascii="Cambria" w:hAnsi="Cambria"/>
                <w:sz w:val="20"/>
                <w:szCs w:val="20"/>
                <w:lang w:val="es-ES"/>
              </w:rPr>
            </w:pPr>
            <w:r w:rsidRPr="51AB108E">
              <w:rPr>
                <w:rFonts w:ascii="Cambria" w:hAnsi="Cambria"/>
                <w:b/>
                <w:bCs/>
                <w:sz w:val="20"/>
                <w:szCs w:val="20"/>
                <w:lang w:val="es-ES"/>
              </w:rPr>
              <w:t xml:space="preserve">Hechos: </w:t>
            </w:r>
            <w:r w:rsidRPr="51AB108E">
              <w:rPr>
                <w:rFonts w:ascii="Cambria" w:hAnsi="Cambria"/>
                <w:sz w:val="20"/>
                <w:szCs w:val="20"/>
                <w:lang w:val="es-ES"/>
              </w:rPr>
              <w:t xml:space="preserve">Este caso se refiere a la amenaza de deportación a Jamaica de la señora Andrea </w:t>
            </w:r>
            <w:proofErr w:type="spellStart"/>
            <w:r w:rsidRPr="51AB108E">
              <w:rPr>
                <w:rFonts w:ascii="Cambria" w:hAnsi="Cambria"/>
                <w:sz w:val="20"/>
                <w:szCs w:val="20"/>
                <w:lang w:val="es-ES"/>
              </w:rPr>
              <w:t>Mortlock</w:t>
            </w:r>
            <w:proofErr w:type="spellEnd"/>
            <w:r w:rsidRPr="51AB108E">
              <w:rPr>
                <w:rFonts w:ascii="Cambria" w:hAnsi="Cambria"/>
                <w:sz w:val="20"/>
                <w:szCs w:val="20"/>
                <w:lang w:val="es-ES"/>
              </w:rPr>
              <w:t xml:space="preserve">, ciudadana jamaiquina que necesita tratamiento especializado en Estados Unidos para su estado médico crítico de infección por el VIH/Sida. </w:t>
            </w:r>
          </w:p>
          <w:p w14:paraId="63B0F07A" w14:textId="77777777" w:rsidR="00987D94" w:rsidRPr="00AA735E" w:rsidRDefault="00987D94" w:rsidP="00D33854">
            <w:pPr>
              <w:spacing w:after="120"/>
              <w:jc w:val="both"/>
              <w:rPr>
                <w:rFonts w:ascii="Cambria" w:hAnsi="Cambria"/>
                <w:sz w:val="20"/>
                <w:szCs w:val="20"/>
                <w:lang w:val="es-ES"/>
              </w:rPr>
            </w:pPr>
            <w:r w:rsidRPr="51AB108E">
              <w:rPr>
                <w:rFonts w:ascii="Cambria" w:hAnsi="Cambria"/>
                <w:b/>
                <w:bCs/>
                <w:sz w:val="20"/>
                <w:szCs w:val="20"/>
                <w:lang w:val="es-ES"/>
              </w:rPr>
              <w:t xml:space="preserve">Derechos violados: </w:t>
            </w:r>
            <w:r w:rsidRPr="51AB108E">
              <w:rPr>
                <w:rFonts w:ascii="Cambria" w:hAnsi="Cambria"/>
                <w:sz w:val="20"/>
                <w:szCs w:val="20"/>
                <w:lang w:val="es-ES"/>
              </w:rPr>
              <w:t xml:space="preserve">La Comisión Interamericana concluyó que Estados Unidos es responsable de la violación del artículo XXVI de la Declaración Americana en detrimento de Andrea </w:t>
            </w:r>
            <w:proofErr w:type="spellStart"/>
            <w:r w:rsidRPr="51AB108E">
              <w:rPr>
                <w:rFonts w:ascii="Cambria" w:hAnsi="Cambria"/>
                <w:sz w:val="20"/>
                <w:szCs w:val="20"/>
                <w:lang w:val="es-ES"/>
              </w:rPr>
              <w:t>Mortlock</w:t>
            </w:r>
            <w:proofErr w:type="spellEnd"/>
            <w:r w:rsidRPr="51AB108E">
              <w:rPr>
                <w:rFonts w:ascii="Cambria" w:hAnsi="Cambria"/>
                <w:sz w:val="20"/>
                <w:szCs w:val="20"/>
                <w:lang w:val="es-ES"/>
              </w:rPr>
              <w:t>, ciudadana de Jamaica que se encontraba amenazada con la deportación de Estados Unidos a su país, como resultado de lo cual le sería negado el acceso a un medicamento fundamental para su tratamiento de VIH/SIDA.</w:t>
            </w:r>
          </w:p>
        </w:tc>
      </w:tr>
    </w:tbl>
    <w:p w14:paraId="0CD551B3" w14:textId="77777777" w:rsidR="00987D94" w:rsidRPr="00AA735E" w:rsidRDefault="00987D94" w:rsidP="00987D94">
      <w:pPr>
        <w:ind w:left="180"/>
        <w:jc w:val="both"/>
        <w:rPr>
          <w:rFonts w:ascii="Cambria" w:hAnsi="Cambria"/>
          <w:sz w:val="20"/>
          <w:szCs w:val="20"/>
          <w:lang w:val="es-ES"/>
        </w:rPr>
      </w:pPr>
    </w:p>
    <w:p w14:paraId="6EABE57D" w14:textId="77777777" w:rsidR="00987D94" w:rsidRPr="00AA735E" w:rsidRDefault="00987D94" w:rsidP="51AB108E">
      <w:pPr>
        <w:numPr>
          <w:ilvl w:val="0"/>
          <w:numId w:val="8"/>
        </w:numPr>
        <w:ind w:left="1440"/>
        <w:jc w:val="both"/>
        <w:rPr>
          <w:rFonts w:ascii="Cambria" w:hAnsi="Cambria" w:cs="Calibri Light"/>
          <w:b/>
          <w:bCs/>
          <w:sz w:val="20"/>
          <w:szCs w:val="20"/>
          <w:lang w:val="es-ES"/>
        </w:rPr>
      </w:pPr>
      <w:r w:rsidRPr="51AB108E">
        <w:rPr>
          <w:rFonts w:ascii="Cambria" w:hAnsi="Cambria" w:cs="Calibri Light"/>
          <w:b/>
          <w:bCs/>
          <w:sz w:val="20"/>
          <w:szCs w:val="20"/>
          <w:lang w:val="es-ES"/>
        </w:rPr>
        <w:t>Recomendaciones</w:t>
      </w:r>
    </w:p>
    <w:p w14:paraId="538FE5B8" w14:textId="77777777" w:rsidR="00987D94" w:rsidRPr="00AA735E" w:rsidRDefault="00987D94" w:rsidP="51AB108E">
      <w:pPr>
        <w:ind w:left="1080"/>
        <w:jc w:val="both"/>
        <w:rPr>
          <w:rFonts w:ascii="Cambria" w:hAnsi="Cambria" w:cs="Calibri Light"/>
          <w:b/>
          <w:bCs/>
          <w:lang w:val="es-E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9"/>
        <w:gridCol w:w="2483"/>
      </w:tblGrid>
      <w:tr w:rsidR="00987D94" w:rsidRPr="00AA735E" w14:paraId="091819E8" w14:textId="77777777" w:rsidTr="51AB108E">
        <w:tc>
          <w:tcPr>
            <w:tcW w:w="7020" w:type="dxa"/>
            <w:shd w:val="clear" w:color="auto" w:fill="auto"/>
            <w:vAlign w:val="center"/>
          </w:tcPr>
          <w:p w14:paraId="526CA0AE" w14:textId="77777777" w:rsidR="00987D94" w:rsidRPr="00AA735E" w:rsidRDefault="00987D94" w:rsidP="51AB108E">
            <w:pPr>
              <w:jc w:val="center"/>
              <w:rPr>
                <w:rFonts w:ascii="Cambria" w:hAnsi="Cambria" w:cs="Calibri Light"/>
                <w:b/>
                <w:bCs/>
                <w:color w:val="000000" w:themeColor="text1"/>
                <w:sz w:val="18"/>
                <w:szCs w:val="18"/>
                <w:lang w:val="es-ES"/>
              </w:rPr>
            </w:pPr>
            <w:r w:rsidRPr="51AB108E">
              <w:rPr>
                <w:rFonts w:ascii="Cambria" w:hAnsi="Cambria" w:cs="Calibri Light"/>
                <w:b/>
                <w:bCs/>
                <w:color w:val="000000" w:themeColor="text1"/>
                <w:sz w:val="18"/>
                <w:szCs w:val="18"/>
                <w:lang w:val="es-ES"/>
              </w:rPr>
              <w:t>Recomendaciones</w:t>
            </w:r>
          </w:p>
        </w:tc>
        <w:tc>
          <w:tcPr>
            <w:tcW w:w="2520" w:type="dxa"/>
            <w:shd w:val="clear" w:color="auto" w:fill="auto"/>
            <w:vAlign w:val="center"/>
          </w:tcPr>
          <w:p w14:paraId="2C5D0F13" w14:textId="61DE31F8" w:rsidR="00987D94" w:rsidRPr="00AA735E" w:rsidRDefault="00987D94" w:rsidP="51AB108E">
            <w:pPr>
              <w:jc w:val="center"/>
              <w:rPr>
                <w:rFonts w:ascii="Cambria" w:hAnsi="Cambria" w:cs="Calibri Light"/>
                <w:b/>
                <w:bCs/>
                <w:color w:val="000000" w:themeColor="text1"/>
                <w:sz w:val="18"/>
                <w:szCs w:val="18"/>
                <w:lang w:val="es-ES"/>
              </w:rPr>
            </w:pPr>
            <w:r w:rsidRPr="51AB108E">
              <w:rPr>
                <w:rFonts w:ascii="Cambria" w:hAnsi="Cambria" w:cs="Calibri Light"/>
                <w:b/>
                <w:bCs/>
                <w:color w:val="000000" w:themeColor="text1"/>
                <w:sz w:val="18"/>
                <w:szCs w:val="18"/>
                <w:lang w:val="es-ES"/>
              </w:rPr>
              <w:t>Estado de cumplimiento en 2021</w:t>
            </w:r>
          </w:p>
        </w:tc>
      </w:tr>
      <w:tr w:rsidR="00987D94" w:rsidRPr="00AA735E" w14:paraId="5BA2E859" w14:textId="77777777" w:rsidTr="51AB108E">
        <w:tc>
          <w:tcPr>
            <w:tcW w:w="7020" w:type="dxa"/>
            <w:shd w:val="clear" w:color="auto" w:fill="auto"/>
          </w:tcPr>
          <w:p w14:paraId="7CA69020" w14:textId="77777777" w:rsidR="00987D94" w:rsidRPr="00AA735E" w:rsidRDefault="00987D94" w:rsidP="00D33854">
            <w:pPr>
              <w:jc w:val="both"/>
              <w:rPr>
                <w:rFonts w:ascii="Cambria" w:hAnsi="Cambria" w:cs="Calibri Light"/>
                <w:color w:val="000000" w:themeColor="text1"/>
                <w:sz w:val="18"/>
                <w:szCs w:val="18"/>
                <w:lang w:val="es-ES"/>
              </w:rPr>
            </w:pPr>
            <w:r w:rsidRPr="51AB108E">
              <w:rPr>
                <w:rFonts w:ascii="Cambria" w:hAnsi="Cambria"/>
                <w:color w:val="000000" w:themeColor="text1"/>
                <w:sz w:val="18"/>
                <w:szCs w:val="18"/>
                <w:lang w:val="es-ES"/>
              </w:rPr>
              <w:t xml:space="preserve">1. Se abstenga de expulsar a Andrea </w:t>
            </w:r>
            <w:proofErr w:type="spellStart"/>
            <w:r w:rsidRPr="51AB108E">
              <w:rPr>
                <w:rFonts w:ascii="Cambria" w:hAnsi="Cambria"/>
                <w:color w:val="000000" w:themeColor="text1"/>
                <w:sz w:val="18"/>
                <w:szCs w:val="18"/>
                <w:lang w:val="es-ES"/>
              </w:rPr>
              <w:t>Mortlock</w:t>
            </w:r>
            <w:proofErr w:type="spellEnd"/>
            <w:r w:rsidRPr="51AB108E">
              <w:rPr>
                <w:rFonts w:ascii="Cambria" w:hAnsi="Cambria"/>
                <w:color w:val="000000" w:themeColor="text1"/>
                <w:sz w:val="18"/>
                <w:szCs w:val="18"/>
                <w:lang w:val="es-ES"/>
              </w:rPr>
              <w:t xml:space="preserve"> de su jurisdicción debido a la orden de deportación emitida en este caso.</w:t>
            </w:r>
          </w:p>
        </w:tc>
        <w:tc>
          <w:tcPr>
            <w:tcW w:w="2520" w:type="dxa"/>
            <w:shd w:val="clear" w:color="auto" w:fill="auto"/>
            <w:vAlign w:val="center"/>
          </w:tcPr>
          <w:p w14:paraId="1CF41A55" w14:textId="77777777" w:rsidR="00987D94" w:rsidRPr="00AA735E" w:rsidRDefault="00987D94" w:rsidP="51AB108E">
            <w:pPr>
              <w:jc w:val="center"/>
              <w:rPr>
                <w:rFonts w:ascii="Cambria" w:hAnsi="Cambria" w:cs="Calibri Light"/>
                <w:b/>
                <w:bCs/>
                <w:color w:val="000000" w:themeColor="text1"/>
                <w:sz w:val="18"/>
                <w:szCs w:val="18"/>
                <w:lang w:val="es-ES"/>
              </w:rPr>
            </w:pPr>
            <w:r w:rsidRPr="51AB108E">
              <w:rPr>
                <w:rFonts w:ascii="Cambria" w:hAnsi="Cambria"/>
                <w:color w:val="000000" w:themeColor="text1"/>
                <w:sz w:val="18"/>
                <w:szCs w:val="18"/>
                <w:lang w:val="es-ES"/>
              </w:rPr>
              <w:t>Cumplimiento parcial</w:t>
            </w:r>
          </w:p>
        </w:tc>
      </w:tr>
    </w:tbl>
    <w:p w14:paraId="13B88463" w14:textId="77777777" w:rsidR="00987D94" w:rsidRPr="00AA735E" w:rsidRDefault="00987D94" w:rsidP="51AB108E">
      <w:pPr>
        <w:jc w:val="both"/>
        <w:rPr>
          <w:rFonts w:ascii="Cambria" w:hAnsi="Cambria" w:cs="Calibri Light"/>
          <w:b/>
          <w:bCs/>
          <w:lang w:val="es-ES"/>
        </w:rPr>
      </w:pPr>
    </w:p>
    <w:p w14:paraId="28BB8C94" w14:textId="77777777" w:rsidR="00987D94" w:rsidRPr="00AA735E" w:rsidRDefault="00987D94" w:rsidP="51AB108E">
      <w:pPr>
        <w:pStyle w:val="ListParagraph"/>
        <w:numPr>
          <w:ilvl w:val="0"/>
          <w:numId w:val="8"/>
        </w:numPr>
        <w:ind w:left="1440"/>
        <w:jc w:val="both"/>
        <w:rPr>
          <w:rFonts w:ascii="Cambria" w:hAnsi="Cambria" w:cs="Calibri Light"/>
          <w:b/>
          <w:bCs/>
          <w:sz w:val="20"/>
          <w:szCs w:val="20"/>
          <w:lang w:val="es-ES"/>
        </w:rPr>
      </w:pPr>
      <w:r w:rsidRPr="51AB108E">
        <w:rPr>
          <w:rFonts w:ascii="Cambria" w:hAnsi="Cambria"/>
          <w:b/>
          <w:bCs/>
          <w:sz w:val="20"/>
          <w:szCs w:val="20"/>
          <w:lang w:val="es-ES"/>
        </w:rPr>
        <w:t>Actividad procesal</w:t>
      </w:r>
    </w:p>
    <w:p w14:paraId="3E0CCF99" w14:textId="77777777" w:rsidR="00987D94" w:rsidRPr="00AA735E" w:rsidRDefault="00987D94" w:rsidP="00987D94">
      <w:pPr>
        <w:jc w:val="both"/>
        <w:rPr>
          <w:rFonts w:ascii="Cambria" w:hAnsi="Cambria" w:cs="Calibri Light"/>
          <w:sz w:val="20"/>
          <w:szCs w:val="20"/>
          <w:lang w:val="es-ES"/>
        </w:rPr>
      </w:pPr>
    </w:p>
    <w:p w14:paraId="0C850584" w14:textId="77777777" w:rsidR="00987D94" w:rsidRPr="00AA735E" w:rsidRDefault="00987D94" w:rsidP="00987D94">
      <w:pPr>
        <w:pStyle w:val="ListParagraph"/>
        <w:numPr>
          <w:ilvl w:val="0"/>
          <w:numId w:val="12"/>
        </w:numPr>
        <w:jc w:val="both"/>
        <w:rPr>
          <w:rFonts w:ascii="Cambria" w:hAnsi="Cambria" w:cs="Calibri Light"/>
          <w:sz w:val="20"/>
          <w:szCs w:val="20"/>
          <w:lang w:val="es-ES"/>
        </w:rPr>
      </w:pPr>
      <w:r w:rsidRPr="51AB108E">
        <w:rPr>
          <w:rFonts w:ascii="Cambria" w:hAnsi="Cambria" w:cs="Calibri Light"/>
          <w:sz w:val="20"/>
          <w:szCs w:val="20"/>
          <w:lang w:val="es-ES"/>
        </w:rPr>
        <w:t xml:space="preserve">El 11 de marzo de 2008, la CIDH sostuvo una audiencia con las partes durante el 131° Periodo de Sesiones para dar seguimiento al cumplimiento de la recomendación emitida en el Informe </w:t>
      </w:r>
      <w:r w:rsidRPr="51AB108E">
        <w:rPr>
          <w:rFonts w:ascii="Cambria" w:hAnsi="Cambria"/>
          <w:sz w:val="20"/>
          <w:szCs w:val="20"/>
          <w:lang w:val="es-ES"/>
        </w:rPr>
        <w:t>Nº</w:t>
      </w:r>
      <w:r w:rsidRPr="51AB108E">
        <w:rPr>
          <w:rFonts w:ascii="Cambria" w:hAnsi="Cambria" w:cs="Calibri Light"/>
          <w:sz w:val="20"/>
          <w:szCs w:val="20"/>
          <w:lang w:val="es-ES"/>
        </w:rPr>
        <w:t xml:space="preserve"> 63/08.</w:t>
      </w:r>
    </w:p>
    <w:p w14:paraId="66313FC4" w14:textId="77777777" w:rsidR="00987D94" w:rsidRPr="00AA735E" w:rsidRDefault="00987D94" w:rsidP="00987D94">
      <w:pPr>
        <w:pStyle w:val="ListParagraph"/>
        <w:jc w:val="both"/>
        <w:rPr>
          <w:rFonts w:ascii="Cambria" w:hAnsi="Cambria" w:cs="Calibri Light"/>
          <w:sz w:val="20"/>
          <w:szCs w:val="20"/>
          <w:lang w:val="es-ES"/>
        </w:rPr>
      </w:pPr>
    </w:p>
    <w:p w14:paraId="65CE0AD1" w14:textId="7447FB9F" w:rsidR="00987D94" w:rsidRPr="00CA3CAF" w:rsidRDefault="00987D94" w:rsidP="00987D94">
      <w:pPr>
        <w:pStyle w:val="ListParagraph"/>
        <w:numPr>
          <w:ilvl w:val="0"/>
          <w:numId w:val="12"/>
        </w:numPr>
        <w:jc w:val="both"/>
        <w:rPr>
          <w:rFonts w:ascii="Cambria" w:hAnsi="Cambria" w:cs="Calibri Light"/>
          <w:color w:val="000000" w:themeColor="text1"/>
          <w:sz w:val="20"/>
          <w:szCs w:val="20"/>
          <w:lang w:val="es-ES"/>
        </w:rPr>
      </w:pPr>
      <w:r w:rsidRPr="51AB108E">
        <w:rPr>
          <w:rFonts w:ascii="Cambria" w:hAnsi="Cambria" w:cs="Calibri Light"/>
          <w:color w:val="000000" w:themeColor="text1"/>
          <w:sz w:val="20"/>
          <w:szCs w:val="20"/>
          <w:lang w:val="es-ES"/>
        </w:rPr>
        <w:t>En 2021, la CIDH solicitó al Estado información actualizada sobre el cumplimiento de recomendaciones el 16 de agosto.</w:t>
      </w:r>
      <w:bookmarkStart w:id="0" w:name="_Hlk57239010"/>
      <w:r w:rsidRPr="51AB108E">
        <w:rPr>
          <w:rFonts w:ascii="Cambria" w:hAnsi="Cambria" w:cs="Calibri Light"/>
          <w:color w:val="000000" w:themeColor="text1"/>
          <w:sz w:val="20"/>
          <w:szCs w:val="20"/>
          <w:lang w:val="es-ES"/>
        </w:rPr>
        <w:t xml:space="preserve"> </w:t>
      </w:r>
      <w:bookmarkEnd w:id="0"/>
      <w:r w:rsidR="00B12086" w:rsidRPr="51AB108E">
        <w:rPr>
          <w:rFonts w:ascii="Cambria" w:hAnsi="Cambria" w:cs="Calibri Light"/>
          <w:color w:val="000000" w:themeColor="text1"/>
          <w:sz w:val="20"/>
          <w:szCs w:val="20"/>
          <w:lang w:val="es-ES"/>
        </w:rPr>
        <w:t xml:space="preserve">El Estado </w:t>
      </w:r>
      <w:r w:rsidR="00B12086" w:rsidRPr="51AB108E">
        <w:rPr>
          <w:rFonts w:ascii="Cambria" w:hAnsi="Cambria"/>
          <w:sz w:val="20"/>
          <w:szCs w:val="20"/>
          <w:lang w:val="es-ES"/>
        </w:rPr>
        <w:t xml:space="preserve">presentó dicha información el 17 de noviembre de 2021.  </w:t>
      </w:r>
    </w:p>
    <w:p w14:paraId="578CDDB8" w14:textId="77777777" w:rsidR="00987D94" w:rsidRPr="00AA735E" w:rsidRDefault="00987D94" w:rsidP="00987D94">
      <w:pPr>
        <w:pStyle w:val="ListParagraph"/>
        <w:jc w:val="both"/>
        <w:rPr>
          <w:rFonts w:ascii="Cambria" w:hAnsi="Cambria" w:cs="Calibri Light"/>
          <w:color w:val="000000" w:themeColor="text1"/>
          <w:sz w:val="20"/>
          <w:szCs w:val="20"/>
          <w:lang w:val="es-ES"/>
        </w:rPr>
      </w:pPr>
    </w:p>
    <w:p w14:paraId="1C7DD2BC" w14:textId="77777777" w:rsidR="00987D94" w:rsidRPr="00CA3CAF" w:rsidRDefault="00987D94" w:rsidP="00987D94">
      <w:pPr>
        <w:pStyle w:val="ListParagraph"/>
        <w:numPr>
          <w:ilvl w:val="0"/>
          <w:numId w:val="12"/>
        </w:numPr>
        <w:jc w:val="both"/>
        <w:rPr>
          <w:rFonts w:ascii="Cambria" w:hAnsi="Cambria" w:cs="Calibri Light"/>
          <w:color w:val="000000" w:themeColor="text1"/>
          <w:sz w:val="20"/>
          <w:szCs w:val="20"/>
          <w:lang w:val="es-ES"/>
        </w:rPr>
      </w:pPr>
      <w:bookmarkStart w:id="1" w:name="_Hlk57239069"/>
      <w:r w:rsidRPr="51AB108E">
        <w:rPr>
          <w:rFonts w:ascii="Cambria" w:hAnsi="Cambria" w:cs="Calibri Light"/>
          <w:color w:val="000000" w:themeColor="text1"/>
          <w:sz w:val="20"/>
          <w:szCs w:val="20"/>
          <w:lang w:val="es-ES"/>
        </w:rPr>
        <w:t xml:space="preserve">La CIDH </w:t>
      </w:r>
      <w:r w:rsidRPr="51AB108E">
        <w:rPr>
          <w:rFonts w:ascii="Cambria" w:hAnsi="Cambria"/>
          <w:color w:val="000000" w:themeColor="text1"/>
          <w:sz w:val="20"/>
          <w:szCs w:val="20"/>
          <w:lang w:val="es-ES"/>
        </w:rPr>
        <w:t xml:space="preserve">solicitó al peticionario información actualizada sobre el cumplimiento de recomendaciones el 16 de agosto de 2021. </w:t>
      </w:r>
      <w:bookmarkStart w:id="2" w:name="_Hlk57247422"/>
      <w:r w:rsidRPr="51AB108E">
        <w:rPr>
          <w:rFonts w:ascii="Cambria" w:hAnsi="Cambria"/>
          <w:sz w:val="20"/>
          <w:szCs w:val="20"/>
          <w:lang w:val="es-ES"/>
        </w:rPr>
        <w:t>A la fecha de cierre de este informe, la Comisión no había recibido dicha información del peticionario.</w:t>
      </w:r>
    </w:p>
    <w:bookmarkEnd w:id="1"/>
    <w:bookmarkEnd w:id="2"/>
    <w:p w14:paraId="18E5C925" w14:textId="77777777" w:rsidR="00987D94" w:rsidRPr="00AA735E" w:rsidRDefault="00987D94" w:rsidP="00987D94">
      <w:pPr>
        <w:pStyle w:val="ListParagraph"/>
        <w:ind w:left="0"/>
        <w:jc w:val="both"/>
        <w:rPr>
          <w:rFonts w:ascii="Cambria" w:hAnsi="Cambria" w:cs="Calibri Light"/>
          <w:sz w:val="20"/>
          <w:szCs w:val="20"/>
          <w:lang w:val="es-ES"/>
        </w:rPr>
      </w:pPr>
    </w:p>
    <w:p w14:paraId="426253A7" w14:textId="77777777" w:rsidR="00987D94" w:rsidRPr="00AA735E" w:rsidRDefault="00987D94" w:rsidP="51AB108E">
      <w:pPr>
        <w:pStyle w:val="ListParagraph"/>
        <w:numPr>
          <w:ilvl w:val="0"/>
          <w:numId w:val="8"/>
        </w:numPr>
        <w:ind w:left="1440"/>
        <w:jc w:val="both"/>
        <w:rPr>
          <w:rFonts w:ascii="Cambria" w:hAnsi="Cambria" w:cs="Calibri Light"/>
          <w:b/>
          <w:bCs/>
          <w:sz w:val="20"/>
          <w:szCs w:val="20"/>
          <w:lang w:val="es-ES"/>
        </w:rPr>
      </w:pPr>
      <w:r w:rsidRPr="51AB108E">
        <w:rPr>
          <w:rFonts w:ascii="Cambria" w:hAnsi="Cambria" w:cs="Calibri Light"/>
          <w:b/>
          <w:bCs/>
          <w:sz w:val="20"/>
          <w:szCs w:val="20"/>
          <w:lang w:val="es-ES"/>
        </w:rPr>
        <w:t>Análisis relativo a la información proporcionada</w:t>
      </w:r>
    </w:p>
    <w:p w14:paraId="513004E2" w14:textId="77777777" w:rsidR="00987D94" w:rsidRPr="00AA735E" w:rsidRDefault="00987D94" w:rsidP="00987D94">
      <w:pPr>
        <w:jc w:val="both"/>
        <w:rPr>
          <w:rFonts w:ascii="Cambria" w:hAnsi="Cambria" w:cs="Calibri Light"/>
          <w:sz w:val="20"/>
          <w:szCs w:val="20"/>
          <w:lang w:val="es-ES"/>
        </w:rPr>
      </w:pPr>
    </w:p>
    <w:p w14:paraId="270CC841" w14:textId="70192BF5" w:rsidR="00987D94" w:rsidRPr="00B12086" w:rsidRDefault="00B12086" w:rsidP="51AB108E">
      <w:pPr>
        <w:pStyle w:val="ListParagraph"/>
        <w:numPr>
          <w:ilvl w:val="0"/>
          <w:numId w:val="12"/>
        </w:numPr>
        <w:jc w:val="both"/>
        <w:rPr>
          <w:rFonts w:ascii="Cambria" w:hAnsi="Cambria" w:cs="Calibri Light"/>
          <w:color w:val="000000" w:themeColor="text1"/>
          <w:sz w:val="20"/>
          <w:szCs w:val="20"/>
          <w:lang w:val="es-ES"/>
        </w:rPr>
      </w:pPr>
      <w:r w:rsidRPr="51AB108E">
        <w:rPr>
          <w:rFonts w:ascii="Cambria" w:hAnsi="Cambria" w:cs="Calibri Light"/>
          <w:color w:val="000000" w:themeColor="text1"/>
          <w:sz w:val="20"/>
          <w:szCs w:val="20"/>
          <w:lang w:val="es-ES"/>
        </w:rPr>
        <w:t xml:space="preserve">La Comisión considera que la información proporcionada por el Estado en 2021 no es relevante para actualizar el seguimiento del caso, puesto que es repetitiva de la información presentada en años anteriores sin contener información sobre medidas adoptadas recientemente para cumplir con al menos una de las recomendaciones. </w:t>
      </w:r>
    </w:p>
    <w:p w14:paraId="7D4F140E" w14:textId="0A42076E" w:rsidR="00987D94" w:rsidRPr="00B12086" w:rsidRDefault="00987D94" w:rsidP="51AB108E">
      <w:pPr>
        <w:ind w:left="360"/>
        <w:jc w:val="both"/>
        <w:rPr>
          <w:rFonts w:ascii="Cambria" w:hAnsi="Cambria" w:cs="Calibri Light"/>
          <w:color w:val="000000" w:themeColor="text1"/>
          <w:sz w:val="20"/>
          <w:szCs w:val="20"/>
          <w:lang w:val="es-ES"/>
        </w:rPr>
      </w:pPr>
    </w:p>
    <w:p w14:paraId="3CF37B6D" w14:textId="2DA0EBFC" w:rsidR="00987D94" w:rsidRPr="00B12086" w:rsidRDefault="00B12086" w:rsidP="51AB108E">
      <w:pPr>
        <w:pStyle w:val="ListParagraph"/>
        <w:numPr>
          <w:ilvl w:val="0"/>
          <w:numId w:val="12"/>
        </w:numPr>
        <w:jc w:val="both"/>
        <w:rPr>
          <w:color w:val="000000" w:themeColor="text1"/>
          <w:sz w:val="20"/>
          <w:szCs w:val="20"/>
          <w:lang w:val="es-ES"/>
        </w:rPr>
      </w:pPr>
      <w:r w:rsidRPr="51AB108E">
        <w:rPr>
          <w:rFonts w:ascii="Cambria" w:hAnsi="Cambria" w:cs="Calibri Light"/>
          <w:color w:val="000000" w:themeColor="text1"/>
          <w:sz w:val="20"/>
          <w:szCs w:val="20"/>
          <w:lang w:val="es-ES"/>
        </w:rPr>
        <w:lastRenderedPageBreak/>
        <w:t>Ante la ausencia de información actualizada sobre el nivel de cumplimiento de las recomendaciones, la CIDH reitera el análisis del cumplimiento y las conclusiones realizadas en su Informe Anual 2020.</w:t>
      </w:r>
    </w:p>
    <w:p w14:paraId="34D24BEB" w14:textId="77777777" w:rsidR="00987D94" w:rsidRPr="00AA735E" w:rsidRDefault="00987D94" w:rsidP="00987D94">
      <w:pPr>
        <w:pStyle w:val="ListParagraph"/>
        <w:jc w:val="both"/>
        <w:rPr>
          <w:rFonts w:ascii="Cambria" w:hAnsi="Cambria" w:cs="Calibri Light"/>
          <w:sz w:val="20"/>
          <w:szCs w:val="20"/>
          <w:lang w:val="es-ES"/>
        </w:rPr>
      </w:pPr>
      <w:bookmarkStart w:id="3" w:name="_Hlk57232159"/>
      <w:bookmarkEnd w:id="3"/>
    </w:p>
    <w:p w14:paraId="02B73AA3" w14:textId="77777777" w:rsidR="00987D94" w:rsidRPr="00AA735E" w:rsidRDefault="00987D94" w:rsidP="51AB108E">
      <w:pPr>
        <w:pStyle w:val="ListParagraph"/>
        <w:numPr>
          <w:ilvl w:val="0"/>
          <w:numId w:val="8"/>
        </w:numPr>
        <w:ind w:left="1440"/>
        <w:jc w:val="both"/>
        <w:rPr>
          <w:rFonts w:ascii="Cambria" w:hAnsi="Cambria" w:cs="Calibri Light"/>
          <w:b/>
          <w:bCs/>
          <w:sz w:val="20"/>
          <w:szCs w:val="20"/>
          <w:lang w:val="es-ES"/>
        </w:rPr>
      </w:pPr>
      <w:r w:rsidRPr="51AB108E">
        <w:rPr>
          <w:rFonts w:ascii="Cambria" w:hAnsi="Cambria" w:cs="Calibri Light"/>
          <w:b/>
          <w:bCs/>
          <w:sz w:val="20"/>
          <w:szCs w:val="20"/>
          <w:lang w:val="es-ES"/>
        </w:rPr>
        <w:t>Análisis del cumplimiento de las recomendaciones</w:t>
      </w:r>
    </w:p>
    <w:p w14:paraId="4A511E89" w14:textId="77777777" w:rsidR="00987D94" w:rsidRPr="00AA735E" w:rsidRDefault="00987D94" w:rsidP="00987D94">
      <w:pPr>
        <w:pStyle w:val="ListParagraph"/>
        <w:jc w:val="both"/>
        <w:rPr>
          <w:rFonts w:ascii="Cambria" w:hAnsi="Cambria"/>
          <w:sz w:val="20"/>
          <w:szCs w:val="20"/>
          <w:lang w:val="es-ES"/>
        </w:rPr>
      </w:pPr>
    </w:p>
    <w:p w14:paraId="250D44C4" w14:textId="77777777" w:rsidR="00987D94" w:rsidRPr="00AA735E" w:rsidRDefault="00987D94" w:rsidP="51AB108E">
      <w:pPr>
        <w:pStyle w:val="ListParagraph"/>
        <w:numPr>
          <w:ilvl w:val="0"/>
          <w:numId w:val="12"/>
        </w:numPr>
        <w:jc w:val="both"/>
        <w:rPr>
          <w:rFonts w:ascii="Cambria" w:hAnsi="Cambria" w:cs="Calibri Light"/>
          <w:b/>
          <w:bCs/>
          <w:sz w:val="20"/>
          <w:szCs w:val="20"/>
          <w:lang w:val="es-ES"/>
        </w:rPr>
      </w:pPr>
      <w:r w:rsidRPr="51AB108E">
        <w:rPr>
          <w:rFonts w:ascii="Cambria" w:hAnsi="Cambria"/>
          <w:b/>
          <w:bCs/>
          <w:sz w:val="20"/>
          <w:szCs w:val="20"/>
          <w:lang w:val="es-ES"/>
        </w:rPr>
        <w:t xml:space="preserve">En relación con la única recomendación emitida, </w:t>
      </w:r>
      <w:r w:rsidRPr="00AA735E">
        <w:rPr>
          <w:rFonts w:ascii="Cambria" w:hAnsi="Cambria"/>
          <w:sz w:val="20"/>
          <w:szCs w:val="20"/>
          <w:lang w:val="es-ES"/>
        </w:rPr>
        <w:t>en 2008, el Estado expresó que respetuosamente disentía de las recomendaciones de la Comisión en el caso, y que declinaba a cumplirlas.</w:t>
      </w:r>
      <w:r w:rsidRPr="00AA735E">
        <w:rPr>
          <w:rStyle w:val="FootnoteReference"/>
          <w:rFonts w:ascii="Cambria" w:hAnsi="Cambria"/>
          <w:sz w:val="20"/>
          <w:szCs w:val="20"/>
          <w:lang w:val="es-ES"/>
        </w:rPr>
        <w:footnoteReference w:id="1"/>
      </w:r>
      <w:r w:rsidRPr="00AA735E">
        <w:rPr>
          <w:rFonts w:ascii="Cambria" w:hAnsi="Cambria"/>
          <w:sz w:val="20"/>
          <w:szCs w:val="20"/>
          <w:lang w:val="es-ES"/>
        </w:rPr>
        <w:t xml:space="preserve"> </w:t>
      </w:r>
      <w:r w:rsidRPr="00AA735E">
        <w:rPr>
          <w:rFonts w:ascii="Cambria" w:hAnsi="Cambria" w:cs="Calibri Light"/>
          <w:color w:val="000000" w:themeColor="text1"/>
          <w:sz w:val="20"/>
          <w:szCs w:val="20"/>
          <w:lang w:val="es-ES"/>
        </w:rPr>
        <w:t>En 2020, el Estado reiteró su posición sin presentar nueva información sobre acciones tomadas para dar cumplimiento a esta recomendación.</w:t>
      </w:r>
    </w:p>
    <w:p w14:paraId="0913D944" w14:textId="77777777" w:rsidR="00987D94" w:rsidRPr="00AA735E" w:rsidRDefault="00987D94" w:rsidP="00987D94">
      <w:pPr>
        <w:pStyle w:val="ListParagraph"/>
        <w:rPr>
          <w:rFonts w:ascii="Cambria" w:hAnsi="Cambria" w:cs="Calibri Light"/>
          <w:sz w:val="20"/>
          <w:szCs w:val="20"/>
          <w:lang w:val="es-ES"/>
        </w:rPr>
      </w:pPr>
    </w:p>
    <w:p w14:paraId="5982B2CF" w14:textId="77777777" w:rsidR="00987D94" w:rsidRPr="00AA735E" w:rsidRDefault="00987D94" w:rsidP="51AB108E">
      <w:pPr>
        <w:pStyle w:val="ListParagraph"/>
        <w:numPr>
          <w:ilvl w:val="0"/>
          <w:numId w:val="12"/>
        </w:numPr>
        <w:jc w:val="both"/>
        <w:rPr>
          <w:rFonts w:ascii="Cambria" w:hAnsi="Cambria" w:cs="Calibri Light"/>
          <w:b/>
          <w:bCs/>
          <w:sz w:val="20"/>
          <w:szCs w:val="20"/>
          <w:lang w:val="es-ES"/>
        </w:rPr>
      </w:pPr>
      <w:r w:rsidRPr="00AA735E">
        <w:rPr>
          <w:rFonts w:ascii="Cambria" w:hAnsi="Cambria" w:cs="Calibri Light"/>
          <w:sz w:val="20"/>
          <w:szCs w:val="20"/>
          <w:lang w:val="es-ES"/>
        </w:rPr>
        <w:t xml:space="preserve">En 2014, los peticionarios presentaron su última comunicación a la CIDH, informando </w:t>
      </w:r>
      <w:r w:rsidRPr="00AA735E">
        <w:rPr>
          <w:rFonts w:ascii="Cambria" w:eastAsia="MS Mincho" w:hAnsi="Cambria"/>
          <w:snapToGrid w:val="0"/>
          <w:sz w:val="20"/>
          <w:szCs w:val="20"/>
          <w:lang w:val="es-ES"/>
        </w:rPr>
        <w:t xml:space="preserve">que </w:t>
      </w:r>
      <w:r w:rsidRPr="00AA735E">
        <w:rPr>
          <w:rFonts w:ascii="Cambria" w:eastAsia="MS Mincho" w:hAnsi="Cambria"/>
          <w:sz w:val="20"/>
          <w:szCs w:val="20"/>
          <w:lang w:val="es-ES"/>
        </w:rPr>
        <w:t xml:space="preserve">en ese momento no tenían conocimiento de que Estados Unidos planeara retirar a la Sra. </w:t>
      </w:r>
      <w:proofErr w:type="spellStart"/>
      <w:r w:rsidRPr="00AA735E">
        <w:rPr>
          <w:rFonts w:ascii="Cambria" w:eastAsia="MS Mincho" w:hAnsi="Cambria"/>
          <w:sz w:val="20"/>
          <w:szCs w:val="20"/>
          <w:lang w:val="es-ES"/>
        </w:rPr>
        <w:t>Mortlock</w:t>
      </w:r>
      <w:proofErr w:type="spellEnd"/>
      <w:r w:rsidRPr="00AA735E">
        <w:rPr>
          <w:rFonts w:ascii="Cambria" w:eastAsia="MS Mincho" w:hAnsi="Cambria"/>
          <w:sz w:val="20"/>
          <w:szCs w:val="20"/>
          <w:lang w:val="es-ES"/>
        </w:rPr>
        <w:t xml:space="preserve"> de su jurisdicción en cumplimiento de la orden de deportación expedida en este caso. Subrayaron, empero, que seguían sumamente preocupados por la vida de la Sra. </w:t>
      </w:r>
      <w:proofErr w:type="spellStart"/>
      <w:r w:rsidRPr="00AA735E">
        <w:rPr>
          <w:rFonts w:ascii="Cambria" w:eastAsia="MS Mincho" w:hAnsi="Cambria"/>
          <w:sz w:val="20"/>
          <w:szCs w:val="20"/>
          <w:lang w:val="es-ES"/>
        </w:rPr>
        <w:t>Mortlock</w:t>
      </w:r>
      <w:proofErr w:type="spellEnd"/>
      <w:r w:rsidRPr="00AA735E">
        <w:rPr>
          <w:rFonts w:ascii="Cambria" w:eastAsia="MS Mincho" w:hAnsi="Cambria"/>
          <w:sz w:val="20"/>
          <w:szCs w:val="20"/>
          <w:lang w:val="es-ES"/>
        </w:rPr>
        <w:t>, en caso de que las autoridades de inmigración estadounidenses decidieran no cumplir con la recomendación de la CIDH.</w:t>
      </w:r>
      <w:r w:rsidRPr="00AA735E">
        <w:rPr>
          <w:rStyle w:val="FootnoteReference"/>
          <w:rFonts w:ascii="Cambria" w:eastAsia="MS Mincho" w:hAnsi="Cambria"/>
          <w:sz w:val="20"/>
          <w:szCs w:val="20"/>
          <w:lang w:val="es-ES"/>
        </w:rPr>
        <w:footnoteReference w:id="2"/>
      </w:r>
      <w:r w:rsidRPr="00AA735E">
        <w:rPr>
          <w:rFonts w:ascii="Cambria" w:eastAsia="MS Mincho" w:hAnsi="Cambria"/>
          <w:sz w:val="20"/>
          <w:szCs w:val="20"/>
          <w:lang w:val="es-ES"/>
        </w:rPr>
        <w:t>.</w:t>
      </w:r>
      <w:r w:rsidRPr="00AA735E">
        <w:rPr>
          <w:rFonts w:ascii="Cambria" w:hAnsi="Cambria" w:cs="Calibri Light"/>
          <w:sz w:val="20"/>
          <w:szCs w:val="20"/>
          <w:lang w:val="es-ES"/>
        </w:rPr>
        <w:t xml:space="preserve"> En su comunicación del 30 de julio de 2019, los peticionarios informaron que perdieron contacto con la víctima y su familia, razón por la cual no pueden presentar información actualizada sobre el cumplimiento de las recomendaciones. En 2020, los peticionarios reiteraron la información presentada en 2019. </w:t>
      </w:r>
    </w:p>
    <w:p w14:paraId="06129661" w14:textId="77777777" w:rsidR="00987D94" w:rsidRPr="00AA735E" w:rsidRDefault="00987D94" w:rsidP="51AB108E">
      <w:pPr>
        <w:pStyle w:val="ListParagraph"/>
        <w:rPr>
          <w:rFonts w:ascii="Cambria" w:hAnsi="Cambria" w:cs="Calibri Light"/>
          <w:b/>
          <w:bCs/>
          <w:sz w:val="20"/>
          <w:szCs w:val="20"/>
          <w:lang w:val="es-ES"/>
        </w:rPr>
      </w:pPr>
    </w:p>
    <w:p w14:paraId="121FBF4A" w14:textId="77777777" w:rsidR="00987D94" w:rsidRPr="00AA735E" w:rsidRDefault="00987D94" w:rsidP="51AB108E">
      <w:pPr>
        <w:pStyle w:val="ListParagraph"/>
        <w:numPr>
          <w:ilvl w:val="0"/>
          <w:numId w:val="12"/>
        </w:numPr>
        <w:jc w:val="both"/>
        <w:rPr>
          <w:rFonts w:ascii="Cambria" w:hAnsi="Cambria" w:cs="Calibri Light"/>
          <w:b/>
          <w:bCs/>
          <w:color w:val="000000" w:themeColor="text1"/>
          <w:sz w:val="20"/>
          <w:szCs w:val="20"/>
          <w:lang w:val="es-ES"/>
        </w:rPr>
      </w:pPr>
      <w:r w:rsidRPr="00AA735E">
        <w:rPr>
          <w:rFonts w:ascii="Cambria" w:hAnsi="Cambria" w:cs="Calibri Light"/>
          <w:sz w:val="20"/>
          <w:szCs w:val="20"/>
          <w:lang w:val="es-ES"/>
        </w:rPr>
        <w:t xml:space="preserve">Con base en la información que </w:t>
      </w:r>
      <w:r w:rsidRPr="00AA735E">
        <w:rPr>
          <w:rFonts w:ascii="Cambria" w:hAnsi="Cambria" w:cs="Calibri Light"/>
          <w:color w:val="000000" w:themeColor="text1"/>
          <w:sz w:val="20"/>
          <w:szCs w:val="20"/>
          <w:lang w:val="es-ES"/>
        </w:rPr>
        <w:t xml:space="preserve">tiene a su disposición, la CIDH nota que, como lo ha expresado en Informes Anuales anteriores, aparentemente se ha dado cumplimiento a esta recomendación, con base en la no expulsión de la Sra. </w:t>
      </w:r>
      <w:proofErr w:type="spellStart"/>
      <w:r w:rsidRPr="00AA735E">
        <w:rPr>
          <w:rFonts w:ascii="Cambria" w:hAnsi="Cambria" w:cs="Calibri Light"/>
          <w:color w:val="000000" w:themeColor="text1"/>
          <w:sz w:val="20"/>
          <w:szCs w:val="20"/>
          <w:lang w:val="es-ES"/>
        </w:rPr>
        <w:t>Mortlock</w:t>
      </w:r>
      <w:proofErr w:type="spellEnd"/>
      <w:r w:rsidRPr="00AA735E">
        <w:rPr>
          <w:rFonts w:ascii="Cambria" w:hAnsi="Cambria" w:cs="Calibri Light"/>
          <w:color w:val="000000" w:themeColor="text1"/>
          <w:sz w:val="20"/>
          <w:szCs w:val="20"/>
          <w:lang w:val="es-ES"/>
        </w:rPr>
        <w:t xml:space="preserve">. Sin embargo, en virtud de la posición expresamente adoptada por el Estado con respecto a la recomendación, la CIDH no puede adoptar una decisión sobre el cumplimiento de </w:t>
      </w:r>
      <w:proofErr w:type="gramStart"/>
      <w:r w:rsidRPr="00AA735E">
        <w:rPr>
          <w:rFonts w:ascii="Cambria" w:hAnsi="Cambria" w:cs="Calibri Light"/>
          <w:color w:val="000000" w:themeColor="text1"/>
          <w:sz w:val="20"/>
          <w:szCs w:val="20"/>
          <w:lang w:val="es-ES"/>
        </w:rPr>
        <w:t>la misma</w:t>
      </w:r>
      <w:proofErr w:type="gramEnd"/>
      <w:r w:rsidRPr="00AA735E">
        <w:rPr>
          <w:rFonts w:ascii="Cambria" w:hAnsi="Cambria" w:cs="Calibri Light"/>
          <w:color w:val="000000" w:themeColor="text1"/>
          <w:sz w:val="20"/>
          <w:szCs w:val="20"/>
          <w:lang w:val="es-ES"/>
        </w:rPr>
        <w:t xml:space="preserve"> hasta que no reciba información precisa sobre el cumplimiento de esta recomendación.</w:t>
      </w:r>
      <w:r w:rsidRPr="00AA735E">
        <w:rPr>
          <w:rStyle w:val="FootnoteReference"/>
          <w:rFonts w:ascii="Cambria" w:hAnsi="Cambria" w:cs="Calibri Light"/>
          <w:color w:val="000000" w:themeColor="text1"/>
          <w:sz w:val="20"/>
          <w:szCs w:val="20"/>
          <w:lang w:val="es-ES"/>
        </w:rPr>
        <w:footnoteReference w:id="3"/>
      </w:r>
      <w:r w:rsidRPr="00AA735E">
        <w:rPr>
          <w:rFonts w:ascii="Cambria" w:hAnsi="Cambria" w:cs="Calibri Light"/>
          <w:color w:val="000000" w:themeColor="text1"/>
          <w:sz w:val="20"/>
          <w:szCs w:val="20"/>
          <w:lang w:val="es-ES"/>
        </w:rPr>
        <w:t xml:space="preserve"> En este sentido, la CIDH invita a las partes a proporcionar información actualizada sobre la situación de la señora Andrea </w:t>
      </w:r>
      <w:proofErr w:type="spellStart"/>
      <w:r w:rsidRPr="00AA735E">
        <w:rPr>
          <w:rFonts w:ascii="Cambria" w:hAnsi="Cambria" w:cs="Calibri Light"/>
          <w:color w:val="000000" w:themeColor="text1"/>
          <w:sz w:val="20"/>
          <w:szCs w:val="20"/>
          <w:lang w:val="es-ES"/>
        </w:rPr>
        <w:t>Mortlock</w:t>
      </w:r>
      <w:proofErr w:type="spellEnd"/>
      <w:r w:rsidRPr="00AA735E">
        <w:rPr>
          <w:rFonts w:ascii="Cambria" w:hAnsi="Cambria" w:cs="Calibri Light"/>
          <w:color w:val="000000" w:themeColor="text1"/>
          <w:sz w:val="20"/>
          <w:szCs w:val="20"/>
          <w:lang w:val="es-ES"/>
        </w:rPr>
        <w:t>. Por lo anterior, la Comisión considera que la Recomendación 1 se encuentra parcialmente cumplida.</w:t>
      </w:r>
    </w:p>
    <w:p w14:paraId="66FA2843" w14:textId="77777777" w:rsidR="00987D94" w:rsidRPr="00AA735E" w:rsidRDefault="00987D94" w:rsidP="00987D94">
      <w:pPr>
        <w:pStyle w:val="ListParagraph"/>
        <w:jc w:val="both"/>
        <w:rPr>
          <w:rFonts w:ascii="Cambria" w:hAnsi="Cambria"/>
          <w:color w:val="000000" w:themeColor="text1"/>
          <w:sz w:val="20"/>
          <w:szCs w:val="20"/>
          <w:lang w:val="es-ES"/>
        </w:rPr>
      </w:pPr>
    </w:p>
    <w:p w14:paraId="25E77CE4" w14:textId="77777777" w:rsidR="00987D94" w:rsidRPr="00AA735E" w:rsidRDefault="00987D94" w:rsidP="51AB108E">
      <w:pPr>
        <w:pStyle w:val="FootnoteText"/>
        <w:numPr>
          <w:ilvl w:val="0"/>
          <w:numId w:val="8"/>
        </w:numPr>
        <w:ind w:left="1440"/>
        <w:jc w:val="both"/>
        <w:rPr>
          <w:rFonts w:ascii="Cambria" w:hAnsi="Cambria" w:cs="Calibri Light"/>
          <w:b/>
          <w:bCs/>
          <w:color w:val="000000" w:themeColor="text1"/>
          <w:lang w:val="es-ES"/>
        </w:rPr>
      </w:pPr>
      <w:r w:rsidRPr="51AB108E">
        <w:rPr>
          <w:rFonts w:ascii="Cambria" w:hAnsi="Cambria" w:cs="Calibri Light"/>
          <w:b/>
          <w:bCs/>
          <w:color w:val="000000" w:themeColor="text1"/>
          <w:lang w:val="es-ES"/>
        </w:rPr>
        <w:t>Nivel del cumplimiento del caso</w:t>
      </w:r>
    </w:p>
    <w:p w14:paraId="3CAEF58B" w14:textId="77777777" w:rsidR="00987D94" w:rsidRPr="00AA735E" w:rsidRDefault="00987D94" w:rsidP="00987D94">
      <w:pPr>
        <w:jc w:val="both"/>
        <w:rPr>
          <w:rFonts w:ascii="Cambria" w:hAnsi="Cambria" w:cs="Calibri Light"/>
          <w:sz w:val="20"/>
          <w:szCs w:val="20"/>
          <w:lang w:val="es-ES"/>
        </w:rPr>
      </w:pPr>
    </w:p>
    <w:p w14:paraId="1F0EB09C" w14:textId="77777777" w:rsidR="00987D94" w:rsidRPr="00AA735E" w:rsidRDefault="00987D94" w:rsidP="00987D94">
      <w:pPr>
        <w:pStyle w:val="ListParagraph"/>
        <w:numPr>
          <w:ilvl w:val="0"/>
          <w:numId w:val="12"/>
        </w:numPr>
        <w:jc w:val="both"/>
        <w:rPr>
          <w:rFonts w:ascii="Cambria" w:hAnsi="Cambria" w:cs="Calibri Light"/>
          <w:color w:val="FF0000"/>
          <w:sz w:val="20"/>
          <w:szCs w:val="20"/>
          <w:lang w:val="es-ES"/>
        </w:rPr>
      </w:pPr>
      <w:r w:rsidRPr="51AB108E">
        <w:rPr>
          <w:rFonts w:ascii="Cambria" w:hAnsi="Cambria" w:cs="Calibri Light"/>
          <w:sz w:val="20"/>
          <w:szCs w:val="20"/>
          <w:lang w:val="es-ES"/>
        </w:rPr>
        <w:t xml:space="preserve">Por lo anterior, la Comisión concluye que el caso está en cumplimiento parcial. </w:t>
      </w:r>
      <w:r w:rsidRPr="51AB108E">
        <w:rPr>
          <w:rFonts w:ascii="Cambria" w:hAnsi="Cambria" w:cs="Calibri Light"/>
          <w:color w:val="000000" w:themeColor="text1"/>
          <w:sz w:val="20"/>
          <w:szCs w:val="20"/>
          <w:lang w:val="es-ES"/>
        </w:rPr>
        <w:t xml:space="preserve">En consecuencia, la CIDH seguirá supervisando el cumplimiento de la Recomendación 1. </w:t>
      </w:r>
    </w:p>
    <w:p w14:paraId="119A25B8" w14:textId="77777777" w:rsidR="00987D94" w:rsidRPr="00AA735E" w:rsidRDefault="00987D94" w:rsidP="00987D94">
      <w:pPr>
        <w:jc w:val="both"/>
        <w:rPr>
          <w:rFonts w:ascii="Cambria" w:hAnsi="Cambria"/>
          <w:sz w:val="20"/>
          <w:szCs w:val="20"/>
          <w:lang w:val="es-ES"/>
        </w:rPr>
      </w:pPr>
    </w:p>
    <w:p w14:paraId="61A5BD89" w14:textId="77777777" w:rsidR="00987D94" w:rsidRPr="00AA735E" w:rsidRDefault="00987D94" w:rsidP="51AB108E">
      <w:pPr>
        <w:pStyle w:val="ListParagraph"/>
        <w:numPr>
          <w:ilvl w:val="0"/>
          <w:numId w:val="8"/>
        </w:numPr>
        <w:ind w:left="1440"/>
        <w:jc w:val="both"/>
        <w:rPr>
          <w:rFonts w:ascii="Cambria" w:hAnsi="Cambria"/>
          <w:b/>
          <w:bCs/>
          <w:sz w:val="20"/>
          <w:szCs w:val="20"/>
          <w:lang w:val="es-ES"/>
        </w:rPr>
      </w:pPr>
      <w:r w:rsidRPr="51AB108E">
        <w:rPr>
          <w:rFonts w:ascii="Cambria" w:hAnsi="Cambria"/>
          <w:b/>
          <w:bCs/>
          <w:sz w:val="20"/>
          <w:szCs w:val="20"/>
          <w:lang w:val="es-ES"/>
        </w:rPr>
        <w:t>Resultados individuales y estructurales del caso</w:t>
      </w:r>
    </w:p>
    <w:p w14:paraId="2E652BBA" w14:textId="77777777" w:rsidR="00987D94" w:rsidRPr="00AA735E" w:rsidRDefault="00987D94" w:rsidP="51AB108E">
      <w:pPr>
        <w:jc w:val="both"/>
        <w:rPr>
          <w:rFonts w:ascii="Cambria" w:hAnsi="Cambria"/>
          <w:b/>
          <w:bCs/>
          <w:sz w:val="20"/>
          <w:szCs w:val="20"/>
          <w:lang w:val="es-ES"/>
        </w:rPr>
      </w:pPr>
    </w:p>
    <w:p w14:paraId="7A4B5B2E" w14:textId="77777777" w:rsidR="00987D94" w:rsidRPr="00AA735E" w:rsidRDefault="00987D94" w:rsidP="00987D94">
      <w:pPr>
        <w:jc w:val="both"/>
        <w:rPr>
          <w:rFonts w:ascii="Cambria" w:hAnsi="Cambria" w:cs="Calibri Light"/>
          <w:sz w:val="20"/>
          <w:szCs w:val="20"/>
          <w:lang w:val="es-US"/>
        </w:rPr>
      </w:pPr>
      <w:r w:rsidRPr="51AB108E">
        <w:rPr>
          <w:rFonts w:ascii="Cambria" w:hAnsi="Cambria" w:cs="Calibri Light"/>
          <w:sz w:val="20"/>
          <w:szCs w:val="20"/>
          <w:lang w:val="es-US"/>
        </w:rPr>
        <w:t xml:space="preserve"> </w:t>
      </w:r>
      <w:r w:rsidRPr="002D63F1">
        <w:rPr>
          <w:lang w:val="es-US"/>
        </w:rPr>
        <w:tab/>
      </w:r>
      <w:r w:rsidRPr="51AB108E">
        <w:rPr>
          <w:rFonts w:ascii="Cambria" w:hAnsi="Cambria" w:cs="Calibri Light"/>
          <w:sz w:val="20"/>
          <w:szCs w:val="20"/>
          <w:lang w:val="es-US"/>
        </w:rPr>
        <w:t xml:space="preserve">10. </w:t>
      </w:r>
      <w:r w:rsidRPr="00E9201A">
        <w:rPr>
          <w:lang w:val="es-US"/>
        </w:rPr>
        <w:tab/>
      </w:r>
      <w:r w:rsidRPr="51AB108E">
        <w:rPr>
          <w:rFonts w:ascii="Cambria" w:hAnsi="Cambria" w:cs="Calibri Light"/>
          <w:sz w:val="20"/>
          <w:szCs w:val="20"/>
          <w:lang w:val="es-US"/>
        </w:rPr>
        <w:t xml:space="preserve">En esta sección se destacan los resultados individuales y estructurales del caso informados por las partes. </w:t>
      </w:r>
    </w:p>
    <w:p w14:paraId="37F5E108" w14:textId="77777777" w:rsidR="00987D94" w:rsidRPr="00AA735E" w:rsidRDefault="00987D94" w:rsidP="00987D94">
      <w:pPr>
        <w:ind w:left="720"/>
        <w:jc w:val="both"/>
        <w:rPr>
          <w:rFonts w:ascii="Cambria" w:hAnsi="Cambria" w:cs="Calibri Light"/>
          <w:sz w:val="20"/>
          <w:szCs w:val="20"/>
          <w:lang w:val="es-US"/>
        </w:rPr>
      </w:pPr>
    </w:p>
    <w:p w14:paraId="6EC6CA58" w14:textId="77777777" w:rsidR="00987D94" w:rsidRPr="00AA735E" w:rsidRDefault="00987D94" w:rsidP="51AB108E">
      <w:pPr>
        <w:pStyle w:val="ListParagraph"/>
        <w:numPr>
          <w:ilvl w:val="0"/>
          <w:numId w:val="16"/>
        </w:numPr>
        <w:ind w:left="1440" w:hanging="720"/>
        <w:jc w:val="both"/>
        <w:rPr>
          <w:rFonts w:ascii="Cambria" w:hAnsi="Cambria" w:cs="Calibri Light"/>
          <w:b/>
          <w:bCs/>
          <w:sz w:val="20"/>
          <w:szCs w:val="20"/>
          <w:lang w:val="es-US"/>
        </w:rPr>
      </w:pPr>
      <w:r w:rsidRPr="51AB108E">
        <w:rPr>
          <w:rFonts w:ascii="Cambria" w:hAnsi="Cambria" w:cs="Calibri Light"/>
          <w:b/>
          <w:bCs/>
          <w:sz w:val="20"/>
          <w:szCs w:val="20"/>
          <w:lang w:val="es-US"/>
        </w:rPr>
        <w:t>Resultados individuales del caso</w:t>
      </w:r>
    </w:p>
    <w:p w14:paraId="5B4D7506" w14:textId="77777777" w:rsidR="00987D94" w:rsidRPr="00AA735E" w:rsidRDefault="00987D94" w:rsidP="00987D94">
      <w:pPr>
        <w:pStyle w:val="ListParagraph"/>
        <w:jc w:val="both"/>
        <w:rPr>
          <w:rFonts w:ascii="Cambria" w:hAnsi="Cambria"/>
          <w:sz w:val="20"/>
          <w:szCs w:val="20"/>
          <w:lang w:val="es-ES"/>
        </w:rPr>
      </w:pPr>
    </w:p>
    <w:p w14:paraId="458F461D" w14:textId="77777777" w:rsidR="00987D94" w:rsidRPr="00AA735E" w:rsidRDefault="00987D94" w:rsidP="51AB108E">
      <w:pPr>
        <w:pStyle w:val="ListParagraph"/>
        <w:ind w:left="0"/>
        <w:jc w:val="both"/>
        <w:rPr>
          <w:rFonts w:ascii="Cambria" w:hAnsi="Cambria" w:cs="Calibri Light"/>
          <w:i/>
          <w:iCs/>
          <w:sz w:val="20"/>
          <w:szCs w:val="20"/>
          <w:lang w:val="es-US"/>
        </w:rPr>
      </w:pPr>
      <w:r w:rsidRPr="51AB108E">
        <w:rPr>
          <w:rFonts w:ascii="Cambria" w:hAnsi="Cambria" w:cs="Calibri Light"/>
          <w:i/>
          <w:iCs/>
          <w:sz w:val="20"/>
          <w:szCs w:val="20"/>
          <w:lang w:val="es-US"/>
        </w:rPr>
        <w:t>Medidas de restitución de derecho</w:t>
      </w:r>
    </w:p>
    <w:p w14:paraId="2481A5B2" w14:textId="77777777" w:rsidR="00987D94" w:rsidRPr="00AA735E" w:rsidRDefault="00987D94" w:rsidP="00987D94">
      <w:pPr>
        <w:pStyle w:val="ListParagraph"/>
        <w:numPr>
          <w:ilvl w:val="0"/>
          <w:numId w:val="17"/>
        </w:numPr>
        <w:jc w:val="both"/>
        <w:rPr>
          <w:rFonts w:ascii="Cambria" w:hAnsi="Cambria"/>
          <w:sz w:val="20"/>
          <w:szCs w:val="20"/>
          <w:lang w:val="es-ES"/>
        </w:rPr>
      </w:pPr>
      <w:r w:rsidRPr="51AB108E">
        <w:rPr>
          <w:rFonts w:ascii="Cambria" w:hAnsi="Cambria" w:cs="Calibri Light"/>
          <w:sz w:val="20"/>
          <w:szCs w:val="20"/>
          <w:lang w:val="es-US"/>
        </w:rPr>
        <w:t xml:space="preserve">Hasta </w:t>
      </w:r>
      <w:r w:rsidRPr="51AB108E">
        <w:rPr>
          <w:rFonts w:ascii="Cambria" w:hAnsi="Cambria"/>
          <w:sz w:val="20"/>
          <w:szCs w:val="20"/>
          <w:lang w:val="es-ES"/>
        </w:rPr>
        <w:t xml:space="preserve">2014, el Estado no había tomado medidas para deportar a Andrea </w:t>
      </w:r>
      <w:proofErr w:type="spellStart"/>
      <w:r w:rsidRPr="51AB108E">
        <w:rPr>
          <w:rFonts w:ascii="Cambria" w:hAnsi="Cambria"/>
          <w:sz w:val="20"/>
          <w:szCs w:val="20"/>
          <w:lang w:val="es-ES"/>
        </w:rPr>
        <w:t>Mortlock</w:t>
      </w:r>
      <w:proofErr w:type="spellEnd"/>
      <w:r w:rsidRPr="51AB108E">
        <w:rPr>
          <w:rFonts w:ascii="Cambria" w:hAnsi="Cambria"/>
          <w:sz w:val="20"/>
          <w:szCs w:val="20"/>
          <w:lang w:val="es-ES"/>
        </w:rPr>
        <w:t xml:space="preserve"> a Jamaica.</w:t>
      </w:r>
    </w:p>
    <w:p w14:paraId="1CBE6B5E" w14:textId="77777777" w:rsidR="00987D94" w:rsidRPr="00AA735E" w:rsidRDefault="00987D94" w:rsidP="00987D94">
      <w:pPr>
        <w:jc w:val="both"/>
        <w:rPr>
          <w:rFonts w:ascii="Cambria" w:hAnsi="Cambria" w:cs="Calibri Light"/>
          <w:sz w:val="20"/>
          <w:szCs w:val="20"/>
          <w:lang w:val="es-US"/>
        </w:rPr>
      </w:pPr>
    </w:p>
    <w:p w14:paraId="5029B67C" w14:textId="77777777" w:rsidR="00987D94" w:rsidRPr="00AA735E" w:rsidRDefault="00987D94" w:rsidP="51AB108E">
      <w:pPr>
        <w:pStyle w:val="ListParagraph"/>
        <w:numPr>
          <w:ilvl w:val="0"/>
          <w:numId w:val="16"/>
        </w:numPr>
        <w:ind w:left="1440" w:hanging="720"/>
        <w:jc w:val="both"/>
        <w:rPr>
          <w:rFonts w:ascii="Cambria" w:hAnsi="Cambria" w:cs="Calibri Light"/>
          <w:b/>
          <w:bCs/>
          <w:sz w:val="20"/>
          <w:szCs w:val="20"/>
          <w:lang w:val="es-US"/>
        </w:rPr>
      </w:pPr>
      <w:r w:rsidRPr="51AB108E">
        <w:rPr>
          <w:rFonts w:ascii="Cambria" w:hAnsi="Cambria" w:cs="Calibri Light"/>
          <w:b/>
          <w:bCs/>
          <w:sz w:val="20"/>
          <w:szCs w:val="20"/>
          <w:lang w:val="es-US"/>
        </w:rPr>
        <w:t>Resultados estructurales del caso</w:t>
      </w:r>
    </w:p>
    <w:p w14:paraId="6B4A9BDF" w14:textId="77777777" w:rsidR="00987D94" w:rsidRPr="00AA735E" w:rsidRDefault="00987D94" w:rsidP="00987D94">
      <w:pPr>
        <w:jc w:val="both"/>
        <w:rPr>
          <w:rFonts w:ascii="Cambria" w:hAnsi="Cambria"/>
          <w:sz w:val="20"/>
          <w:szCs w:val="20"/>
          <w:lang w:val="es-ES"/>
        </w:rPr>
      </w:pPr>
    </w:p>
    <w:p w14:paraId="284A9846" w14:textId="77777777" w:rsidR="00987D94" w:rsidRPr="005F051A" w:rsidRDefault="00987D94" w:rsidP="00987D94">
      <w:pPr>
        <w:pStyle w:val="ListParagraph"/>
        <w:ind w:left="0"/>
        <w:jc w:val="both"/>
        <w:rPr>
          <w:lang w:val="es-ES"/>
        </w:rPr>
      </w:pPr>
      <w:r w:rsidRPr="51AB108E">
        <w:rPr>
          <w:rFonts w:ascii="Cambria" w:hAnsi="Cambria" w:cs="Calibri Light"/>
          <w:sz w:val="20"/>
          <w:szCs w:val="20"/>
          <w:lang w:val="es-US"/>
        </w:rPr>
        <w:t xml:space="preserve">Ningún resultado estructural ha sido informado por las partes. </w:t>
      </w:r>
    </w:p>
    <w:p w14:paraId="50C07C63" w14:textId="77777777" w:rsidR="00987D94" w:rsidRPr="008E6B6F" w:rsidRDefault="00987D94" w:rsidP="00987D94">
      <w:pPr>
        <w:jc w:val="center"/>
        <w:rPr>
          <w:sz w:val="20"/>
          <w:szCs w:val="20"/>
          <w:lang w:val="es-ES"/>
        </w:rPr>
      </w:pPr>
    </w:p>
    <w:p w14:paraId="45B26099" w14:textId="77777777" w:rsidR="00BD17B0" w:rsidRPr="00987D94" w:rsidRDefault="00BD17B0" w:rsidP="00987D94">
      <w:pPr>
        <w:rPr>
          <w:lang w:val="es-ES"/>
        </w:rPr>
      </w:pPr>
    </w:p>
    <w:sectPr w:rsidR="00BD17B0" w:rsidRPr="00987D94" w:rsidSect="00566CD0">
      <w:headerReference w:type="default" r:id="rId10"/>
      <w:footerReference w:type="default" r:id="rId11"/>
      <w:headerReference w:type="first" r:id="rId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966AD" w14:textId="77777777" w:rsidR="00FB677B" w:rsidRDefault="00FB677B" w:rsidP="00672733">
      <w:r>
        <w:separator/>
      </w:r>
    </w:p>
  </w:endnote>
  <w:endnote w:type="continuationSeparator" w:id="0">
    <w:p w14:paraId="6D87DC76" w14:textId="77777777" w:rsidR="00FB677B" w:rsidRDefault="00FB677B" w:rsidP="0067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1E7DE" w14:textId="4D8815E6" w:rsidR="00E516AB" w:rsidRPr="00E516AB" w:rsidRDefault="00E516AB">
    <w:pPr>
      <w:pStyle w:val="Footer"/>
      <w:tabs>
        <w:tab w:val="clear" w:pos="4680"/>
        <w:tab w:val="clear" w:pos="9360"/>
      </w:tabs>
      <w:jc w:val="center"/>
      <w:rPr>
        <w:caps/>
        <w:noProof/>
        <w:color w:val="000000" w:themeColor="text1"/>
        <w:sz w:val="20"/>
        <w:szCs w:val="20"/>
      </w:rPr>
    </w:pPr>
    <w:r w:rsidRPr="00E516AB">
      <w:rPr>
        <w:caps/>
        <w:color w:val="000000" w:themeColor="text1"/>
        <w:sz w:val="20"/>
        <w:szCs w:val="20"/>
      </w:rPr>
      <w:fldChar w:fldCharType="begin"/>
    </w:r>
    <w:r w:rsidRPr="00E516AB">
      <w:rPr>
        <w:caps/>
        <w:color w:val="000000" w:themeColor="text1"/>
        <w:sz w:val="20"/>
        <w:szCs w:val="20"/>
      </w:rPr>
      <w:instrText xml:space="preserve"> PAGE   \* MERGEFORMAT </w:instrText>
    </w:r>
    <w:r w:rsidRPr="00E516AB">
      <w:rPr>
        <w:caps/>
        <w:color w:val="000000" w:themeColor="text1"/>
        <w:sz w:val="20"/>
        <w:szCs w:val="20"/>
      </w:rPr>
      <w:fldChar w:fldCharType="separate"/>
    </w:r>
    <w:r w:rsidR="00EA0262">
      <w:rPr>
        <w:caps/>
        <w:noProof/>
        <w:color w:val="000000" w:themeColor="text1"/>
        <w:sz w:val="20"/>
        <w:szCs w:val="20"/>
      </w:rPr>
      <w:t>2</w:t>
    </w:r>
    <w:r w:rsidRPr="00E516AB">
      <w:rPr>
        <w:caps/>
        <w:noProof/>
        <w:color w:val="000000" w:themeColor="text1"/>
        <w:sz w:val="20"/>
        <w:szCs w:val="20"/>
      </w:rPr>
      <w:fldChar w:fldCharType="end"/>
    </w:r>
  </w:p>
  <w:p w14:paraId="51A13522" w14:textId="77777777" w:rsidR="00E516AB" w:rsidRDefault="00E516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08BC9" w14:textId="77777777" w:rsidR="00FB677B" w:rsidRDefault="00FB677B" w:rsidP="00672733">
      <w:r>
        <w:separator/>
      </w:r>
    </w:p>
  </w:footnote>
  <w:footnote w:type="continuationSeparator" w:id="0">
    <w:p w14:paraId="57104B01" w14:textId="77777777" w:rsidR="00FB677B" w:rsidRDefault="00FB677B" w:rsidP="00672733">
      <w:r>
        <w:continuationSeparator/>
      </w:r>
    </w:p>
  </w:footnote>
  <w:footnote w:id="1">
    <w:p w14:paraId="0370BC55" w14:textId="77777777" w:rsidR="00987D94" w:rsidRPr="008E6B6F" w:rsidRDefault="00987D94" w:rsidP="00987D94">
      <w:pPr>
        <w:pStyle w:val="FootnoteText"/>
        <w:spacing w:after="120"/>
        <w:ind w:firstLine="720"/>
        <w:jc w:val="both"/>
        <w:rPr>
          <w:rFonts w:ascii="Cambria" w:hAnsi="Cambria"/>
          <w:sz w:val="16"/>
          <w:szCs w:val="16"/>
          <w:lang w:val="es-CO"/>
        </w:rPr>
      </w:pPr>
      <w:r w:rsidRPr="00DB196E">
        <w:rPr>
          <w:rStyle w:val="FootnoteReference"/>
          <w:rFonts w:ascii="Cambria" w:hAnsi="Cambria"/>
          <w:sz w:val="16"/>
          <w:szCs w:val="16"/>
        </w:rPr>
        <w:footnoteRef/>
      </w:r>
      <w:r w:rsidRPr="00DB196E">
        <w:rPr>
          <w:rFonts w:ascii="Cambria" w:hAnsi="Cambria"/>
          <w:sz w:val="16"/>
          <w:szCs w:val="16"/>
          <w:lang w:val="es-US"/>
        </w:rPr>
        <w:t xml:space="preserve"> </w:t>
      </w:r>
      <w:r w:rsidRPr="00DB196E">
        <w:rPr>
          <w:rFonts w:ascii="Cambria" w:hAnsi="Cambria"/>
          <w:sz w:val="16"/>
          <w:szCs w:val="16"/>
          <w:lang w:val="es-ES"/>
        </w:rPr>
        <w:t xml:space="preserve">CIDH, Informe Anual 2011, </w:t>
      </w:r>
      <w:hyperlink r:id="rId1" w:history="1">
        <w:r w:rsidRPr="00DB196E">
          <w:rPr>
            <w:rStyle w:val="Hyperlink"/>
            <w:rFonts w:ascii="Cambria" w:hAnsi="Cambria"/>
            <w:sz w:val="16"/>
            <w:szCs w:val="16"/>
            <w:lang w:val="es-ES"/>
          </w:rPr>
          <w:t>Capítulo III, Sección D: Estado del cumplimiento de las recomendaciones de la CIDH</w:t>
        </w:r>
      </w:hyperlink>
      <w:r w:rsidRPr="00DB196E">
        <w:rPr>
          <w:rFonts w:ascii="Cambria" w:hAnsi="Cambria"/>
          <w:sz w:val="16"/>
          <w:szCs w:val="16"/>
          <w:lang w:val="es-ES"/>
        </w:rPr>
        <w:t>, párr. 661.</w:t>
      </w:r>
    </w:p>
  </w:footnote>
  <w:footnote w:id="2">
    <w:p w14:paraId="16F5BE9B" w14:textId="77777777" w:rsidR="00987D94" w:rsidRPr="00DB196E" w:rsidRDefault="00987D94" w:rsidP="00987D94">
      <w:pPr>
        <w:pStyle w:val="FootnoteText"/>
        <w:spacing w:after="120"/>
        <w:ind w:firstLine="720"/>
        <w:jc w:val="both"/>
        <w:rPr>
          <w:rFonts w:ascii="Cambria" w:hAnsi="Cambria"/>
          <w:sz w:val="16"/>
          <w:szCs w:val="16"/>
          <w:lang w:val="es-US"/>
        </w:rPr>
      </w:pPr>
      <w:r w:rsidRPr="00DB196E">
        <w:rPr>
          <w:rStyle w:val="FootnoteReference"/>
          <w:rFonts w:ascii="Cambria" w:hAnsi="Cambria"/>
          <w:sz w:val="16"/>
          <w:szCs w:val="16"/>
        </w:rPr>
        <w:footnoteRef/>
      </w:r>
      <w:r w:rsidRPr="00DB196E">
        <w:rPr>
          <w:rFonts w:ascii="Cambria" w:hAnsi="Cambria"/>
          <w:sz w:val="16"/>
          <w:szCs w:val="16"/>
          <w:lang w:val="es-US"/>
        </w:rPr>
        <w:t xml:space="preserve"> </w:t>
      </w:r>
      <w:r w:rsidRPr="00DB196E">
        <w:rPr>
          <w:rFonts w:ascii="Cambria" w:hAnsi="Cambria"/>
          <w:sz w:val="16"/>
          <w:szCs w:val="16"/>
          <w:lang w:val="es-ES"/>
        </w:rPr>
        <w:t xml:space="preserve">CIDH, Informe Anual 2016, </w:t>
      </w:r>
      <w:hyperlink r:id="rId2" w:history="1">
        <w:r w:rsidRPr="00DB196E">
          <w:rPr>
            <w:rStyle w:val="Hyperlink"/>
            <w:rFonts w:ascii="Cambria" w:hAnsi="Cambria"/>
            <w:sz w:val="16"/>
            <w:szCs w:val="16"/>
            <w:lang w:val="es-ES"/>
          </w:rPr>
          <w:t>Capítulo II, Sección D: Estado del cumplimiento de las recomendaciones de la CIDH</w:t>
        </w:r>
      </w:hyperlink>
      <w:r w:rsidRPr="00DB196E">
        <w:rPr>
          <w:rFonts w:ascii="Cambria" w:hAnsi="Cambria"/>
          <w:sz w:val="16"/>
          <w:szCs w:val="16"/>
          <w:lang w:val="es-ES"/>
        </w:rPr>
        <w:t>, párr. 1107.</w:t>
      </w:r>
    </w:p>
  </w:footnote>
  <w:footnote w:id="3">
    <w:p w14:paraId="6C9DFCD9" w14:textId="77777777" w:rsidR="00987D94" w:rsidRPr="00181CFD" w:rsidRDefault="00987D94" w:rsidP="00987D94">
      <w:pPr>
        <w:pStyle w:val="FootnoteText"/>
        <w:spacing w:after="120"/>
        <w:ind w:firstLine="720"/>
        <w:jc w:val="both"/>
        <w:rPr>
          <w:lang w:val="es-US"/>
        </w:rPr>
      </w:pPr>
      <w:r w:rsidRPr="00DB196E">
        <w:rPr>
          <w:rStyle w:val="FootnoteReference"/>
          <w:rFonts w:ascii="Cambria" w:hAnsi="Cambria"/>
          <w:sz w:val="16"/>
          <w:szCs w:val="16"/>
        </w:rPr>
        <w:footnoteRef/>
      </w:r>
      <w:r w:rsidRPr="00DB196E">
        <w:rPr>
          <w:rFonts w:ascii="Cambria" w:hAnsi="Cambria"/>
          <w:sz w:val="16"/>
          <w:szCs w:val="16"/>
          <w:lang w:val="es-US"/>
        </w:rPr>
        <w:t xml:space="preserve"> </w:t>
      </w:r>
      <w:r w:rsidRPr="00DB196E">
        <w:rPr>
          <w:rFonts w:ascii="Cambria" w:hAnsi="Cambria"/>
          <w:sz w:val="16"/>
          <w:szCs w:val="16"/>
          <w:lang w:val="es-ES"/>
        </w:rPr>
        <w:t xml:space="preserve">CIDH, Informe Anual 2016, </w:t>
      </w:r>
      <w:hyperlink r:id="rId3" w:history="1">
        <w:r w:rsidRPr="00DB196E">
          <w:rPr>
            <w:rStyle w:val="Hyperlink"/>
            <w:rFonts w:ascii="Cambria" w:hAnsi="Cambria"/>
            <w:sz w:val="16"/>
            <w:szCs w:val="16"/>
            <w:lang w:val="es-ES"/>
          </w:rPr>
          <w:t>Capítulo II, Sección D: Estado del cumplimiento de las recomendaciones de la CIDH</w:t>
        </w:r>
      </w:hyperlink>
      <w:r w:rsidRPr="00DB196E">
        <w:rPr>
          <w:rFonts w:ascii="Cambria" w:hAnsi="Cambria"/>
          <w:sz w:val="16"/>
          <w:szCs w:val="16"/>
          <w:lang w:val="es-ES"/>
        </w:rPr>
        <w:t>, párr. 1113.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C92C" w14:textId="768CDBE1" w:rsidR="00566CD0" w:rsidRPr="00ED1EBA" w:rsidRDefault="002248FB" w:rsidP="00ED1EBA">
    <w:pPr>
      <w:pStyle w:val="Header"/>
      <w:rPr>
        <w:rFonts w:ascii="Arial" w:hAnsi="Arial" w:cs="Arial"/>
        <w:color w:val="3B3838" w:themeColor="background2" w:themeShade="40"/>
        <w:sz w:val="22"/>
        <w:szCs w:val="28"/>
      </w:rPr>
    </w:pPr>
    <w:r w:rsidRPr="006B1F24">
      <w:rPr>
        <w:noProof/>
        <w:sz w:val="28"/>
        <w:szCs w:val="28"/>
      </w:rPr>
      <w:drawing>
        <wp:anchor distT="0" distB="0" distL="114300" distR="114300" simplePos="0" relativeHeight="251673600" behindDoc="0" locked="0" layoutInCell="1" allowOverlap="1" wp14:anchorId="13B2EED5" wp14:editId="2CF61D1B">
          <wp:simplePos x="0" y="0"/>
          <wp:positionH relativeFrom="column">
            <wp:posOffset>4658995</wp:posOffset>
          </wp:positionH>
          <wp:positionV relativeFrom="paragraph">
            <wp:posOffset>-3447</wp:posOffset>
          </wp:positionV>
          <wp:extent cx="1485900" cy="346075"/>
          <wp:effectExtent l="0" t="0" r="0" b="0"/>
          <wp:wrapSquare wrapText="bothSides"/>
          <wp:docPr id="3" name="Picture 3"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485900" cy="34607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710C222" wp14:editId="74F643C0">
          <wp:extent cx="1328057" cy="309334"/>
          <wp:effectExtent l="0" t="0" r="5715" b="0"/>
          <wp:docPr id="1" name="Imagem 1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descr="Uma imagem contendo placa, desenho, comida, placar&#10;&#10;Descrição gerad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1361022" cy="317012"/>
                  </a:xfrm>
                  <a:prstGeom prst="rect">
                    <a:avLst/>
                  </a:prstGeom>
                </pic:spPr>
              </pic:pic>
            </a:graphicData>
          </a:graphic>
        </wp:inline>
      </w:drawing>
    </w:r>
    <w:r w:rsidR="008861D6">
      <w:rPr>
        <w:rFonts w:ascii="Arial" w:hAnsi="Arial" w:cs="Arial"/>
        <w:color w:val="3B3838" w:themeColor="background2" w:themeShade="40"/>
        <w:sz w:val="22"/>
        <w:szCs w:val="28"/>
      </w:rPr>
      <w:softHyphen/>
    </w:r>
    <w:r w:rsidR="008861D6">
      <w:rPr>
        <w:rFonts w:ascii="Arial" w:hAnsi="Arial" w:cs="Arial"/>
        <w:color w:val="3B3838" w:themeColor="background2" w:themeShade="40"/>
        <w:sz w:val="22"/>
        <w:szCs w:val="28"/>
      </w:rPr>
      <w:softHyphen/>
    </w:r>
    <w:r w:rsidR="00ED1EBA">
      <w:rPr>
        <w:rFonts w:ascii="Arial" w:hAnsi="Arial" w:cs="Arial"/>
        <w:color w:val="3B3838" w:themeColor="background2" w:themeShade="40"/>
        <w:sz w:val="22"/>
        <w:szCs w:val="28"/>
      </w:rPr>
      <w:t xml:space="preserve">                       </w:t>
    </w:r>
  </w:p>
  <w:p w14:paraId="60E6F577" w14:textId="11DC20E0" w:rsidR="00D56DC4" w:rsidRPr="00D56DC4" w:rsidRDefault="00D56DC4">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0288" behindDoc="0" locked="0" layoutInCell="1" allowOverlap="1" wp14:anchorId="3A98BB66" wp14:editId="40D51816">
              <wp:simplePos x="0" y="0"/>
              <wp:positionH relativeFrom="column">
                <wp:posOffset>-5080</wp:posOffset>
              </wp:positionH>
              <wp:positionV relativeFrom="paragraph">
                <wp:posOffset>174133</wp:posOffset>
              </wp:positionV>
              <wp:extent cx="6148358" cy="0"/>
              <wp:effectExtent l="0" t="0" r="11430" b="12700"/>
              <wp:wrapNone/>
              <wp:docPr id="2" name="Straight Connector 2"/>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7FC81FF6">
            <v:line id="Straight Connector 2"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72727 [2749]" strokeweight="1.25pt" from="-.4pt,13.7pt" to="483.7pt,13.7pt" w14:anchorId="1742F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">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625" w14:textId="35B35F0D" w:rsidR="00BF7A78" w:rsidRDefault="008861D6" w:rsidP="00BF7A78">
    <w:pPr>
      <w:pStyle w:val="Header"/>
      <w:spacing w:line="216" w:lineRule="auto"/>
      <w:rPr>
        <w:rFonts w:ascii="Arial" w:hAnsi="Arial" w:cs="Arial"/>
        <w:color w:val="3B3838" w:themeColor="background2" w:themeShade="40"/>
        <w:sz w:val="28"/>
        <w:szCs w:val="28"/>
        <w:lang w:val="es-ES"/>
      </w:rPr>
    </w:pPr>
    <w:r w:rsidRPr="006B1F24">
      <w:rPr>
        <w:noProof/>
        <w:sz w:val="28"/>
        <w:szCs w:val="28"/>
      </w:rPr>
      <w:drawing>
        <wp:anchor distT="0" distB="0" distL="114300" distR="114300" simplePos="0" relativeHeight="251670528" behindDoc="0" locked="0" layoutInCell="1" allowOverlap="1" wp14:anchorId="2D05A8FA" wp14:editId="4480FD14">
          <wp:simplePos x="0" y="0"/>
          <wp:positionH relativeFrom="column">
            <wp:posOffset>4088765</wp:posOffset>
          </wp:positionH>
          <wp:positionV relativeFrom="paragraph">
            <wp:posOffset>72390</wp:posOffset>
          </wp:positionV>
          <wp:extent cx="2183130" cy="5086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183130" cy="508635"/>
                  </a:xfrm>
                  <a:prstGeom prst="rect">
                    <a:avLst/>
                  </a:prstGeom>
                </pic:spPr>
              </pic:pic>
            </a:graphicData>
          </a:graphic>
          <wp14:sizeRelH relativeFrom="page">
            <wp14:pctWidth>0</wp14:pctWidth>
          </wp14:sizeRelH>
          <wp14:sizeRelV relativeFrom="page">
            <wp14:pctHeight>0</wp14:pctHeight>
          </wp14:sizeRelV>
        </wp:anchor>
      </w:drawing>
    </w:r>
    <w:r w:rsidR="00181DA0">
      <w:rPr>
        <w:noProof/>
        <w:sz w:val="28"/>
        <w:szCs w:val="28"/>
      </w:rPr>
      <mc:AlternateContent>
        <mc:Choice Requires="wps">
          <w:drawing>
            <wp:anchor distT="0" distB="0" distL="114300" distR="114300" simplePos="0" relativeHeight="251671552" behindDoc="0" locked="0" layoutInCell="1" allowOverlap="1" wp14:anchorId="2422F4BE" wp14:editId="3D524A64">
              <wp:simplePos x="0" y="0"/>
              <wp:positionH relativeFrom="column">
                <wp:posOffset>-166255</wp:posOffset>
              </wp:positionH>
              <wp:positionV relativeFrom="paragraph">
                <wp:posOffset>49184</wp:posOffset>
              </wp:positionV>
              <wp:extent cx="2937164" cy="665018"/>
              <wp:effectExtent l="0" t="0" r="0" b="0"/>
              <wp:wrapNone/>
              <wp:docPr id="9" name="Caixa de Texto 9"/>
              <wp:cNvGraphicFramePr/>
              <a:graphic xmlns:a="http://schemas.openxmlformats.org/drawingml/2006/main">
                <a:graphicData uri="http://schemas.microsoft.com/office/word/2010/wordprocessingShape">
                  <wps:wsp>
                    <wps:cNvSpPr txBox="1"/>
                    <wps:spPr>
                      <a:xfrm>
                        <a:off x="0" y="0"/>
                        <a:ext cx="2937164" cy="665018"/>
                      </a:xfrm>
                      <a:prstGeom prst="rect">
                        <a:avLst/>
                      </a:prstGeom>
                      <a:noFill/>
                      <a:ln w="6350">
                        <a:noFill/>
                      </a:ln>
                    </wps:spPr>
                    <wps:txbx>
                      <w:txbxContent>
                        <w:p w14:paraId="4F74AD32" w14:textId="69328626" w:rsidR="00181DA0" w:rsidRDefault="00500FDE">
                          <w:r>
                            <w:rPr>
                              <w:noProof/>
                            </w:rPr>
                            <w:drawing>
                              <wp:inline distT="0" distB="0" distL="0" distR="0" wp14:anchorId="525149FA" wp14:editId="138FE46C">
                                <wp:extent cx="2022371" cy="471055"/>
                                <wp:effectExtent l="0" t="0" r="0" b="0"/>
                                <wp:docPr id="11" name="Imagem 1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descr="Uma imagem contendo placa, desenho, comida, placar&#10;&#10;Descrição gerad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2022371" cy="4710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22F4BE" id="_x0000_t202" coordsize="21600,21600" o:spt="202" path="m,l,21600r21600,l21600,xe">
              <v:stroke joinstyle="miter"/>
              <v:path gradientshapeok="t" o:connecttype="rect"/>
            </v:shapetype>
            <v:shape id="Caixa de Texto 9" o:spid="_x0000_s1026" type="#_x0000_t202" style="position:absolute;margin-left:-13.1pt;margin-top:3.85pt;width:231.25pt;height:52.3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" filled="f" stroked="f" strokeweight=".5pt">
              <v:textbox>
                <w:txbxContent>
                  <w:p w14:paraId="4F74AD32" w14:textId="69328626" w:rsidR="00181DA0" w:rsidRDefault="00500FDE">
                    <w:r>
                      <w:rPr>
                        <w:noProof/>
                      </w:rPr>
                      <w:drawing>
                        <wp:inline distT="0" distB="0" distL="0" distR="0" wp14:anchorId="525149FA" wp14:editId="138FE46C">
                          <wp:extent cx="2022371" cy="471055"/>
                          <wp:effectExtent l="0" t="0" r="0" b="0"/>
                          <wp:docPr id="11" name="Imagem 1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descr="Uma imagem contendo placa, desenho, comida, placar&#10;&#10;Descrição gerad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2022371" cy="471055"/>
                                  </a:xfrm>
                                  <a:prstGeom prst="rect">
                                    <a:avLst/>
                                  </a:prstGeom>
                                </pic:spPr>
                              </pic:pic>
                            </a:graphicData>
                          </a:graphic>
                        </wp:inline>
                      </w:drawing>
                    </w:r>
                  </w:p>
                </w:txbxContent>
              </v:textbox>
            </v:shape>
          </w:pict>
        </mc:Fallback>
      </mc:AlternateContent>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p>
  <w:p w14:paraId="3BCF973F" w14:textId="3B9413A3" w:rsidR="00BF7A78" w:rsidRDefault="00BF7A78" w:rsidP="00BF7A78">
    <w:pPr>
      <w:pStyle w:val="Header"/>
      <w:spacing w:line="216" w:lineRule="auto"/>
      <w:rPr>
        <w:rFonts w:ascii="Arial" w:hAnsi="Arial" w:cs="Arial"/>
        <w:color w:val="3B3838" w:themeColor="background2" w:themeShade="40"/>
        <w:sz w:val="28"/>
        <w:szCs w:val="28"/>
        <w:lang w:val="es-ES"/>
      </w:rPr>
    </w:pPr>
  </w:p>
  <w:p w14:paraId="217CD057" w14:textId="77777777" w:rsidR="00BF7A78" w:rsidRDefault="00BF7A78" w:rsidP="00BF7A78">
    <w:pPr>
      <w:pStyle w:val="Header"/>
      <w:spacing w:line="216" w:lineRule="auto"/>
      <w:rPr>
        <w:rFonts w:ascii="Arial" w:hAnsi="Arial" w:cs="Arial"/>
        <w:color w:val="3B3838" w:themeColor="background2" w:themeShade="40"/>
        <w:sz w:val="28"/>
        <w:szCs w:val="28"/>
        <w:lang w:val="es-ES"/>
      </w:rPr>
    </w:pPr>
  </w:p>
  <w:p w14:paraId="2AF194D7" w14:textId="25EA1D8F" w:rsidR="00566CD0" w:rsidRPr="00566CD0" w:rsidRDefault="00566CD0" w:rsidP="00BF7A78">
    <w:pPr>
      <w:pStyle w:val="Header"/>
      <w:spacing w:line="216" w:lineRule="auto"/>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4384" behindDoc="0" locked="0" layoutInCell="1" allowOverlap="1" wp14:anchorId="7114A5BC" wp14:editId="6057ACD9">
              <wp:simplePos x="0" y="0"/>
              <wp:positionH relativeFrom="column">
                <wp:posOffset>-5610</wp:posOffset>
              </wp:positionH>
              <wp:positionV relativeFrom="paragraph">
                <wp:posOffset>167882</wp:posOffset>
              </wp:positionV>
              <wp:extent cx="6148358" cy="0"/>
              <wp:effectExtent l="0" t="0" r="11430" b="12700"/>
              <wp:wrapNone/>
              <wp:docPr id="5" name="Straight Connector 5"/>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03128278">
            <v:line id="Straight Connector 5"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72727 [2749]" strokeweight="1.25pt" from="-.45pt,13.2pt" to="483.65pt,13.2pt" w14:anchorId="213A03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">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65E937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5E1BD6"/>
    <w:multiLevelType w:val="hybridMultilevel"/>
    <w:tmpl w:val="AB042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04824"/>
    <w:multiLevelType w:val="hybridMultilevel"/>
    <w:tmpl w:val="BEF2E9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214909"/>
    <w:multiLevelType w:val="hybridMultilevel"/>
    <w:tmpl w:val="6082D756"/>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 w15:restartNumberingAfterBreak="0">
    <w:nsid w:val="17D864E1"/>
    <w:multiLevelType w:val="hybridMultilevel"/>
    <w:tmpl w:val="91946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2C1702"/>
    <w:multiLevelType w:val="hybridMultilevel"/>
    <w:tmpl w:val="B1989748"/>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6" w15:restartNumberingAfterBreak="0">
    <w:nsid w:val="25EE60B5"/>
    <w:multiLevelType w:val="hybridMultilevel"/>
    <w:tmpl w:val="B526277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6AD727E"/>
    <w:multiLevelType w:val="hybridMultilevel"/>
    <w:tmpl w:val="4D620182"/>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8" w15:restartNumberingAfterBreak="0">
    <w:nsid w:val="3B3C2CB4"/>
    <w:multiLevelType w:val="hybridMultilevel"/>
    <w:tmpl w:val="4BD2442A"/>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9" w15:restartNumberingAfterBreak="0">
    <w:nsid w:val="3C780D84"/>
    <w:multiLevelType w:val="hybridMultilevel"/>
    <w:tmpl w:val="9E6E5C00"/>
    <w:lvl w:ilvl="0" w:tplc="68D670D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830208"/>
    <w:multiLevelType w:val="hybridMultilevel"/>
    <w:tmpl w:val="296EB434"/>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11" w15:restartNumberingAfterBreak="0">
    <w:nsid w:val="427662E5"/>
    <w:multiLevelType w:val="hybridMultilevel"/>
    <w:tmpl w:val="8A8E021E"/>
    <w:lvl w:ilvl="0" w:tplc="FC120C76">
      <w:start w:val="1"/>
      <w:numFmt w:val="decimal"/>
      <w:lvlText w:val="%1."/>
      <w:lvlJc w:val="left"/>
      <w:pPr>
        <w:ind w:left="0" w:firstLine="72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0A07D1"/>
    <w:multiLevelType w:val="hybridMultilevel"/>
    <w:tmpl w:val="EE085A36"/>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0D6F05"/>
    <w:multiLevelType w:val="hybridMultilevel"/>
    <w:tmpl w:val="BA7C9F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C92294D"/>
    <w:multiLevelType w:val="hybridMultilevel"/>
    <w:tmpl w:val="09C8A7CC"/>
    <w:lvl w:ilvl="0" w:tplc="367EFF8C">
      <w:start w:val="1"/>
      <w:numFmt w:val="decimal"/>
      <w:lvlText w:val="%1."/>
      <w:lvlJc w:val="left"/>
      <w:pPr>
        <w:ind w:left="0" w:firstLine="720"/>
      </w:pPr>
      <w:rPr>
        <w:rFonts w:hint="default"/>
        <w:b w:val="0"/>
        <w:color w:val="auto"/>
        <w:lang w:val="es-E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94624A"/>
    <w:multiLevelType w:val="hybridMultilevel"/>
    <w:tmpl w:val="49C22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9B1B07"/>
    <w:multiLevelType w:val="hybridMultilevel"/>
    <w:tmpl w:val="787EE794"/>
    <w:lvl w:ilvl="0" w:tplc="41EA200E">
      <w:start w:val="1"/>
      <w:numFmt w:val="decimal"/>
      <w:lvlText w:val="%1."/>
      <w:lvlJc w:val="left"/>
      <w:pPr>
        <w:ind w:left="4754" w:hanging="360"/>
      </w:pPr>
      <w:rPr>
        <w:b w:val="0"/>
        <w:strike w:val="0"/>
        <w:color w:val="auto"/>
      </w:rPr>
    </w:lvl>
    <w:lvl w:ilvl="1" w:tplc="04090019">
      <w:start w:val="1"/>
      <w:numFmt w:val="lowerLetter"/>
      <w:lvlText w:val="%2."/>
      <w:lvlJc w:val="left"/>
      <w:pPr>
        <w:ind w:left="1636" w:hanging="360"/>
      </w:pPr>
    </w:lvl>
    <w:lvl w:ilvl="2" w:tplc="0409001B" w:tentative="1">
      <w:start w:val="1"/>
      <w:numFmt w:val="lowerRoman"/>
      <w:lvlText w:val="%3."/>
      <w:lvlJc w:val="right"/>
      <w:pPr>
        <w:ind w:left="6074" w:hanging="180"/>
      </w:pPr>
    </w:lvl>
    <w:lvl w:ilvl="3" w:tplc="0409000F" w:tentative="1">
      <w:start w:val="1"/>
      <w:numFmt w:val="decimal"/>
      <w:lvlText w:val="%4."/>
      <w:lvlJc w:val="left"/>
      <w:pPr>
        <w:ind w:left="6794" w:hanging="360"/>
      </w:pPr>
    </w:lvl>
    <w:lvl w:ilvl="4" w:tplc="04090019" w:tentative="1">
      <w:start w:val="1"/>
      <w:numFmt w:val="lowerLetter"/>
      <w:lvlText w:val="%5."/>
      <w:lvlJc w:val="left"/>
      <w:pPr>
        <w:ind w:left="7514" w:hanging="360"/>
      </w:pPr>
    </w:lvl>
    <w:lvl w:ilvl="5" w:tplc="0409001B" w:tentative="1">
      <w:start w:val="1"/>
      <w:numFmt w:val="lowerRoman"/>
      <w:lvlText w:val="%6."/>
      <w:lvlJc w:val="right"/>
      <w:pPr>
        <w:ind w:left="8234" w:hanging="180"/>
      </w:pPr>
    </w:lvl>
    <w:lvl w:ilvl="6" w:tplc="0409000F" w:tentative="1">
      <w:start w:val="1"/>
      <w:numFmt w:val="decimal"/>
      <w:lvlText w:val="%7."/>
      <w:lvlJc w:val="left"/>
      <w:pPr>
        <w:ind w:left="8954" w:hanging="360"/>
      </w:pPr>
    </w:lvl>
    <w:lvl w:ilvl="7" w:tplc="04090019" w:tentative="1">
      <w:start w:val="1"/>
      <w:numFmt w:val="lowerLetter"/>
      <w:lvlText w:val="%8."/>
      <w:lvlJc w:val="left"/>
      <w:pPr>
        <w:ind w:left="9674" w:hanging="360"/>
      </w:pPr>
    </w:lvl>
    <w:lvl w:ilvl="8" w:tplc="0409001B" w:tentative="1">
      <w:start w:val="1"/>
      <w:numFmt w:val="lowerRoman"/>
      <w:lvlText w:val="%9."/>
      <w:lvlJc w:val="right"/>
      <w:pPr>
        <w:ind w:left="10394" w:hanging="180"/>
      </w:pPr>
    </w:lvl>
  </w:abstractNum>
  <w:num w:numId="1" w16cid:durableId="1867332718">
    <w:abstractNumId w:val="10"/>
  </w:num>
  <w:num w:numId="2" w16cid:durableId="1825118686">
    <w:abstractNumId w:val="16"/>
  </w:num>
  <w:num w:numId="3" w16cid:durableId="1421170741">
    <w:abstractNumId w:val="13"/>
  </w:num>
  <w:num w:numId="4" w16cid:durableId="748770199">
    <w:abstractNumId w:val="5"/>
  </w:num>
  <w:num w:numId="5" w16cid:durableId="1817913372">
    <w:abstractNumId w:val="3"/>
  </w:num>
  <w:num w:numId="6" w16cid:durableId="1741705575">
    <w:abstractNumId w:val="7"/>
  </w:num>
  <w:num w:numId="7" w16cid:durableId="1452701343">
    <w:abstractNumId w:val="1"/>
  </w:num>
  <w:num w:numId="8" w16cid:durableId="440075496">
    <w:abstractNumId w:val="12"/>
  </w:num>
  <w:num w:numId="9" w16cid:durableId="242835885">
    <w:abstractNumId w:val="2"/>
  </w:num>
  <w:num w:numId="10" w16cid:durableId="1689022591">
    <w:abstractNumId w:val="15"/>
  </w:num>
  <w:num w:numId="11" w16cid:durableId="484050686">
    <w:abstractNumId w:val="14"/>
  </w:num>
  <w:num w:numId="12" w16cid:durableId="2058039844">
    <w:abstractNumId w:val="11"/>
  </w:num>
  <w:num w:numId="13" w16cid:durableId="1554538257">
    <w:abstractNumId w:val="4"/>
  </w:num>
  <w:num w:numId="14" w16cid:durableId="306856393">
    <w:abstractNumId w:val="9"/>
  </w:num>
  <w:num w:numId="15" w16cid:durableId="1023900115">
    <w:abstractNumId w:val="0"/>
  </w:num>
  <w:num w:numId="16" w16cid:durableId="154914217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2270818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733"/>
    <w:rsid w:val="00045E5E"/>
    <w:rsid w:val="000B5E1D"/>
    <w:rsid w:val="00105B23"/>
    <w:rsid w:val="00181DA0"/>
    <w:rsid w:val="002248FB"/>
    <w:rsid w:val="00234E64"/>
    <w:rsid w:val="002D63F1"/>
    <w:rsid w:val="00322720"/>
    <w:rsid w:val="00453115"/>
    <w:rsid w:val="004758C9"/>
    <w:rsid w:val="0048723C"/>
    <w:rsid w:val="00500FDE"/>
    <w:rsid w:val="00566CD0"/>
    <w:rsid w:val="00637ED3"/>
    <w:rsid w:val="006638E5"/>
    <w:rsid w:val="00672733"/>
    <w:rsid w:val="006B1F24"/>
    <w:rsid w:val="007C4DCE"/>
    <w:rsid w:val="007D31D6"/>
    <w:rsid w:val="008010BA"/>
    <w:rsid w:val="008463D3"/>
    <w:rsid w:val="00862E37"/>
    <w:rsid w:val="008818B0"/>
    <w:rsid w:val="008861D6"/>
    <w:rsid w:val="0097712A"/>
    <w:rsid w:val="00987D94"/>
    <w:rsid w:val="00B12086"/>
    <w:rsid w:val="00B2018D"/>
    <w:rsid w:val="00BD17B0"/>
    <w:rsid w:val="00BF7A78"/>
    <w:rsid w:val="00C20F78"/>
    <w:rsid w:val="00CD5456"/>
    <w:rsid w:val="00D56DC4"/>
    <w:rsid w:val="00E042FE"/>
    <w:rsid w:val="00E516AB"/>
    <w:rsid w:val="00E90CB3"/>
    <w:rsid w:val="00E9201A"/>
    <w:rsid w:val="00EA0262"/>
    <w:rsid w:val="00EC61E3"/>
    <w:rsid w:val="00ED0AAA"/>
    <w:rsid w:val="00ED1EBA"/>
    <w:rsid w:val="00F41E7E"/>
    <w:rsid w:val="00FB677B"/>
    <w:rsid w:val="00FD65F9"/>
    <w:rsid w:val="51AB1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5B2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2E37"/>
  </w:style>
  <w:style w:type="paragraph" w:styleId="Heading1">
    <w:name w:val="heading 1"/>
    <w:basedOn w:val="Normal"/>
    <w:next w:val="Normal"/>
    <w:link w:val="Heading1Char"/>
    <w:uiPriority w:val="9"/>
    <w:qFormat/>
    <w:rsid w:val="006B1F2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733"/>
    <w:pPr>
      <w:tabs>
        <w:tab w:val="center" w:pos="4680"/>
        <w:tab w:val="right" w:pos="9360"/>
      </w:tabs>
    </w:pPr>
  </w:style>
  <w:style w:type="character" w:customStyle="1" w:styleId="HeaderChar">
    <w:name w:val="Header Char"/>
    <w:basedOn w:val="DefaultParagraphFont"/>
    <w:link w:val="Header"/>
    <w:uiPriority w:val="99"/>
    <w:rsid w:val="00672733"/>
  </w:style>
  <w:style w:type="paragraph" w:styleId="Footer">
    <w:name w:val="footer"/>
    <w:basedOn w:val="Normal"/>
    <w:link w:val="FooterChar"/>
    <w:uiPriority w:val="99"/>
    <w:unhideWhenUsed/>
    <w:rsid w:val="00672733"/>
    <w:pPr>
      <w:tabs>
        <w:tab w:val="center" w:pos="4680"/>
        <w:tab w:val="right" w:pos="9360"/>
      </w:tabs>
    </w:pPr>
  </w:style>
  <w:style w:type="character" w:customStyle="1" w:styleId="FooterChar">
    <w:name w:val="Footer Char"/>
    <w:basedOn w:val="DefaultParagraphFont"/>
    <w:link w:val="Footer"/>
    <w:uiPriority w:val="99"/>
    <w:rsid w:val="00672733"/>
  </w:style>
  <w:style w:type="paragraph" w:styleId="Title">
    <w:name w:val="Title"/>
    <w:basedOn w:val="Normal"/>
    <w:next w:val="Normal"/>
    <w:link w:val="TitleChar"/>
    <w:uiPriority w:val="10"/>
    <w:qFormat/>
    <w:rsid w:val="006B1F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1F2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6B1F24"/>
    <w:rPr>
      <w:b/>
      <w:bCs/>
    </w:rPr>
  </w:style>
  <w:style w:type="character" w:customStyle="1" w:styleId="Heading1Char">
    <w:name w:val="Heading 1 Char"/>
    <w:basedOn w:val="DefaultParagraphFont"/>
    <w:link w:val="Heading1"/>
    <w:uiPriority w:val="9"/>
    <w:rsid w:val="006B1F24"/>
    <w:rPr>
      <w:rFonts w:asciiTheme="majorHAnsi" w:eastAsiaTheme="majorEastAsia" w:hAnsiTheme="majorHAnsi" w:cstheme="majorBidi"/>
      <w:color w:val="2F5496" w:themeColor="accent1" w:themeShade="BF"/>
      <w:sz w:val="32"/>
      <w:szCs w:val="32"/>
    </w:rPr>
  </w:style>
  <w:style w:type="paragraph" w:styleId="ListParagraph">
    <w:name w:val="List Paragraph"/>
    <w:aliases w:val="Párrafo de lista1,List Paragraph1,Colorful List - Accent 11,List Paragraph11"/>
    <w:basedOn w:val="Normal"/>
    <w:link w:val="ListParagraphChar"/>
    <w:uiPriority w:val="34"/>
    <w:qFormat/>
    <w:rsid w:val="00045E5E"/>
    <w:pPr>
      <w:ind w:left="720"/>
      <w:contextualSpacing/>
    </w:pPr>
  </w:style>
  <w:style w:type="paragraph" w:styleId="Subtitle">
    <w:name w:val="Subtitle"/>
    <w:basedOn w:val="Normal"/>
    <w:next w:val="Normal"/>
    <w:link w:val="SubtitleChar"/>
    <w:uiPriority w:val="11"/>
    <w:qFormat/>
    <w:rsid w:val="00045E5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45E5E"/>
    <w:rPr>
      <w:rFonts w:eastAsiaTheme="minorEastAsia"/>
      <w:color w:val="5A5A5A" w:themeColor="text1" w:themeTint="A5"/>
      <w:spacing w:val="15"/>
      <w:sz w:val="22"/>
      <w:szCs w:val="22"/>
    </w:rPr>
  </w:style>
  <w:style w:type="table" w:styleId="TableGrid">
    <w:name w:val="Table Grid"/>
    <w:basedOn w:val="TableNormal"/>
    <w:uiPriority w:val="39"/>
    <w:rsid w:val="00322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32272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2272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2272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E516AB"/>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rsid w:val="00E516AB"/>
    <w:rPr>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basedOn w:val="DefaultParagraphFont"/>
    <w:link w:val="Appelnotedebasde"/>
    <w:uiPriority w:val="99"/>
    <w:unhideWhenUsed/>
    <w:qFormat/>
    <w:rsid w:val="00E516AB"/>
    <w:rPr>
      <w:vertAlign w:val="superscript"/>
    </w:rPr>
  </w:style>
  <w:style w:type="paragraph" w:styleId="Caption">
    <w:name w:val="caption"/>
    <w:basedOn w:val="Normal"/>
    <w:next w:val="Normal"/>
    <w:uiPriority w:val="35"/>
    <w:unhideWhenUsed/>
    <w:qFormat/>
    <w:rsid w:val="00566CD0"/>
    <w:pPr>
      <w:spacing w:after="200"/>
    </w:pPr>
    <w:rPr>
      <w:i/>
      <w:iCs/>
      <w:color w:val="44546A" w:themeColor="text2"/>
      <w:sz w:val="18"/>
      <w:szCs w:val="18"/>
    </w:rPr>
  </w:style>
  <w:style w:type="paragraph" w:customStyle="1" w:styleId="Appelnotedebasde">
    <w:name w:val="Appel note de bas de..."/>
    <w:basedOn w:val="Normal"/>
    <w:link w:val="FootnoteReference"/>
    <w:uiPriority w:val="99"/>
    <w:rsid w:val="00FD65F9"/>
    <w:pPr>
      <w:spacing w:after="160" w:line="240" w:lineRule="exact"/>
    </w:pPr>
    <w:rPr>
      <w:vertAlign w:val="superscript"/>
    </w:rPr>
  </w:style>
  <w:style w:type="character" w:styleId="Hyperlink">
    <w:name w:val="Hyperlink"/>
    <w:uiPriority w:val="99"/>
    <w:unhideWhenUsed/>
    <w:rsid w:val="00FD65F9"/>
    <w:rPr>
      <w:color w:val="0563C1"/>
      <w:u w:val="single"/>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FD65F9"/>
  </w:style>
  <w:style w:type="character" w:customStyle="1" w:styleId="xhyperlink1">
    <w:name w:val="x_hyperlink1"/>
    <w:rsid w:val="00B2018D"/>
  </w:style>
  <w:style w:type="paragraph" w:styleId="NoSpacing">
    <w:name w:val="No Spacing"/>
    <w:uiPriority w:val="1"/>
    <w:qFormat/>
    <w:rsid w:val="00862E37"/>
    <w:rPr>
      <w:rFonts w:ascii="Calibri" w:eastAsia="Calibri" w:hAnsi="Calibri" w:cs="Times New Roman"/>
      <w:sz w:val="22"/>
      <w:szCs w:val="22"/>
      <w:lang w:val="pt-BR"/>
    </w:rPr>
  </w:style>
  <w:style w:type="paragraph" w:customStyle="1" w:styleId="Default">
    <w:name w:val="Default"/>
    <w:rsid w:val="00CD5456"/>
    <w:pPr>
      <w:autoSpaceDE w:val="0"/>
      <w:autoSpaceDN w:val="0"/>
      <w:adjustRightInd w:val="0"/>
    </w:pPr>
    <w:rPr>
      <w:rFonts w:ascii="Cambria" w:eastAsia="Calibri" w:hAnsi="Cambria" w:cs="Cambria"/>
      <w:color w:val="000000"/>
    </w:rPr>
  </w:style>
  <w:style w:type="paragraph" w:styleId="ListBullet">
    <w:name w:val="List Bullet"/>
    <w:basedOn w:val="Normal"/>
    <w:uiPriority w:val="99"/>
    <w:unhideWhenUsed/>
    <w:rsid w:val="00CD5456"/>
    <w:pPr>
      <w:numPr>
        <w:numId w:val="15"/>
      </w:numPr>
      <w:spacing w:after="200" w:line="276" w:lineRule="auto"/>
      <w:contextualSpacing/>
    </w:pPr>
    <w:rPr>
      <w:rFonts w:ascii="Calibri" w:eastAsia="Calibri" w:hAnsi="Calibri" w:cs="Times New Roman"/>
      <w:sz w:val="22"/>
      <w:szCs w:val="22"/>
    </w:rPr>
  </w:style>
  <w:style w:type="paragraph" w:styleId="BlockText">
    <w:name w:val="Block Text"/>
    <w:basedOn w:val="Normal"/>
    <w:uiPriority w:val="99"/>
    <w:rsid w:val="00987D94"/>
    <w:pPr>
      <w:spacing w:before="100" w:beforeAutospacing="1" w:after="100" w:afterAutospacing="1"/>
    </w:pPr>
    <w:rPr>
      <w:rFonts w:ascii="Times New Roman" w:eastAsia="MS Mincho"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dh.oas.org/annualrep/2008sp/EEUU12534.sp.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idh.org/medidas/2005.sp.htm"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oas.org/es/cidh/docs/anual/2016/docs/InformeAnual2016cap2Dseguimiento-es.pdf" TargetMode="External"/><Relationship Id="rId2" Type="http://schemas.openxmlformats.org/officeDocument/2006/relationships/hyperlink" Target="http://www.oas.org/es/cidh/docs/anual/2016/docs/InformeAnual2016cap2Dseguimiento-es.pdf" TargetMode="External"/><Relationship Id="rId1" Type="http://schemas.openxmlformats.org/officeDocument/2006/relationships/hyperlink" Target="http://www.oas.org/es/cidh/docs/anual/2011/Cap3D.doc"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486B0-8222-46CA-9456-B45493D30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790</Words>
  <Characters>4507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2022-04-21T13:46:00Z</dcterms:created>
  <dcterms:modified xsi:type="dcterms:W3CDTF">2022-04-21T13:46:00Z</dcterms:modified>
</cp:coreProperties>
</file>