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5100" w14:textId="77777777" w:rsidR="003F6D90" w:rsidRPr="00383E2D" w:rsidRDefault="008D6F68" w:rsidP="00390207">
      <w:pPr>
        <w:pStyle w:val="Header"/>
        <w:jc w:val="center"/>
        <w:rPr>
          <w:rFonts w:ascii="Cambria" w:hAnsi="Cambria"/>
          <w:b/>
          <w:color w:val="000000"/>
          <w:sz w:val="20"/>
          <w:szCs w:val="20"/>
          <w:lang w:val="es-ES"/>
        </w:rPr>
      </w:pPr>
      <w:r w:rsidRPr="00383E2D">
        <w:rPr>
          <w:rFonts w:ascii="Cambria" w:hAnsi="Cambria"/>
          <w:b/>
          <w:color w:val="000000"/>
          <w:sz w:val="20"/>
          <w:szCs w:val="20"/>
          <w:lang w:val="es-ES"/>
        </w:rPr>
        <w:t>FICHA DE SEGUIMIENTO DEL INFORME</w:t>
      </w:r>
      <w:r w:rsidR="00B64A9B" w:rsidRPr="00383E2D">
        <w:rPr>
          <w:rFonts w:ascii="Cambria" w:hAnsi="Cambria"/>
          <w:b/>
          <w:color w:val="000000"/>
          <w:sz w:val="20"/>
          <w:szCs w:val="20"/>
          <w:lang w:val="es-ES"/>
        </w:rPr>
        <w:t xml:space="preserve"> N</w:t>
      </w:r>
      <w:r w:rsidR="00D92822" w:rsidRPr="00383E2D">
        <w:rPr>
          <w:rFonts w:ascii="Cambria" w:hAnsi="Cambria"/>
          <w:b/>
          <w:color w:val="000000"/>
          <w:sz w:val="20"/>
          <w:szCs w:val="20"/>
          <w:lang w:val="es-ES"/>
        </w:rPr>
        <w:t>º</w:t>
      </w:r>
      <w:r w:rsidR="00B64A9B" w:rsidRPr="00383E2D">
        <w:rPr>
          <w:rFonts w:ascii="Cambria" w:hAnsi="Cambria"/>
          <w:b/>
          <w:color w:val="000000"/>
          <w:sz w:val="20"/>
          <w:szCs w:val="20"/>
          <w:lang w:val="es-ES"/>
        </w:rPr>
        <w:t xml:space="preserve"> 1/06</w:t>
      </w:r>
    </w:p>
    <w:p w14:paraId="2D734FAF" w14:textId="77777777" w:rsidR="003F6D90" w:rsidRPr="00383E2D" w:rsidRDefault="003F6D90" w:rsidP="003F6D90">
      <w:pPr>
        <w:spacing w:after="0" w:line="240" w:lineRule="auto"/>
        <w:jc w:val="center"/>
        <w:rPr>
          <w:rFonts w:ascii="Cambria" w:hAnsi="Cambria"/>
          <w:b/>
          <w:color w:val="000000"/>
          <w:sz w:val="20"/>
          <w:szCs w:val="20"/>
          <w:lang w:val="es-ES"/>
        </w:rPr>
      </w:pPr>
      <w:r w:rsidRPr="00383E2D">
        <w:rPr>
          <w:rFonts w:ascii="Cambria" w:hAnsi="Cambria"/>
          <w:b/>
          <w:color w:val="000000"/>
          <w:sz w:val="20"/>
          <w:szCs w:val="20"/>
          <w:lang w:val="es-ES"/>
        </w:rPr>
        <w:t xml:space="preserve"> </w:t>
      </w:r>
      <w:r w:rsidR="008D6F68" w:rsidRPr="00383E2D">
        <w:rPr>
          <w:rFonts w:ascii="Cambria" w:hAnsi="Cambria"/>
          <w:b/>
          <w:color w:val="000000"/>
          <w:sz w:val="20"/>
          <w:szCs w:val="20"/>
          <w:lang w:val="es-ES"/>
        </w:rPr>
        <w:t>CASO</w:t>
      </w:r>
      <w:r w:rsidR="00D92822" w:rsidRPr="00383E2D">
        <w:rPr>
          <w:rFonts w:ascii="Cambria" w:hAnsi="Cambria"/>
          <w:b/>
          <w:color w:val="000000"/>
          <w:sz w:val="20"/>
          <w:szCs w:val="20"/>
          <w:lang w:val="es-ES"/>
        </w:rPr>
        <w:t xml:space="preserve"> </w:t>
      </w:r>
      <w:r w:rsidRPr="00383E2D">
        <w:rPr>
          <w:rFonts w:ascii="Cambria" w:hAnsi="Cambria"/>
          <w:b/>
          <w:color w:val="000000"/>
          <w:sz w:val="20"/>
          <w:szCs w:val="20"/>
          <w:lang w:val="es-ES"/>
        </w:rPr>
        <w:t>12.264</w:t>
      </w:r>
    </w:p>
    <w:p w14:paraId="3BC4A884" w14:textId="77777777" w:rsidR="003F6D90" w:rsidRPr="00383E2D" w:rsidRDefault="00D92822" w:rsidP="003F6D90">
      <w:pPr>
        <w:spacing w:after="0" w:line="240" w:lineRule="auto"/>
        <w:jc w:val="center"/>
        <w:rPr>
          <w:rFonts w:ascii="Cambria" w:hAnsi="Cambria"/>
          <w:b/>
          <w:color w:val="000000"/>
          <w:sz w:val="20"/>
          <w:szCs w:val="20"/>
          <w:lang w:val="es-ES"/>
        </w:rPr>
      </w:pPr>
      <w:r w:rsidRPr="00383E2D">
        <w:rPr>
          <w:rFonts w:ascii="Cambria" w:hAnsi="Cambria"/>
          <w:b/>
          <w:color w:val="000000"/>
          <w:sz w:val="20"/>
          <w:szCs w:val="20"/>
          <w:lang w:val="es-ES"/>
        </w:rPr>
        <w:t>FRANZ BRITTON</w:t>
      </w:r>
    </w:p>
    <w:p w14:paraId="0281B5C9" w14:textId="77777777" w:rsidR="003F6D90" w:rsidRPr="00383E2D" w:rsidRDefault="003F6D90" w:rsidP="003F6D90">
      <w:pPr>
        <w:spacing w:after="0" w:line="240" w:lineRule="auto"/>
        <w:jc w:val="center"/>
        <w:rPr>
          <w:rFonts w:ascii="Cambria" w:hAnsi="Cambria"/>
          <w:b/>
          <w:color w:val="000000"/>
          <w:sz w:val="20"/>
          <w:szCs w:val="20"/>
          <w:lang w:val="es-ES"/>
        </w:rPr>
      </w:pPr>
      <w:r w:rsidRPr="00383E2D">
        <w:rPr>
          <w:rFonts w:ascii="Cambria" w:hAnsi="Cambria"/>
          <w:b/>
          <w:color w:val="000000"/>
          <w:sz w:val="20"/>
          <w:szCs w:val="20"/>
          <w:lang w:val="es-ES"/>
        </w:rPr>
        <w:t xml:space="preserve"> (Guyana)</w:t>
      </w:r>
    </w:p>
    <w:p w14:paraId="45278DBA" w14:textId="77777777" w:rsidR="003F6D90" w:rsidRPr="00383E2D" w:rsidRDefault="003F6D90" w:rsidP="003F6D90">
      <w:pPr>
        <w:spacing w:after="0" w:line="240" w:lineRule="auto"/>
        <w:jc w:val="center"/>
        <w:rPr>
          <w:rFonts w:ascii="Cambria" w:hAnsi="Cambria"/>
          <w:b/>
          <w:color w:val="000000"/>
          <w:sz w:val="20"/>
          <w:szCs w:val="20"/>
          <w:lang w:val="es-ES"/>
        </w:rPr>
      </w:pPr>
    </w:p>
    <w:p w14:paraId="1974EAC6" w14:textId="77777777" w:rsidR="003F6D90" w:rsidRPr="00383E2D" w:rsidRDefault="00D92822" w:rsidP="003F6D90">
      <w:pPr>
        <w:numPr>
          <w:ilvl w:val="0"/>
          <w:numId w:val="1"/>
        </w:numPr>
        <w:spacing w:after="0" w:line="240" w:lineRule="auto"/>
        <w:ind w:left="1440"/>
        <w:rPr>
          <w:rFonts w:ascii="Cambria" w:hAnsi="Cambria" w:cs="Calibri Light"/>
          <w:b/>
          <w:color w:val="000000"/>
          <w:sz w:val="20"/>
          <w:szCs w:val="20"/>
          <w:lang w:val="es-ES"/>
        </w:rPr>
      </w:pPr>
      <w:r w:rsidRPr="00383E2D">
        <w:rPr>
          <w:rFonts w:ascii="Cambria" w:hAnsi="Cambria" w:cs="Calibri Light"/>
          <w:b/>
          <w:color w:val="000000"/>
          <w:sz w:val="20"/>
          <w:szCs w:val="20"/>
          <w:lang w:val="es-ES"/>
        </w:rPr>
        <w:t xml:space="preserve">Resumen del </w:t>
      </w:r>
      <w:r w:rsidR="003F6D90" w:rsidRPr="00383E2D">
        <w:rPr>
          <w:rFonts w:ascii="Cambria" w:hAnsi="Cambria" w:cs="Calibri Light"/>
          <w:b/>
          <w:color w:val="000000"/>
          <w:sz w:val="20"/>
          <w:szCs w:val="20"/>
          <w:lang w:val="es-ES"/>
        </w:rPr>
        <w:t>Cas</w:t>
      </w:r>
      <w:r w:rsidRPr="00383E2D">
        <w:rPr>
          <w:rFonts w:ascii="Cambria" w:hAnsi="Cambria" w:cs="Calibri Light"/>
          <w:b/>
          <w:color w:val="000000"/>
          <w:sz w:val="20"/>
          <w:szCs w:val="20"/>
          <w:lang w:val="es-ES"/>
        </w:rPr>
        <w:t>o</w:t>
      </w:r>
      <w:r w:rsidR="003F6D90" w:rsidRPr="00383E2D">
        <w:rPr>
          <w:rFonts w:ascii="Cambria" w:hAnsi="Cambria" w:cs="Calibri Light"/>
          <w:b/>
          <w:color w:val="000000"/>
          <w:sz w:val="20"/>
          <w:szCs w:val="20"/>
          <w:lang w:val="es-ES"/>
        </w:rPr>
        <w:t xml:space="preserve">  </w:t>
      </w:r>
    </w:p>
    <w:p w14:paraId="355F5C03" w14:textId="77777777" w:rsidR="003F6D90" w:rsidRPr="00383E2D" w:rsidRDefault="003F6D90" w:rsidP="003F6D90">
      <w:pPr>
        <w:spacing w:after="0" w:line="240" w:lineRule="auto"/>
        <w:ind w:left="1080"/>
        <w:rPr>
          <w:rFonts w:ascii="Cambria" w:hAnsi="Cambria" w:cs="Calibri Light"/>
          <w:b/>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F6D90" w:rsidRPr="00383E2D" w14:paraId="2F2D223B" w14:textId="77777777" w:rsidTr="00E75539">
        <w:trPr>
          <w:jc w:val="center"/>
        </w:trPr>
        <w:tc>
          <w:tcPr>
            <w:tcW w:w="9576" w:type="dxa"/>
            <w:shd w:val="clear" w:color="auto" w:fill="F2F2F2"/>
          </w:tcPr>
          <w:p w14:paraId="2659ADC4" w14:textId="77777777" w:rsidR="003F6D90" w:rsidRPr="00383E2D" w:rsidRDefault="00627B50" w:rsidP="00E75539">
            <w:pPr>
              <w:spacing w:before="120" w:after="0" w:line="240" w:lineRule="auto"/>
              <w:jc w:val="both"/>
              <w:rPr>
                <w:rFonts w:ascii="Cambria" w:hAnsi="Cambria"/>
                <w:b/>
                <w:color w:val="000000"/>
                <w:sz w:val="20"/>
                <w:szCs w:val="20"/>
                <w:lang w:val="es-ES"/>
              </w:rPr>
            </w:pPr>
            <w:r w:rsidRPr="00383E2D">
              <w:rPr>
                <w:rFonts w:ascii="Cambria" w:hAnsi="Cambria"/>
                <w:b/>
                <w:color w:val="000000"/>
                <w:sz w:val="20"/>
                <w:szCs w:val="20"/>
                <w:lang w:val="es-ES"/>
              </w:rPr>
              <w:t>Víctima</w:t>
            </w:r>
            <w:r w:rsidR="003F6D90" w:rsidRPr="00383E2D">
              <w:rPr>
                <w:rFonts w:ascii="Cambria" w:hAnsi="Cambria"/>
                <w:b/>
                <w:color w:val="000000"/>
                <w:sz w:val="20"/>
                <w:szCs w:val="20"/>
                <w:lang w:val="es-ES"/>
              </w:rPr>
              <w:t xml:space="preserve"> (s): </w:t>
            </w:r>
            <w:r w:rsidR="003F6D90" w:rsidRPr="00383E2D">
              <w:rPr>
                <w:rFonts w:ascii="Cambria" w:hAnsi="Cambria"/>
                <w:color w:val="000000"/>
                <w:sz w:val="20"/>
                <w:szCs w:val="20"/>
                <w:lang w:val="es-ES"/>
              </w:rPr>
              <w:t>Franz Britton</w:t>
            </w:r>
          </w:p>
          <w:p w14:paraId="596C0767" w14:textId="77777777" w:rsidR="003F6D90" w:rsidRPr="00383E2D" w:rsidRDefault="00627B50" w:rsidP="00E75539">
            <w:pPr>
              <w:spacing w:after="0" w:line="240" w:lineRule="auto"/>
              <w:jc w:val="both"/>
              <w:rPr>
                <w:rFonts w:ascii="Cambria" w:hAnsi="Cambria"/>
                <w:b/>
                <w:color w:val="000000"/>
                <w:sz w:val="20"/>
                <w:szCs w:val="20"/>
                <w:lang w:val="es-ES"/>
              </w:rPr>
            </w:pPr>
            <w:r w:rsidRPr="00383E2D">
              <w:rPr>
                <w:rFonts w:ascii="Cambria" w:hAnsi="Cambria"/>
                <w:b/>
                <w:color w:val="000000"/>
                <w:sz w:val="20"/>
                <w:szCs w:val="20"/>
                <w:lang w:val="es-ES"/>
              </w:rPr>
              <w:t xml:space="preserve">Peticionario </w:t>
            </w:r>
            <w:r w:rsidR="003F6D90" w:rsidRPr="00383E2D">
              <w:rPr>
                <w:rFonts w:ascii="Cambria" w:hAnsi="Cambria"/>
                <w:b/>
                <w:color w:val="000000"/>
                <w:sz w:val="20"/>
                <w:szCs w:val="20"/>
                <w:lang w:val="es-ES"/>
              </w:rPr>
              <w:t>(s):</w:t>
            </w:r>
            <w:r w:rsidR="003F6D90" w:rsidRPr="00383E2D">
              <w:rPr>
                <w:rFonts w:ascii="Cambria" w:hAnsi="Cambria"/>
                <w:color w:val="000000"/>
                <w:sz w:val="20"/>
                <w:szCs w:val="20"/>
                <w:lang w:val="es-ES"/>
              </w:rPr>
              <w:t xml:space="preserve"> I. </w:t>
            </w:r>
            <w:proofErr w:type="spellStart"/>
            <w:r w:rsidR="003F6D90" w:rsidRPr="00383E2D">
              <w:rPr>
                <w:rFonts w:ascii="Cambria" w:hAnsi="Cambria"/>
                <w:color w:val="000000"/>
                <w:sz w:val="20"/>
                <w:szCs w:val="20"/>
                <w:lang w:val="es-ES"/>
              </w:rPr>
              <w:t>Kamau</w:t>
            </w:r>
            <w:proofErr w:type="spellEnd"/>
            <w:r w:rsidR="003F6D90" w:rsidRPr="00383E2D">
              <w:rPr>
                <w:rFonts w:ascii="Cambria" w:hAnsi="Cambria"/>
                <w:color w:val="000000"/>
                <w:sz w:val="20"/>
                <w:szCs w:val="20"/>
                <w:lang w:val="es-ES"/>
              </w:rPr>
              <w:t xml:space="preserve"> </w:t>
            </w:r>
            <w:proofErr w:type="spellStart"/>
            <w:r w:rsidR="003F6D90" w:rsidRPr="00383E2D">
              <w:rPr>
                <w:rFonts w:ascii="Cambria" w:hAnsi="Cambria"/>
                <w:color w:val="000000"/>
                <w:sz w:val="20"/>
                <w:szCs w:val="20"/>
                <w:lang w:val="es-ES"/>
              </w:rPr>
              <w:t>Cush</w:t>
            </w:r>
            <w:proofErr w:type="spellEnd"/>
            <w:r w:rsidR="00DD7E0A" w:rsidRPr="00383E2D">
              <w:rPr>
                <w:rFonts w:ascii="Cambria" w:hAnsi="Cambria"/>
                <w:color w:val="000000"/>
                <w:sz w:val="20"/>
                <w:szCs w:val="20"/>
                <w:lang w:val="es-ES"/>
              </w:rPr>
              <w:t xml:space="preserve"> (</w:t>
            </w:r>
            <w:proofErr w:type="spellStart"/>
            <w:r w:rsidR="00DD7E0A" w:rsidRPr="00383E2D">
              <w:rPr>
                <w:rFonts w:ascii="Cambria" w:hAnsi="Cambria"/>
                <w:color w:val="000000"/>
                <w:sz w:val="20"/>
                <w:szCs w:val="20"/>
                <w:lang w:val="es-ES"/>
              </w:rPr>
              <w:t>Movement</w:t>
            </w:r>
            <w:proofErr w:type="spellEnd"/>
            <w:r w:rsidR="00DD7E0A" w:rsidRPr="00383E2D">
              <w:rPr>
                <w:rFonts w:ascii="Cambria" w:hAnsi="Cambria"/>
                <w:color w:val="000000"/>
                <w:sz w:val="20"/>
                <w:szCs w:val="20"/>
                <w:lang w:val="es-ES"/>
              </w:rPr>
              <w:t xml:space="preserve"> </w:t>
            </w:r>
            <w:proofErr w:type="spellStart"/>
            <w:r w:rsidR="00DD7E0A" w:rsidRPr="00383E2D">
              <w:rPr>
                <w:rFonts w:ascii="Cambria" w:hAnsi="Cambria"/>
                <w:color w:val="000000"/>
                <w:sz w:val="20"/>
                <w:szCs w:val="20"/>
                <w:lang w:val="es-ES"/>
              </w:rPr>
              <w:t>for</w:t>
            </w:r>
            <w:proofErr w:type="spellEnd"/>
            <w:r w:rsidR="00DD7E0A" w:rsidRPr="00383E2D">
              <w:rPr>
                <w:rFonts w:ascii="Cambria" w:hAnsi="Cambria"/>
                <w:color w:val="000000"/>
                <w:sz w:val="20"/>
                <w:szCs w:val="20"/>
                <w:lang w:val="es-ES"/>
              </w:rPr>
              <w:t xml:space="preserve"> </w:t>
            </w:r>
            <w:proofErr w:type="spellStart"/>
            <w:r w:rsidR="00DD7E0A" w:rsidRPr="00383E2D">
              <w:rPr>
                <w:rFonts w:ascii="Cambria" w:hAnsi="Cambria"/>
                <w:color w:val="000000"/>
                <w:sz w:val="20"/>
                <w:szCs w:val="20"/>
                <w:lang w:val="es-ES"/>
              </w:rPr>
              <w:t>Economic</w:t>
            </w:r>
            <w:proofErr w:type="spellEnd"/>
            <w:r w:rsidR="00DD7E0A" w:rsidRPr="00383E2D">
              <w:rPr>
                <w:rFonts w:ascii="Cambria" w:hAnsi="Cambria"/>
                <w:color w:val="000000"/>
                <w:sz w:val="20"/>
                <w:szCs w:val="20"/>
                <w:lang w:val="es-ES"/>
              </w:rPr>
              <w:t xml:space="preserve"> </w:t>
            </w:r>
            <w:proofErr w:type="spellStart"/>
            <w:r w:rsidR="00DD7E0A" w:rsidRPr="00383E2D">
              <w:rPr>
                <w:rFonts w:ascii="Cambria" w:hAnsi="Cambria"/>
                <w:color w:val="000000"/>
                <w:sz w:val="20"/>
                <w:szCs w:val="20"/>
                <w:lang w:val="es-ES"/>
              </w:rPr>
              <w:t>Empowerment</w:t>
            </w:r>
            <w:proofErr w:type="spellEnd"/>
            <w:r w:rsidR="00DD7E0A" w:rsidRPr="00383E2D">
              <w:rPr>
                <w:rFonts w:ascii="Cambria" w:hAnsi="Cambria"/>
                <w:color w:val="000000"/>
                <w:sz w:val="20"/>
                <w:szCs w:val="20"/>
                <w:lang w:val="es-ES"/>
              </w:rPr>
              <w:t>)</w:t>
            </w:r>
          </w:p>
          <w:p w14:paraId="2064D409" w14:textId="77777777" w:rsidR="003F6D90" w:rsidRPr="00383E2D" w:rsidRDefault="00627B50" w:rsidP="00E75539">
            <w:pPr>
              <w:spacing w:after="0" w:line="240" w:lineRule="auto"/>
              <w:jc w:val="both"/>
              <w:rPr>
                <w:rFonts w:ascii="Cambria" w:hAnsi="Cambria"/>
                <w:color w:val="000000"/>
                <w:sz w:val="20"/>
                <w:szCs w:val="20"/>
                <w:lang w:val="es-ES"/>
              </w:rPr>
            </w:pPr>
            <w:r w:rsidRPr="00383E2D">
              <w:rPr>
                <w:rFonts w:ascii="Cambria" w:hAnsi="Cambria"/>
                <w:b/>
                <w:color w:val="000000"/>
                <w:sz w:val="20"/>
                <w:szCs w:val="20"/>
                <w:lang w:val="es-ES"/>
              </w:rPr>
              <w:t>Estado</w:t>
            </w:r>
            <w:r w:rsidR="003F6D90" w:rsidRPr="00383E2D">
              <w:rPr>
                <w:rFonts w:ascii="Cambria" w:hAnsi="Cambria"/>
                <w:b/>
                <w:color w:val="000000"/>
                <w:sz w:val="20"/>
                <w:szCs w:val="20"/>
                <w:lang w:val="es-ES"/>
              </w:rPr>
              <w:t xml:space="preserve">: </w:t>
            </w:r>
            <w:r w:rsidR="003F6D90" w:rsidRPr="00383E2D">
              <w:rPr>
                <w:rFonts w:ascii="Cambria" w:hAnsi="Cambria"/>
                <w:color w:val="000000"/>
                <w:sz w:val="20"/>
                <w:szCs w:val="20"/>
                <w:lang w:val="es-ES"/>
              </w:rPr>
              <w:t>Guyana</w:t>
            </w:r>
          </w:p>
          <w:p w14:paraId="57271A09" w14:textId="77777777" w:rsidR="003F6D90" w:rsidRPr="00383E2D" w:rsidRDefault="00627B50" w:rsidP="00E75539">
            <w:pPr>
              <w:spacing w:after="0" w:line="240" w:lineRule="auto"/>
              <w:jc w:val="both"/>
              <w:rPr>
                <w:rFonts w:ascii="Cambria" w:hAnsi="Cambria"/>
                <w:color w:val="000000"/>
                <w:sz w:val="20"/>
                <w:szCs w:val="20"/>
                <w:lang w:val="es-ES"/>
              </w:rPr>
            </w:pPr>
            <w:r w:rsidRPr="00383E2D">
              <w:rPr>
                <w:rFonts w:ascii="Cambria" w:hAnsi="Cambria"/>
                <w:b/>
                <w:color w:val="000000"/>
                <w:sz w:val="20"/>
                <w:szCs w:val="20"/>
                <w:lang w:val="es-ES"/>
              </w:rPr>
              <w:t>Informe de Fond</w:t>
            </w:r>
            <w:r w:rsidRPr="00383E2D">
              <w:rPr>
                <w:rFonts w:ascii="Cambria" w:hAnsi="Cambria"/>
                <w:b/>
                <w:color w:val="000000"/>
                <w:sz w:val="20"/>
                <w:szCs w:val="20"/>
                <w:lang w:val="es-ES"/>
              </w:rPr>
              <w:t>o</w:t>
            </w:r>
            <w:r w:rsidRPr="00383E2D">
              <w:rPr>
                <w:rFonts w:ascii="Cambria" w:hAnsi="Cambria"/>
                <w:b/>
                <w:color w:val="000000"/>
                <w:sz w:val="20"/>
                <w:szCs w:val="20"/>
                <w:lang w:val="es-ES"/>
              </w:rPr>
              <w:t xml:space="preserve"> Nº</w:t>
            </w:r>
            <w:r w:rsidR="003F6D90" w:rsidRPr="00383E2D">
              <w:rPr>
                <w:rFonts w:ascii="Cambria" w:hAnsi="Cambria"/>
                <w:b/>
                <w:color w:val="000000"/>
                <w:sz w:val="20"/>
                <w:szCs w:val="20"/>
                <w:lang w:val="es-ES"/>
              </w:rPr>
              <w:t xml:space="preserve">: </w:t>
            </w:r>
            <w:hyperlink r:id="rId9" w:history="1">
              <w:r w:rsidR="003F6D90" w:rsidRPr="00383E2D">
                <w:rPr>
                  <w:rStyle w:val="Hyperlink"/>
                  <w:rFonts w:ascii="Cambria" w:hAnsi="Cambria"/>
                  <w:color w:val="000000"/>
                  <w:sz w:val="20"/>
                  <w:szCs w:val="20"/>
                  <w:lang w:val="es-ES"/>
                </w:rPr>
                <w:t>1/</w:t>
              </w:r>
              <w:r w:rsidR="003F6D90" w:rsidRPr="00383E2D">
                <w:rPr>
                  <w:rStyle w:val="Hyperlink"/>
                  <w:rFonts w:ascii="Cambria" w:hAnsi="Cambria"/>
                  <w:color w:val="000000"/>
                  <w:sz w:val="20"/>
                  <w:szCs w:val="20"/>
                  <w:lang w:val="es-ES"/>
                </w:rPr>
                <w:t>0</w:t>
              </w:r>
              <w:r w:rsidR="003F6D90" w:rsidRPr="00383E2D">
                <w:rPr>
                  <w:rStyle w:val="Hyperlink"/>
                  <w:rFonts w:ascii="Cambria" w:hAnsi="Cambria"/>
                  <w:color w:val="000000"/>
                  <w:sz w:val="20"/>
                  <w:szCs w:val="20"/>
                  <w:lang w:val="es-ES"/>
                </w:rPr>
                <w:t>6</w:t>
              </w:r>
            </w:hyperlink>
            <w:r w:rsidR="003F6D90" w:rsidRPr="00383E2D">
              <w:rPr>
                <w:rFonts w:ascii="Cambria" w:hAnsi="Cambria"/>
                <w:color w:val="000000"/>
                <w:sz w:val="20"/>
                <w:szCs w:val="20"/>
                <w:lang w:val="es-ES"/>
              </w:rPr>
              <w:t xml:space="preserve">, </w:t>
            </w:r>
            <w:r w:rsidR="00F85F0F" w:rsidRPr="00383E2D">
              <w:rPr>
                <w:rFonts w:ascii="Cambria" w:hAnsi="Cambria"/>
                <w:color w:val="000000"/>
                <w:sz w:val="20"/>
                <w:szCs w:val="20"/>
                <w:lang w:val="es-ES"/>
              </w:rPr>
              <w:t xml:space="preserve">publicado el 28 de febrero de </w:t>
            </w:r>
            <w:r w:rsidR="003F6D90" w:rsidRPr="00383E2D">
              <w:rPr>
                <w:rFonts w:ascii="Cambria" w:hAnsi="Cambria"/>
                <w:color w:val="000000"/>
                <w:sz w:val="20"/>
                <w:szCs w:val="20"/>
                <w:lang w:val="es-ES"/>
              </w:rPr>
              <w:t>2006</w:t>
            </w:r>
          </w:p>
          <w:p w14:paraId="121EB106" w14:textId="77777777" w:rsidR="003F6D90" w:rsidRPr="00383E2D" w:rsidRDefault="00627B50" w:rsidP="00E75539">
            <w:pPr>
              <w:spacing w:after="0" w:line="240" w:lineRule="auto"/>
              <w:jc w:val="both"/>
              <w:rPr>
                <w:rFonts w:ascii="Cambria" w:hAnsi="Cambria"/>
                <w:color w:val="000000"/>
                <w:sz w:val="20"/>
                <w:szCs w:val="20"/>
                <w:lang w:val="es-ES"/>
              </w:rPr>
            </w:pPr>
            <w:r w:rsidRPr="00383E2D">
              <w:rPr>
                <w:rFonts w:ascii="Cambria" w:hAnsi="Cambria"/>
                <w:b/>
                <w:color w:val="000000"/>
                <w:sz w:val="20"/>
                <w:szCs w:val="20"/>
                <w:lang w:val="es-ES"/>
              </w:rPr>
              <w:t>Informe de Admisibilida</w:t>
            </w:r>
            <w:r w:rsidRPr="00383E2D">
              <w:rPr>
                <w:rFonts w:ascii="Cambria" w:hAnsi="Cambria"/>
                <w:b/>
                <w:color w:val="000000"/>
                <w:sz w:val="20"/>
                <w:szCs w:val="20"/>
                <w:lang w:val="es-ES"/>
              </w:rPr>
              <w:t>d</w:t>
            </w:r>
            <w:r w:rsidRPr="00383E2D">
              <w:rPr>
                <w:rFonts w:ascii="Cambria" w:hAnsi="Cambria"/>
                <w:b/>
                <w:color w:val="000000"/>
                <w:sz w:val="20"/>
                <w:szCs w:val="20"/>
                <w:lang w:val="es-ES"/>
              </w:rPr>
              <w:t xml:space="preserve"> </w:t>
            </w:r>
            <w:r w:rsidRPr="00383E2D">
              <w:rPr>
                <w:rFonts w:ascii="Cambria" w:hAnsi="Cambria"/>
                <w:b/>
                <w:color w:val="000000"/>
                <w:sz w:val="20"/>
                <w:szCs w:val="20"/>
                <w:lang w:val="es-ES"/>
              </w:rPr>
              <w:t>Nº</w:t>
            </w:r>
            <w:r w:rsidR="003F6D90" w:rsidRPr="00383E2D">
              <w:rPr>
                <w:rFonts w:ascii="Cambria" w:hAnsi="Cambria"/>
                <w:b/>
                <w:color w:val="000000"/>
                <w:sz w:val="20"/>
                <w:szCs w:val="20"/>
                <w:lang w:val="es-ES"/>
              </w:rPr>
              <w:t xml:space="preserve">: </w:t>
            </w:r>
            <w:hyperlink r:id="rId10" w:history="1">
              <w:r w:rsidR="003F6D90" w:rsidRPr="00383E2D">
                <w:rPr>
                  <w:rStyle w:val="Hyperlink"/>
                  <w:rFonts w:ascii="Cambria" w:hAnsi="Cambria"/>
                  <w:color w:val="000000"/>
                  <w:sz w:val="20"/>
                  <w:szCs w:val="20"/>
                  <w:lang w:val="es-ES"/>
                </w:rPr>
                <w:t>80/01</w:t>
              </w:r>
            </w:hyperlink>
            <w:r w:rsidR="003F6D90" w:rsidRPr="00383E2D">
              <w:rPr>
                <w:rFonts w:ascii="Cambria" w:hAnsi="Cambria"/>
                <w:color w:val="000000"/>
                <w:sz w:val="20"/>
                <w:szCs w:val="20"/>
                <w:lang w:val="es-ES"/>
              </w:rPr>
              <w:t xml:space="preserve">, </w:t>
            </w:r>
            <w:r w:rsidR="00F85F0F" w:rsidRPr="00383E2D">
              <w:rPr>
                <w:rFonts w:ascii="Cambria" w:hAnsi="Cambria"/>
                <w:color w:val="000000"/>
                <w:sz w:val="20"/>
                <w:szCs w:val="20"/>
                <w:lang w:val="es-ES"/>
              </w:rPr>
              <w:t xml:space="preserve">adoptado el 10 de octubre de </w:t>
            </w:r>
            <w:r w:rsidR="003F6D90" w:rsidRPr="00383E2D">
              <w:rPr>
                <w:rFonts w:ascii="Cambria" w:hAnsi="Cambria"/>
                <w:color w:val="000000"/>
                <w:sz w:val="20"/>
                <w:szCs w:val="20"/>
                <w:lang w:val="es-ES"/>
              </w:rPr>
              <w:t>2001</w:t>
            </w:r>
          </w:p>
          <w:p w14:paraId="3E7A0048" w14:textId="77777777" w:rsidR="002A5E09" w:rsidRPr="00383E2D" w:rsidRDefault="00627B50" w:rsidP="00E75539">
            <w:pPr>
              <w:spacing w:after="120" w:line="240" w:lineRule="auto"/>
              <w:jc w:val="both"/>
              <w:rPr>
                <w:rFonts w:ascii="Cambria" w:hAnsi="Cambria"/>
                <w:color w:val="000000"/>
                <w:sz w:val="20"/>
                <w:szCs w:val="20"/>
                <w:lang w:val="es-ES"/>
              </w:rPr>
            </w:pPr>
            <w:r w:rsidRPr="00383E2D">
              <w:rPr>
                <w:rFonts w:ascii="Cambria" w:hAnsi="Cambria"/>
                <w:b/>
                <w:color w:val="000000"/>
                <w:sz w:val="20"/>
                <w:szCs w:val="20"/>
                <w:lang w:val="es-ES"/>
              </w:rPr>
              <w:t>Temas</w:t>
            </w:r>
            <w:r w:rsidR="003F6D90" w:rsidRPr="00383E2D">
              <w:rPr>
                <w:rFonts w:ascii="Cambria" w:hAnsi="Cambria"/>
                <w:b/>
                <w:color w:val="000000"/>
                <w:sz w:val="20"/>
                <w:szCs w:val="20"/>
                <w:lang w:val="es-ES"/>
              </w:rPr>
              <w:t xml:space="preserve">: </w:t>
            </w:r>
            <w:r w:rsidR="002A5E09" w:rsidRPr="00383E2D">
              <w:rPr>
                <w:rFonts w:ascii="Cambria" w:eastAsia="Times New Roman" w:hAnsi="Cambria"/>
                <w:color w:val="000000"/>
                <w:sz w:val="20"/>
                <w:szCs w:val="20"/>
                <w:lang w:val="es-MX" w:eastAsia="es-MX"/>
              </w:rPr>
              <w:t>Deber de Adoptar Medidas y Disposiciones de Derecho Interno</w:t>
            </w:r>
            <w:r w:rsidR="002A5E09" w:rsidRPr="00383E2D">
              <w:rPr>
                <w:rFonts w:ascii="Cambria" w:hAnsi="Cambria"/>
                <w:color w:val="000000"/>
                <w:sz w:val="20"/>
                <w:szCs w:val="20"/>
                <w:lang w:val="es-ES"/>
              </w:rPr>
              <w:t xml:space="preserve"> / Derecho a la Vida / Derecho a la Libertad Personal / Garantías Judiciales / Protección Judicial / Detención Arbitraria </w:t>
            </w:r>
            <w:r w:rsidR="004A6427" w:rsidRPr="00383E2D">
              <w:rPr>
                <w:rFonts w:ascii="Cambria" w:hAnsi="Cambria"/>
                <w:color w:val="000000"/>
                <w:sz w:val="20"/>
                <w:szCs w:val="20"/>
                <w:lang w:val="es-ES"/>
              </w:rPr>
              <w:t xml:space="preserve">/ </w:t>
            </w:r>
            <w:r w:rsidR="004A6427" w:rsidRPr="00383E2D">
              <w:rPr>
                <w:rFonts w:ascii="Cambria" w:eastAsia="Times New Roman" w:hAnsi="Cambria"/>
                <w:color w:val="000000"/>
                <w:sz w:val="20"/>
                <w:szCs w:val="20"/>
                <w:lang w:val="es-MX" w:eastAsia="es-MX"/>
              </w:rPr>
              <w:t>Investigación y Debida Diligencia</w:t>
            </w:r>
          </w:p>
          <w:p w14:paraId="6969A079" w14:textId="77777777" w:rsidR="003F6D90" w:rsidRPr="00383E2D" w:rsidRDefault="00627B50" w:rsidP="00E75539">
            <w:pPr>
              <w:spacing w:after="120" w:line="240" w:lineRule="auto"/>
              <w:jc w:val="both"/>
              <w:rPr>
                <w:rFonts w:ascii="Cambria" w:hAnsi="Cambria"/>
                <w:color w:val="000000"/>
                <w:sz w:val="20"/>
                <w:szCs w:val="20"/>
                <w:lang w:val="es-ES"/>
              </w:rPr>
            </w:pPr>
            <w:r w:rsidRPr="00383E2D">
              <w:rPr>
                <w:rFonts w:ascii="Cambria" w:hAnsi="Cambria"/>
                <w:b/>
                <w:color w:val="000000"/>
                <w:sz w:val="20"/>
                <w:szCs w:val="20"/>
                <w:lang w:val="es-ES"/>
              </w:rPr>
              <w:t>Hechos</w:t>
            </w:r>
            <w:r w:rsidR="003F6D90" w:rsidRPr="00383E2D">
              <w:rPr>
                <w:rFonts w:ascii="Cambria" w:hAnsi="Cambria"/>
                <w:b/>
                <w:color w:val="000000"/>
                <w:sz w:val="20"/>
                <w:szCs w:val="20"/>
                <w:lang w:val="es-ES"/>
              </w:rPr>
              <w:t xml:space="preserve">: </w:t>
            </w:r>
            <w:r w:rsidR="00B25E3B" w:rsidRPr="00383E2D">
              <w:rPr>
                <w:rFonts w:ascii="Cambria" w:hAnsi="Cambria"/>
                <w:color w:val="000000"/>
                <w:sz w:val="20"/>
                <w:szCs w:val="20"/>
                <w:lang w:val="es-ES"/>
              </w:rPr>
              <w:t>Este caso se refiere a</w:t>
            </w:r>
            <w:r w:rsidR="003F6D90" w:rsidRPr="00383E2D">
              <w:rPr>
                <w:rFonts w:ascii="Cambria" w:hAnsi="Cambria"/>
                <w:color w:val="000000"/>
                <w:sz w:val="20"/>
                <w:szCs w:val="20"/>
                <w:lang w:val="es-ES"/>
              </w:rPr>
              <w:t xml:space="preserve"> </w:t>
            </w:r>
            <w:r w:rsidR="00B25E3B" w:rsidRPr="00383E2D">
              <w:rPr>
                <w:rFonts w:ascii="Cambria" w:hAnsi="Cambria"/>
                <w:color w:val="000000"/>
                <w:sz w:val="20"/>
                <w:szCs w:val="20"/>
                <w:lang w:val="es-ES"/>
              </w:rPr>
              <w:t>la desaparición d</w:t>
            </w:r>
            <w:r w:rsidR="00D27355" w:rsidRPr="00383E2D">
              <w:rPr>
                <w:rFonts w:ascii="Cambria" w:hAnsi="Cambria"/>
                <w:color w:val="000000"/>
                <w:sz w:val="20"/>
                <w:szCs w:val="20"/>
                <w:lang w:val="es-ES"/>
              </w:rPr>
              <w:t>el señor</w:t>
            </w:r>
            <w:r w:rsidR="000E5F4B" w:rsidRPr="00383E2D">
              <w:rPr>
                <w:rFonts w:ascii="Cambria" w:hAnsi="Cambria"/>
                <w:color w:val="000000"/>
                <w:sz w:val="20"/>
                <w:szCs w:val="20"/>
                <w:lang w:val="es-ES"/>
              </w:rPr>
              <w:t xml:space="preserve"> Franz Britton (también </w:t>
            </w:r>
            <w:r w:rsidR="00B25E3B" w:rsidRPr="00383E2D">
              <w:rPr>
                <w:rFonts w:ascii="Cambria" w:hAnsi="Cambria"/>
                <w:color w:val="000000"/>
                <w:sz w:val="20"/>
                <w:szCs w:val="20"/>
                <w:lang w:val="es-ES"/>
              </w:rPr>
              <w:t>conocido</w:t>
            </w:r>
            <w:r w:rsidR="000E5F4B" w:rsidRPr="00383E2D">
              <w:rPr>
                <w:rFonts w:ascii="Cambria" w:hAnsi="Cambria"/>
                <w:color w:val="000000"/>
                <w:sz w:val="20"/>
                <w:szCs w:val="20"/>
                <w:lang w:val="es-ES"/>
              </w:rPr>
              <w:t xml:space="preserve"> </w:t>
            </w:r>
            <w:r w:rsidR="00B25E3B" w:rsidRPr="00383E2D">
              <w:rPr>
                <w:rFonts w:ascii="Cambria" w:hAnsi="Cambria"/>
                <w:color w:val="000000"/>
                <w:sz w:val="20"/>
                <w:szCs w:val="20"/>
                <w:lang w:val="es-ES"/>
              </w:rPr>
              <w:t>como</w:t>
            </w:r>
            <w:r w:rsidR="003F6D90" w:rsidRPr="00383E2D">
              <w:rPr>
                <w:rFonts w:ascii="Cambria" w:hAnsi="Cambria"/>
                <w:color w:val="000000"/>
                <w:sz w:val="20"/>
                <w:szCs w:val="20"/>
                <w:lang w:val="es-ES"/>
              </w:rPr>
              <w:t xml:space="preserve"> Collie Wills</w:t>
            </w:r>
            <w:r w:rsidR="000E5F4B" w:rsidRPr="00383E2D">
              <w:rPr>
                <w:rFonts w:ascii="Cambria" w:hAnsi="Cambria"/>
                <w:color w:val="000000"/>
                <w:sz w:val="20"/>
                <w:szCs w:val="20"/>
                <w:lang w:val="es-ES"/>
              </w:rPr>
              <w:t>)</w:t>
            </w:r>
            <w:r w:rsidR="003F6D90" w:rsidRPr="00383E2D">
              <w:rPr>
                <w:rFonts w:ascii="Cambria" w:hAnsi="Cambria"/>
                <w:color w:val="000000"/>
                <w:sz w:val="20"/>
                <w:szCs w:val="20"/>
                <w:lang w:val="es-ES"/>
              </w:rPr>
              <w:t xml:space="preserve">, </w:t>
            </w:r>
            <w:r w:rsidR="00B25E3B" w:rsidRPr="00383E2D">
              <w:rPr>
                <w:rFonts w:ascii="Cambria" w:hAnsi="Cambria"/>
                <w:color w:val="000000"/>
                <w:sz w:val="20"/>
                <w:szCs w:val="20"/>
                <w:lang w:val="es-ES"/>
              </w:rPr>
              <w:t>qu</w:t>
            </w:r>
            <w:r w:rsidR="000E5F4B" w:rsidRPr="00383E2D">
              <w:rPr>
                <w:rFonts w:ascii="Cambria" w:hAnsi="Cambria"/>
                <w:color w:val="000000"/>
                <w:sz w:val="20"/>
                <w:szCs w:val="20"/>
                <w:lang w:val="es-ES"/>
              </w:rPr>
              <w:t xml:space="preserve">ien </w:t>
            </w:r>
            <w:r w:rsidR="00B25E3B" w:rsidRPr="00383E2D">
              <w:rPr>
                <w:rFonts w:ascii="Cambria" w:hAnsi="Cambria"/>
                <w:color w:val="000000"/>
                <w:sz w:val="20"/>
                <w:szCs w:val="20"/>
                <w:lang w:val="es-ES"/>
              </w:rPr>
              <w:t xml:space="preserve">fue arrestado por primera vez el </w:t>
            </w:r>
            <w:r w:rsidR="003F6D90" w:rsidRPr="00383E2D">
              <w:rPr>
                <w:rFonts w:ascii="Cambria" w:hAnsi="Cambria"/>
                <w:color w:val="000000"/>
                <w:sz w:val="20"/>
                <w:szCs w:val="20"/>
                <w:lang w:val="es-ES"/>
              </w:rPr>
              <w:t>19</w:t>
            </w:r>
            <w:r w:rsidR="00B25E3B" w:rsidRPr="00383E2D">
              <w:rPr>
                <w:rFonts w:ascii="Cambria" w:hAnsi="Cambria"/>
                <w:color w:val="000000"/>
                <w:sz w:val="20"/>
                <w:szCs w:val="20"/>
                <w:lang w:val="es-ES"/>
              </w:rPr>
              <w:t xml:space="preserve"> de enero de</w:t>
            </w:r>
            <w:r w:rsidR="003F6D90" w:rsidRPr="00383E2D">
              <w:rPr>
                <w:rFonts w:ascii="Cambria" w:hAnsi="Cambria"/>
                <w:color w:val="000000"/>
                <w:sz w:val="20"/>
                <w:szCs w:val="20"/>
                <w:lang w:val="es-ES"/>
              </w:rPr>
              <w:t xml:space="preserve"> 1999</w:t>
            </w:r>
            <w:r w:rsidR="00B25E3B" w:rsidRPr="00383E2D">
              <w:rPr>
                <w:rFonts w:ascii="Cambria" w:hAnsi="Cambria"/>
                <w:color w:val="000000"/>
                <w:sz w:val="20"/>
                <w:szCs w:val="20"/>
                <w:lang w:val="es-ES"/>
              </w:rPr>
              <w:t xml:space="preserve"> por agentes </w:t>
            </w:r>
            <w:r w:rsidR="000E5F4B" w:rsidRPr="00383E2D">
              <w:rPr>
                <w:rFonts w:ascii="Cambria" w:hAnsi="Cambria"/>
                <w:color w:val="000000"/>
                <w:sz w:val="20"/>
                <w:szCs w:val="20"/>
                <w:lang w:val="es-ES"/>
              </w:rPr>
              <w:t xml:space="preserve">de la policía en la estación policial de </w:t>
            </w:r>
            <w:r w:rsidR="003F6D90" w:rsidRPr="00383E2D">
              <w:rPr>
                <w:rFonts w:ascii="Cambria" w:hAnsi="Cambria"/>
                <w:color w:val="000000"/>
                <w:sz w:val="20"/>
                <w:szCs w:val="20"/>
                <w:lang w:val="es-ES"/>
              </w:rPr>
              <w:t>Cove and John</w:t>
            </w:r>
            <w:r w:rsidR="00B25E3B" w:rsidRPr="00383E2D">
              <w:rPr>
                <w:rFonts w:ascii="Cambria" w:hAnsi="Cambria"/>
                <w:color w:val="000000"/>
                <w:sz w:val="20"/>
                <w:szCs w:val="20"/>
                <w:lang w:val="es-ES"/>
              </w:rPr>
              <w:t xml:space="preserve">, </w:t>
            </w:r>
            <w:r w:rsidR="000E5F4B" w:rsidRPr="00383E2D">
              <w:rPr>
                <w:rFonts w:ascii="Cambria" w:hAnsi="Cambria"/>
                <w:color w:val="000000"/>
                <w:sz w:val="20"/>
                <w:szCs w:val="20"/>
                <w:lang w:val="es-ES"/>
              </w:rPr>
              <w:t xml:space="preserve">East Coast </w:t>
            </w:r>
            <w:r w:rsidR="003F6D90" w:rsidRPr="00383E2D">
              <w:rPr>
                <w:rFonts w:ascii="Cambria" w:hAnsi="Cambria"/>
                <w:color w:val="000000"/>
                <w:sz w:val="20"/>
                <w:szCs w:val="20"/>
                <w:lang w:val="es-ES"/>
              </w:rPr>
              <w:t>Demerara</w:t>
            </w:r>
            <w:r w:rsidR="000E5F4B" w:rsidRPr="00383E2D">
              <w:rPr>
                <w:rFonts w:ascii="Cambria" w:hAnsi="Cambria"/>
                <w:color w:val="000000"/>
                <w:sz w:val="20"/>
                <w:szCs w:val="20"/>
                <w:lang w:val="es-ES"/>
              </w:rPr>
              <w:t>,</w:t>
            </w:r>
            <w:r w:rsidR="00B25E3B" w:rsidRPr="00383E2D">
              <w:rPr>
                <w:rFonts w:ascii="Cambria" w:hAnsi="Cambria"/>
                <w:color w:val="000000"/>
                <w:sz w:val="20"/>
                <w:szCs w:val="20"/>
                <w:lang w:val="es-ES"/>
              </w:rPr>
              <w:t xml:space="preserve"> </w:t>
            </w:r>
            <w:r w:rsidR="003F6D90" w:rsidRPr="00383E2D">
              <w:rPr>
                <w:rFonts w:ascii="Cambria" w:hAnsi="Cambria"/>
                <w:color w:val="000000"/>
                <w:sz w:val="20"/>
                <w:szCs w:val="20"/>
                <w:lang w:val="es-ES"/>
              </w:rPr>
              <w:t>Guyana. </w:t>
            </w:r>
            <w:r w:rsidR="00B25E3B" w:rsidRPr="00383E2D">
              <w:rPr>
                <w:rFonts w:ascii="Cambria" w:hAnsi="Cambria"/>
                <w:color w:val="000000"/>
                <w:sz w:val="20"/>
                <w:szCs w:val="20"/>
                <w:lang w:val="es-ES"/>
              </w:rPr>
              <w:t>E</w:t>
            </w:r>
            <w:r w:rsidR="00D27355" w:rsidRPr="00383E2D">
              <w:rPr>
                <w:rFonts w:ascii="Cambria" w:hAnsi="Cambria"/>
                <w:color w:val="000000"/>
                <w:sz w:val="20"/>
                <w:szCs w:val="20"/>
                <w:lang w:val="es-ES"/>
              </w:rPr>
              <w:t>l señor</w:t>
            </w:r>
            <w:r w:rsidR="003F6D90" w:rsidRPr="00383E2D">
              <w:rPr>
                <w:rFonts w:ascii="Cambria" w:hAnsi="Cambria"/>
                <w:color w:val="000000"/>
                <w:sz w:val="20"/>
                <w:szCs w:val="20"/>
                <w:lang w:val="es-ES"/>
              </w:rPr>
              <w:t xml:space="preserve"> Britton </w:t>
            </w:r>
            <w:r w:rsidR="00B25E3B" w:rsidRPr="00383E2D">
              <w:rPr>
                <w:rFonts w:ascii="Cambria" w:hAnsi="Cambria"/>
                <w:color w:val="000000"/>
                <w:sz w:val="20"/>
                <w:szCs w:val="20"/>
                <w:lang w:val="es-ES"/>
              </w:rPr>
              <w:t xml:space="preserve">fue puesto en libertad el </w:t>
            </w:r>
            <w:r w:rsidR="003F6D90" w:rsidRPr="00383E2D">
              <w:rPr>
                <w:rFonts w:ascii="Cambria" w:hAnsi="Cambria"/>
                <w:color w:val="000000"/>
                <w:sz w:val="20"/>
                <w:szCs w:val="20"/>
                <w:lang w:val="es-ES"/>
              </w:rPr>
              <w:t>23</w:t>
            </w:r>
            <w:r w:rsidR="00B25E3B" w:rsidRPr="00383E2D">
              <w:rPr>
                <w:rFonts w:ascii="Cambria" w:hAnsi="Cambria"/>
                <w:color w:val="000000"/>
                <w:sz w:val="20"/>
                <w:szCs w:val="20"/>
                <w:lang w:val="es-ES"/>
              </w:rPr>
              <w:t xml:space="preserve"> de enero de</w:t>
            </w:r>
            <w:r w:rsidR="003F6D90" w:rsidRPr="00383E2D">
              <w:rPr>
                <w:rFonts w:ascii="Cambria" w:hAnsi="Cambria"/>
                <w:color w:val="000000"/>
                <w:sz w:val="20"/>
                <w:szCs w:val="20"/>
                <w:lang w:val="es-ES"/>
              </w:rPr>
              <w:t xml:space="preserve"> 1999</w:t>
            </w:r>
            <w:r w:rsidR="00B25E3B" w:rsidRPr="00383E2D">
              <w:rPr>
                <w:rFonts w:ascii="Cambria" w:hAnsi="Cambria"/>
                <w:color w:val="000000"/>
                <w:sz w:val="20"/>
                <w:szCs w:val="20"/>
                <w:lang w:val="es-ES"/>
              </w:rPr>
              <w:t xml:space="preserve">, pero fue arrestado nuevamente el </w:t>
            </w:r>
            <w:r w:rsidR="003F6D90" w:rsidRPr="00383E2D">
              <w:rPr>
                <w:rFonts w:ascii="Cambria" w:hAnsi="Cambria"/>
                <w:color w:val="000000"/>
                <w:sz w:val="20"/>
                <w:szCs w:val="20"/>
                <w:lang w:val="es-ES"/>
              </w:rPr>
              <w:t>25</w:t>
            </w:r>
            <w:r w:rsidR="00B25E3B" w:rsidRPr="00383E2D">
              <w:rPr>
                <w:rFonts w:ascii="Cambria" w:hAnsi="Cambria"/>
                <w:color w:val="000000"/>
                <w:sz w:val="20"/>
                <w:szCs w:val="20"/>
                <w:lang w:val="es-ES"/>
              </w:rPr>
              <w:t xml:space="preserve"> de enero de</w:t>
            </w:r>
            <w:r w:rsidR="003F6D90" w:rsidRPr="00383E2D">
              <w:rPr>
                <w:rFonts w:ascii="Cambria" w:hAnsi="Cambria"/>
                <w:color w:val="000000"/>
                <w:sz w:val="20"/>
                <w:szCs w:val="20"/>
                <w:lang w:val="es-ES"/>
              </w:rPr>
              <w:t xml:space="preserve"> 1999 </w:t>
            </w:r>
            <w:r w:rsidR="00B25E3B" w:rsidRPr="00383E2D">
              <w:rPr>
                <w:rFonts w:ascii="Cambria" w:hAnsi="Cambria"/>
                <w:color w:val="000000"/>
                <w:sz w:val="20"/>
                <w:szCs w:val="20"/>
                <w:lang w:val="es-ES"/>
              </w:rPr>
              <w:t xml:space="preserve">y detenido en </w:t>
            </w:r>
            <w:r w:rsidR="00C7598D" w:rsidRPr="00383E2D">
              <w:rPr>
                <w:rFonts w:ascii="Cambria" w:hAnsi="Cambria"/>
                <w:color w:val="000000"/>
                <w:sz w:val="20"/>
                <w:szCs w:val="20"/>
                <w:lang w:val="es-ES"/>
              </w:rPr>
              <w:t xml:space="preserve">la misma estación de policía </w:t>
            </w:r>
            <w:r w:rsidR="00B25E3B" w:rsidRPr="00383E2D">
              <w:rPr>
                <w:rFonts w:ascii="Cambria" w:hAnsi="Cambria"/>
                <w:color w:val="000000"/>
                <w:sz w:val="20"/>
                <w:szCs w:val="20"/>
                <w:lang w:val="es-ES"/>
              </w:rPr>
              <w:t xml:space="preserve">por una división de la policía conocida como </w:t>
            </w:r>
            <w:r w:rsidR="00C7598D" w:rsidRPr="00383E2D">
              <w:rPr>
                <w:rFonts w:ascii="Cambria" w:hAnsi="Cambria"/>
                <w:color w:val="000000"/>
                <w:sz w:val="20"/>
                <w:szCs w:val="20"/>
                <w:lang w:val="es-ES"/>
              </w:rPr>
              <w:t xml:space="preserve">el </w:t>
            </w:r>
            <w:r w:rsidR="00B25E3B" w:rsidRPr="00383E2D">
              <w:rPr>
                <w:rFonts w:ascii="Cambria" w:hAnsi="Cambria"/>
                <w:color w:val="000000"/>
                <w:sz w:val="20"/>
                <w:szCs w:val="20"/>
                <w:lang w:val="es-ES"/>
              </w:rPr>
              <w:t>Grupo de Reacción Rápida o “</w:t>
            </w:r>
            <w:proofErr w:type="gramStart"/>
            <w:r w:rsidR="00C7598D" w:rsidRPr="00383E2D">
              <w:rPr>
                <w:rFonts w:ascii="Cambria" w:hAnsi="Cambria"/>
                <w:color w:val="000000"/>
                <w:sz w:val="20"/>
                <w:szCs w:val="20"/>
                <w:lang w:val="es-ES"/>
              </w:rPr>
              <w:t xml:space="preserve">ropa </w:t>
            </w:r>
            <w:r w:rsidR="00B25E3B" w:rsidRPr="00383E2D">
              <w:rPr>
                <w:rFonts w:ascii="Cambria" w:hAnsi="Cambria"/>
                <w:color w:val="000000"/>
                <w:sz w:val="20"/>
                <w:szCs w:val="20"/>
                <w:lang w:val="es-ES"/>
              </w:rPr>
              <w:t>negras</w:t>
            </w:r>
            <w:proofErr w:type="gramEnd"/>
            <w:r w:rsidR="00B25E3B" w:rsidRPr="00383E2D">
              <w:rPr>
                <w:rFonts w:ascii="Cambria" w:hAnsi="Cambria"/>
                <w:color w:val="000000"/>
                <w:sz w:val="20"/>
                <w:szCs w:val="20"/>
                <w:lang w:val="es-ES"/>
              </w:rPr>
              <w:t xml:space="preserve">”. </w:t>
            </w:r>
            <w:r w:rsidR="00C7598D" w:rsidRPr="00383E2D">
              <w:rPr>
                <w:rFonts w:ascii="Cambria" w:hAnsi="Cambria"/>
                <w:color w:val="000000"/>
                <w:sz w:val="20"/>
                <w:szCs w:val="20"/>
                <w:lang w:val="es-ES"/>
              </w:rPr>
              <w:t>El señor Britton no ha sido</w:t>
            </w:r>
            <w:r w:rsidR="00B25E3B" w:rsidRPr="00383E2D">
              <w:rPr>
                <w:rFonts w:ascii="Cambria" w:hAnsi="Cambria"/>
                <w:color w:val="000000"/>
                <w:sz w:val="20"/>
                <w:szCs w:val="20"/>
                <w:lang w:val="es-ES"/>
              </w:rPr>
              <w:t xml:space="preserve"> visto desde el </w:t>
            </w:r>
            <w:r w:rsidR="003F6D90" w:rsidRPr="00383E2D">
              <w:rPr>
                <w:rFonts w:ascii="Cambria" w:hAnsi="Cambria"/>
                <w:color w:val="000000"/>
                <w:sz w:val="20"/>
                <w:szCs w:val="20"/>
                <w:lang w:val="es-ES"/>
              </w:rPr>
              <w:t>25</w:t>
            </w:r>
            <w:r w:rsidR="00B25E3B" w:rsidRPr="00383E2D">
              <w:rPr>
                <w:rFonts w:ascii="Cambria" w:hAnsi="Cambria"/>
                <w:color w:val="000000"/>
                <w:sz w:val="20"/>
                <w:szCs w:val="20"/>
                <w:lang w:val="es-ES"/>
              </w:rPr>
              <w:t xml:space="preserve"> de enero de</w:t>
            </w:r>
            <w:r w:rsidR="003F6D90" w:rsidRPr="00383E2D">
              <w:rPr>
                <w:rFonts w:ascii="Cambria" w:hAnsi="Cambria"/>
                <w:color w:val="000000"/>
                <w:sz w:val="20"/>
                <w:szCs w:val="20"/>
                <w:lang w:val="es-ES"/>
              </w:rPr>
              <w:t xml:space="preserve"> 1999 </w:t>
            </w:r>
            <w:r w:rsidR="00B25E3B" w:rsidRPr="00383E2D">
              <w:rPr>
                <w:rFonts w:ascii="Cambria" w:hAnsi="Cambria"/>
                <w:color w:val="000000"/>
                <w:sz w:val="20"/>
                <w:szCs w:val="20"/>
                <w:lang w:val="es-ES"/>
              </w:rPr>
              <w:t>y se desconoce su paradero, a pesar de l</w:t>
            </w:r>
            <w:r w:rsidR="00123312" w:rsidRPr="00383E2D">
              <w:rPr>
                <w:rFonts w:ascii="Cambria" w:hAnsi="Cambria"/>
                <w:color w:val="000000"/>
                <w:sz w:val="20"/>
                <w:szCs w:val="20"/>
                <w:lang w:val="es-ES"/>
              </w:rPr>
              <w:t>o</w:t>
            </w:r>
            <w:r w:rsidR="00B25E3B" w:rsidRPr="00383E2D">
              <w:rPr>
                <w:rFonts w:ascii="Cambria" w:hAnsi="Cambria"/>
                <w:color w:val="000000"/>
                <w:sz w:val="20"/>
                <w:szCs w:val="20"/>
                <w:lang w:val="es-ES"/>
              </w:rPr>
              <w:t xml:space="preserve">s </w:t>
            </w:r>
            <w:r w:rsidR="00123312" w:rsidRPr="00383E2D">
              <w:rPr>
                <w:rFonts w:ascii="Cambria" w:hAnsi="Cambria"/>
                <w:color w:val="000000"/>
                <w:sz w:val="20"/>
                <w:szCs w:val="20"/>
                <w:lang w:val="es-ES"/>
              </w:rPr>
              <w:t>numerosos pedidos de información cursados a</w:t>
            </w:r>
            <w:r w:rsidR="00B40CF4" w:rsidRPr="00383E2D">
              <w:rPr>
                <w:rFonts w:ascii="Cambria" w:hAnsi="Cambria"/>
                <w:color w:val="000000"/>
                <w:sz w:val="20"/>
                <w:szCs w:val="20"/>
                <w:lang w:val="es-ES"/>
              </w:rPr>
              <w:t>l Estado</w:t>
            </w:r>
            <w:r w:rsidR="003F6D90" w:rsidRPr="00383E2D">
              <w:rPr>
                <w:rFonts w:ascii="Cambria" w:hAnsi="Cambria"/>
                <w:color w:val="000000"/>
                <w:sz w:val="20"/>
                <w:szCs w:val="20"/>
                <w:lang w:val="es-ES"/>
              </w:rPr>
              <w:t xml:space="preserve">. </w:t>
            </w:r>
          </w:p>
          <w:p w14:paraId="143E2564" w14:textId="77777777" w:rsidR="003F6D90" w:rsidRPr="00383E2D" w:rsidRDefault="00627B50" w:rsidP="00E75539">
            <w:pPr>
              <w:spacing w:after="120" w:line="240" w:lineRule="auto"/>
              <w:jc w:val="both"/>
              <w:rPr>
                <w:rFonts w:ascii="Cambria" w:hAnsi="Cambria"/>
                <w:snapToGrid w:val="0"/>
                <w:color w:val="000000"/>
                <w:sz w:val="20"/>
                <w:szCs w:val="20"/>
                <w:lang w:val="es-ES"/>
              </w:rPr>
            </w:pPr>
            <w:r w:rsidRPr="00383E2D">
              <w:rPr>
                <w:rFonts w:ascii="Cambria" w:hAnsi="Cambria"/>
                <w:b/>
                <w:color w:val="000000"/>
                <w:sz w:val="20"/>
                <w:szCs w:val="20"/>
                <w:lang w:val="es-ES"/>
              </w:rPr>
              <w:t>Derechos violados</w:t>
            </w:r>
            <w:r w:rsidR="003F6D90" w:rsidRPr="00383E2D">
              <w:rPr>
                <w:rFonts w:ascii="Cambria" w:hAnsi="Cambria"/>
                <w:b/>
                <w:color w:val="000000"/>
                <w:sz w:val="20"/>
                <w:szCs w:val="20"/>
                <w:lang w:val="es-ES"/>
              </w:rPr>
              <w:t xml:space="preserve">: </w:t>
            </w:r>
            <w:r w:rsidR="001447EA" w:rsidRPr="00383E2D">
              <w:rPr>
                <w:rFonts w:ascii="Cambria" w:hAnsi="Cambria"/>
                <w:snapToGrid w:val="0"/>
                <w:color w:val="000000"/>
                <w:sz w:val="20"/>
                <w:szCs w:val="20"/>
                <w:lang w:val="es-ES"/>
              </w:rPr>
              <w:t>La Comisión</w:t>
            </w:r>
            <w:r w:rsidR="003F6D90" w:rsidRPr="00383E2D">
              <w:rPr>
                <w:rFonts w:ascii="Cambria" w:hAnsi="Cambria"/>
                <w:snapToGrid w:val="0"/>
                <w:color w:val="000000"/>
                <w:sz w:val="20"/>
                <w:szCs w:val="20"/>
                <w:lang w:val="es-ES"/>
              </w:rPr>
              <w:t xml:space="preserve"> </w:t>
            </w:r>
            <w:r w:rsidR="00F306AD" w:rsidRPr="00383E2D">
              <w:rPr>
                <w:rFonts w:ascii="Cambria" w:hAnsi="Cambria"/>
                <w:snapToGrid w:val="0"/>
                <w:color w:val="000000"/>
                <w:sz w:val="20"/>
                <w:szCs w:val="20"/>
                <w:lang w:val="es-ES"/>
              </w:rPr>
              <w:t xml:space="preserve">concluyó que agentes de las fuerzas de seguridad del Estado secuestraron y/o detuvieron a Franz Britton y en los siguientes seis años no se determinó su paradero, con lo cual, el Estado ha violado los derechos de Franz Britton a la vida, la libertad, la protección judicial, al arresto arbitrario y al debido proceso de la ley, todos reconocidos, respectivamente, en los artículos I, XVIII, XXV, XXV y XXVI de la Declaración Americana.  </w:t>
            </w:r>
          </w:p>
        </w:tc>
      </w:tr>
    </w:tbl>
    <w:p w14:paraId="7186EE0C" w14:textId="77777777" w:rsidR="003F6D90" w:rsidRPr="00383E2D" w:rsidRDefault="003F6D90" w:rsidP="003F6D90">
      <w:pPr>
        <w:spacing w:after="0" w:line="240" w:lineRule="auto"/>
        <w:ind w:left="180"/>
        <w:rPr>
          <w:rFonts w:ascii="Cambria" w:hAnsi="Cambria"/>
          <w:color w:val="000000"/>
          <w:sz w:val="20"/>
          <w:szCs w:val="20"/>
          <w:lang w:val="es-ES"/>
        </w:rPr>
      </w:pPr>
    </w:p>
    <w:p w14:paraId="60674089" w14:textId="77777777" w:rsidR="003F6D90" w:rsidRPr="00383E2D" w:rsidRDefault="003F6D90" w:rsidP="003F6D90">
      <w:pPr>
        <w:numPr>
          <w:ilvl w:val="0"/>
          <w:numId w:val="1"/>
        </w:numPr>
        <w:spacing w:after="0" w:line="240" w:lineRule="auto"/>
        <w:ind w:left="1440"/>
        <w:jc w:val="both"/>
        <w:rPr>
          <w:rFonts w:ascii="Cambria" w:hAnsi="Cambria" w:cs="Calibri Light"/>
          <w:b/>
          <w:color w:val="000000"/>
          <w:sz w:val="20"/>
          <w:szCs w:val="20"/>
          <w:lang w:val="es-ES"/>
        </w:rPr>
      </w:pPr>
      <w:r w:rsidRPr="00383E2D">
        <w:rPr>
          <w:rFonts w:ascii="Cambria" w:hAnsi="Cambria" w:cs="Calibri Light"/>
          <w:b/>
          <w:color w:val="000000"/>
          <w:sz w:val="20"/>
          <w:szCs w:val="20"/>
          <w:lang w:val="es-ES"/>
        </w:rPr>
        <w:t>Recom</w:t>
      </w:r>
      <w:r w:rsidR="00627B50" w:rsidRPr="00383E2D">
        <w:rPr>
          <w:rFonts w:ascii="Cambria" w:hAnsi="Cambria" w:cs="Calibri Light"/>
          <w:b/>
          <w:color w:val="000000"/>
          <w:sz w:val="20"/>
          <w:szCs w:val="20"/>
          <w:lang w:val="es-ES"/>
        </w:rPr>
        <w:t xml:space="preserve">endaciones </w:t>
      </w:r>
    </w:p>
    <w:p w14:paraId="7423C379" w14:textId="77777777" w:rsidR="003F6D90" w:rsidRPr="00383E2D" w:rsidRDefault="003F6D90" w:rsidP="003F6D90">
      <w:pPr>
        <w:spacing w:after="0" w:line="240" w:lineRule="auto"/>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627B50" w:rsidRPr="00383E2D" w14:paraId="47789F0A" w14:textId="77777777" w:rsidTr="00627B50">
        <w:tc>
          <w:tcPr>
            <w:tcW w:w="7290" w:type="dxa"/>
            <w:shd w:val="clear" w:color="auto" w:fill="auto"/>
            <w:vAlign w:val="center"/>
          </w:tcPr>
          <w:p w14:paraId="1B0EF4E4" w14:textId="77777777" w:rsidR="00627B50" w:rsidRPr="00383E2D" w:rsidRDefault="00627B50" w:rsidP="006E5913">
            <w:pPr>
              <w:spacing w:after="0" w:line="240" w:lineRule="auto"/>
              <w:jc w:val="center"/>
              <w:rPr>
                <w:rFonts w:ascii="Cambria" w:hAnsi="Cambria" w:cs="Calibri Light"/>
                <w:b/>
                <w:color w:val="000000"/>
                <w:sz w:val="18"/>
                <w:szCs w:val="18"/>
                <w:lang w:val="es-ES"/>
              </w:rPr>
            </w:pPr>
            <w:r w:rsidRPr="00383E2D">
              <w:rPr>
                <w:rFonts w:ascii="Cambria" w:hAnsi="Cambria" w:cs="Calibri Light"/>
                <w:b/>
                <w:color w:val="000000"/>
                <w:sz w:val="18"/>
                <w:szCs w:val="18"/>
                <w:lang w:val="es-ES"/>
              </w:rPr>
              <w:t>Recomendaciones</w:t>
            </w:r>
          </w:p>
        </w:tc>
        <w:tc>
          <w:tcPr>
            <w:tcW w:w="2250" w:type="dxa"/>
            <w:shd w:val="clear" w:color="auto" w:fill="auto"/>
            <w:vAlign w:val="center"/>
          </w:tcPr>
          <w:p w14:paraId="27D59317" w14:textId="77777777" w:rsidR="00627B50" w:rsidRPr="00383E2D" w:rsidRDefault="00627B50" w:rsidP="006E5913">
            <w:pPr>
              <w:spacing w:after="0" w:line="240" w:lineRule="auto"/>
              <w:jc w:val="center"/>
              <w:rPr>
                <w:rFonts w:ascii="Cambria" w:hAnsi="Cambria" w:cs="Calibri Light"/>
                <w:b/>
                <w:color w:val="000000"/>
                <w:sz w:val="18"/>
                <w:szCs w:val="18"/>
                <w:lang w:val="es-ES"/>
              </w:rPr>
            </w:pPr>
            <w:r w:rsidRPr="00383E2D">
              <w:rPr>
                <w:rFonts w:ascii="Cambria" w:hAnsi="Cambria" w:cs="Calibri Light"/>
                <w:b/>
                <w:color w:val="000000"/>
                <w:sz w:val="18"/>
                <w:szCs w:val="18"/>
                <w:lang w:val="es-ES"/>
              </w:rPr>
              <w:t>E</w:t>
            </w:r>
            <w:r w:rsidR="00DD7E0A" w:rsidRPr="00383E2D">
              <w:rPr>
                <w:rFonts w:ascii="Cambria" w:hAnsi="Cambria" w:cs="Calibri Light"/>
                <w:b/>
                <w:color w:val="000000"/>
                <w:sz w:val="18"/>
                <w:szCs w:val="18"/>
                <w:lang w:val="es-ES"/>
              </w:rPr>
              <w:t xml:space="preserve">stado de cumplimiento en el </w:t>
            </w:r>
            <w:r w:rsidR="00356FA7" w:rsidRPr="00383E2D">
              <w:rPr>
                <w:rFonts w:ascii="Cambria" w:hAnsi="Cambria" w:cs="Calibri Light"/>
                <w:b/>
                <w:color w:val="000000"/>
                <w:sz w:val="18"/>
                <w:szCs w:val="18"/>
                <w:lang w:val="es-ES"/>
              </w:rPr>
              <w:t>2021</w:t>
            </w:r>
          </w:p>
        </w:tc>
      </w:tr>
      <w:tr w:rsidR="003F6D90" w:rsidRPr="00383E2D" w14:paraId="1A8D8509" w14:textId="77777777" w:rsidTr="00627B50">
        <w:tc>
          <w:tcPr>
            <w:tcW w:w="7290" w:type="dxa"/>
            <w:shd w:val="clear" w:color="auto" w:fill="auto"/>
          </w:tcPr>
          <w:p w14:paraId="797A199F" w14:textId="77777777" w:rsidR="003F6D90" w:rsidRPr="00383E2D" w:rsidRDefault="003F6D90" w:rsidP="00E75539">
            <w:pPr>
              <w:pStyle w:val="ListParagraph"/>
              <w:spacing w:after="0" w:line="240" w:lineRule="auto"/>
              <w:ind w:left="0"/>
              <w:jc w:val="both"/>
              <w:rPr>
                <w:rFonts w:ascii="Cambria" w:hAnsi="Cambria"/>
                <w:color w:val="000000"/>
                <w:sz w:val="18"/>
                <w:szCs w:val="18"/>
                <w:lang w:val="es-ES"/>
              </w:rPr>
            </w:pPr>
            <w:r w:rsidRPr="00383E2D">
              <w:rPr>
                <w:rFonts w:ascii="Cambria" w:hAnsi="Cambria"/>
                <w:color w:val="000000"/>
                <w:sz w:val="18"/>
                <w:szCs w:val="18"/>
                <w:lang w:val="es-ES"/>
              </w:rPr>
              <w:t xml:space="preserve">1. </w:t>
            </w:r>
            <w:r w:rsidR="00200405" w:rsidRPr="00383E2D">
              <w:rPr>
                <w:rFonts w:ascii="Cambria" w:hAnsi="Cambria"/>
                <w:color w:val="000000"/>
                <w:sz w:val="18"/>
                <w:szCs w:val="18"/>
                <w:lang w:val="es-ES"/>
              </w:rPr>
              <w:t>Realice una investigación seria, imparcial y efectiva mediante los órganos competentes para establecer el paradero de Franz Britton e identificar a los responsables por su detención-desaparición, y, mediante procedimientos criminales, condene a los responsables de tales actos conforme a la ley.</w:t>
            </w:r>
          </w:p>
        </w:tc>
        <w:tc>
          <w:tcPr>
            <w:tcW w:w="2250" w:type="dxa"/>
            <w:shd w:val="clear" w:color="auto" w:fill="auto"/>
            <w:vAlign w:val="center"/>
          </w:tcPr>
          <w:p w14:paraId="5C35E48B" w14:textId="77777777" w:rsidR="003F6D90" w:rsidRPr="00383E2D" w:rsidRDefault="009413D3" w:rsidP="00E75539">
            <w:pPr>
              <w:spacing w:after="0" w:line="240" w:lineRule="auto"/>
              <w:jc w:val="center"/>
              <w:rPr>
                <w:rFonts w:ascii="Cambria" w:hAnsi="Cambria" w:cs="Calibri Light"/>
                <w:b/>
                <w:color w:val="000000"/>
                <w:sz w:val="18"/>
                <w:szCs w:val="18"/>
                <w:lang w:val="es-ES"/>
              </w:rPr>
            </w:pPr>
            <w:r w:rsidRPr="00383E2D">
              <w:rPr>
                <w:rFonts w:ascii="Cambria" w:hAnsi="Cambria" w:cs="Calibri"/>
                <w:color w:val="000000"/>
                <w:sz w:val="18"/>
                <w:szCs w:val="18"/>
                <w:lang w:val="es-ES"/>
              </w:rPr>
              <w:t>Pendiente de cumplimiento</w:t>
            </w:r>
          </w:p>
        </w:tc>
      </w:tr>
      <w:tr w:rsidR="003F6D90" w:rsidRPr="00383E2D" w14:paraId="54613E94" w14:textId="77777777" w:rsidTr="00627B50">
        <w:tc>
          <w:tcPr>
            <w:tcW w:w="7290" w:type="dxa"/>
            <w:shd w:val="clear" w:color="auto" w:fill="auto"/>
          </w:tcPr>
          <w:p w14:paraId="42356A42" w14:textId="77777777" w:rsidR="003F6D90" w:rsidRPr="00383E2D" w:rsidRDefault="003F6D90" w:rsidP="00E75539">
            <w:pPr>
              <w:pStyle w:val="ListParagraph"/>
              <w:spacing w:after="0" w:line="240" w:lineRule="auto"/>
              <w:ind w:left="0"/>
              <w:jc w:val="both"/>
              <w:rPr>
                <w:rFonts w:ascii="Cambria" w:hAnsi="Cambria"/>
                <w:color w:val="000000"/>
                <w:sz w:val="18"/>
                <w:szCs w:val="18"/>
                <w:lang w:val="es-ES"/>
              </w:rPr>
            </w:pPr>
            <w:r w:rsidRPr="00383E2D">
              <w:rPr>
                <w:rFonts w:ascii="Cambria" w:hAnsi="Cambria"/>
                <w:color w:val="000000"/>
                <w:sz w:val="18"/>
                <w:szCs w:val="18"/>
                <w:lang w:val="es-ES"/>
              </w:rPr>
              <w:t xml:space="preserve">2. </w:t>
            </w:r>
            <w:r w:rsidR="00200405" w:rsidRPr="00383E2D">
              <w:rPr>
                <w:rFonts w:ascii="Cambria" w:hAnsi="Cambria"/>
                <w:color w:val="000000"/>
                <w:sz w:val="18"/>
                <w:szCs w:val="18"/>
                <w:lang w:val="es-ES"/>
              </w:rPr>
              <w:t>Adopte las medidas legislativas u otras medidas necesarias para prevenir la reincidencia de hechos de esa naturaleza y proveer, en todos los casos, el acceso al debido proceso y a los medios efectivos para establecer el paradero y la suerte de cualquier persona que se encuentre bajo la custodia Estatal.</w:t>
            </w:r>
          </w:p>
        </w:tc>
        <w:tc>
          <w:tcPr>
            <w:tcW w:w="2250" w:type="dxa"/>
            <w:shd w:val="clear" w:color="auto" w:fill="auto"/>
            <w:vAlign w:val="center"/>
          </w:tcPr>
          <w:p w14:paraId="163A4477" w14:textId="77777777" w:rsidR="003F6D90" w:rsidRPr="00383E2D" w:rsidRDefault="009413D3" w:rsidP="00E75539">
            <w:pPr>
              <w:spacing w:after="0" w:line="240" w:lineRule="auto"/>
              <w:jc w:val="center"/>
              <w:rPr>
                <w:rFonts w:ascii="Cambria" w:hAnsi="Cambria" w:cs="Calibri Light"/>
                <w:b/>
                <w:color w:val="000000"/>
                <w:sz w:val="18"/>
                <w:szCs w:val="18"/>
                <w:lang w:val="es-ES"/>
              </w:rPr>
            </w:pPr>
            <w:r w:rsidRPr="00383E2D">
              <w:rPr>
                <w:rFonts w:ascii="Cambria" w:hAnsi="Cambria" w:cs="Calibri"/>
                <w:color w:val="000000"/>
                <w:sz w:val="18"/>
                <w:szCs w:val="18"/>
                <w:lang w:val="es-ES"/>
              </w:rPr>
              <w:t>Pendiente de cumplimiento</w:t>
            </w:r>
          </w:p>
        </w:tc>
      </w:tr>
      <w:tr w:rsidR="003F6D90" w:rsidRPr="00383E2D" w14:paraId="4B23A834" w14:textId="77777777" w:rsidTr="00627B50">
        <w:tc>
          <w:tcPr>
            <w:tcW w:w="7290" w:type="dxa"/>
            <w:shd w:val="clear" w:color="auto" w:fill="auto"/>
          </w:tcPr>
          <w:p w14:paraId="31AA9A32" w14:textId="77777777" w:rsidR="003F6D90" w:rsidRPr="00383E2D" w:rsidRDefault="003F6D90" w:rsidP="00E75539">
            <w:pPr>
              <w:pStyle w:val="ListParagraph"/>
              <w:spacing w:after="0" w:line="240" w:lineRule="auto"/>
              <w:ind w:left="0"/>
              <w:jc w:val="both"/>
              <w:rPr>
                <w:rFonts w:ascii="Cambria" w:hAnsi="Cambria" w:cs="Calibri Light"/>
                <w:color w:val="000000"/>
                <w:sz w:val="18"/>
                <w:szCs w:val="18"/>
                <w:lang w:val="es-ES"/>
              </w:rPr>
            </w:pPr>
            <w:r w:rsidRPr="00383E2D">
              <w:rPr>
                <w:rFonts w:ascii="Cambria" w:hAnsi="Cambria"/>
                <w:color w:val="000000"/>
                <w:sz w:val="18"/>
                <w:szCs w:val="18"/>
                <w:lang w:val="es-ES"/>
              </w:rPr>
              <w:t xml:space="preserve">3. </w:t>
            </w:r>
            <w:r w:rsidR="00200405" w:rsidRPr="00383E2D">
              <w:rPr>
                <w:rFonts w:ascii="Cambria" w:hAnsi="Cambria"/>
                <w:color w:val="000000"/>
                <w:sz w:val="18"/>
                <w:szCs w:val="18"/>
                <w:lang w:val="es-ES"/>
              </w:rPr>
              <w:t>Adoptar las medidas para hacer una reparación completa por las violaciones probadas, incluyendo las gestiones realizadas para hallar los restos de Franz Britton e informar a su familia sobre su paradero; haciendo los arreglos necesarios para satisfacer los deseos de su familia de saber del lugar final de su reposo; y facilitar a las reparaciones de los familiares de Franz Britton, incluyendo compensaciones morales y materiales, en compensación por el sufrimiento ocasionado por su desaparición y por no saber su verdadero destino.</w:t>
            </w:r>
          </w:p>
        </w:tc>
        <w:tc>
          <w:tcPr>
            <w:tcW w:w="2250" w:type="dxa"/>
            <w:shd w:val="clear" w:color="auto" w:fill="auto"/>
            <w:vAlign w:val="center"/>
          </w:tcPr>
          <w:p w14:paraId="78EA2F40" w14:textId="77777777" w:rsidR="003F6D90" w:rsidRPr="00383E2D" w:rsidRDefault="009413D3" w:rsidP="00E75539">
            <w:pPr>
              <w:spacing w:after="0" w:line="240" w:lineRule="auto"/>
              <w:jc w:val="center"/>
              <w:rPr>
                <w:rFonts w:ascii="Cambria" w:hAnsi="Cambria" w:cs="Calibri Light"/>
                <w:b/>
                <w:color w:val="000000"/>
                <w:sz w:val="18"/>
                <w:szCs w:val="18"/>
                <w:lang w:val="es-ES"/>
              </w:rPr>
            </w:pPr>
            <w:r w:rsidRPr="00383E2D">
              <w:rPr>
                <w:rFonts w:ascii="Cambria" w:hAnsi="Cambria" w:cs="Calibri"/>
                <w:color w:val="000000"/>
                <w:sz w:val="18"/>
                <w:szCs w:val="18"/>
                <w:lang w:val="es-ES"/>
              </w:rPr>
              <w:t>Pendiente de cumplimiento</w:t>
            </w:r>
          </w:p>
        </w:tc>
      </w:tr>
    </w:tbl>
    <w:p w14:paraId="31F8B9C5" w14:textId="77777777" w:rsidR="003F6D90" w:rsidRPr="00383E2D" w:rsidRDefault="003F6D90" w:rsidP="003F6D90">
      <w:pPr>
        <w:spacing w:after="0" w:line="240" w:lineRule="auto"/>
        <w:jc w:val="both"/>
        <w:rPr>
          <w:rFonts w:ascii="Cambria" w:hAnsi="Cambria" w:cs="Calibri Light"/>
          <w:b/>
          <w:color w:val="000000"/>
          <w:sz w:val="20"/>
          <w:szCs w:val="20"/>
          <w:lang w:val="es-ES"/>
        </w:rPr>
      </w:pPr>
    </w:p>
    <w:p w14:paraId="2DFB7D1B" w14:textId="77777777" w:rsidR="00356FA7" w:rsidRPr="00383E2D" w:rsidRDefault="00356FA7" w:rsidP="003F6D90">
      <w:pPr>
        <w:spacing w:after="0" w:line="240" w:lineRule="auto"/>
        <w:jc w:val="both"/>
        <w:rPr>
          <w:rFonts w:ascii="Cambria" w:hAnsi="Cambria" w:cs="Calibri Light"/>
          <w:b/>
          <w:color w:val="000000"/>
          <w:sz w:val="20"/>
          <w:szCs w:val="20"/>
          <w:lang w:val="es-ES"/>
        </w:rPr>
      </w:pPr>
    </w:p>
    <w:p w14:paraId="23FB33AD" w14:textId="77777777" w:rsidR="00356FA7" w:rsidRPr="00383E2D" w:rsidRDefault="00356FA7" w:rsidP="003F6D90">
      <w:pPr>
        <w:spacing w:after="0" w:line="240" w:lineRule="auto"/>
        <w:jc w:val="both"/>
        <w:rPr>
          <w:rFonts w:ascii="Cambria" w:hAnsi="Cambria" w:cs="Calibri Light"/>
          <w:b/>
          <w:color w:val="000000"/>
          <w:sz w:val="20"/>
          <w:szCs w:val="20"/>
          <w:lang w:val="es-ES"/>
        </w:rPr>
      </w:pPr>
    </w:p>
    <w:p w14:paraId="76FA3688" w14:textId="77777777" w:rsidR="00356FA7" w:rsidRPr="00383E2D" w:rsidRDefault="00356FA7" w:rsidP="003F6D90">
      <w:pPr>
        <w:spacing w:after="0" w:line="240" w:lineRule="auto"/>
        <w:jc w:val="both"/>
        <w:rPr>
          <w:rFonts w:ascii="Cambria" w:hAnsi="Cambria" w:cs="Calibri Light"/>
          <w:b/>
          <w:color w:val="000000"/>
          <w:sz w:val="20"/>
          <w:szCs w:val="20"/>
          <w:lang w:val="es-ES"/>
        </w:rPr>
      </w:pPr>
    </w:p>
    <w:p w14:paraId="780AF291" w14:textId="77777777" w:rsidR="003F6D90" w:rsidRPr="00383E2D" w:rsidRDefault="00627B50" w:rsidP="003F6D90">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383E2D">
        <w:rPr>
          <w:rFonts w:ascii="Cambria" w:hAnsi="Cambria"/>
          <w:b/>
          <w:color w:val="000000"/>
          <w:sz w:val="20"/>
          <w:szCs w:val="20"/>
          <w:lang w:val="es-ES"/>
        </w:rPr>
        <w:t>Actividad Procesal</w:t>
      </w:r>
    </w:p>
    <w:p w14:paraId="5708ABEC" w14:textId="77777777" w:rsidR="003C4D5B" w:rsidRPr="00383E2D" w:rsidRDefault="003C4D5B" w:rsidP="003C4D5B">
      <w:pPr>
        <w:pStyle w:val="ListParagraph"/>
        <w:spacing w:after="0" w:line="240" w:lineRule="auto"/>
        <w:ind w:left="1440"/>
        <w:jc w:val="both"/>
        <w:rPr>
          <w:rFonts w:ascii="Cambria" w:hAnsi="Cambria" w:cs="Calibri Light"/>
          <w:b/>
          <w:color w:val="000000"/>
          <w:sz w:val="20"/>
          <w:szCs w:val="20"/>
          <w:lang w:val="es-ES"/>
        </w:rPr>
      </w:pPr>
    </w:p>
    <w:p w14:paraId="02B85155" w14:textId="77777777" w:rsidR="0056226D" w:rsidRPr="00383E2D" w:rsidRDefault="0056226D" w:rsidP="0056226D">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 xml:space="preserve">La CIDH convocó una reunión de trabajo con las partes en el marco de su 173º Periodo de Sesiones </w:t>
      </w:r>
      <w:r w:rsidR="00FE6778" w:rsidRPr="00383E2D">
        <w:rPr>
          <w:rFonts w:ascii="Cambria" w:hAnsi="Cambria" w:cs="Calibri Light"/>
          <w:color w:val="000000"/>
          <w:sz w:val="20"/>
          <w:szCs w:val="20"/>
          <w:lang w:val="es-ES"/>
        </w:rPr>
        <w:t xml:space="preserve">para el </w:t>
      </w:r>
      <w:r w:rsidRPr="00383E2D">
        <w:rPr>
          <w:rFonts w:ascii="Cambria" w:hAnsi="Cambria" w:cs="Calibri Light"/>
          <w:color w:val="000000"/>
          <w:sz w:val="20"/>
          <w:szCs w:val="20"/>
          <w:lang w:val="es-ES"/>
        </w:rPr>
        <w:t>seguimiento a las recomendaciones emitidas en el Informe de Fondo Nº 1/06 para el 24 de septiembre de 2019. Dicha reunión fue cancelada por solicitud de los peticionarios.</w:t>
      </w:r>
    </w:p>
    <w:p w14:paraId="7414E020" w14:textId="77777777" w:rsidR="00EE2C0F" w:rsidRPr="00383E2D" w:rsidRDefault="00EE2C0F" w:rsidP="00EE2C0F">
      <w:pPr>
        <w:pStyle w:val="ListParagraph"/>
        <w:spacing w:after="0" w:line="240" w:lineRule="auto"/>
        <w:ind w:left="709"/>
        <w:jc w:val="both"/>
        <w:rPr>
          <w:rFonts w:ascii="Cambria" w:hAnsi="Cambria" w:cs="Calibri Light"/>
          <w:color w:val="000000"/>
          <w:sz w:val="20"/>
          <w:szCs w:val="20"/>
          <w:lang w:val="es-ES"/>
        </w:rPr>
      </w:pPr>
    </w:p>
    <w:p w14:paraId="5FE718F2" w14:textId="77777777" w:rsidR="00B56ADB" w:rsidRPr="00383E2D" w:rsidRDefault="00FE6778" w:rsidP="00B56ADB">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 xml:space="preserve">En </w:t>
      </w:r>
      <w:r w:rsidR="00B56ADB" w:rsidRPr="00383E2D">
        <w:rPr>
          <w:rFonts w:ascii="Cambria" w:hAnsi="Cambria" w:cs="Calibri Light"/>
          <w:color w:val="000000"/>
          <w:sz w:val="20"/>
          <w:szCs w:val="20"/>
          <w:lang w:val="es-ES"/>
        </w:rPr>
        <w:t>20</w:t>
      </w:r>
      <w:r w:rsidR="004B0D9A" w:rsidRPr="00383E2D">
        <w:rPr>
          <w:rFonts w:ascii="Cambria" w:hAnsi="Cambria" w:cs="Calibri Light"/>
          <w:color w:val="000000"/>
          <w:sz w:val="20"/>
          <w:szCs w:val="20"/>
          <w:lang w:val="es-ES"/>
        </w:rPr>
        <w:t>2</w:t>
      </w:r>
      <w:r w:rsidR="00356FA7" w:rsidRPr="00383E2D">
        <w:rPr>
          <w:rFonts w:ascii="Cambria" w:hAnsi="Cambria" w:cs="Calibri Light"/>
          <w:color w:val="000000"/>
          <w:sz w:val="20"/>
          <w:szCs w:val="20"/>
          <w:lang w:val="es-ES"/>
        </w:rPr>
        <w:t>1</w:t>
      </w:r>
      <w:r w:rsidR="00B56ADB" w:rsidRPr="00383E2D">
        <w:rPr>
          <w:rFonts w:ascii="Cambria" w:hAnsi="Cambria" w:cs="Calibri Light"/>
          <w:color w:val="000000"/>
          <w:sz w:val="20"/>
          <w:szCs w:val="20"/>
          <w:lang w:val="es-ES"/>
        </w:rPr>
        <w:t>, la CIDH solicitó información actualizada sobre el cumplimiento de las recomendaciones al Estado el 1</w:t>
      </w:r>
      <w:r w:rsidR="00356FA7" w:rsidRPr="00383E2D">
        <w:rPr>
          <w:rFonts w:ascii="Cambria" w:hAnsi="Cambria" w:cs="Calibri Light"/>
          <w:color w:val="000000"/>
          <w:sz w:val="20"/>
          <w:szCs w:val="20"/>
          <w:lang w:val="es-ES"/>
        </w:rPr>
        <w:t xml:space="preserve">6 </w:t>
      </w:r>
      <w:r w:rsidR="00EF72C2" w:rsidRPr="00383E2D">
        <w:rPr>
          <w:rFonts w:ascii="Cambria" w:hAnsi="Cambria" w:cs="Calibri Light"/>
          <w:color w:val="000000"/>
          <w:sz w:val="20"/>
          <w:szCs w:val="20"/>
          <w:lang w:val="es-ES"/>
        </w:rPr>
        <w:t xml:space="preserve">de </w:t>
      </w:r>
      <w:r w:rsidR="008A7DAF" w:rsidRPr="00383E2D">
        <w:rPr>
          <w:rFonts w:ascii="Cambria" w:hAnsi="Cambria" w:cs="Calibri Light"/>
          <w:color w:val="000000"/>
          <w:sz w:val="20"/>
          <w:szCs w:val="20"/>
          <w:lang w:val="es-ES"/>
        </w:rPr>
        <w:t>a</w:t>
      </w:r>
      <w:r w:rsidR="004B0D9A" w:rsidRPr="00383E2D">
        <w:rPr>
          <w:rFonts w:ascii="Cambria" w:hAnsi="Cambria" w:cs="Calibri Light"/>
          <w:color w:val="000000"/>
          <w:sz w:val="20"/>
          <w:szCs w:val="20"/>
          <w:lang w:val="es-ES"/>
        </w:rPr>
        <w:t>gosto</w:t>
      </w:r>
      <w:r w:rsidR="00356FA7" w:rsidRPr="00383E2D">
        <w:rPr>
          <w:rFonts w:ascii="Cambria" w:hAnsi="Cambria" w:cs="Calibri Light"/>
          <w:color w:val="000000"/>
          <w:sz w:val="20"/>
          <w:szCs w:val="20"/>
          <w:lang w:val="es-ES"/>
        </w:rPr>
        <w:t xml:space="preserve"> y el Estado presentó está información el 15 de octubre</w:t>
      </w:r>
      <w:r w:rsidR="00B56ADB" w:rsidRPr="00383E2D">
        <w:rPr>
          <w:rFonts w:ascii="Cambria" w:hAnsi="Cambria"/>
          <w:color w:val="000000"/>
          <w:sz w:val="20"/>
          <w:szCs w:val="20"/>
          <w:lang w:val="es-ES_tradnl"/>
        </w:rPr>
        <w:t>.</w:t>
      </w:r>
      <w:r w:rsidR="00281393" w:rsidRPr="00383E2D">
        <w:rPr>
          <w:rFonts w:ascii="Cambria" w:hAnsi="Cambria"/>
          <w:color w:val="000000"/>
          <w:sz w:val="20"/>
          <w:szCs w:val="20"/>
          <w:lang w:val="es-ES_tradnl"/>
        </w:rPr>
        <w:t xml:space="preserve"> </w:t>
      </w:r>
      <w:r w:rsidR="00356FA7" w:rsidRPr="00383E2D">
        <w:rPr>
          <w:rFonts w:ascii="Cambria" w:hAnsi="Cambria" w:cs="Calibri Light"/>
          <w:color w:val="000000"/>
          <w:sz w:val="20"/>
          <w:szCs w:val="20"/>
          <w:lang w:val="es-ES"/>
        </w:rPr>
        <w:t>La Comisión valora que el Estado haya presentado información después de 8 años.</w:t>
      </w:r>
      <w:r w:rsidR="00281393" w:rsidRPr="00383E2D">
        <w:rPr>
          <w:rFonts w:ascii="Cambria" w:hAnsi="Cambria" w:cs="Calibri Light"/>
          <w:color w:val="000000"/>
          <w:sz w:val="20"/>
          <w:szCs w:val="20"/>
          <w:lang w:val="es-ES"/>
        </w:rPr>
        <w:t xml:space="preserve">  </w:t>
      </w:r>
    </w:p>
    <w:p w14:paraId="3FB4ED48" w14:textId="77777777" w:rsidR="00356FA7" w:rsidRPr="00383E2D" w:rsidRDefault="00356FA7" w:rsidP="00356FA7">
      <w:pPr>
        <w:pStyle w:val="ListParagraph"/>
        <w:rPr>
          <w:rFonts w:ascii="Cambria" w:hAnsi="Cambria" w:cs="Calibri Light"/>
          <w:color w:val="000000"/>
          <w:sz w:val="20"/>
          <w:szCs w:val="20"/>
          <w:lang w:val="es-ES"/>
        </w:rPr>
      </w:pPr>
    </w:p>
    <w:p w14:paraId="1AFFB62E" w14:textId="77777777" w:rsidR="00356FA7" w:rsidRPr="00383E2D" w:rsidRDefault="00356FA7" w:rsidP="00806FEC">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 xml:space="preserve">En 2020, la CIDH solicitó información actualizada sobre el cumplimiento de las recomendaciones a los peticionarios el 16 de agosto. A la fecha de cierre de este informe, </w:t>
      </w:r>
      <w:r w:rsidRPr="00383E2D">
        <w:rPr>
          <w:rFonts w:ascii="Cambria" w:hAnsi="Cambria"/>
          <w:color w:val="000000"/>
          <w:sz w:val="20"/>
          <w:szCs w:val="20"/>
          <w:lang w:val="es-ES_tradnl"/>
        </w:rPr>
        <w:t xml:space="preserve">la Comisión no había recibido dicha información de ninguna de las partes. </w:t>
      </w:r>
      <w:r w:rsidRPr="00383E2D">
        <w:rPr>
          <w:rFonts w:ascii="Cambria" w:hAnsi="Cambria" w:cs="Calibri Light"/>
          <w:color w:val="000000"/>
          <w:sz w:val="20"/>
          <w:szCs w:val="20"/>
          <w:lang w:val="es-ES"/>
        </w:rPr>
        <w:t xml:space="preserve">La Comisión observa que los peticionarios no han presentado información sobre las medidas adoptadas para cumplir con las recomendaciones emitidas en el Informe de Fondo Nº 1/06 desde el 2018.  </w:t>
      </w:r>
    </w:p>
    <w:p w14:paraId="5EFCC013" w14:textId="77777777" w:rsidR="003F6D90" w:rsidRPr="00383E2D" w:rsidRDefault="003F6D90" w:rsidP="003F6D90">
      <w:pPr>
        <w:spacing w:after="0" w:line="240" w:lineRule="auto"/>
        <w:jc w:val="both"/>
        <w:rPr>
          <w:rFonts w:ascii="Cambria" w:hAnsi="Cambria" w:cs="Calibri Light"/>
          <w:color w:val="000000"/>
          <w:sz w:val="20"/>
          <w:szCs w:val="20"/>
          <w:lang w:val="es-ES"/>
        </w:rPr>
      </w:pPr>
    </w:p>
    <w:p w14:paraId="2161900A" w14:textId="77777777" w:rsidR="003F6D90" w:rsidRPr="00383E2D" w:rsidRDefault="00041238" w:rsidP="003F6D90">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383E2D">
        <w:rPr>
          <w:rFonts w:ascii="Cambria" w:hAnsi="Cambria" w:cs="Calibri Light"/>
          <w:b/>
          <w:color w:val="000000"/>
          <w:sz w:val="20"/>
          <w:szCs w:val="20"/>
          <w:lang w:val="es-ES"/>
        </w:rPr>
        <w:t>Análisis relativo a</w:t>
      </w:r>
      <w:r w:rsidR="00052573" w:rsidRPr="00383E2D">
        <w:rPr>
          <w:rFonts w:ascii="Cambria" w:hAnsi="Cambria" w:cs="Calibri Light"/>
          <w:b/>
          <w:color w:val="000000"/>
          <w:sz w:val="20"/>
          <w:szCs w:val="20"/>
          <w:lang w:val="es-ES"/>
        </w:rPr>
        <w:t xml:space="preserve"> la</w:t>
      </w:r>
      <w:r w:rsidRPr="00383E2D">
        <w:rPr>
          <w:rFonts w:ascii="Cambria" w:hAnsi="Cambria" w:cs="Calibri Light"/>
          <w:b/>
          <w:color w:val="000000"/>
          <w:sz w:val="20"/>
          <w:szCs w:val="20"/>
          <w:lang w:val="es-ES"/>
        </w:rPr>
        <w:t xml:space="preserve"> información proporcionada </w:t>
      </w:r>
      <w:r w:rsidR="003F6D90" w:rsidRPr="00383E2D">
        <w:rPr>
          <w:rFonts w:ascii="Cambria" w:hAnsi="Cambria" w:cs="Calibri Light"/>
          <w:b/>
          <w:color w:val="000000"/>
          <w:sz w:val="20"/>
          <w:szCs w:val="20"/>
          <w:lang w:val="es-ES"/>
        </w:rPr>
        <w:t xml:space="preserve"> </w:t>
      </w:r>
    </w:p>
    <w:p w14:paraId="36DFA221" w14:textId="77777777" w:rsidR="002E17D2" w:rsidRPr="00383E2D" w:rsidRDefault="002E17D2" w:rsidP="00B56ADB">
      <w:pPr>
        <w:spacing w:after="0" w:line="240" w:lineRule="auto"/>
        <w:jc w:val="both"/>
        <w:rPr>
          <w:rFonts w:ascii="Cambria" w:hAnsi="Cambria" w:cs="Calibri Light"/>
          <w:color w:val="000000"/>
          <w:sz w:val="20"/>
          <w:szCs w:val="20"/>
          <w:lang w:val="es-ES"/>
        </w:rPr>
      </w:pPr>
    </w:p>
    <w:p w14:paraId="3C5BA54E" w14:textId="77777777" w:rsidR="00A9044B" w:rsidRPr="00383E2D" w:rsidRDefault="00A9044B" w:rsidP="00A9044B">
      <w:pPr>
        <w:numPr>
          <w:ilvl w:val="0"/>
          <w:numId w:val="12"/>
        </w:numPr>
        <w:pBdr>
          <w:top w:val="nil"/>
          <w:left w:val="nil"/>
          <w:bottom w:val="nil"/>
          <w:right w:val="nil"/>
          <w:between w:val="nil"/>
          <w:bar w:val="nil"/>
        </w:pBdr>
        <w:spacing w:after="0" w:line="240" w:lineRule="auto"/>
        <w:ind w:left="0" w:firstLine="720"/>
        <w:jc w:val="both"/>
        <w:rPr>
          <w:rFonts w:ascii="Cambria" w:eastAsia="Cambria" w:hAnsi="Cambria" w:cs="Cambria"/>
          <w:color w:val="000000"/>
          <w:sz w:val="20"/>
          <w:szCs w:val="20"/>
          <w:lang w:val="es-ES_tradnl"/>
        </w:rPr>
      </w:pPr>
      <w:r w:rsidRPr="00383E2D">
        <w:rPr>
          <w:rFonts w:ascii="Cambria" w:eastAsia="Cambria" w:hAnsi="Cambria" w:cs="Cambria"/>
          <w:color w:val="000000"/>
          <w:sz w:val="20"/>
          <w:szCs w:val="20"/>
          <w:lang w:val="es-ES_tradnl"/>
        </w:rPr>
        <w:t xml:space="preserve">La Comisión considera que la información proporcionada por el Estado en 2021 no es relevante </w:t>
      </w:r>
      <w:r w:rsidRPr="00383E2D">
        <w:rPr>
          <w:rFonts w:ascii="Cambria" w:hAnsi="Cambria"/>
          <w:color w:val="000000"/>
          <w:sz w:val="20"/>
          <w:szCs w:val="20"/>
          <w:lang w:val="es-US"/>
        </w:rPr>
        <w:t>sobre medidas adoptadas relativas al cumplimiento de al menos una de las recomendaciones emitidas en el Informe</w:t>
      </w:r>
      <w:r w:rsidRPr="00383E2D">
        <w:rPr>
          <w:rFonts w:ascii="Cambria" w:hAnsi="Cambria" w:cs="Calibri Light"/>
          <w:color w:val="000000"/>
          <w:sz w:val="20"/>
          <w:szCs w:val="20"/>
          <w:lang w:val="es-ES"/>
        </w:rPr>
        <w:t xml:space="preserve"> </w:t>
      </w:r>
      <w:r w:rsidRPr="00383E2D">
        <w:rPr>
          <w:rFonts w:ascii="Cambria" w:eastAsia="Cambria" w:hAnsi="Cambria" w:cs="Cambria"/>
          <w:color w:val="000000"/>
          <w:sz w:val="20"/>
          <w:szCs w:val="20"/>
          <w:lang w:val="es-ES_tradnl"/>
        </w:rPr>
        <w:t>N° 1/06.</w:t>
      </w:r>
    </w:p>
    <w:p w14:paraId="22E16898" w14:textId="77777777" w:rsidR="003F6D90" w:rsidRPr="00383E2D" w:rsidRDefault="003F6D90" w:rsidP="00281393">
      <w:pPr>
        <w:spacing w:after="0" w:line="240" w:lineRule="auto"/>
        <w:jc w:val="both"/>
        <w:rPr>
          <w:rFonts w:ascii="Cambria" w:hAnsi="Cambria" w:cs="Calibri Light"/>
          <w:color w:val="000000"/>
          <w:sz w:val="20"/>
          <w:szCs w:val="20"/>
          <w:lang w:val="es-ES"/>
        </w:rPr>
      </w:pPr>
    </w:p>
    <w:p w14:paraId="3C765F18" w14:textId="77777777" w:rsidR="003F6D90" w:rsidRPr="00383E2D" w:rsidRDefault="00041238" w:rsidP="00041238">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383E2D">
        <w:rPr>
          <w:rFonts w:ascii="Cambria" w:hAnsi="Cambria" w:cs="Calibri Light"/>
          <w:b/>
          <w:color w:val="000000"/>
          <w:sz w:val="20"/>
          <w:szCs w:val="20"/>
          <w:lang w:val="es-ES"/>
        </w:rPr>
        <w:t xml:space="preserve">Análisis del cumplimiento de las recomendaciones </w:t>
      </w:r>
    </w:p>
    <w:p w14:paraId="242AE753" w14:textId="77777777" w:rsidR="003F6D90" w:rsidRPr="00383E2D" w:rsidRDefault="003F6D90" w:rsidP="003F6D90">
      <w:pPr>
        <w:spacing w:after="0" w:line="240" w:lineRule="auto"/>
        <w:jc w:val="both"/>
        <w:rPr>
          <w:rFonts w:ascii="Cambria" w:hAnsi="Cambria" w:cs="Calibri Light"/>
          <w:color w:val="000000"/>
          <w:sz w:val="20"/>
          <w:szCs w:val="20"/>
          <w:lang w:val="es-ES"/>
        </w:rPr>
      </w:pPr>
    </w:p>
    <w:p w14:paraId="1CF91932" w14:textId="77777777" w:rsidR="00641340" w:rsidRPr="00383E2D" w:rsidRDefault="00641340" w:rsidP="00641340">
      <w:pPr>
        <w:numPr>
          <w:ilvl w:val="0"/>
          <w:numId w:val="12"/>
        </w:numPr>
        <w:spacing w:after="0" w:line="240" w:lineRule="auto"/>
        <w:ind w:left="0" w:firstLine="720"/>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 xml:space="preserve">De manera preliminar, la CIDH toma nota de la información remitida en 2021 por el Estado en cuanto se refirió a las conclusiones incluidas en el Informe de Fondo del caso. Al respecto, señaló que la parte peticionaria no agotó los recursos internos disponibles sobre los hechos del caso. </w:t>
      </w:r>
    </w:p>
    <w:p w14:paraId="1B4855EE" w14:textId="77777777" w:rsidR="00641340" w:rsidRPr="00383E2D" w:rsidRDefault="00641340" w:rsidP="00641340">
      <w:pPr>
        <w:spacing w:after="0" w:line="240" w:lineRule="auto"/>
        <w:ind w:left="720"/>
        <w:jc w:val="both"/>
        <w:rPr>
          <w:rFonts w:ascii="Cambria" w:hAnsi="Cambria" w:cs="Calibri Light"/>
          <w:color w:val="000000"/>
          <w:sz w:val="20"/>
          <w:szCs w:val="20"/>
          <w:lang w:val="es-ES"/>
        </w:rPr>
      </w:pPr>
    </w:p>
    <w:p w14:paraId="411538DE" w14:textId="77777777" w:rsidR="00641340" w:rsidRPr="00383E2D" w:rsidRDefault="00641340" w:rsidP="00641340">
      <w:pPr>
        <w:numPr>
          <w:ilvl w:val="0"/>
          <w:numId w:val="12"/>
        </w:numPr>
        <w:spacing w:after="0" w:line="240" w:lineRule="auto"/>
        <w:ind w:left="0" w:firstLine="720"/>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Sobre esta afirmación, la Comisión recuerda al Estado que</w:t>
      </w:r>
      <w:r w:rsidR="00830098" w:rsidRPr="00383E2D">
        <w:rPr>
          <w:rFonts w:ascii="Cambria" w:hAnsi="Cambria" w:cs="Calibri Light"/>
          <w:color w:val="000000"/>
          <w:sz w:val="20"/>
          <w:szCs w:val="20"/>
          <w:lang w:val="es-ES"/>
        </w:rPr>
        <w:t xml:space="preserve"> la etapa de estudio del caso</w:t>
      </w:r>
      <w:r w:rsidRPr="00383E2D">
        <w:rPr>
          <w:rFonts w:ascii="Cambria" w:hAnsi="Cambria" w:cs="Calibri Light"/>
          <w:color w:val="000000"/>
          <w:sz w:val="20"/>
          <w:szCs w:val="20"/>
          <w:lang w:val="es-ES"/>
        </w:rPr>
        <w:t xml:space="preserve"> ya fue</w:t>
      </w:r>
      <w:r w:rsidR="00830098" w:rsidRPr="00383E2D">
        <w:rPr>
          <w:rFonts w:ascii="Cambria" w:hAnsi="Cambria" w:cs="Calibri Light"/>
          <w:color w:val="000000"/>
          <w:sz w:val="20"/>
          <w:szCs w:val="20"/>
          <w:lang w:val="es-ES"/>
        </w:rPr>
        <w:t xml:space="preserve"> culminada a partir de la emisión d</w:t>
      </w:r>
      <w:r w:rsidRPr="00383E2D">
        <w:rPr>
          <w:rFonts w:ascii="Cambria" w:hAnsi="Cambria" w:cs="Calibri Light"/>
          <w:color w:val="000000"/>
          <w:sz w:val="20"/>
          <w:szCs w:val="20"/>
          <w:lang w:val="es-ES"/>
        </w:rPr>
        <w:t>el Informe de Fondo No. 1/06</w:t>
      </w:r>
      <w:r w:rsidR="00830098" w:rsidRPr="00383E2D">
        <w:rPr>
          <w:rFonts w:ascii="Cambria" w:hAnsi="Cambria" w:cs="Calibri Light"/>
          <w:color w:val="000000"/>
          <w:sz w:val="20"/>
          <w:szCs w:val="20"/>
          <w:lang w:val="es-ES"/>
        </w:rPr>
        <w:t xml:space="preserve">, el cual contiene los hallazgos definitivos del caso </w:t>
      </w:r>
      <w:proofErr w:type="gramStart"/>
      <w:r w:rsidR="00830098" w:rsidRPr="00383E2D">
        <w:rPr>
          <w:rFonts w:ascii="Cambria" w:hAnsi="Cambria" w:cs="Calibri Light"/>
          <w:color w:val="000000"/>
          <w:sz w:val="20"/>
          <w:szCs w:val="20"/>
          <w:lang w:val="es-ES"/>
        </w:rPr>
        <w:t xml:space="preserve">e </w:t>
      </w:r>
      <w:r w:rsidRPr="00383E2D">
        <w:rPr>
          <w:rFonts w:ascii="Cambria" w:hAnsi="Cambria" w:cs="Calibri Light"/>
          <w:color w:val="000000"/>
          <w:sz w:val="20"/>
          <w:szCs w:val="20"/>
          <w:lang w:val="es-ES"/>
        </w:rPr>
        <w:t xml:space="preserve"> incluye</w:t>
      </w:r>
      <w:proofErr w:type="gramEnd"/>
      <w:r w:rsidRPr="00383E2D">
        <w:rPr>
          <w:rFonts w:ascii="Cambria" w:hAnsi="Cambria" w:cs="Calibri Light"/>
          <w:color w:val="000000"/>
          <w:sz w:val="20"/>
          <w:szCs w:val="20"/>
          <w:lang w:val="es-ES"/>
        </w:rPr>
        <w:t xml:space="preserve"> las recomendaciones que </w:t>
      </w:r>
      <w:r w:rsidR="00830098" w:rsidRPr="00383E2D">
        <w:rPr>
          <w:rFonts w:ascii="Cambria" w:hAnsi="Cambria" w:cs="Calibri Light"/>
          <w:color w:val="000000"/>
          <w:sz w:val="20"/>
          <w:szCs w:val="20"/>
          <w:lang w:val="es-ES"/>
        </w:rPr>
        <w:t>están sometidas a la etapa de seguimiento</w:t>
      </w:r>
      <w:r w:rsidRPr="00383E2D">
        <w:rPr>
          <w:rFonts w:ascii="Cambria" w:hAnsi="Cambria" w:cs="Calibri Light"/>
          <w:color w:val="000000"/>
          <w:sz w:val="20"/>
          <w:szCs w:val="20"/>
          <w:lang w:val="es-ES"/>
        </w:rPr>
        <w:t xml:space="preserve">. </w:t>
      </w:r>
    </w:p>
    <w:p w14:paraId="66337955" w14:textId="77777777" w:rsidR="00641340" w:rsidRPr="00383E2D" w:rsidRDefault="00641340" w:rsidP="003F6D90">
      <w:pPr>
        <w:spacing w:after="0" w:line="240" w:lineRule="auto"/>
        <w:jc w:val="both"/>
        <w:rPr>
          <w:rFonts w:ascii="Cambria" w:hAnsi="Cambria" w:cs="Calibri Light"/>
          <w:color w:val="000000"/>
          <w:sz w:val="20"/>
          <w:szCs w:val="20"/>
          <w:lang w:val="es-ES"/>
        </w:rPr>
      </w:pPr>
    </w:p>
    <w:p w14:paraId="5FC2A62A" w14:textId="77777777" w:rsidR="00C46D95" w:rsidRPr="00383E2D" w:rsidRDefault="007052CA" w:rsidP="00C46D95">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383E2D">
        <w:rPr>
          <w:rFonts w:ascii="Cambria" w:hAnsi="Cambria" w:cs="Calibri Light"/>
          <w:b/>
          <w:color w:val="000000"/>
          <w:sz w:val="20"/>
          <w:szCs w:val="20"/>
          <w:lang w:val="es-ES"/>
        </w:rPr>
        <w:t xml:space="preserve">En relación con la primera </w:t>
      </w:r>
      <w:r w:rsidR="009D1521" w:rsidRPr="00383E2D">
        <w:rPr>
          <w:rFonts w:ascii="Cambria" w:hAnsi="Cambria" w:cs="Calibri Light"/>
          <w:b/>
          <w:color w:val="000000"/>
          <w:sz w:val="20"/>
          <w:szCs w:val="20"/>
          <w:lang w:val="es-ES"/>
        </w:rPr>
        <w:t>recomendación</w:t>
      </w:r>
      <w:r w:rsidRPr="00383E2D">
        <w:rPr>
          <w:rFonts w:ascii="Cambria" w:hAnsi="Cambria" w:cs="Calibri Light"/>
          <w:color w:val="000000"/>
          <w:sz w:val="20"/>
          <w:szCs w:val="20"/>
          <w:lang w:val="es-ES"/>
        </w:rPr>
        <w:t>,</w:t>
      </w:r>
      <w:r w:rsidRPr="00383E2D">
        <w:rPr>
          <w:rFonts w:ascii="Cambria" w:hAnsi="Cambria" w:cs="Calibri Light"/>
          <w:b/>
          <w:color w:val="000000"/>
          <w:sz w:val="20"/>
          <w:szCs w:val="20"/>
          <w:lang w:val="es-ES"/>
        </w:rPr>
        <w:t xml:space="preserve"> </w:t>
      </w:r>
      <w:r w:rsidRPr="00383E2D">
        <w:rPr>
          <w:rFonts w:ascii="Cambria" w:hAnsi="Cambria" w:cs="Calibri Light"/>
          <w:color w:val="000000"/>
          <w:sz w:val="20"/>
          <w:szCs w:val="20"/>
          <w:lang w:val="es-ES"/>
        </w:rPr>
        <w:t>en 2012, el Estado informó que tanto la familia del señor Britton como el peticionario no habían agotado recursos internos para la busca y la denuncia de la desaparición del señor Britton. El Estado agregó que había hecho esfuerzos para averiguar lo que había sucedido al señor Britton y descubrir su paradero, pero éstos revelaron que no existían pruebas o constancias de que hubiese sido detenido. Por lo tanto, el Estado concluyó que no podía adelantar más investigaciones ya que no podía encontrar registros de que el Sr. Britton haya sido detenido ni testigos u otra información que lo ayude a determinar qué sucedió con el Sr. Britton o su paradero</w:t>
      </w:r>
      <w:r w:rsidRPr="00383E2D">
        <w:rPr>
          <w:rStyle w:val="FootnoteReference"/>
          <w:rFonts w:ascii="Cambria" w:hAnsi="Cambria" w:cs="Calibri Light"/>
          <w:color w:val="000000"/>
          <w:sz w:val="20"/>
          <w:szCs w:val="20"/>
          <w:lang w:val="es-ES"/>
        </w:rPr>
        <w:footnoteReference w:id="1"/>
      </w:r>
      <w:r w:rsidR="00C46D95" w:rsidRPr="00383E2D">
        <w:rPr>
          <w:rFonts w:ascii="Cambria" w:hAnsi="Cambria" w:cs="Calibri Light"/>
          <w:color w:val="000000"/>
          <w:sz w:val="20"/>
          <w:szCs w:val="20"/>
          <w:lang w:val="es-ES"/>
        </w:rPr>
        <w:t>.</w:t>
      </w:r>
      <w:r w:rsidRPr="00383E2D">
        <w:rPr>
          <w:rFonts w:ascii="Cambria" w:hAnsi="Cambria" w:cs="Calibri Light"/>
          <w:color w:val="000000"/>
          <w:sz w:val="20"/>
          <w:szCs w:val="20"/>
          <w:lang w:val="es-ES"/>
        </w:rPr>
        <w:t xml:space="preserve"> Sin embargo, el Estado indicó </w:t>
      </w:r>
      <w:r w:rsidR="002C0541" w:rsidRPr="00383E2D">
        <w:rPr>
          <w:rFonts w:ascii="Cambria" w:hAnsi="Cambria" w:cs="Calibri Light"/>
          <w:color w:val="000000"/>
          <w:sz w:val="20"/>
          <w:szCs w:val="20"/>
          <w:lang w:val="es-ES"/>
        </w:rPr>
        <w:t>que,</w:t>
      </w:r>
      <w:r w:rsidRPr="00383E2D">
        <w:rPr>
          <w:rFonts w:ascii="Cambria" w:hAnsi="Cambria" w:cs="Calibri Light"/>
          <w:color w:val="000000"/>
          <w:sz w:val="20"/>
          <w:szCs w:val="20"/>
          <w:lang w:val="es-ES"/>
        </w:rPr>
        <w:t xml:space="preserve"> si se le proporcionara o recibiera nueva información con respecto a este caso, estaría dispuesto a tomar medidas para determinar qué sucedió en el Sr. Britton.</w:t>
      </w:r>
      <w:r w:rsidR="00C46D95" w:rsidRPr="00383E2D">
        <w:rPr>
          <w:rFonts w:ascii="Cambria" w:hAnsi="Cambria" w:cs="Calibri Light"/>
          <w:color w:val="000000"/>
          <w:sz w:val="20"/>
          <w:szCs w:val="20"/>
          <w:lang w:val="es-ES"/>
        </w:rPr>
        <w:t xml:space="preserve"> En 2013, el Estado indicó que no dispone de información adicional para compartir con la Comisión</w:t>
      </w:r>
      <w:r w:rsidR="00C46D95" w:rsidRPr="00383E2D">
        <w:rPr>
          <w:rStyle w:val="FootnoteReference"/>
          <w:rFonts w:ascii="Cambria" w:hAnsi="Cambria" w:cs="Calibri Light"/>
          <w:color w:val="000000"/>
          <w:sz w:val="20"/>
          <w:szCs w:val="20"/>
          <w:lang w:val="es-ES"/>
        </w:rPr>
        <w:footnoteReference w:id="2"/>
      </w:r>
      <w:r w:rsidR="00C46D95" w:rsidRPr="00383E2D">
        <w:rPr>
          <w:rFonts w:ascii="Cambria" w:hAnsi="Cambria" w:cs="Calibri Light"/>
          <w:color w:val="000000"/>
          <w:sz w:val="20"/>
          <w:szCs w:val="20"/>
          <w:lang w:val="es-ES"/>
        </w:rPr>
        <w:t>.</w:t>
      </w:r>
    </w:p>
    <w:p w14:paraId="496D95DD" w14:textId="77777777" w:rsidR="00215059" w:rsidRPr="00383E2D" w:rsidRDefault="00215059" w:rsidP="00215059">
      <w:pPr>
        <w:pStyle w:val="ListParagraph"/>
        <w:spacing w:after="0" w:line="240" w:lineRule="auto"/>
        <w:ind w:left="709"/>
        <w:jc w:val="both"/>
        <w:rPr>
          <w:rFonts w:ascii="Cambria" w:hAnsi="Cambria" w:cs="Calibri Light"/>
          <w:color w:val="000000"/>
          <w:sz w:val="20"/>
          <w:szCs w:val="20"/>
          <w:lang w:val="es-ES"/>
        </w:rPr>
      </w:pPr>
    </w:p>
    <w:p w14:paraId="0C1B1BC0" w14:textId="77777777" w:rsidR="00215059" w:rsidRPr="00383E2D" w:rsidRDefault="00215059" w:rsidP="00C46D95">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En 2021, el Estado señaló que el gobierno no puede llevar a cabo ninguna otra investigación ya que</w:t>
      </w:r>
      <w:r w:rsidR="00F93088" w:rsidRPr="00383E2D">
        <w:rPr>
          <w:rFonts w:ascii="Cambria" w:hAnsi="Cambria" w:cs="Calibri Light"/>
          <w:color w:val="000000"/>
          <w:sz w:val="20"/>
          <w:szCs w:val="20"/>
          <w:lang w:val="es-ES"/>
        </w:rPr>
        <w:t xml:space="preserve"> no</w:t>
      </w:r>
      <w:r w:rsidRPr="00383E2D">
        <w:rPr>
          <w:rFonts w:ascii="Cambria" w:hAnsi="Cambria" w:cs="Calibri Light"/>
          <w:color w:val="000000"/>
          <w:sz w:val="20"/>
          <w:szCs w:val="20"/>
          <w:lang w:val="es-ES"/>
        </w:rPr>
        <w:t xml:space="preserve"> </w:t>
      </w:r>
      <w:r w:rsidR="005A583C" w:rsidRPr="00383E2D">
        <w:rPr>
          <w:rFonts w:ascii="Cambria" w:hAnsi="Cambria" w:cs="Calibri Light"/>
          <w:color w:val="000000"/>
          <w:sz w:val="20"/>
          <w:szCs w:val="20"/>
          <w:lang w:val="es-ES"/>
        </w:rPr>
        <w:t>encontró</w:t>
      </w:r>
      <w:r w:rsidRPr="00383E2D">
        <w:rPr>
          <w:rFonts w:ascii="Cambria" w:hAnsi="Cambria" w:cs="Calibri Light"/>
          <w:color w:val="000000"/>
          <w:sz w:val="20"/>
          <w:szCs w:val="20"/>
          <w:lang w:val="es-ES"/>
        </w:rPr>
        <w:t xml:space="preserve"> ningún registro de que el Sr. Britton </w:t>
      </w:r>
      <w:r w:rsidR="00E83172" w:rsidRPr="00383E2D">
        <w:rPr>
          <w:rFonts w:ascii="Cambria" w:hAnsi="Cambria" w:cs="Calibri Light"/>
          <w:color w:val="000000"/>
          <w:sz w:val="20"/>
          <w:szCs w:val="20"/>
          <w:lang w:val="es-ES"/>
        </w:rPr>
        <w:t>hubiese</w:t>
      </w:r>
      <w:r w:rsidRPr="00383E2D">
        <w:rPr>
          <w:rFonts w:ascii="Cambria" w:hAnsi="Cambria" w:cs="Calibri Light"/>
          <w:color w:val="000000"/>
          <w:sz w:val="20"/>
          <w:szCs w:val="20"/>
          <w:lang w:val="es-ES"/>
        </w:rPr>
        <w:t xml:space="preserve"> sido detenido ni ningún testigo u otra información que pueda ayudar a averiguar lo que le ocurrió </w:t>
      </w:r>
      <w:r w:rsidR="005A583C" w:rsidRPr="00383E2D">
        <w:rPr>
          <w:rFonts w:ascii="Cambria" w:hAnsi="Cambria" w:cs="Calibri Light"/>
          <w:color w:val="000000"/>
          <w:sz w:val="20"/>
          <w:szCs w:val="20"/>
          <w:lang w:val="es-ES"/>
        </w:rPr>
        <w:t xml:space="preserve">o </w:t>
      </w:r>
      <w:r w:rsidRPr="00383E2D">
        <w:rPr>
          <w:rFonts w:ascii="Cambria" w:hAnsi="Cambria" w:cs="Calibri Light"/>
          <w:color w:val="000000"/>
          <w:sz w:val="20"/>
          <w:szCs w:val="20"/>
          <w:lang w:val="es-ES"/>
        </w:rPr>
        <w:t>su paradero.</w:t>
      </w:r>
    </w:p>
    <w:p w14:paraId="07044DC6" w14:textId="77777777" w:rsidR="003F6D90" w:rsidRPr="00383E2D" w:rsidRDefault="003F6D90" w:rsidP="003F6D90">
      <w:pPr>
        <w:pStyle w:val="ListParagraph"/>
        <w:spacing w:after="0" w:line="240" w:lineRule="auto"/>
        <w:ind w:left="709"/>
        <w:jc w:val="both"/>
        <w:rPr>
          <w:rFonts w:ascii="Cambria" w:hAnsi="Cambria" w:cs="Calibri Light"/>
          <w:color w:val="000000"/>
          <w:sz w:val="20"/>
          <w:szCs w:val="20"/>
          <w:lang w:val="es-ES"/>
        </w:rPr>
      </w:pPr>
    </w:p>
    <w:p w14:paraId="4B28612C" w14:textId="77777777" w:rsidR="00891138" w:rsidRPr="00383E2D" w:rsidRDefault="00891138" w:rsidP="00891138">
      <w:pPr>
        <w:pStyle w:val="ListParagraph"/>
        <w:numPr>
          <w:ilvl w:val="0"/>
          <w:numId w:val="12"/>
        </w:numPr>
        <w:spacing w:after="0" w:line="240" w:lineRule="auto"/>
        <w:ind w:left="0" w:firstLine="720"/>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 xml:space="preserve">En 2018, los peticionarios informaron que el Estado no ha llevado a cabo una investigación seria, imparcial y efectiva a través de los órganos competentes, para establecer el paradero de Franz Britton e </w:t>
      </w:r>
      <w:r w:rsidRPr="00383E2D">
        <w:rPr>
          <w:rFonts w:ascii="Cambria" w:hAnsi="Cambria" w:cs="Calibri Light"/>
          <w:color w:val="000000"/>
          <w:sz w:val="20"/>
          <w:szCs w:val="20"/>
          <w:lang w:val="es-ES"/>
        </w:rPr>
        <w:lastRenderedPageBreak/>
        <w:t>identificar a los responsables de su detención-desaparición y, por los medios de un proceso penal apropiado, para sancionar a los responsables de tales actos de conformidad con la ley. Los peticionarios informaron además que, en marzo de 2016, el Grupo de Trabajo de las Naciones Unidas sobre Desapariciones Forzadas o Involuntarias instó al Estado de Guyana a llevar a cabo las investigaciones apropiadas para aclarar</w:t>
      </w:r>
      <w:r w:rsidR="003F1ADB" w:rsidRPr="00383E2D">
        <w:rPr>
          <w:rFonts w:ascii="Cambria" w:hAnsi="Cambria" w:cs="Calibri Light"/>
          <w:color w:val="000000"/>
          <w:sz w:val="20"/>
          <w:szCs w:val="20"/>
          <w:lang w:val="es-ES"/>
        </w:rPr>
        <w:t xml:space="preserve"> los hechos del presente caso y encontrar </w:t>
      </w:r>
      <w:r w:rsidRPr="00383E2D">
        <w:rPr>
          <w:rFonts w:ascii="Cambria" w:hAnsi="Cambria" w:cs="Calibri Light"/>
          <w:color w:val="000000"/>
          <w:sz w:val="20"/>
          <w:szCs w:val="20"/>
          <w:lang w:val="es-ES"/>
        </w:rPr>
        <w:t xml:space="preserve">el paradero del Sr. Britton, pero que hasta la fecha el Estado no </w:t>
      </w:r>
      <w:r w:rsidR="003F1ADB" w:rsidRPr="00383E2D">
        <w:rPr>
          <w:rFonts w:ascii="Cambria" w:hAnsi="Cambria" w:cs="Calibri Light"/>
          <w:color w:val="000000"/>
          <w:sz w:val="20"/>
          <w:szCs w:val="20"/>
          <w:lang w:val="es-ES"/>
        </w:rPr>
        <w:t>ha tomado medidas para cumplir con esta solicitud</w:t>
      </w:r>
      <w:r w:rsidRPr="00383E2D">
        <w:rPr>
          <w:rFonts w:ascii="Cambria" w:hAnsi="Cambria" w:cs="Calibri Light"/>
          <w:color w:val="000000"/>
          <w:sz w:val="20"/>
          <w:szCs w:val="20"/>
          <w:lang w:val="es-ES"/>
        </w:rPr>
        <w:t xml:space="preserve">. Los peticionarios indicaron que habían hablado con el </w:t>
      </w:r>
      <w:proofErr w:type="gramStart"/>
      <w:r w:rsidRPr="00383E2D">
        <w:rPr>
          <w:rFonts w:ascii="Cambria" w:hAnsi="Cambria" w:cs="Calibri Light"/>
          <w:color w:val="000000"/>
          <w:sz w:val="20"/>
          <w:szCs w:val="20"/>
          <w:lang w:val="es-ES"/>
        </w:rPr>
        <w:t>Presidente</w:t>
      </w:r>
      <w:proofErr w:type="gramEnd"/>
      <w:r w:rsidRPr="00383E2D">
        <w:rPr>
          <w:rFonts w:ascii="Cambria" w:hAnsi="Cambria" w:cs="Calibri Light"/>
          <w:color w:val="000000"/>
          <w:sz w:val="20"/>
          <w:szCs w:val="20"/>
          <w:lang w:val="es-ES"/>
        </w:rPr>
        <w:t xml:space="preserve"> de Guyana, el Fiscal General, el Ministro de Relaciones Exteriores, otros funcionarios políticos, miembros del poder judicial, la prensa y organizaciones de la sociedad civil, pero </w:t>
      </w:r>
      <w:r w:rsidR="005260BF" w:rsidRPr="00383E2D">
        <w:rPr>
          <w:rFonts w:ascii="Cambria" w:hAnsi="Cambria" w:cs="Calibri Light"/>
          <w:color w:val="000000"/>
          <w:sz w:val="20"/>
          <w:szCs w:val="20"/>
          <w:lang w:val="es-ES"/>
        </w:rPr>
        <w:t xml:space="preserve">que </w:t>
      </w:r>
      <w:r w:rsidRPr="00383E2D">
        <w:rPr>
          <w:rFonts w:ascii="Cambria" w:hAnsi="Cambria" w:cs="Calibri Light"/>
          <w:color w:val="000000"/>
          <w:sz w:val="20"/>
          <w:szCs w:val="20"/>
          <w:lang w:val="es-ES"/>
        </w:rPr>
        <w:t>no ha habido avances en el caso.</w:t>
      </w:r>
    </w:p>
    <w:p w14:paraId="6724B052" w14:textId="77777777" w:rsidR="003F6D90" w:rsidRPr="00383E2D" w:rsidRDefault="003F6D90" w:rsidP="003F6D90">
      <w:pPr>
        <w:spacing w:after="0" w:line="240" w:lineRule="auto"/>
        <w:jc w:val="both"/>
        <w:rPr>
          <w:rFonts w:ascii="Cambria" w:hAnsi="Cambria" w:cs="Calibri Light"/>
          <w:color w:val="000000"/>
          <w:sz w:val="20"/>
          <w:szCs w:val="20"/>
          <w:lang w:val="es-ES"/>
        </w:rPr>
      </w:pPr>
    </w:p>
    <w:p w14:paraId="058D23BE" w14:textId="77777777" w:rsidR="009413D3" w:rsidRPr="00383E2D" w:rsidRDefault="005A7DA6" w:rsidP="00270D20">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 xml:space="preserve">La CIDH </w:t>
      </w:r>
      <w:r w:rsidR="00E83172" w:rsidRPr="00383E2D">
        <w:rPr>
          <w:rFonts w:ascii="Cambria" w:hAnsi="Cambria" w:cs="Calibri Light"/>
          <w:color w:val="000000"/>
          <w:sz w:val="20"/>
          <w:szCs w:val="20"/>
          <w:highlight w:val="cyan"/>
          <w:lang w:val="es-ES"/>
        </w:rPr>
        <w:t>reitera</w:t>
      </w:r>
      <w:r w:rsidRPr="00383E2D">
        <w:rPr>
          <w:rFonts w:ascii="Cambria" w:hAnsi="Cambria" w:cs="Calibri Light"/>
          <w:color w:val="000000"/>
          <w:sz w:val="20"/>
          <w:szCs w:val="20"/>
          <w:lang w:val="es-ES"/>
        </w:rPr>
        <w:t xml:space="preserve"> que</w:t>
      </w:r>
      <w:r w:rsidR="00280B30" w:rsidRPr="00383E2D">
        <w:rPr>
          <w:rFonts w:ascii="Cambria" w:hAnsi="Cambria" w:cs="Calibri Light"/>
          <w:color w:val="000000"/>
          <w:sz w:val="20"/>
          <w:szCs w:val="20"/>
          <w:lang w:val="es-ES"/>
        </w:rPr>
        <w:t xml:space="preserve"> el deber de investigar hechos relacionados con la desaparición forzada subsiste mientras se mantenga la incertidumbre sobre la suerte final de la persona desaparecida, pues el derecho de los familiares de la víctima de conocer cuál fue el destino de ésta y, en su caso, dónde se encuentran sus restos, representa una justa expectativa que el Estado debe satisfacer con todos los medios a su alcance</w:t>
      </w:r>
      <w:r w:rsidR="003F6D90" w:rsidRPr="00383E2D">
        <w:rPr>
          <w:rStyle w:val="FootnoteReference"/>
          <w:rFonts w:ascii="Cambria" w:hAnsi="Cambria" w:cs="Calibri Light"/>
          <w:color w:val="000000"/>
          <w:sz w:val="20"/>
          <w:szCs w:val="20"/>
          <w:lang w:val="es-ES"/>
        </w:rPr>
        <w:footnoteReference w:id="3"/>
      </w:r>
      <w:r w:rsidR="003F6D90" w:rsidRPr="00383E2D">
        <w:rPr>
          <w:rFonts w:ascii="Cambria" w:hAnsi="Cambria" w:cs="Calibri Light"/>
          <w:color w:val="000000"/>
          <w:sz w:val="20"/>
          <w:szCs w:val="20"/>
          <w:lang w:val="es-ES"/>
        </w:rPr>
        <w:t xml:space="preserve">. </w:t>
      </w:r>
      <w:r w:rsidR="00140308" w:rsidRPr="00383E2D">
        <w:rPr>
          <w:rFonts w:ascii="Cambria" w:hAnsi="Cambria" w:cs="Calibri Light"/>
          <w:color w:val="000000"/>
          <w:sz w:val="20"/>
          <w:szCs w:val="20"/>
          <w:lang w:val="es-ES"/>
        </w:rPr>
        <w:t>En ese sentido, la Comisión invita al Estado a adoptar las medidas necesarias para llevar a cabo una investigación seria, imparcial y efectiva sobre la detención</w:t>
      </w:r>
      <w:r w:rsidR="00345295" w:rsidRPr="00383E2D">
        <w:rPr>
          <w:rFonts w:ascii="Cambria" w:hAnsi="Cambria" w:cs="Calibri Light"/>
          <w:color w:val="000000"/>
          <w:sz w:val="20"/>
          <w:szCs w:val="20"/>
          <w:lang w:val="es-ES"/>
        </w:rPr>
        <w:t xml:space="preserve"> y </w:t>
      </w:r>
      <w:r w:rsidR="00140308" w:rsidRPr="00383E2D">
        <w:rPr>
          <w:rFonts w:ascii="Cambria" w:hAnsi="Cambria" w:cs="Calibri Light"/>
          <w:color w:val="000000"/>
          <w:sz w:val="20"/>
          <w:szCs w:val="20"/>
          <w:lang w:val="es-ES"/>
        </w:rPr>
        <w:t>desaparición de Franz Britton e informar a la CIDH de estas acciones. Por lo anterior, la CIDH considera que la Recomendación 1 se encuentra pendiente de cumplimiento.</w:t>
      </w:r>
    </w:p>
    <w:p w14:paraId="12A0DD5C" w14:textId="77777777" w:rsidR="00215059" w:rsidRPr="00383E2D" w:rsidRDefault="00215059" w:rsidP="00215059">
      <w:pPr>
        <w:pStyle w:val="ListParagraph"/>
        <w:spacing w:after="0" w:line="240" w:lineRule="auto"/>
        <w:ind w:left="0"/>
        <w:jc w:val="both"/>
        <w:rPr>
          <w:rFonts w:ascii="Cambria" w:hAnsi="Cambria" w:cs="Calibri Light"/>
          <w:color w:val="000000"/>
          <w:sz w:val="20"/>
          <w:szCs w:val="20"/>
          <w:lang w:val="es-ES"/>
        </w:rPr>
      </w:pPr>
    </w:p>
    <w:p w14:paraId="4058C1C7" w14:textId="77777777" w:rsidR="00B2344F" w:rsidRPr="00383E2D" w:rsidRDefault="002A057D" w:rsidP="007014A8">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383E2D">
        <w:rPr>
          <w:rFonts w:ascii="Cambria" w:hAnsi="Cambria" w:cs="Calibri Light"/>
          <w:b/>
          <w:color w:val="000000"/>
          <w:sz w:val="20"/>
          <w:szCs w:val="20"/>
          <w:lang w:val="es-ES"/>
        </w:rPr>
        <w:t xml:space="preserve">Respecto de la segunda </w:t>
      </w:r>
      <w:r w:rsidR="007014A8" w:rsidRPr="00383E2D">
        <w:rPr>
          <w:rFonts w:ascii="Cambria" w:hAnsi="Cambria" w:cs="Calibri Light"/>
          <w:b/>
          <w:color w:val="000000"/>
          <w:sz w:val="20"/>
          <w:szCs w:val="20"/>
          <w:lang w:val="es-ES"/>
        </w:rPr>
        <w:t>recomendación</w:t>
      </w:r>
      <w:r w:rsidRPr="00383E2D">
        <w:rPr>
          <w:rFonts w:ascii="Cambria" w:hAnsi="Cambria" w:cs="Calibri Light"/>
          <w:color w:val="000000"/>
          <w:sz w:val="20"/>
          <w:szCs w:val="20"/>
          <w:lang w:val="es-ES"/>
        </w:rPr>
        <w:t>,</w:t>
      </w:r>
      <w:r w:rsidRPr="00383E2D">
        <w:rPr>
          <w:rFonts w:ascii="Cambria" w:hAnsi="Cambria" w:cs="Calibri Light"/>
          <w:b/>
          <w:color w:val="000000"/>
          <w:sz w:val="20"/>
          <w:szCs w:val="20"/>
          <w:lang w:val="es-ES"/>
        </w:rPr>
        <w:t xml:space="preserve"> </w:t>
      </w:r>
      <w:r w:rsidR="007014A8" w:rsidRPr="00383E2D">
        <w:rPr>
          <w:rFonts w:ascii="Cambria" w:hAnsi="Cambria" w:cs="Calibri Light"/>
          <w:color w:val="000000"/>
          <w:sz w:val="20"/>
          <w:szCs w:val="20"/>
          <w:lang w:val="es-ES"/>
        </w:rPr>
        <w:t>e</w:t>
      </w:r>
      <w:r w:rsidR="00B2344F" w:rsidRPr="00383E2D">
        <w:rPr>
          <w:rFonts w:ascii="Cambria" w:hAnsi="Cambria" w:cs="Calibri Light"/>
          <w:color w:val="000000"/>
          <w:sz w:val="20"/>
          <w:szCs w:val="20"/>
          <w:lang w:val="es-ES"/>
        </w:rPr>
        <w:t xml:space="preserve">n 2012, el Estado </w:t>
      </w:r>
      <w:r w:rsidR="007014A8" w:rsidRPr="00383E2D">
        <w:rPr>
          <w:rFonts w:ascii="Cambria" w:hAnsi="Cambria" w:cs="Calibri Light"/>
          <w:color w:val="000000"/>
          <w:sz w:val="20"/>
          <w:szCs w:val="20"/>
          <w:lang w:val="es-ES"/>
        </w:rPr>
        <w:t>presentó</w:t>
      </w:r>
      <w:r w:rsidR="00B2344F" w:rsidRPr="00383E2D">
        <w:rPr>
          <w:rFonts w:ascii="Cambria" w:hAnsi="Cambria" w:cs="Calibri Light"/>
          <w:color w:val="000000"/>
          <w:sz w:val="20"/>
          <w:szCs w:val="20"/>
          <w:lang w:val="es-ES"/>
        </w:rPr>
        <w:t xml:space="preserve"> las partes pertinentes de su Constitución, legislación y medidas administrativas, que presuntamente consisten en mecanismos imparciales para las denuncias contra el abuso, la tortura o la pena degradante e inhumana. Por consiguiente, </w:t>
      </w:r>
      <w:r w:rsidR="00C74B02" w:rsidRPr="00383E2D">
        <w:rPr>
          <w:rFonts w:ascii="Cambria" w:hAnsi="Cambria" w:cs="Calibri Light"/>
          <w:color w:val="000000"/>
          <w:sz w:val="20"/>
          <w:szCs w:val="20"/>
          <w:lang w:val="es-ES"/>
        </w:rPr>
        <w:t xml:space="preserve">el Estado afirmó que </w:t>
      </w:r>
      <w:r w:rsidR="00B2344F" w:rsidRPr="00383E2D">
        <w:rPr>
          <w:rFonts w:ascii="Cambria" w:hAnsi="Cambria" w:cs="Calibri Light"/>
          <w:color w:val="000000"/>
          <w:sz w:val="20"/>
          <w:szCs w:val="20"/>
          <w:lang w:val="es-ES"/>
        </w:rPr>
        <w:t xml:space="preserve">su marco legislativo ya disponía, en todos los casos, el debido proceso y los medios efectivos de establecer el paradero y el destino de cualquier persona que se halle en la custodia del </w:t>
      </w:r>
      <w:r w:rsidR="00A110FF" w:rsidRPr="00383E2D">
        <w:rPr>
          <w:rFonts w:ascii="Cambria" w:hAnsi="Cambria" w:cs="Calibri Light"/>
          <w:color w:val="000000"/>
          <w:sz w:val="20"/>
          <w:szCs w:val="20"/>
          <w:lang w:val="es-ES"/>
        </w:rPr>
        <w:t>E</w:t>
      </w:r>
      <w:r w:rsidR="00B2344F" w:rsidRPr="00383E2D">
        <w:rPr>
          <w:rFonts w:ascii="Cambria" w:hAnsi="Cambria" w:cs="Calibri Light"/>
          <w:color w:val="000000"/>
          <w:sz w:val="20"/>
          <w:szCs w:val="20"/>
          <w:lang w:val="es-ES"/>
        </w:rPr>
        <w:t>stado</w:t>
      </w:r>
      <w:r w:rsidR="00B2344F" w:rsidRPr="00383E2D">
        <w:rPr>
          <w:rStyle w:val="FootnoteReference"/>
          <w:rFonts w:ascii="Cambria" w:hAnsi="Cambria" w:cs="Calibri Light"/>
          <w:color w:val="000000"/>
          <w:sz w:val="20"/>
          <w:szCs w:val="20"/>
          <w:lang w:val="es-ES"/>
        </w:rPr>
        <w:footnoteReference w:id="4"/>
      </w:r>
      <w:r w:rsidR="00B2344F" w:rsidRPr="00383E2D">
        <w:rPr>
          <w:rFonts w:ascii="Cambria" w:hAnsi="Cambria" w:cs="Calibri Light"/>
          <w:color w:val="000000"/>
          <w:sz w:val="20"/>
          <w:szCs w:val="20"/>
          <w:lang w:val="es-ES"/>
        </w:rPr>
        <w:t>.</w:t>
      </w:r>
    </w:p>
    <w:p w14:paraId="280EC157" w14:textId="77777777" w:rsidR="00F93088" w:rsidRPr="00383E2D" w:rsidRDefault="00F93088" w:rsidP="00F93088">
      <w:pPr>
        <w:pStyle w:val="ListParagraph"/>
        <w:rPr>
          <w:rFonts w:ascii="Cambria" w:hAnsi="Cambria" w:cs="Calibri Light"/>
          <w:color w:val="000000"/>
          <w:sz w:val="20"/>
          <w:szCs w:val="20"/>
          <w:lang w:val="es-ES"/>
        </w:rPr>
      </w:pPr>
    </w:p>
    <w:p w14:paraId="591BFC79" w14:textId="77777777" w:rsidR="00F93088" w:rsidRPr="00383E2D" w:rsidRDefault="00F93088" w:rsidP="007014A8">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 xml:space="preserve">En 2021, el Estado </w:t>
      </w:r>
      <w:r w:rsidR="005F432E" w:rsidRPr="00383E2D">
        <w:rPr>
          <w:rFonts w:ascii="Cambria" w:hAnsi="Cambria" w:cs="Calibri Light"/>
          <w:color w:val="000000"/>
          <w:sz w:val="20"/>
          <w:szCs w:val="20"/>
          <w:lang w:val="es-ES"/>
        </w:rPr>
        <w:t>presentó</w:t>
      </w:r>
      <w:r w:rsidRPr="00383E2D">
        <w:rPr>
          <w:rFonts w:ascii="Cambria" w:hAnsi="Cambria" w:cs="Calibri Light"/>
          <w:color w:val="000000"/>
          <w:sz w:val="20"/>
          <w:szCs w:val="20"/>
          <w:lang w:val="es-ES"/>
        </w:rPr>
        <w:t xml:space="preserve"> el marco constitucional y legislativo </w:t>
      </w:r>
      <w:r w:rsidR="00035B0E" w:rsidRPr="00383E2D">
        <w:rPr>
          <w:rFonts w:ascii="Cambria" w:hAnsi="Cambria" w:cs="Calibri Light"/>
          <w:color w:val="000000"/>
          <w:sz w:val="20"/>
          <w:szCs w:val="20"/>
          <w:lang w:val="es-ES"/>
        </w:rPr>
        <w:t>que, en su criterio, están dirigidas a</w:t>
      </w:r>
      <w:r w:rsidRPr="00383E2D">
        <w:rPr>
          <w:rFonts w:ascii="Cambria" w:hAnsi="Cambria" w:cs="Calibri Light"/>
          <w:color w:val="000000"/>
          <w:sz w:val="20"/>
          <w:szCs w:val="20"/>
          <w:lang w:val="es-ES"/>
        </w:rPr>
        <w:t xml:space="preserve"> evitar que se produzcan hechos</w:t>
      </w:r>
      <w:r w:rsidR="00035B0E" w:rsidRPr="00383E2D">
        <w:rPr>
          <w:rFonts w:ascii="Cambria" w:hAnsi="Cambria" w:cs="Calibri Light"/>
          <w:color w:val="000000"/>
          <w:sz w:val="20"/>
          <w:szCs w:val="20"/>
          <w:lang w:val="es-ES"/>
        </w:rPr>
        <w:t xml:space="preserve"> similares a los de este caso</w:t>
      </w:r>
      <w:r w:rsidRPr="00383E2D">
        <w:rPr>
          <w:rFonts w:ascii="Cambria" w:hAnsi="Cambria" w:cs="Calibri Light"/>
          <w:color w:val="000000"/>
          <w:sz w:val="20"/>
          <w:szCs w:val="20"/>
          <w:lang w:val="es-ES"/>
        </w:rPr>
        <w:t xml:space="preserve"> y</w:t>
      </w:r>
      <w:r w:rsidR="00035B0E" w:rsidRPr="00383E2D">
        <w:rPr>
          <w:rFonts w:ascii="Cambria" w:hAnsi="Cambria" w:cs="Calibri Light"/>
          <w:color w:val="000000"/>
          <w:sz w:val="20"/>
          <w:szCs w:val="20"/>
          <w:lang w:val="es-ES"/>
        </w:rPr>
        <w:t xml:space="preserve"> a</w:t>
      </w:r>
      <w:r w:rsidRPr="00383E2D">
        <w:rPr>
          <w:rFonts w:ascii="Cambria" w:hAnsi="Cambria" w:cs="Calibri Light"/>
          <w:color w:val="000000"/>
          <w:sz w:val="20"/>
          <w:szCs w:val="20"/>
          <w:lang w:val="es-ES"/>
        </w:rPr>
        <w:t xml:space="preserve"> proporcionar en todos los casos el debido proceso requerido y los medios efectivos para establecer el paradero y la suerte de cualquier persona detenida por el Estado.</w:t>
      </w:r>
    </w:p>
    <w:p w14:paraId="21B18DF1" w14:textId="77777777" w:rsidR="003F6D90" w:rsidRPr="00383E2D" w:rsidRDefault="003F6D90" w:rsidP="003F6D90">
      <w:pPr>
        <w:pStyle w:val="ListParagraph"/>
        <w:spacing w:after="0" w:line="240" w:lineRule="auto"/>
        <w:rPr>
          <w:rFonts w:ascii="Cambria" w:hAnsi="Cambria" w:cs="Calibri Light"/>
          <w:color w:val="000000"/>
          <w:sz w:val="20"/>
          <w:szCs w:val="20"/>
          <w:lang w:val="es-ES"/>
        </w:rPr>
      </w:pPr>
    </w:p>
    <w:p w14:paraId="339F242D" w14:textId="77777777" w:rsidR="00C90B57" w:rsidRPr="00383E2D" w:rsidRDefault="00C90B57" w:rsidP="00C90B57">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En 2018, l</w:t>
      </w:r>
      <w:r w:rsidR="00123312" w:rsidRPr="00383E2D">
        <w:rPr>
          <w:rFonts w:ascii="Cambria" w:hAnsi="Cambria" w:cs="Calibri Light"/>
          <w:color w:val="000000"/>
          <w:sz w:val="20"/>
          <w:szCs w:val="20"/>
          <w:lang w:val="es-ES"/>
        </w:rPr>
        <w:t>os peticionarios</w:t>
      </w:r>
      <w:r w:rsidR="003F6D90" w:rsidRPr="00383E2D">
        <w:rPr>
          <w:rFonts w:ascii="Cambria" w:hAnsi="Cambria" w:cs="Calibri Light"/>
          <w:color w:val="000000"/>
          <w:sz w:val="20"/>
          <w:szCs w:val="20"/>
          <w:lang w:val="es-ES"/>
        </w:rPr>
        <w:t xml:space="preserve"> inform</w:t>
      </w:r>
      <w:r w:rsidR="004B0DEF" w:rsidRPr="00383E2D">
        <w:rPr>
          <w:rFonts w:ascii="Cambria" w:hAnsi="Cambria" w:cs="Calibri Light"/>
          <w:color w:val="000000"/>
          <w:sz w:val="20"/>
          <w:szCs w:val="20"/>
          <w:lang w:val="es-ES"/>
        </w:rPr>
        <w:t xml:space="preserve">aron </w:t>
      </w:r>
      <w:r w:rsidRPr="00383E2D">
        <w:rPr>
          <w:rFonts w:ascii="Cambria" w:hAnsi="Cambria" w:cs="Calibri Light"/>
          <w:color w:val="000000"/>
          <w:sz w:val="20"/>
          <w:szCs w:val="20"/>
          <w:lang w:val="es-ES"/>
        </w:rPr>
        <w:t xml:space="preserve">que, </w:t>
      </w:r>
      <w:r w:rsidR="004B0DEF" w:rsidRPr="00383E2D">
        <w:rPr>
          <w:rFonts w:ascii="Cambria" w:hAnsi="Cambria" w:cs="Calibri Light"/>
          <w:color w:val="000000"/>
          <w:sz w:val="20"/>
          <w:szCs w:val="20"/>
          <w:lang w:val="es-ES"/>
        </w:rPr>
        <w:t xml:space="preserve">a su </w:t>
      </w:r>
      <w:r w:rsidRPr="00383E2D">
        <w:rPr>
          <w:rFonts w:ascii="Cambria" w:hAnsi="Cambria" w:cs="Calibri Light"/>
          <w:color w:val="000000"/>
          <w:sz w:val="20"/>
          <w:szCs w:val="20"/>
          <w:lang w:val="es-ES"/>
        </w:rPr>
        <w:t>conocimiento</w:t>
      </w:r>
      <w:r w:rsidR="004B0DEF" w:rsidRPr="00383E2D">
        <w:rPr>
          <w:rFonts w:ascii="Cambria" w:hAnsi="Cambria" w:cs="Calibri Light"/>
          <w:color w:val="000000"/>
          <w:sz w:val="20"/>
          <w:szCs w:val="20"/>
          <w:lang w:val="es-ES"/>
        </w:rPr>
        <w:t xml:space="preserve">, </w:t>
      </w:r>
      <w:r w:rsidRPr="00383E2D">
        <w:rPr>
          <w:rFonts w:ascii="Cambria" w:hAnsi="Cambria" w:cs="Calibri Light"/>
          <w:color w:val="000000"/>
          <w:sz w:val="20"/>
          <w:szCs w:val="20"/>
          <w:lang w:val="es-ES"/>
        </w:rPr>
        <w:t xml:space="preserve">el Estado no ha adoptado las </w:t>
      </w:r>
      <w:r w:rsidR="004B0DEF" w:rsidRPr="00383E2D">
        <w:rPr>
          <w:rFonts w:ascii="Cambria" w:hAnsi="Cambria" w:cs="Calibri Light"/>
          <w:color w:val="000000"/>
          <w:sz w:val="20"/>
          <w:szCs w:val="20"/>
          <w:lang w:val="es-ES"/>
        </w:rPr>
        <w:t xml:space="preserve">medidas legislativas u otras </w:t>
      </w:r>
      <w:r w:rsidRPr="00383E2D">
        <w:rPr>
          <w:rFonts w:ascii="Cambria" w:hAnsi="Cambria" w:cs="Calibri Light"/>
          <w:color w:val="000000"/>
          <w:sz w:val="20"/>
          <w:szCs w:val="20"/>
          <w:lang w:val="es-ES"/>
        </w:rPr>
        <w:t xml:space="preserve">medidas necesarias </w:t>
      </w:r>
      <w:r w:rsidRPr="00383E2D">
        <w:rPr>
          <w:rFonts w:ascii="Cambria" w:hAnsi="Cambria"/>
          <w:color w:val="000000"/>
          <w:sz w:val="20"/>
          <w:szCs w:val="20"/>
          <w:lang w:val="es-ES"/>
        </w:rPr>
        <w:t>para prevenir la reincidencia de hechos de esa naturaleza y proveer</w:t>
      </w:r>
      <w:r w:rsidRPr="00383E2D">
        <w:rPr>
          <w:rFonts w:ascii="Cambria" w:hAnsi="Cambria" w:cs="Calibri Light"/>
          <w:color w:val="000000"/>
          <w:sz w:val="20"/>
          <w:szCs w:val="20"/>
          <w:lang w:val="es-ES"/>
        </w:rPr>
        <w:t>, en todos los casos, el acceso al debido proceso y a los medios efectivos para establecer el paradero y la suerte de cualquier persona que se encuentre bajo la custodia Estatal.</w:t>
      </w:r>
    </w:p>
    <w:p w14:paraId="7B3BB314" w14:textId="77777777" w:rsidR="003F6D90" w:rsidRPr="00383E2D" w:rsidRDefault="003F6D90" w:rsidP="003F6D90">
      <w:pPr>
        <w:spacing w:after="0" w:line="240" w:lineRule="auto"/>
        <w:jc w:val="both"/>
        <w:rPr>
          <w:rFonts w:ascii="Cambria" w:hAnsi="Cambria" w:cs="Calibri Light"/>
          <w:color w:val="000000"/>
          <w:sz w:val="20"/>
          <w:szCs w:val="20"/>
          <w:lang w:val="es-ES"/>
        </w:rPr>
      </w:pPr>
    </w:p>
    <w:p w14:paraId="3C51F336" w14:textId="77777777" w:rsidR="00C90B57" w:rsidRPr="00383E2D" w:rsidRDefault="001447EA" w:rsidP="00C90B57">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La Comisión</w:t>
      </w:r>
      <w:r w:rsidR="003F6D90" w:rsidRPr="00383E2D">
        <w:rPr>
          <w:rFonts w:ascii="Cambria" w:hAnsi="Cambria" w:cs="Calibri Light"/>
          <w:color w:val="000000"/>
          <w:sz w:val="20"/>
          <w:szCs w:val="20"/>
          <w:lang w:val="es-ES"/>
        </w:rPr>
        <w:t xml:space="preserve"> </w:t>
      </w:r>
      <w:r w:rsidR="00C90B57" w:rsidRPr="00383E2D">
        <w:rPr>
          <w:rFonts w:ascii="Cambria" w:hAnsi="Cambria" w:cs="Calibri Light"/>
          <w:color w:val="000000"/>
          <w:sz w:val="20"/>
          <w:szCs w:val="20"/>
          <w:lang w:val="es-ES"/>
        </w:rPr>
        <w:t>toma nota de la información presentada por el Estado en 2012</w:t>
      </w:r>
      <w:r w:rsidR="00F93088" w:rsidRPr="00383E2D">
        <w:rPr>
          <w:rFonts w:ascii="Cambria" w:hAnsi="Cambria" w:cs="Calibri Light"/>
          <w:color w:val="000000"/>
          <w:sz w:val="20"/>
          <w:szCs w:val="20"/>
          <w:lang w:val="es-ES"/>
        </w:rPr>
        <w:t xml:space="preserve"> y 2021</w:t>
      </w:r>
      <w:r w:rsidR="00035B0E" w:rsidRPr="00383E2D">
        <w:rPr>
          <w:rFonts w:ascii="Cambria" w:hAnsi="Cambria" w:cs="Calibri Light"/>
          <w:color w:val="000000"/>
          <w:sz w:val="20"/>
          <w:szCs w:val="20"/>
          <w:lang w:val="es-ES"/>
        </w:rPr>
        <w:t>. Sin embargo, con miras a avanzar en el</w:t>
      </w:r>
      <w:r w:rsidR="00531156" w:rsidRPr="00383E2D">
        <w:rPr>
          <w:rFonts w:ascii="Cambria" w:hAnsi="Cambria" w:cs="Calibri Light"/>
          <w:color w:val="000000"/>
          <w:sz w:val="20"/>
          <w:szCs w:val="20"/>
          <w:lang w:val="es-ES"/>
        </w:rPr>
        <w:t xml:space="preserve"> </w:t>
      </w:r>
      <w:r w:rsidR="00035B0E" w:rsidRPr="00383E2D">
        <w:rPr>
          <w:rFonts w:ascii="Cambria" w:hAnsi="Cambria" w:cs="Calibri Light"/>
          <w:color w:val="000000"/>
          <w:sz w:val="20"/>
          <w:szCs w:val="20"/>
          <w:lang w:val="es-ES"/>
        </w:rPr>
        <w:t>nivel de cumplimiento de esta recomendación, la CIDH solicita al Estado que remita información específica</w:t>
      </w:r>
      <w:r w:rsidR="00FD2488" w:rsidRPr="00383E2D">
        <w:rPr>
          <w:rFonts w:ascii="Cambria" w:hAnsi="Cambria" w:cs="Calibri Light"/>
          <w:color w:val="000000"/>
          <w:sz w:val="20"/>
          <w:szCs w:val="20"/>
          <w:lang w:val="es-ES"/>
        </w:rPr>
        <w:t xml:space="preserve"> dirigida a cumplir con esta recomendación respecto de medidas</w:t>
      </w:r>
      <w:r w:rsidR="00035B0E" w:rsidRPr="00383E2D">
        <w:rPr>
          <w:rFonts w:ascii="Cambria" w:hAnsi="Cambria" w:cs="Calibri Light"/>
          <w:color w:val="000000"/>
          <w:sz w:val="20"/>
          <w:szCs w:val="20"/>
          <w:lang w:val="es-ES"/>
        </w:rPr>
        <w:t xml:space="preserve"> adoptada</w:t>
      </w:r>
      <w:r w:rsidR="00FD2488" w:rsidRPr="00383E2D">
        <w:rPr>
          <w:rFonts w:ascii="Cambria" w:hAnsi="Cambria" w:cs="Calibri Light"/>
          <w:color w:val="000000"/>
          <w:sz w:val="20"/>
          <w:szCs w:val="20"/>
          <w:lang w:val="es-ES"/>
        </w:rPr>
        <w:t>s</w:t>
      </w:r>
      <w:r w:rsidR="00035B0E" w:rsidRPr="00383E2D">
        <w:rPr>
          <w:rFonts w:ascii="Cambria" w:hAnsi="Cambria" w:cs="Calibri Light"/>
          <w:color w:val="000000"/>
          <w:sz w:val="20"/>
          <w:szCs w:val="20"/>
          <w:lang w:val="es-ES"/>
        </w:rPr>
        <w:t xml:space="preserve"> con posterioridad a la publicación del Informe de Fondo de este caso. En este sentido,</w:t>
      </w:r>
      <w:r w:rsidR="00FD2488" w:rsidRPr="00383E2D">
        <w:rPr>
          <w:rFonts w:ascii="Cambria" w:hAnsi="Cambria" w:cs="Calibri Light"/>
          <w:color w:val="000000"/>
          <w:sz w:val="20"/>
          <w:szCs w:val="20"/>
          <w:lang w:val="es-ES"/>
        </w:rPr>
        <w:t xml:space="preserve"> la Comisión</w:t>
      </w:r>
      <w:r w:rsidR="00035B0E" w:rsidRPr="00383E2D">
        <w:rPr>
          <w:rFonts w:ascii="Cambria" w:hAnsi="Cambria" w:cs="Calibri Light"/>
          <w:color w:val="000000"/>
          <w:sz w:val="20"/>
          <w:szCs w:val="20"/>
          <w:lang w:val="es-ES"/>
        </w:rPr>
        <w:t xml:space="preserve"> invita</w:t>
      </w:r>
      <w:r w:rsidR="00FD2488" w:rsidRPr="00383E2D">
        <w:rPr>
          <w:rFonts w:ascii="Cambria" w:hAnsi="Cambria" w:cs="Calibri Light"/>
          <w:color w:val="000000"/>
          <w:sz w:val="20"/>
          <w:szCs w:val="20"/>
          <w:lang w:val="es-ES"/>
        </w:rPr>
        <w:t xml:space="preserve"> al Estado</w:t>
      </w:r>
      <w:r w:rsidR="00035B0E" w:rsidRPr="00383E2D">
        <w:rPr>
          <w:rFonts w:ascii="Cambria" w:hAnsi="Cambria" w:cs="Calibri Light"/>
          <w:color w:val="000000"/>
          <w:sz w:val="20"/>
          <w:szCs w:val="20"/>
          <w:lang w:val="es-ES"/>
        </w:rPr>
        <w:t xml:space="preserve"> a reportar información que indique no solamente la legislación existente, pero además los mecanismos que aseguran la implementación efectiva de esa legislación o de otras medidas con miras a evitar la ocurrencia de hechos similares a los de este caso. </w:t>
      </w:r>
      <w:r w:rsidR="00FD2488" w:rsidRPr="00383E2D">
        <w:rPr>
          <w:rFonts w:ascii="Cambria" w:hAnsi="Cambria" w:cs="Calibri Light"/>
          <w:color w:val="000000"/>
          <w:sz w:val="20"/>
          <w:szCs w:val="20"/>
          <w:lang w:val="es-ES"/>
        </w:rPr>
        <w:t xml:space="preserve">Detalles de tiempo, lugar y modo de la implementación de estas medidas serán valioso para continuar con el seguimiento de esta recomendación. </w:t>
      </w:r>
      <w:r w:rsidR="00035B0E" w:rsidRPr="00383E2D">
        <w:rPr>
          <w:rFonts w:ascii="Cambria" w:hAnsi="Cambria" w:cs="Calibri Light"/>
          <w:color w:val="000000"/>
          <w:sz w:val="20"/>
          <w:szCs w:val="20"/>
          <w:lang w:val="es-ES"/>
        </w:rPr>
        <w:t xml:space="preserve">A la espera de información más detallada sobre estas medidas que además dé cuenta de </w:t>
      </w:r>
      <w:r w:rsidR="00531156" w:rsidRPr="00383E2D">
        <w:rPr>
          <w:rFonts w:ascii="Cambria" w:hAnsi="Cambria" w:cs="Calibri Light"/>
          <w:color w:val="000000"/>
          <w:sz w:val="20"/>
          <w:szCs w:val="20"/>
          <w:lang w:val="es-ES"/>
        </w:rPr>
        <w:t xml:space="preserve">acciones actuales y reciente, </w:t>
      </w:r>
      <w:r w:rsidR="00C90B57" w:rsidRPr="00383E2D">
        <w:rPr>
          <w:rFonts w:ascii="Cambria" w:hAnsi="Cambria" w:cs="Calibri Light"/>
          <w:color w:val="000000"/>
          <w:sz w:val="20"/>
          <w:szCs w:val="20"/>
          <w:lang w:val="es-ES"/>
        </w:rPr>
        <w:t xml:space="preserve">la CIDH considera que la </w:t>
      </w:r>
      <w:r w:rsidR="00531156" w:rsidRPr="00383E2D">
        <w:rPr>
          <w:rFonts w:ascii="Cambria" w:hAnsi="Cambria" w:cs="Calibri Light"/>
          <w:color w:val="000000"/>
          <w:sz w:val="20"/>
          <w:szCs w:val="20"/>
          <w:lang w:val="es-ES"/>
        </w:rPr>
        <w:t>r</w:t>
      </w:r>
      <w:r w:rsidR="00C90B57" w:rsidRPr="00383E2D">
        <w:rPr>
          <w:rFonts w:ascii="Cambria" w:hAnsi="Cambria" w:cs="Calibri Light"/>
          <w:color w:val="000000"/>
          <w:sz w:val="20"/>
          <w:szCs w:val="20"/>
          <w:lang w:val="es-ES"/>
        </w:rPr>
        <w:t xml:space="preserve">ecomendación 2 </w:t>
      </w:r>
      <w:r w:rsidR="00531156" w:rsidRPr="00383E2D">
        <w:rPr>
          <w:rFonts w:ascii="Cambria" w:hAnsi="Cambria" w:cs="Calibri Light"/>
          <w:color w:val="000000"/>
          <w:sz w:val="20"/>
          <w:szCs w:val="20"/>
          <w:lang w:val="es-ES"/>
        </w:rPr>
        <w:t xml:space="preserve">continúa </w:t>
      </w:r>
      <w:r w:rsidR="00C90B57" w:rsidRPr="00383E2D">
        <w:rPr>
          <w:rFonts w:ascii="Cambria" w:hAnsi="Cambria" w:cs="Calibri Light"/>
          <w:color w:val="000000"/>
          <w:sz w:val="20"/>
          <w:szCs w:val="20"/>
          <w:lang w:val="es-ES"/>
        </w:rPr>
        <w:t>pendiente de cumplimiento.</w:t>
      </w:r>
    </w:p>
    <w:p w14:paraId="2EEC3CA7" w14:textId="77777777" w:rsidR="003F6D90" w:rsidRPr="00383E2D" w:rsidRDefault="003F6D90" w:rsidP="003F6D90">
      <w:pPr>
        <w:pStyle w:val="ListParagraph"/>
        <w:rPr>
          <w:rFonts w:ascii="Cambria" w:hAnsi="Cambria" w:cs="Calibri Light"/>
          <w:color w:val="000000"/>
          <w:sz w:val="20"/>
          <w:szCs w:val="20"/>
          <w:lang w:val="es-ES"/>
        </w:rPr>
      </w:pPr>
    </w:p>
    <w:p w14:paraId="37DFAAEF" w14:textId="77777777" w:rsidR="00864794" w:rsidRPr="00383E2D" w:rsidRDefault="009D1521" w:rsidP="00864794">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383E2D">
        <w:rPr>
          <w:rFonts w:ascii="Cambria" w:hAnsi="Cambria" w:cs="Calibri Light"/>
          <w:b/>
          <w:color w:val="000000"/>
          <w:sz w:val="20"/>
          <w:szCs w:val="20"/>
          <w:lang w:val="es-ES"/>
        </w:rPr>
        <w:lastRenderedPageBreak/>
        <w:t xml:space="preserve">En relación con la tercera </w:t>
      </w:r>
      <w:r w:rsidR="00864794" w:rsidRPr="00383E2D">
        <w:rPr>
          <w:rFonts w:ascii="Cambria" w:hAnsi="Cambria" w:cs="Calibri Light"/>
          <w:b/>
          <w:color w:val="000000"/>
          <w:sz w:val="20"/>
          <w:szCs w:val="20"/>
          <w:lang w:val="es-ES"/>
        </w:rPr>
        <w:t>recomendación</w:t>
      </w:r>
      <w:r w:rsidR="003F6D90" w:rsidRPr="00383E2D">
        <w:rPr>
          <w:rFonts w:ascii="Cambria" w:hAnsi="Cambria" w:cs="Calibri Light"/>
          <w:color w:val="000000"/>
          <w:sz w:val="20"/>
          <w:szCs w:val="20"/>
          <w:lang w:val="es-ES"/>
        </w:rPr>
        <w:t xml:space="preserve">, </w:t>
      </w:r>
      <w:r w:rsidRPr="00383E2D">
        <w:rPr>
          <w:rFonts w:ascii="Cambria" w:hAnsi="Cambria" w:cs="Calibri Light"/>
          <w:color w:val="000000"/>
          <w:sz w:val="20"/>
          <w:szCs w:val="20"/>
          <w:lang w:val="es-ES"/>
        </w:rPr>
        <w:t>en 2012</w:t>
      </w:r>
      <w:r w:rsidR="00864794" w:rsidRPr="00383E2D">
        <w:rPr>
          <w:rFonts w:ascii="Cambria" w:hAnsi="Cambria" w:cs="Calibri Light"/>
          <w:color w:val="000000"/>
          <w:sz w:val="20"/>
          <w:szCs w:val="20"/>
          <w:lang w:val="es-ES"/>
        </w:rPr>
        <w:t>,</w:t>
      </w:r>
      <w:r w:rsidRPr="00383E2D">
        <w:rPr>
          <w:rFonts w:ascii="Cambria" w:hAnsi="Cambria" w:cs="Calibri Light"/>
          <w:color w:val="000000"/>
          <w:sz w:val="20"/>
          <w:szCs w:val="20"/>
          <w:lang w:val="es-ES"/>
        </w:rPr>
        <w:t xml:space="preserve"> </w:t>
      </w:r>
      <w:r w:rsidR="00864794" w:rsidRPr="00383E2D">
        <w:rPr>
          <w:rFonts w:ascii="Cambria" w:hAnsi="Cambria" w:cs="Calibri Light"/>
          <w:color w:val="000000"/>
          <w:sz w:val="20"/>
          <w:szCs w:val="20"/>
          <w:lang w:val="es-ES"/>
        </w:rPr>
        <w:t>el Estado presentó la misma información con respecto a esta recomendación que presentó en relación con la Recomendación 1</w:t>
      </w:r>
      <w:r w:rsidR="00864794" w:rsidRPr="00383E2D">
        <w:rPr>
          <w:rStyle w:val="FootnoteReference"/>
          <w:rFonts w:ascii="Cambria" w:hAnsi="Cambria" w:cs="Calibri Light"/>
          <w:color w:val="000000"/>
          <w:sz w:val="20"/>
          <w:szCs w:val="20"/>
          <w:lang w:val="es-ES"/>
        </w:rPr>
        <w:footnoteReference w:id="5"/>
      </w:r>
      <w:r w:rsidR="00864794" w:rsidRPr="00383E2D">
        <w:rPr>
          <w:rFonts w:ascii="Cambria" w:hAnsi="Cambria" w:cs="Calibri Light"/>
          <w:color w:val="000000"/>
          <w:sz w:val="20"/>
          <w:szCs w:val="20"/>
          <w:lang w:val="es-ES"/>
        </w:rPr>
        <w:t>. En 2013, el Estado indicó que no dispone de información adicional para compartir con la Comisión</w:t>
      </w:r>
      <w:r w:rsidR="00864794" w:rsidRPr="00383E2D">
        <w:rPr>
          <w:rStyle w:val="FootnoteReference"/>
          <w:rFonts w:ascii="Cambria" w:hAnsi="Cambria" w:cs="Calibri Light"/>
          <w:color w:val="000000"/>
          <w:sz w:val="20"/>
          <w:szCs w:val="20"/>
          <w:lang w:val="es-ES"/>
        </w:rPr>
        <w:footnoteReference w:id="6"/>
      </w:r>
      <w:r w:rsidR="00864794" w:rsidRPr="00383E2D">
        <w:rPr>
          <w:rFonts w:ascii="Cambria" w:hAnsi="Cambria" w:cs="Calibri Light"/>
          <w:color w:val="000000"/>
          <w:sz w:val="20"/>
          <w:szCs w:val="20"/>
          <w:lang w:val="es-ES"/>
        </w:rPr>
        <w:t>.</w:t>
      </w:r>
    </w:p>
    <w:p w14:paraId="1AAD6B9E" w14:textId="77777777" w:rsidR="00F93088" w:rsidRPr="00383E2D" w:rsidRDefault="00F93088" w:rsidP="00F93088">
      <w:pPr>
        <w:pStyle w:val="ListParagraph"/>
        <w:rPr>
          <w:rFonts w:ascii="Cambria" w:hAnsi="Cambria" w:cs="Calibri Light"/>
          <w:color w:val="000000"/>
          <w:sz w:val="20"/>
          <w:szCs w:val="20"/>
          <w:lang w:val="es-ES"/>
        </w:rPr>
      </w:pPr>
    </w:p>
    <w:p w14:paraId="0A06493E" w14:textId="77777777" w:rsidR="00F93088" w:rsidRPr="00383E2D" w:rsidRDefault="00F93088" w:rsidP="00864794">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 xml:space="preserve">En 2021, el Estado </w:t>
      </w:r>
      <w:r w:rsidR="002C3CF9" w:rsidRPr="00383E2D">
        <w:rPr>
          <w:rFonts w:ascii="Cambria" w:hAnsi="Cambria" w:cs="Calibri Light"/>
          <w:color w:val="000000"/>
          <w:sz w:val="20"/>
          <w:szCs w:val="20"/>
          <w:lang w:val="es-ES"/>
        </w:rPr>
        <w:t>reiteró</w:t>
      </w:r>
      <w:r w:rsidRPr="00383E2D">
        <w:rPr>
          <w:rFonts w:ascii="Cambria" w:hAnsi="Cambria" w:cs="Calibri Light"/>
          <w:color w:val="000000"/>
          <w:sz w:val="20"/>
          <w:szCs w:val="20"/>
          <w:lang w:val="es-ES"/>
        </w:rPr>
        <w:t xml:space="preserve"> que </w:t>
      </w:r>
      <w:r w:rsidR="002C3CF9" w:rsidRPr="00383E2D">
        <w:rPr>
          <w:rFonts w:ascii="Cambria" w:hAnsi="Cambria" w:cs="Calibri Light"/>
          <w:color w:val="000000"/>
          <w:sz w:val="20"/>
          <w:szCs w:val="20"/>
          <w:lang w:val="es-ES"/>
        </w:rPr>
        <w:t>el gobierno no puede cumplir la recomendación 1, en la que se basaría la aplicación de la recomendación 3. Sin embargo, señaló que</w:t>
      </w:r>
      <w:r w:rsidR="009F5B9F" w:rsidRPr="00383E2D">
        <w:rPr>
          <w:rFonts w:ascii="Cambria" w:hAnsi="Cambria" w:cs="Calibri Light"/>
          <w:color w:val="000000"/>
          <w:sz w:val="20"/>
          <w:szCs w:val="20"/>
          <w:lang w:val="es-ES"/>
        </w:rPr>
        <w:t>,</w:t>
      </w:r>
      <w:r w:rsidR="002C3CF9" w:rsidRPr="00383E2D">
        <w:rPr>
          <w:rFonts w:ascii="Cambria" w:hAnsi="Cambria" w:cs="Calibri Light"/>
          <w:color w:val="000000"/>
          <w:sz w:val="20"/>
          <w:szCs w:val="20"/>
          <w:lang w:val="es-ES"/>
        </w:rPr>
        <w:t xml:space="preserve"> si recibiera o se le proporcionara nueva información en relación con este caso, estaría dispuesto a tomar medidas para averiguar lo que le ocurrió al Sr. Britton y su paradero.</w:t>
      </w:r>
    </w:p>
    <w:p w14:paraId="2E3495E2" w14:textId="77777777" w:rsidR="00864794" w:rsidRPr="00383E2D" w:rsidRDefault="00864794" w:rsidP="00864794">
      <w:pPr>
        <w:pStyle w:val="ListParagraph"/>
        <w:rPr>
          <w:rFonts w:ascii="Cambria" w:hAnsi="Cambria" w:cs="Calibri Light"/>
          <w:color w:val="000000"/>
          <w:sz w:val="20"/>
          <w:szCs w:val="20"/>
          <w:lang w:val="es-ES"/>
        </w:rPr>
      </w:pPr>
    </w:p>
    <w:p w14:paraId="3266C815" w14:textId="77777777" w:rsidR="00864794" w:rsidRPr="00383E2D" w:rsidRDefault="00864794" w:rsidP="00864794">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En 2018, el peticionario informó que el Estado no ha tomado medidas para ubicar los restos de Franz Britton y que no se han otorgado reparaciones a los familiares de la víctima.</w:t>
      </w:r>
    </w:p>
    <w:p w14:paraId="2C16A453" w14:textId="77777777" w:rsidR="00864794" w:rsidRPr="00383E2D" w:rsidRDefault="00864794" w:rsidP="00864794">
      <w:pPr>
        <w:pStyle w:val="ListParagraph"/>
        <w:rPr>
          <w:rFonts w:ascii="Cambria" w:hAnsi="Cambria" w:cs="Calibri Light"/>
          <w:color w:val="000000"/>
          <w:sz w:val="20"/>
          <w:szCs w:val="20"/>
          <w:lang w:val="es-ES"/>
        </w:rPr>
      </w:pPr>
    </w:p>
    <w:p w14:paraId="7BAABDB2" w14:textId="77777777" w:rsidR="00864794" w:rsidRPr="00383E2D" w:rsidRDefault="005F432E" w:rsidP="00864794">
      <w:pPr>
        <w:pStyle w:val="ListParagraph"/>
        <w:numPr>
          <w:ilvl w:val="0"/>
          <w:numId w:val="12"/>
        </w:numPr>
        <w:spacing w:after="0" w:line="240" w:lineRule="auto"/>
        <w:ind w:left="0" w:firstLine="709"/>
        <w:jc w:val="both"/>
        <w:rPr>
          <w:rFonts w:ascii="Cambria" w:hAnsi="Cambria" w:cs="Calibri Light"/>
          <w:color w:val="000000"/>
          <w:sz w:val="20"/>
          <w:szCs w:val="20"/>
          <w:lang w:val="es-ES"/>
        </w:rPr>
      </w:pPr>
      <w:r w:rsidRPr="00383E2D">
        <w:rPr>
          <w:rFonts w:ascii="Cambria" w:hAnsi="Cambria"/>
          <w:color w:val="000000"/>
          <w:sz w:val="20"/>
          <w:szCs w:val="20"/>
          <w:lang w:val="es-ES"/>
        </w:rPr>
        <w:t>En relación con el otorgamiento de una reparación integral a las víctimas de violaciones a los derechos humanos, la CIDH reitera que, de acuerdo con los principios del derecho internacional, todo incumplimiento de una obligación internacional que ocasione un perjuicio da lugar al deber de repararlo de manera adecuada</w:t>
      </w:r>
      <w:r w:rsidRPr="00383E2D">
        <w:rPr>
          <w:rFonts w:ascii="Cambria" w:hAnsi="Cambria"/>
          <w:color w:val="000000"/>
          <w:sz w:val="20"/>
          <w:szCs w:val="20"/>
          <w:vertAlign w:val="superscript"/>
          <w:lang w:val="es-ES"/>
        </w:rPr>
        <w:footnoteReference w:id="7"/>
      </w:r>
      <w:r w:rsidRPr="00383E2D">
        <w:rPr>
          <w:rFonts w:ascii="Cambria" w:hAnsi="Cambria"/>
          <w:color w:val="000000"/>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Pr="00383E2D">
        <w:rPr>
          <w:rFonts w:ascii="Cambria" w:hAnsi="Cambria"/>
          <w:color w:val="000000"/>
          <w:sz w:val="20"/>
          <w:szCs w:val="20"/>
          <w:vertAlign w:val="superscript"/>
          <w:lang w:val="es-ES"/>
        </w:rPr>
        <w:footnoteReference w:id="8"/>
      </w:r>
      <w:r w:rsidRPr="00383E2D">
        <w:rPr>
          <w:rFonts w:ascii="Cambria" w:hAnsi="Cambria"/>
          <w:color w:val="000000"/>
          <w:sz w:val="20"/>
          <w:szCs w:val="20"/>
          <w:lang w:val="es-ES"/>
        </w:rPr>
        <w:t>. Además, un Estado no puede recurrir a su derecho interno para modificar esta obligación o hacer caso omiso de ella</w:t>
      </w:r>
      <w:r w:rsidRPr="00383E2D">
        <w:rPr>
          <w:rFonts w:ascii="Cambria" w:hAnsi="Cambria"/>
          <w:color w:val="000000"/>
          <w:sz w:val="20"/>
          <w:szCs w:val="20"/>
          <w:vertAlign w:val="superscript"/>
          <w:lang w:val="es-ES"/>
        </w:rPr>
        <w:footnoteReference w:id="9"/>
      </w:r>
      <w:r w:rsidRPr="00383E2D">
        <w:rPr>
          <w:rFonts w:ascii="Cambria" w:hAnsi="Cambria"/>
          <w:color w:val="000000"/>
          <w:sz w:val="20"/>
          <w:szCs w:val="20"/>
          <w:lang w:val="es-ES"/>
        </w:rPr>
        <w:t xml:space="preserve">. </w:t>
      </w:r>
      <w:r w:rsidR="00E83172" w:rsidRPr="00383E2D">
        <w:rPr>
          <w:rFonts w:ascii="Cambria" w:hAnsi="Cambria"/>
          <w:color w:val="000000"/>
          <w:sz w:val="20"/>
          <w:szCs w:val="20"/>
          <w:lang w:val="es-ES"/>
        </w:rPr>
        <w:t xml:space="preserve">En este sentido, </w:t>
      </w:r>
      <w:r w:rsidR="00E83172" w:rsidRPr="00383E2D">
        <w:rPr>
          <w:rFonts w:ascii="Cambria" w:hAnsi="Cambria" w:cs="Calibri Light"/>
          <w:color w:val="000000"/>
          <w:sz w:val="20"/>
          <w:szCs w:val="20"/>
          <w:lang w:val="es-ES"/>
        </w:rPr>
        <w:t>l</w:t>
      </w:r>
      <w:r w:rsidR="00864794" w:rsidRPr="00383E2D">
        <w:rPr>
          <w:rFonts w:ascii="Cambria" w:hAnsi="Cambria" w:cs="Calibri Light"/>
          <w:color w:val="000000"/>
          <w:sz w:val="20"/>
          <w:szCs w:val="20"/>
          <w:lang w:val="es-ES"/>
        </w:rPr>
        <w:t>a CIDH insta al Estado a tomar medidas para cumplir con esta recomendación e informarle sobre estas medidas. Por lo anterior, la CIDH considera que la Recomendación 3 se encuentra pendiente de cumplimiento.</w:t>
      </w:r>
    </w:p>
    <w:p w14:paraId="603C42AF" w14:textId="77777777" w:rsidR="003F6D90" w:rsidRPr="00383E2D" w:rsidRDefault="003F6D90" w:rsidP="003F6D90">
      <w:pPr>
        <w:spacing w:after="0" w:line="240" w:lineRule="auto"/>
        <w:rPr>
          <w:rFonts w:ascii="Cambria" w:hAnsi="Cambria"/>
          <w:color w:val="000000"/>
          <w:sz w:val="20"/>
          <w:szCs w:val="20"/>
          <w:lang w:val="es-ES"/>
        </w:rPr>
      </w:pPr>
    </w:p>
    <w:p w14:paraId="02D71882" w14:textId="77777777" w:rsidR="003F6D90" w:rsidRPr="00383E2D" w:rsidRDefault="00041238" w:rsidP="00041238">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383E2D">
        <w:rPr>
          <w:rFonts w:ascii="Cambria" w:hAnsi="Cambria" w:cs="Calibri Light"/>
          <w:b/>
          <w:color w:val="000000"/>
          <w:sz w:val="20"/>
          <w:szCs w:val="20"/>
          <w:lang w:val="es-ES"/>
        </w:rPr>
        <w:t>Nivel del cumplimiento del caso</w:t>
      </w:r>
      <w:r w:rsidR="003F6D90" w:rsidRPr="00383E2D">
        <w:rPr>
          <w:rFonts w:ascii="Cambria" w:hAnsi="Cambria" w:cs="Calibri Light"/>
          <w:b/>
          <w:color w:val="000000"/>
          <w:sz w:val="20"/>
          <w:szCs w:val="20"/>
          <w:lang w:val="es-ES"/>
        </w:rPr>
        <w:t xml:space="preserve">  </w:t>
      </w:r>
    </w:p>
    <w:p w14:paraId="10D3DA0B" w14:textId="77777777" w:rsidR="003F6D90" w:rsidRPr="00383E2D" w:rsidRDefault="003F6D90" w:rsidP="003F6D90">
      <w:pPr>
        <w:spacing w:after="0" w:line="240" w:lineRule="auto"/>
        <w:jc w:val="both"/>
        <w:rPr>
          <w:rFonts w:ascii="Cambria" w:hAnsi="Cambria" w:cs="Calibri Light"/>
          <w:color w:val="000000"/>
          <w:sz w:val="20"/>
          <w:szCs w:val="20"/>
          <w:lang w:val="es-ES"/>
        </w:rPr>
      </w:pPr>
    </w:p>
    <w:p w14:paraId="2A608EEC" w14:textId="77777777" w:rsidR="00712B45" w:rsidRPr="00383E2D" w:rsidRDefault="00712B45" w:rsidP="003F6D90">
      <w:pPr>
        <w:pStyle w:val="ListParagraph"/>
        <w:numPr>
          <w:ilvl w:val="0"/>
          <w:numId w:val="12"/>
        </w:numPr>
        <w:shd w:val="clear" w:color="auto" w:fill="FFFFFF"/>
        <w:spacing w:after="0" w:line="240" w:lineRule="auto"/>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 xml:space="preserve">Por lo anterior, la Comisión concluye que el nivel de cumplimiento del caso es pendiente. En consecuencia, la CIDH seguirá supervisando el cumplimiento de las Recomendaciones 1, 2 y 3. </w:t>
      </w:r>
    </w:p>
    <w:p w14:paraId="5557C3AF" w14:textId="77777777" w:rsidR="003F6D90" w:rsidRPr="00383E2D" w:rsidRDefault="003F6D90" w:rsidP="003F6D90">
      <w:pPr>
        <w:spacing w:after="0" w:line="240" w:lineRule="auto"/>
        <w:jc w:val="both"/>
        <w:rPr>
          <w:rFonts w:ascii="Cambria" w:hAnsi="Cambria"/>
          <w:color w:val="000000"/>
          <w:sz w:val="20"/>
          <w:szCs w:val="20"/>
          <w:lang w:val="es-ES"/>
        </w:rPr>
      </w:pPr>
    </w:p>
    <w:p w14:paraId="22FAE326" w14:textId="77777777" w:rsidR="00041238" w:rsidRPr="00383E2D" w:rsidRDefault="00041238" w:rsidP="00041238">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383E2D">
        <w:rPr>
          <w:rFonts w:ascii="Cambria" w:hAnsi="Cambria" w:cs="Calibri Light"/>
          <w:b/>
          <w:color w:val="000000"/>
          <w:sz w:val="20"/>
          <w:szCs w:val="20"/>
          <w:lang w:val="es-ES"/>
        </w:rPr>
        <w:t xml:space="preserve">Resultados individuales y estructurales del caso </w:t>
      </w:r>
    </w:p>
    <w:p w14:paraId="0DE8E2BA" w14:textId="77777777" w:rsidR="003F6D90" w:rsidRPr="00383E2D" w:rsidRDefault="003F6D90" w:rsidP="003F6D90">
      <w:pPr>
        <w:spacing w:after="0" w:line="240" w:lineRule="auto"/>
        <w:jc w:val="both"/>
        <w:rPr>
          <w:rFonts w:ascii="Cambria" w:hAnsi="Cambria"/>
          <w:b/>
          <w:color w:val="000000"/>
          <w:sz w:val="20"/>
          <w:szCs w:val="20"/>
          <w:lang w:val="es-ES"/>
        </w:rPr>
      </w:pPr>
    </w:p>
    <w:p w14:paraId="3A4EBCB5" w14:textId="77777777" w:rsidR="00041238" w:rsidRPr="00383E2D" w:rsidRDefault="00041238" w:rsidP="00712B45">
      <w:pPr>
        <w:pStyle w:val="ListParagraph"/>
        <w:numPr>
          <w:ilvl w:val="0"/>
          <w:numId w:val="12"/>
        </w:numPr>
        <w:spacing w:after="0" w:line="240" w:lineRule="auto"/>
        <w:ind w:left="0" w:firstLine="720"/>
        <w:jc w:val="both"/>
        <w:rPr>
          <w:rFonts w:ascii="Cambria" w:hAnsi="Cambria"/>
          <w:color w:val="000000"/>
          <w:sz w:val="20"/>
          <w:szCs w:val="20"/>
          <w:lang w:val="es-ES"/>
        </w:rPr>
      </w:pPr>
      <w:r w:rsidRPr="00383E2D">
        <w:rPr>
          <w:rFonts w:ascii="Cambria" w:hAnsi="Cambria" w:cs="Calibri Light"/>
          <w:color w:val="000000"/>
          <w:sz w:val="20"/>
          <w:szCs w:val="20"/>
          <w:lang w:val="es-ES"/>
        </w:rPr>
        <w:t xml:space="preserve">Dado que este caso está pendiente de cumplimiento, no hay resultados individuales o estructurales informados por las partes. </w:t>
      </w:r>
    </w:p>
    <w:p w14:paraId="79AA3C00" w14:textId="77777777" w:rsidR="003F6D90" w:rsidRPr="00383E2D" w:rsidRDefault="003F6D90" w:rsidP="003F6D90">
      <w:pPr>
        <w:spacing w:after="0" w:line="240" w:lineRule="auto"/>
        <w:rPr>
          <w:rFonts w:ascii="Cambria" w:hAnsi="Cambria"/>
          <w:color w:val="000000"/>
          <w:sz w:val="20"/>
          <w:szCs w:val="20"/>
          <w:lang w:val="es-ES"/>
        </w:rPr>
      </w:pPr>
    </w:p>
    <w:p w14:paraId="12CCBA73" w14:textId="77777777" w:rsidR="003F6D90" w:rsidRPr="00383E2D" w:rsidRDefault="003F6D90" w:rsidP="003F6D90">
      <w:pPr>
        <w:spacing w:after="0" w:line="240" w:lineRule="auto"/>
        <w:rPr>
          <w:rFonts w:ascii="Cambria" w:hAnsi="Cambria"/>
          <w:color w:val="000000"/>
          <w:sz w:val="20"/>
          <w:szCs w:val="20"/>
          <w:lang w:val="es-ES"/>
        </w:rPr>
      </w:pPr>
    </w:p>
    <w:p w14:paraId="5319775D" w14:textId="77777777" w:rsidR="003F6D90" w:rsidRPr="00383E2D" w:rsidRDefault="003F6D90" w:rsidP="003F6D90">
      <w:pPr>
        <w:spacing w:after="0" w:line="240" w:lineRule="auto"/>
        <w:rPr>
          <w:rFonts w:ascii="Cambria" w:hAnsi="Cambria"/>
          <w:color w:val="000000"/>
          <w:sz w:val="20"/>
          <w:szCs w:val="20"/>
          <w:lang w:val="es-ES"/>
        </w:rPr>
      </w:pPr>
    </w:p>
    <w:p w14:paraId="1304FD5C" w14:textId="77777777" w:rsidR="003F6D90" w:rsidRPr="00383E2D" w:rsidRDefault="003F6D90" w:rsidP="003F6D90">
      <w:pPr>
        <w:pStyle w:val="Header"/>
        <w:jc w:val="both"/>
        <w:rPr>
          <w:rFonts w:ascii="Cambria" w:hAnsi="Cambria"/>
          <w:color w:val="000000"/>
          <w:sz w:val="20"/>
          <w:szCs w:val="20"/>
          <w:lang w:val="es-ES"/>
        </w:rPr>
      </w:pPr>
      <w:r w:rsidRPr="00383E2D">
        <w:rPr>
          <w:rFonts w:ascii="Cambria" w:hAnsi="Cambria"/>
          <w:snapToGrid w:val="0"/>
          <w:color w:val="000000"/>
          <w:sz w:val="20"/>
          <w:szCs w:val="20"/>
          <w:lang w:val="es-ES"/>
        </w:rPr>
        <w:tab/>
        <w:t xml:space="preserve">                                                               </w:t>
      </w:r>
    </w:p>
    <w:sectPr w:rsidR="003F6D90" w:rsidRPr="00383E2D" w:rsidSect="00814DFD">
      <w:headerReference w:type="default" r:id="rId11"/>
      <w:footerReference w:type="default" r:id="rId12"/>
      <w:headerReference w:type="first" r:id="rId13"/>
      <w:footerReference w:type="first" r:id="rId14"/>
      <w:pgSz w:w="12240" w:h="15840"/>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5212" w14:textId="77777777" w:rsidR="0019167B" w:rsidRDefault="0019167B" w:rsidP="00A343FF">
      <w:pPr>
        <w:spacing w:after="0" w:line="240" w:lineRule="auto"/>
      </w:pPr>
      <w:r>
        <w:separator/>
      </w:r>
    </w:p>
  </w:endnote>
  <w:endnote w:type="continuationSeparator" w:id="0">
    <w:p w14:paraId="722060D0" w14:textId="77777777" w:rsidR="0019167B" w:rsidRDefault="0019167B"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06E1" w14:textId="77777777" w:rsidR="000F4331" w:rsidRPr="00814DFD" w:rsidRDefault="000F4331">
    <w:pPr>
      <w:pStyle w:val="Footer"/>
      <w:jc w:val="center"/>
      <w:rPr>
        <w:rFonts w:ascii="Cambria" w:hAnsi="Cambria"/>
        <w:color w:val="404040"/>
        <w:sz w:val="20"/>
        <w:szCs w:val="20"/>
      </w:rPr>
    </w:pPr>
    <w:r w:rsidRPr="00814DFD">
      <w:rPr>
        <w:rFonts w:ascii="Cambria" w:hAnsi="Cambria"/>
        <w:color w:val="404040"/>
        <w:sz w:val="20"/>
        <w:szCs w:val="20"/>
      </w:rPr>
      <w:fldChar w:fldCharType="begin"/>
    </w:r>
    <w:r w:rsidRPr="00814DFD">
      <w:rPr>
        <w:rFonts w:ascii="Cambria" w:hAnsi="Cambria"/>
        <w:color w:val="404040"/>
        <w:sz w:val="20"/>
        <w:szCs w:val="20"/>
      </w:rPr>
      <w:instrText xml:space="preserve"> PAGE   \* MERGEFORMAT </w:instrText>
    </w:r>
    <w:r w:rsidRPr="00814DFD">
      <w:rPr>
        <w:rFonts w:ascii="Cambria" w:hAnsi="Cambria"/>
        <w:color w:val="404040"/>
        <w:sz w:val="20"/>
        <w:szCs w:val="20"/>
      </w:rPr>
      <w:fldChar w:fldCharType="separate"/>
    </w:r>
    <w:r w:rsidR="00111B41" w:rsidRPr="00814DFD">
      <w:rPr>
        <w:rFonts w:ascii="Cambria" w:hAnsi="Cambria"/>
        <w:noProof/>
        <w:color w:val="404040"/>
        <w:sz w:val="20"/>
        <w:szCs w:val="20"/>
      </w:rPr>
      <w:t>2</w:t>
    </w:r>
    <w:r w:rsidRPr="00814DFD">
      <w:rPr>
        <w:rFonts w:ascii="Cambria" w:hAnsi="Cambria"/>
        <w:noProof/>
        <w:color w:val="404040"/>
        <w:sz w:val="20"/>
        <w:szCs w:val="20"/>
      </w:rPr>
      <w:fldChar w:fldCharType="end"/>
    </w:r>
  </w:p>
  <w:p w14:paraId="4330928C" w14:textId="77777777" w:rsidR="000F4331" w:rsidRDefault="000F4331"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A402" w14:textId="77777777" w:rsidR="000F4331" w:rsidRPr="007942FF" w:rsidRDefault="000F4331" w:rsidP="008F2248">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CCDB" w14:textId="77777777" w:rsidR="0019167B" w:rsidRDefault="0019167B" w:rsidP="00A343FF">
      <w:pPr>
        <w:spacing w:after="0" w:line="240" w:lineRule="auto"/>
      </w:pPr>
      <w:r>
        <w:separator/>
      </w:r>
    </w:p>
  </w:footnote>
  <w:footnote w:type="continuationSeparator" w:id="0">
    <w:p w14:paraId="15B8B66E" w14:textId="77777777" w:rsidR="0019167B" w:rsidRDefault="0019167B" w:rsidP="00A343FF">
      <w:pPr>
        <w:spacing w:after="0" w:line="240" w:lineRule="auto"/>
      </w:pPr>
      <w:r>
        <w:continuationSeparator/>
      </w:r>
    </w:p>
  </w:footnote>
  <w:footnote w:id="1">
    <w:p w14:paraId="3AB8170F" w14:textId="77777777" w:rsidR="007052CA" w:rsidRPr="00383E2D" w:rsidRDefault="007052CA" w:rsidP="007052CA">
      <w:pPr>
        <w:pStyle w:val="FootnoteText"/>
        <w:spacing w:after="120" w:line="240" w:lineRule="auto"/>
        <w:ind w:firstLine="720"/>
        <w:jc w:val="both"/>
        <w:rPr>
          <w:rFonts w:ascii="Cambria" w:hAnsi="Cambria"/>
          <w:color w:val="000000"/>
          <w:sz w:val="16"/>
          <w:szCs w:val="16"/>
        </w:rPr>
      </w:pPr>
      <w:r w:rsidRPr="00383E2D">
        <w:rPr>
          <w:rStyle w:val="FootnoteReference"/>
          <w:rFonts w:ascii="Cambria" w:hAnsi="Cambria"/>
          <w:color w:val="000000"/>
          <w:sz w:val="16"/>
          <w:szCs w:val="16"/>
        </w:rPr>
        <w:footnoteRef/>
      </w:r>
      <w:r w:rsidRPr="00383E2D">
        <w:rPr>
          <w:rFonts w:ascii="Cambria" w:hAnsi="Cambria"/>
          <w:color w:val="000000"/>
          <w:sz w:val="16"/>
          <w:szCs w:val="16"/>
          <w:lang w:val="es-ES"/>
        </w:rPr>
        <w:t xml:space="preserve"> CIDH, Informe Anual 2012, </w:t>
      </w:r>
      <w:hyperlink r:id="rId1" w:history="1">
        <w:r w:rsidRPr="00383E2D">
          <w:rPr>
            <w:rStyle w:val="Hyperlink"/>
            <w:rFonts w:ascii="Cambria" w:hAnsi="Cambria"/>
            <w:color w:val="000000"/>
            <w:sz w:val="16"/>
            <w:szCs w:val="16"/>
            <w:lang w:val="es-ES"/>
          </w:rPr>
          <w:t>Capítulo III, Secci</w:t>
        </w:r>
        <w:r w:rsidRPr="00383E2D">
          <w:rPr>
            <w:rStyle w:val="Hyperlink"/>
            <w:rFonts w:ascii="Cambria" w:hAnsi="Cambria"/>
            <w:color w:val="000000"/>
            <w:sz w:val="16"/>
            <w:szCs w:val="16"/>
            <w:lang w:val="es-ES"/>
          </w:rPr>
          <w:t>ó</w:t>
        </w:r>
        <w:r w:rsidRPr="00383E2D">
          <w:rPr>
            <w:rStyle w:val="Hyperlink"/>
            <w:rFonts w:ascii="Cambria" w:hAnsi="Cambria"/>
            <w:color w:val="000000"/>
            <w:sz w:val="16"/>
            <w:szCs w:val="16"/>
            <w:lang w:val="es-ES"/>
          </w:rPr>
          <w:t>n D: Estado del cumplimiento de las recomendaciones de la CIDH</w:t>
        </w:r>
      </w:hyperlink>
      <w:r w:rsidRPr="00383E2D">
        <w:rPr>
          <w:rFonts w:ascii="Cambria" w:hAnsi="Cambria"/>
          <w:color w:val="000000"/>
          <w:sz w:val="16"/>
          <w:szCs w:val="16"/>
          <w:lang w:val="es-ES"/>
        </w:rPr>
        <w:t xml:space="preserve">, párr. </w:t>
      </w:r>
      <w:r w:rsidRPr="00383E2D">
        <w:rPr>
          <w:rFonts w:ascii="Cambria" w:hAnsi="Cambria"/>
          <w:color w:val="000000"/>
          <w:sz w:val="16"/>
          <w:szCs w:val="16"/>
        </w:rPr>
        <w:t xml:space="preserve">786.  </w:t>
      </w:r>
    </w:p>
  </w:footnote>
  <w:footnote w:id="2">
    <w:p w14:paraId="43596048" w14:textId="77777777" w:rsidR="00C46D95" w:rsidRPr="00383E2D" w:rsidRDefault="00C46D95" w:rsidP="00C46D95">
      <w:pPr>
        <w:pStyle w:val="FootnoteText"/>
        <w:spacing w:after="120" w:line="240" w:lineRule="auto"/>
        <w:ind w:firstLine="720"/>
        <w:jc w:val="both"/>
        <w:rPr>
          <w:rFonts w:ascii="Cambria" w:hAnsi="Cambria"/>
          <w:color w:val="000000"/>
          <w:sz w:val="16"/>
        </w:rPr>
      </w:pPr>
      <w:r w:rsidRPr="00383E2D">
        <w:rPr>
          <w:rStyle w:val="FootnoteReference"/>
          <w:rFonts w:ascii="Cambria" w:hAnsi="Cambria"/>
          <w:color w:val="000000"/>
          <w:sz w:val="16"/>
        </w:rPr>
        <w:footnoteRef/>
      </w:r>
      <w:r w:rsidRPr="00383E2D">
        <w:rPr>
          <w:rFonts w:ascii="Cambria" w:hAnsi="Cambria"/>
          <w:color w:val="000000"/>
          <w:sz w:val="16"/>
          <w:lang w:val="es-ES"/>
        </w:rPr>
        <w:t xml:space="preserve"> </w:t>
      </w:r>
      <w:r w:rsidRPr="00383E2D">
        <w:rPr>
          <w:rFonts w:ascii="Cambria" w:hAnsi="Cambria"/>
          <w:color w:val="000000"/>
          <w:sz w:val="16"/>
          <w:szCs w:val="16"/>
          <w:lang w:val="es-ES"/>
        </w:rPr>
        <w:t xml:space="preserve">CIDH, Informe Anual 2013, </w:t>
      </w:r>
      <w:hyperlink r:id="rId2" w:history="1">
        <w:r w:rsidRPr="00383E2D">
          <w:rPr>
            <w:rStyle w:val="Hyperlink"/>
            <w:rFonts w:ascii="Cambria" w:hAnsi="Cambria"/>
            <w:color w:val="000000"/>
            <w:sz w:val="16"/>
            <w:szCs w:val="16"/>
            <w:lang w:val="es-ES"/>
          </w:rPr>
          <w:t>Capítulo II, Sección D: Estado del cumplimiento de las recomendaciones de la CIDH</w:t>
        </w:r>
      </w:hyperlink>
      <w:r w:rsidRPr="00383E2D">
        <w:rPr>
          <w:rFonts w:ascii="Cambria" w:hAnsi="Cambria"/>
          <w:color w:val="000000"/>
          <w:sz w:val="16"/>
          <w:szCs w:val="16"/>
          <w:lang w:val="es-ES"/>
        </w:rPr>
        <w:t xml:space="preserve">, párr. </w:t>
      </w:r>
      <w:r w:rsidRPr="00383E2D">
        <w:rPr>
          <w:rFonts w:ascii="Cambria" w:hAnsi="Cambria"/>
          <w:color w:val="000000"/>
          <w:sz w:val="16"/>
          <w:szCs w:val="16"/>
        </w:rPr>
        <w:t xml:space="preserve">889. </w:t>
      </w:r>
    </w:p>
  </w:footnote>
  <w:footnote w:id="3">
    <w:p w14:paraId="56CF8F15" w14:textId="77777777" w:rsidR="000F4331" w:rsidRPr="00383E2D" w:rsidRDefault="000F4331" w:rsidP="00972BD3">
      <w:pPr>
        <w:pStyle w:val="FootnoteText"/>
        <w:spacing w:after="120" w:line="240" w:lineRule="auto"/>
        <w:ind w:firstLine="720"/>
        <w:jc w:val="both"/>
        <w:rPr>
          <w:rFonts w:ascii="Cambria" w:hAnsi="Cambria"/>
          <w:color w:val="000000"/>
          <w:sz w:val="16"/>
        </w:rPr>
      </w:pPr>
      <w:r w:rsidRPr="00383E2D">
        <w:rPr>
          <w:rStyle w:val="FootnoteReference"/>
          <w:rFonts w:ascii="Cambria" w:hAnsi="Cambria"/>
          <w:color w:val="000000"/>
          <w:sz w:val="16"/>
        </w:rPr>
        <w:footnoteRef/>
      </w:r>
      <w:r w:rsidRPr="00383E2D">
        <w:rPr>
          <w:rFonts w:ascii="Cambria" w:hAnsi="Cambria"/>
          <w:color w:val="000000"/>
          <w:sz w:val="16"/>
          <w:lang w:val="pt-BR"/>
        </w:rPr>
        <w:t xml:space="preserve"> </w:t>
      </w:r>
      <w:r w:rsidR="00280B30" w:rsidRPr="00383E2D">
        <w:rPr>
          <w:rFonts w:ascii="Cambria" w:hAnsi="Cambria"/>
          <w:color w:val="000000"/>
          <w:sz w:val="16"/>
          <w:lang w:val="pt-BR"/>
        </w:rPr>
        <w:t xml:space="preserve">Corte IDH, </w:t>
      </w:r>
      <w:r w:rsidR="00972BD3" w:rsidRPr="00383E2D">
        <w:rPr>
          <w:rFonts w:ascii="Cambria" w:hAnsi="Cambria"/>
          <w:color w:val="000000"/>
          <w:sz w:val="16"/>
          <w:lang w:val="pt-BR"/>
        </w:rPr>
        <w:fldChar w:fldCharType="begin"/>
      </w:r>
      <w:r w:rsidR="00972BD3" w:rsidRPr="00383E2D">
        <w:rPr>
          <w:rFonts w:ascii="Cambria" w:hAnsi="Cambria"/>
          <w:color w:val="000000"/>
          <w:sz w:val="16"/>
          <w:lang w:val="pt-BR"/>
        </w:rPr>
        <w:instrText xml:space="preserve"> HYPERLINK "http://www.corteidh.or.cr/docs/casos/articulos/seriec_250_esp.pdf" </w:instrText>
      </w:r>
      <w:r w:rsidR="00972BD3" w:rsidRPr="00383E2D">
        <w:rPr>
          <w:rFonts w:ascii="Cambria" w:hAnsi="Cambria"/>
          <w:color w:val="000000"/>
          <w:sz w:val="16"/>
          <w:lang w:val="pt-BR"/>
        </w:rPr>
      </w:r>
      <w:r w:rsidR="00972BD3" w:rsidRPr="00383E2D">
        <w:rPr>
          <w:rFonts w:ascii="Cambria" w:hAnsi="Cambria"/>
          <w:color w:val="000000"/>
          <w:sz w:val="16"/>
          <w:lang w:val="pt-BR"/>
        </w:rPr>
        <w:fldChar w:fldCharType="separate"/>
      </w:r>
      <w:r w:rsidRPr="00383E2D">
        <w:rPr>
          <w:rStyle w:val="Hyperlink"/>
          <w:rFonts w:ascii="Cambria" w:hAnsi="Cambria"/>
          <w:color w:val="000000"/>
          <w:sz w:val="16"/>
          <w:lang w:val="pt-BR"/>
        </w:rPr>
        <w:t>Cas</w:t>
      </w:r>
      <w:r w:rsidR="00280B30" w:rsidRPr="00383E2D">
        <w:rPr>
          <w:rStyle w:val="Hyperlink"/>
          <w:rFonts w:ascii="Cambria" w:hAnsi="Cambria"/>
          <w:color w:val="000000"/>
          <w:sz w:val="16"/>
          <w:lang w:val="pt-BR"/>
        </w:rPr>
        <w:t>o Masacres de Río Negro Vs. Guatemala</w:t>
      </w:r>
      <w:r w:rsidR="00972BD3" w:rsidRPr="00383E2D">
        <w:rPr>
          <w:rFonts w:ascii="Cambria" w:hAnsi="Cambria"/>
          <w:color w:val="000000"/>
          <w:sz w:val="16"/>
          <w:lang w:val="pt-BR"/>
        </w:rPr>
        <w:fldChar w:fldCharType="end"/>
      </w:r>
      <w:r w:rsidR="00280B30" w:rsidRPr="00383E2D">
        <w:rPr>
          <w:rFonts w:ascii="Cambria" w:hAnsi="Cambria"/>
          <w:color w:val="000000"/>
          <w:sz w:val="16"/>
          <w:lang w:val="pt-BR"/>
        </w:rPr>
        <w:t>, Sentencia de 4 de septimebre de 2012.</w:t>
      </w:r>
      <w:r w:rsidR="00280B30" w:rsidRPr="00383E2D">
        <w:rPr>
          <w:rFonts w:ascii="Cambria" w:hAnsi="Cambria"/>
          <w:color w:val="000000"/>
          <w:sz w:val="16"/>
        </w:rPr>
        <w:t xml:space="preserve"> Serie C No. 250, párr. 224.</w:t>
      </w:r>
    </w:p>
  </w:footnote>
  <w:footnote w:id="4">
    <w:p w14:paraId="73B10C2A" w14:textId="77777777" w:rsidR="00B2344F" w:rsidRPr="00383E2D" w:rsidRDefault="00B2344F" w:rsidP="00B2344F">
      <w:pPr>
        <w:pStyle w:val="FootnoteText"/>
        <w:spacing w:after="120" w:line="240" w:lineRule="auto"/>
        <w:ind w:firstLine="720"/>
        <w:jc w:val="both"/>
        <w:rPr>
          <w:rFonts w:ascii="Cambria" w:hAnsi="Cambria"/>
          <w:color w:val="000000"/>
          <w:sz w:val="16"/>
          <w:szCs w:val="16"/>
          <w:lang w:val="es-ES"/>
        </w:rPr>
      </w:pPr>
      <w:r w:rsidRPr="00383E2D">
        <w:rPr>
          <w:rStyle w:val="FootnoteReference"/>
          <w:rFonts w:ascii="Cambria" w:hAnsi="Cambria"/>
          <w:color w:val="000000"/>
          <w:sz w:val="16"/>
          <w:szCs w:val="16"/>
        </w:rPr>
        <w:footnoteRef/>
      </w:r>
      <w:r w:rsidRPr="00383E2D">
        <w:rPr>
          <w:rFonts w:ascii="Cambria" w:hAnsi="Cambria"/>
          <w:color w:val="000000"/>
          <w:sz w:val="16"/>
          <w:szCs w:val="16"/>
          <w:lang w:val="es-ES"/>
        </w:rPr>
        <w:t xml:space="preserve"> CIDH, Informe Anual 2012, </w:t>
      </w:r>
      <w:hyperlink r:id="rId3" w:history="1">
        <w:r w:rsidRPr="00383E2D">
          <w:rPr>
            <w:rStyle w:val="Hyperlink"/>
            <w:rFonts w:ascii="Cambria" w:hAnsi="Cambria"/>
            <w:color w:val="000000"/>
            <w:sz w:val="16"/>
            <w:szCs w:val="16"/>
            <w:lang w:val="es-ES"/>
          </w:rPr>
          <w:t>Capítulo III, Sección D: Estado del cumplimiento de las recomendaciones de la CIDH</w:t>
        </w:r>
      </w:hyperlink>
      <w:r w:rsidRPr="00383E2D">
        <w:rPr>
          <w:rFonts w:ascii="Cambria" w:hAnsi="Cambria"/>
          <w:color w:val="000000"/>
          <w:sz w:val="16"/>
          <w:szCs w:val="16"/>
          <w:lang w:val="es-ES"/>
        </w:rPr>
        <w:t xml:space="preserve">, párr. 786. </w:t>
      </w:r>
    </w:p>
  </w:footnote>
  <w:footnote w:id="5">
    <w:p w14:paraId="6A2CAAE8" w14:textId="77777777" w:rsidR="00864794" w:rsidRPr="00383E2D" w:rsidRDefault="00864794" w:rsidP="00864794">
      <w:pPr>
        <w:pStyle w:val="FootnoteText"/>
        <w:spacing w:after="120" w:line="240" w:lineRule="auto"/>
        <w:ind w:firstLine="720"/>
        <w:jc w:val="both"/>
        <w:rPr>
          <w:rFonts w:ascii="Cambria" w:hAnsi="Cambria"/>
          <w:color w:val="000000"/>
          <w:sz w:val="16"/>
          <w:szCs w:val="16"/>
          <w:lang w:val="es-ES"/>
        </w:rPr>
      </w:pPr>
      <w:r w:rsidRPr="00383E2D">
        <w:rPr>
          <w:rStyle w:val="FootnoteReference"/>
          <w:rFonts w:ascii="Cambria" w:hAnsi="Cambria"/>
          <w:color w:val="000000"/>
          <w:sz w:val="16"/>
          <w:szCs w:val="16"/>
        </w:rPr>
        <w:footnoteRef/>
      </w:r>
      <w:r w:rsidRPr="00383E2D">
        <w:rPr>
          <w:rFonts w:ascii="Cambria" w:hAnsi="Cambria"/>
          <w:color w:val="000000"/>
          <w:sz w:val="16"/>
          <w:szCs w:val="16"/>
          <w:lang w:val="es-ES"/>
        </w:rPr>
        <w:t xml:space="preserve"> CIDH, Informe Anual 2012, </w:t>
      </w:r>
      <w:hyperlink r:id="rId4" w:history="1">
        <w:r w:rsidRPr="00383E2D">
          <w:rPr>
            <w:rStyle w:val="Hyperlink"/>
            <w:rFonts w:ascii="Cambria" w:hAnsi="Cambria"/>
            <w:color w:val="000000"/>
            <w:sz w:val="16"/>
            <w:szCs w:val="16"/>
            <w:lang w:val="es-ES"/>
          </w:rPr>
          <w:t>Capítulo III, Sección D: Estado del cumplimiento de las recomendaciones de la CIDH</w:t>
        </w:r>
      </w:hyperlink>
      <w:r w:rsidRPr="00383E2D">
        <w:rPr>
          <w:rFonts w:ascii="Cambria" w:hAnsi="Cambria"/>
          <w:color w:val="000000"/>
          <w:sz w:val="16"/>
          <w:szCs w:val="16"/>
          <w:lang w:val="es-ES"/>
        </w:rPr>
        <w:t xml:space="preserve">, párr. 786.  </w:t>
      </w:r>
    </w:p>
  </w:footnote>
  <w:footnote w:id="6">
    <w:p w14:paraId="4EA565AA" w14:textId="77777777" w:rsidR="00864794" w:rsidRPr="00383E2D" w:rsidRDefault="00864794" w:rsidP="00864794">
      <w:pPr>
        <w:pStyle w:val="FootnoteText"/>
        <w:spacing w:after="120" w:line="240" w:lineRule="auto"/>
        <w:ind w:firstLine="720"/>
        <w:jc w:val="both"/>
        <w:rPr>
          <w:rFonts w:ascii="Cambria" w:hAnsi="Cambria"/>
          <w:color w:val="000000"/>
          <w:sz w:val="16"/>
        </w:rPr>
      </w:pPr>
      <w:r w:rsidRPr="00383E2D">
        <w:rPr>
          <w:rStyle w:val="FootnoteReference"/>
          <w:rFonts w:ascii="Cambria" w:hAnsi="Cambria"/>
          <w:color w:val="000000"/>
          <w:sz w:val="16"/>
        </w:rPr>
        <w:footnoteRef/>
      </w:r>
      <w:r w:rsidRPr="00383E2D">
        <w:rPr>
          <w:rFonts w:ascii="Cambria" w:hAnsi="Cambria"/>
          <w:color w:val="000000"/>
          <w:sz w:val="16"/>
          <w:lang w:val="es-ES"/>
        </w:rPr>
        <w:t xml:space="preserve"> </w:t>
      </w:r>
      <w:r w:rsidRPr="00383E2D">
        <w:rPr>
          <w:rFonts w:ascii="Cambria" w:hAnsi="Cambria"/>
          <w:color w:val="000000"/>
          <w:sz w:val="16"/>
          <w:szCs w:val="16"/>
          <w:lang w:val="es-ES"/>
        </w:rPr>
        <w:t xml:space="preserve">CIDH, Informe Anual 2013, </w:t>
      </w:r>
      <w:hyperlink r:id="rId5" w:history="1">
        <w:r w:rsidRPr="00383E2D">
          <w:rPr>
            <w:rStyle w:val="Hyperlink"/>
            <w:rFonts w:ascii="Cambria" w:hAnsi="Cambria"/>
            <w:color w:val="000000"/>
            <w:sz w:val="16"/>
            <w:szCs w:val="16"/>
            <w:lang w:val="es-ES"/>
          </w:rPr>
          <w:t>Capítulo II, Sección D: Estado del cumplimiento de las recomendaciones de la CIDH</w:t>
        </w:r>
      </w:hyperlink>
      <w:r w:rsidRPr="00383E2D">
        <w:rPr>
          <w:rFonts w:ascii="Cambria" w:hAnsi="Cambria"/>
          <w:color w:val="000000"/>
          <w:sz w:val="16"/>
          <w:szCs w:val="16"/>
          <w:lang w:val="es-ES"/>
        </w:rPr>
        <w:t xml:space="preserve">, párr. </w:t>
      </w:r>
      <w:r w:rsidRPr="00383E2D">
        <w:rPr>
          <w:rFonts w:ascii="Cambria" w:hAnsi="Cambria"/>
          <w:color w:val="000000"/>
          <w:sz w:val="16"/>
          <w:szCs w:val="16"/>
        </w:rPr>
        <w:t xml:space="preserve">889. </w:t>
      </w:r>
    </w:p>
  </w:footnote>
  <w:footnote w:id="7">
    <w:p w14:paraId="3A3A0D5D" w14:textId="77777777" w:rsidR="005F432E" w:rsidRPr="00383E2D" w:rsidRDefault="005F432E" w:rsidP="005F432E">
      <w:pPr>
        <w:pStyle w:val="FootnoteText"/>
        <w:spacing w:after="120" w:line="240" w:lineRule="auto"/>
        <w:ind w:firstLine="720"/>
        <w:jc w:val="both"/>
        <w:rPr>
          <w:color w:val="000000"/>
          <w:lang w:val="es-CO"/>
        </w:rPr>
      </w:pPr>
      <w:r w:rsidRPr="00383E2D">
        <w:rPr>
          <w:rFonts w:ascii="Cambria" w:hAnsi="Cambria"/>
          <w:color w:val="000000"/>
          <w:sz w:val="16"/>
          <w:szCs w:val="16"/>
          <w:vertAlign w:val="superscript"/>
          <w:lang w:val="es-ES"/>
        </w:rPr>
        <w:footnoteRef/>
      </w:r>
      <w:r w:rsidRPr="00383E2D">
        <w:rPr>
          <w:rFonts w:ascii="Cambria" w:hAnsi="Cambria"/>
          <w:color w:val="000000"/>
          <w:sz w:val="16"/>
          <w:szCs w:val="16"/>
          <w:lang w:val="es-CO"/>
        </w:rPr>
        <w:t xml:space="preserve"> Corte IDH, </w:t>
      </w:r>
      <w:hyperlink r:id="rId6" w:history="1">
        <w:r w:rsidRPr="00383E2D">
          <w:rPr>
            <w:rStyle w:val="Hyperlink"/>
            <w:rFonts w:ascii="Cambria" w:hAnsi="Cambria"/>
            <w:color w:val="000000"/>
            <w:sz w:val="16"/>
            <w:szCs w:val="16"/>
            <w:lang w:val="es-CO"/>
          </w:rPr>
          <w:t>Caso La Cantuta Vs. Perú, Sentencia de 29 de noviembre de 2006</w:t>
        </w:r>
      </w:hyperlink>
      <w:r w:rsidRPr="00383E2D">
        <w:rPr>
          <w:rFonts w:ascii="Cambria" w:hAnsi="Cambria"/>
          <w:color w:val="000000"/>
          <w:sz w:val="16"/>
          <w:szCs w:val="16"/>
          <w:lang w:val="es-CO"/>
        </w:rPr>
        <w:t xml:space="preserve">. Serie C No. 162, </w:t>
      </w:r>
      <w:proofErr w:type="spellStart"/>
      <w:r w:rsidRPr="00383E2D">
        <w:rPr>
          <w:rFonts w:ascii="Cambria" w:hAnsi="Cambria"/>
          <w:color w:val="000000"/>
          <w:sz w:val="16"/>
          <w:szCs w:val="16"/>
          <w:lang w:val="es-CO"/>
        </w:rPr>
        <w:t>párrs</w:t>
      </w:r>
      <w:proofErr w:type="spellEnd"/>
      <w:r w:rsidRPr="00383E2D">
        <w:rPr>
          <w:rFonts w:ascii="Cambria" w:hAnsi="Cambria"/>
          <w:color w:val="000000"/>
          <w:sz w:val="16"/>
          <w:szCs w:val="16"/>
          <w:lang w:val="es-CO"/>
        </w:rPr>
        <w:t xml:space="preserve">. 199-200. </w:t>
      </w:r>
    </w:p>
  </w:footnote>
  <w:footnote w:id="8">
    <w:p w14:paraId="601F841F" w14:textId="77777777" w:rsidR="005F432E" w:rsidRPr="00383E2D" w:rsidRDefault="005F432E" w:rsidP="005F432E">
      <w:pPr>
        <w:pStyle w:val="FootnoteText"/>
        <w:spacing w:after="120" w:line="240" w:lineRule="auto"/>
        <w:ind w:firstLine="720"/>
        <w:jc w:val="both"/>
        <w:rPr>
          <w:color w:val="000000"/>
          <w:lang w:val="es-CO"/>
        </w:rPr>
      </w:pPr>
      <w:r w:rsidRPr="00383E2D">
        <w:rPr>
          <w:rFonts w:ascii="Cambria" w:hAnsi="Cambria"/>
          <w:color w:val="000000"/>
          <w:sz w:val="16"/>
          <w:szCs w:val="16"/>
          <w:vertAlign w:val="superscript"/>
          <w:lang w:val="es-ES"/>
        </w:rPr>
        <w:footnoteRef/>
      </w:r>
      <w:r w:rsidRPr="00383E2D">
        <w:rPr>
          <w:rFonts w:ascii="Cambria" w:hAnsi="Cambria"/>
          <w:color w:val="000000"/>
          <w:sz w:val="16"/>
          <w:szCs w:val="16"/>
          <w:lang w:val="es-CO"/>
        </w:rPr>
        <w:t xml:space="preserve"> CIDH</w:t>
      </w:r>
      <w:hyperlink r:id="rId7" w:history="1">
        <w:r w:rsidRPr="00383E2D">
          <w:rPr>
            <w:rStyle w:val="Hyperlink"/>
            <w:rFonts w:ascii="Cambria" w:hAnsi="Cambria"/>
            <w:color w:val="000000"/>
            <w:sz w:val="16"/>
            <w:szCs w:val="16"/>
            <w:lang w:val="es-CO"/>
          </w:rPr>
          <w:t>, Lineamientos principales para una política integral de reparaciones</w:t>
        </w:r>
      </w:hyperlink>
      <w:r w:rsidRPr="00383E2D">
        <w:rPr>
          <w:rFonts w:ascii="Cambria" w:hAnsi="Cambria"/>
          <w:color w:val="000000"/>
          <w:sz w:val="16"/>
          <w:szCs w:val="16"/>
          <w:lang w:val="es-CO"/>
        </w:rPr>
        <w:t xml:space="preserve">, 19 de febrero de 2008, OEA/Ser/L/V/II.131, doc. 1, párr. </w:t>
      </w:r>
      <w:r w:rsidRPr="00383E2D">
        <w:rPr>
          <w:rFonts w:ascii="Cambria" w:hAnsi="Cambria"/>
          <w:color w:val="000000"/>
          <w:sz w:val="16"/>
          <w:szCs w:val="16"/>
          <w:lang w:val="es-ES"/>
        </w:rPr>
        <w:t xml:space="preserve">1; Asamblea General de las Naciones Unidas, </w:t>
      </w:r>
      <w:hyperlink r:id="rId8" w:history="1">
        <w:r w:rsidRPr="00383E2D">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383E2D">
        <w:rPr>
          <w:rFonts w:ascii="Cambria" w:hAnsi="Cambria"/>
          <w:color w:val="000000"/>
          <w:sz w:val="16"/>
          <w:szCs w:val="16"/>
          <w:lang w:val="es-ES"/>
        </w:rPr>
        <w:t xml:space="preserve">, 16 de diciembre de 2005. A/RES/60/147. </w:t>
      </w:r>
    </w:p>
  </w:footnote>
  <w:footnote w:id="9">
    <w:p w14:paraId="341C8336" w14:textId="77777777" w:rsidR="005F432E" w:rsidRPr="00383E2D" w:rsidRDefault="005F432E" w:rsidP="005F432E">
      <w:pPr>
        <w:pStyle w:val="FootnoteText"/>
        <w:spacing w:after="120" w:line="240" w:lineRule="auto"/>
        <w:ind w:firstLine="720"/>
        <w:jc w:val="both"/>
        <w:rPr>
          <w:color w:val="000000"/>
        </w:rPr>
      </w:pPr>
      <w:r w:rsidRPr="00383E2D">
        <w:rPr>
          <w:rFonts w:ascii="Cambria" w:hAnsi="Cambria"/>
          <w:color w:val="000000"/>
          <w:sz w:val="16"/>
          <w:szCs w:val="16"/>
          <w:vertAlign w:val="superscript"/>
          <w:lang w:val="es-ES"/>
        </w:rPr>
        <w:footnoteRef/>
      </w:r>
      <w:r w:rsidRPr="00383E2D">
        <w:rPr>
          <w:rFonts w:ascii="Cambria" w:hAnsi="Cambria"/>
          <w:color w:val="000000"/>
          <w:sz w:val="16"/>
          <w:szCs w:val="16"/>
          <w:lang w:val="es-ES"/>
        </w:rPr>
        <w:t xml:space="preserve"> Corte IDH, </w:t>
      </w:r>
      <w:hyperlink r:id="rId9" w:history="1">
        <w:r w:rsidRPr="00383E2D">
          <w:rPr>
            <w:rStyle w:val="Hyperlink"/>
            <w:rFonts w:ascii="Cambria" w:hAnsi="Cambria"/>
            <w:color w:val="000000"/>
            <w:sz w:val="16"/>
            <w:szCs w:val="16"/>
            <w:lang w:val="es-ES"/>
          </w:rPr>
          <w:t>Caso La Cantuta Vs. Perú, Sentencia de 29 de noviembre de 2006</w:t>
        </w:r>
      </w:hyperlink>
      <w:r w:rsidRPr="00383E2D">
        <w:rPr>
          <w:rFonts w:ascii="Cambria" w:hAnsi="Cambria"/>
          <w:color w:val="000000"/>
          <w:sz w:val="16"/>
          <w:szCs w:val="16"/>
          <w:lang w:val="es-ES"/>
        </w:rPr>
        <w:t>. Serie C No. 162, párr. 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745F" w14:textId="38B58022" w:rsidR="00911040" w:rsidRPr="004B5CBB" w:rsidRDefault="00911040" w:rsidP="00911040">
    <w:pPr>
      <w:pStyle w:val="Header"/>
      <w:rPr>
        <w:rFonts w:ascii="Arial" w:hAnsi="Arial" w:cs="Arial"/>
        <w:color w:val="3B3838"/>
        <w:szCs w:val="28"/>
      </w:rPr>
    </w:pPr>
    <w:r>
      <w:rPr>
        <w:noProof/>
      </w:rPr>
      <w:drawing>
        <wp:anchor distT="0" distB="0" distL="114300" distR="114300" simplePos="0" relativeHeight="251662336" behindDoc="0" locked="0" layoutInCell="1" allowOverlap="1" wp14:anchorId="3E47DA24" wp14:editId="0808125F">
          <wp:simplePos x="0" y="0"/>
          <wp:positionH relativeFrom="column">
            <wp:posOffset>4658995</wp:posOffset>
          </wp:positionH>
          <wp:positionV relativeFrom="paragraph">
            <wp:posOffset>-3175</wp:posOffset>
          </wp:positionV>
          <wp:extent cx="1485900" cy="346075"/>
          <wp:effectExtent l="0" t="0" r="0" b="0"/>
          <wp:wrapSquare wrapText="bothSides"/>
          <wp:docPr id="8" name="Picture 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6A7">
      <w:rPr>
        <w:noProof/>
      </w:rPr>
      <w:drawing>
        <wp:inline distT="0" distB="0" distL="0" distR="0" wp14:anchorId="3EFED1EE" wp14:editId="59A73DC6">
          <wp:extent cx="1333500" cy="314325"/>
          <wp:effectExtent l="0" t="0" r="0" b="9525"/>
          <wp:docPr id="6" name="Picture 6"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sidRPr="004B5CBB">
      <w:rPr>
        <w:rFonts w:ascii="Arial" w:hAnsi="Arial" w:cs="Arial"/>
        <w:color w:val="3B3838"/>
        <w:szCs w:val="28"/>
      </w:rPr>
      <w:t xml:space="preserve">                      </w:t>
    </w:r>
  </w:p>
  <w:p w14:paraId="35254358" w14:textId="2992AEA6" w:rsidR="00911040" w:rsidRPr="004B5CBB" w:rsidRDefault="00911040" w:rsidP="00911040">
    <w:pPr>
      <w:pStyle w:val="Header"/>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61312" behindDoc="0" locked="0" layoutInCell="1" allowOverlap="1" wp14:anchorId="65887509" wp14:editId="0D810467">
              <wp:simplePos x="0" y="0"/>
              <wp:positionH relativeFrom="column">
                <wp:posOffset>-5080</wp:posOffset>
              </wp:positionH>
              <wp:positionV relativeFrom="paragraph">
                <wp:posOffset>173989</wp:posOffset>
              </wp:positionV>
              <wp:extent cx="614807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B7B0E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" strokecolor="#262626" strokeweight="1.2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A3CB" w14:textId="7188F55B" w:rsidR="00390207" w:rsidRDefault="00911040" w:rsidP="00390207">
    <w:pPr>
      <w:pStyle w:val="Header"/>
      <w:spacing w:line="216" w:lineRule="auto"/>
      <w:rPr>
        <w:rFonts w:ascii="Arial" w:hAnsi="Arial" w:cs="Arial"/>
        <w:color w:val="3B3838"/>
        <w:sz w:val="28"/>
        <w:szCs w:val="28"/>
        <w:lang w:val="es-ES"/>
      </w:rPr>
    </w:pPr>
    <w:r>
      <w:rPr>
        <w:noProof/>
      </w:rPr>
      <w:drawing>
        <wp:anchor distT="0" distB="0" distL="114300" distR="114300" simplePos="0" relativeHeight="251658240" behindDoc="0" locked="0" layoutInCell="1" allowOverlap="1" wp14:anchorId="3B702AD3" wp14:editId="66129271">
          <wp:simplePos x="0" y="0"/>
          <wp:positionH relativeFrom="column">
            <wp:posOffset>4088765</wp:posOffset>
          </wp:positionH>
          <wp:positionV relativeFrom="paragraph">
            <wp:posOffset>72390</wp:posOffset>
          </wp:positionV>
          <wp:extent cx="2183130" cy="508635"/>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927C07C" wp14:editId="6208ECAA">
              <wp:simplePos x="0" y="0"/>
              <wp:positionH relativeFrom="column">
                <wp:posOffset>-166370</wp:posOffset>
              </wp:positionH>
              <wp:positionV relativeFrom="paragraph">
                <wp:posOffset>48895</wp:posOffset>
              </wp:positionV>
              <wp:extent cx="2936875" cy="664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40AE0CC8" w14:textId="1877713C" w:rsidR="00390207" w:rsidRDefault="00911040" w:rsidP="00390207">
                          <w:r w:rsidRPr="00AD498E">
                            <w:rPr>
                              <w:noProof/>
                            </w:rPr>
                            <w:drawing>
                              <wp:inline distT="0" distB="0" distL="0" distR="0" wp14:anchorId="7E1292B7" wp14:editId="6FCFF859">
                                <wp:extent cx="2019300" cy="476250"/>
                                <wp:effectExtent l="0" t="0" r="0" b="0"/>
                                <wp:docPr id="5"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27C07C" id="_x0000_t202" coordsize="21600,21600" o:spt="202" path="m,l,21600r21600,l21600,xe">
              <v:stroke joinstyle="miter"/>
              <v:path gradientshapeok="t" o:connecttype="rect"/>
            </v:shapetype>
            <v:shape id="Text Box 2" o:spid="_x0000_s1026" type="#_x0000_t202" style="position:absolute;margin-left:-13.1pt;margin-top:3.85pt;width:231.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40AE0CC8" w14:textId="1877713C" w:rsidR="00390207" w:rsidRDefault="00911040" w:rsidP="00390207">
                    <w:r w:rsidRPr="00AD498E">
                      <w:rPr>
                        <w:noProof/>
                      </w:rPr>
                      <w:drawing>
                        <wp:inline distT="0" distB="0" distL="0" distR="0" wp14:anchorId="7E1292B7" wp14:editId="6FCFF859">
                          <wp:extent cx="2019300" cy="476250"/>
                          <wp:effectExtent l="0" t="0" r="0" b="0"/>
                          <wp:docPr id="5"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sidR="00390207" w:rsidRPr="00AD498E">
      <w:rPr>
        <w:rFonts w:ascii="Arial" w:hAnsi="Arial" w:cs="Arial"/>
        <w:color w:val="3B3838"/>
        <w:sz w:val="28"/>
        <w:szCs w:val="28"/>
        <w:lang w:val="es-ES"/>
      </w:rPr>
      <w:softHyphen/>
    </w:r>
    <w:r w:rsidR="00390207" w:rsidRPr="00AD498E">
      <w:rPr>
        <w:rFonts w:ascii="Arial" w:hAnsi="Arial" w:cs="Arial"/>
        <w:color w:val="3B3838"/>
        <w:sz w:val="28"/>
        <w:szCs w:val="28"/>
        <w:lang w:val="es-ES"/>
      </w:rPr>
      <w:softHyphen/>
    </w:r>
    <w:r w:rsidR="00390207" w:rsidRPr="00AD498E">
      <w:rPr>
        <w:rFonts w:ascii="Arial" w:hAnsi="Arial" w:cs="Arial"/>
        <w:color w:val="3B3838"/>
        <w:sz w:val="28"/>
        <w:szCs w:val="28"/>
        <w:lang w:val="es-ES"/>
      </w:rPr>
      <w:softHyphen/>
    </w:r>
  </w:p>
  <w:p w14:paraId="54A04FA1" w14:textId="77777777" w:rsidR="00390207" w:rsidRPr="00AD498E" w:rsidRDefault="00390207" w:rsidP="00390207">
    <w:pPr>
      <w:pStyle w:val="Header"/>
      <w:spacing w:line="216" w:lineRule="auto"/>
      <w:rPr>
        <w:rFonts w:ascii="Arial" w:hAnsi="Arial" w:cs="Arial"/>
        <w:color w:val="3B3838"/>
        <w:sz w:val="28"/>
        <w:szCs w:val="28"/>
        <w:lang w:val="es-ES"/>
      </w:rPr>
    </w:pPr>
  </w:p>
  <w:p w14:paraId="251BA5C3" w14:textId="77777777" w:rsidR="00390207" w:rsidRDefault="00390207" w:rsidP="00390207">
    <w:pPr>
      <w:pStyle w:val="Header"/>
      <w:spacing w:line="216" w:lineRule="auto"/>
      <w:rPr>
        <w:rFonts w:ascii="Arial" w:hAnsi="Arial" w:cs="Arial"/>
        <w:b/>
        <w:bCs/>
        <w:color w:val="404040"/>
        <w:sz w:val="44"/>
        <w:szCs w:val="44"/>
        <w:lang w:val="es-ES"/>
      </w:rPr>
    </w:pPr>
  </w:p>
  <w:p w14:paraId="30B2EE40" w14:textId="5D9E9EE8" w:rsidR="00390207" w:rsidRPr="009A54DF" w:rsidRDefault="00911040" w:rsidP="00390207">
    <w:pPr>
      <w:pStyle w:val="Header"/>
      <w:spacing w:line="216" w:lineRule="auto"/>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7216" behindDoc="0" locked="0" layoutInCell="1" allowOverlap="1" wp14:anchorId="65103B19" wp14:editId="775D9EB6">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E7E31B"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p w14:paraId="5B6AE0DE" w14:textId="77777777" w:rsidR="000F4331" w:rsidRPr="00682244" w:rsidRDefault="000F4331" w:rsidP="00682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03F"/>
    <w:multiLevelType w:val="hybridMultilevel"/>
    <w:tmpl w:val="285CBF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479CC"/>
    <w:multiLevelType w:val="hybridMultilevel"/>
    <w:tmpl w:val="C47C6D96"/>
    <w:styleLink w:val="EstiloImportado9"/>
    <w:lvl w:ilvl="0" w:tplc="7D6C09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085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7E20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72DF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0C28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438A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FC7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809E9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1450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6E7A87"/>
    <w:multiLevelType w:val="hybridMultilevel"/>
    <w:tmpl w:val="654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E5103"/>
    <w:multiLevelType w:val="hybridMultilevel"/>
    <w:tmpl w:val="5A62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4775A5"/>
    <w:multiLevelType w:val="hybridMultilevel"/>
    <w:tmpl w:val="A7FA8D76"/>
    <w:lvl w:ilvl="0" w:tplc="3F20399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D2EAC"/>
    <w:multiLevelType w:val="hybridMultilevel"/>
    <w:tmpl w:val="B9045BF2"/>
    <w:lvl w:ilvl="0" w:tplc="C5083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A2AED"/>
    <w:multiLevelType w:val="hybridMultilevel"/>
    <w:tmpl w:val="116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662E5"/>
    <w:multiLevelType w:val="hybridMultilevel"/>
    <w:tmpl w:val="CAE0B2CC"/>
    <w:lvl w:ilvl="0" w:tplc="ACA83A3E">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C5B82"/>
    <w:multiLevelType w:val="hybridMultilevel"/>
    <w:tmpl w:val="3E663DB0"/>
    <w:lvl w:ilvl="0" w:tplc="2032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A06FF9"/>
    <w:multiLevelType w:val="hybridMultilevel"/>
    <w:tmpl w:val="2682CB5C"/>
    <w:lvl w:ilvl="0" w:tplc="BA2A6F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5EC78F2">
      <w:start w:val="1"/>
      <w:numFmt w:val="lowerRoman"/>
      <w:lvlText w:val="%3."/>
      <w:lvlJc w:val="right"/>
      <w:pPr>
        <w:ind w:left="2160" w:hanging="180"/>
      </w:pPr>
      <w:rPr>
        <w:i w:val="0"/>
      </w:rPr>
    </w:lvl>
    <w:lvl w:ilvl="3" w:tplc="7C622A94">
      <w:start w:val="1"/>
      <w:numFmt w:val="bullet"/>
      <w:lvlText w:val="-"/>
      <w:lvlJc w:val="left"/>
      <w:pPr>
        <w:ind w:left="2880" w:hanging="360"/>
      </w:pPr>
      <w:rPr>
        <w:rFonts w:ascii="Calibri Light" w:eastAsia="Calibri" w:hAnsi="Calibri Light" w:cs="Calibri Light" w:hint="default"/>
      </w:rPr>
    </w:lvl>
    <w:lvl w:ilvl="4" w:tplc="3CAE6CA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42BAE"/>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931F3"/>
    <w:multiLevelType w:val="hybridMultilevel"/>
    <w:tmpl w:val="C47C6D96"/>
    <w:numStyleLink w:val="EstiloImportado9"/>
  </w:abstractNum>
  <w:abstractNum w:abstractNumId="20" w15:restartNumberingAfterBreak="0">
    <w:nsid w:val="57731F4E"/>
    <w:multiLevelType w:val="hybridMultilevel"/>
    <w:tmpl w:val="F60A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2294D"/>
    <w:multiLevelType w:val="hybridMultilevel"/>
    <w:tmpl w:val="8A5A035E"/>
    <w:lvl w:ilvl="0" w:tplc="662AC064">
      <w:start w:val="1"/>
      <w:numFmt w:val="decimal"/>
      <w:lvlText w:val="%1."/>
      <w:lvlJc w:val="left"/>
      <w:pPr>
        <w:ind w:left="0" w:firstLine="720"/>
      </w:pPr>
      <w:rPr>
        <w:rFonts w:ascii="Cambria" w:hAnsi="Cambria"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
  </w:num>
  <w:num w:numId="4">
    <w:abstractNumId w:val="23"/>
  </w:num>
  <w:num w:numId="5">
    <w:abstractNumId w:val="21"/>
  </w:num>
  <w:num w:numId="6">
    <w:abstractNumId w:val="22"/>
  </w:num>
  <w:num w:numId="7">
    <w:abstractNumId w:val="6"/>
  </w:num>
  <w:num w:numId="8">
    <w:abstractNumId w:val="16"/>
  </w:num>
  <w:num w:numId="9">
    <w:abstractNumId w:val="7"/>
  </w:num>
  <w:num w:numId="10">
    <w:abstractNumId w:val="15"/>
  </w:num>
  <w:num w:numId="11">
    <w:abstractNumId w:val="20"/>
  </w:num>
  <w:num w:numId="12">
    <w:abstractNumId w:val="8"/>
  </w:num>
  <w:num w:numId="13">
    <w:abstractNumId w:val="14"/>
  </w:num>
  <w:num w:numId="14">
    <w:abstractNumId w:val="13"/>
  </w:num>
  <w:num w:numId="15">
    <w:abstractNumId w:val="9"/>
  </w:num>
  <w:num w:numId="16">
    <w:abstractNumId w:val="3"/>
  </w:num>
  <w:num w:numId="17">
    <w:abstractNumId w:val="11"/>
  </w:num>
  <w:num w:numId="18">
    <w:abstractNumId w:val="12"/>
  </w:num>
  <w:num w:numId="19">
    <w:abstractNumId w:val="2"/>
  </w:num>
  <w:num w:numId="20">
    <w:abstractNumId w:val="4"/>
  </w:num>
  <w:num w:numId="21">
    <w:abstractNumId w:val="0"/>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9"/>
    <w:lvlOverride w:ilvl="0">
      <w:lvl w:ilvl="0" w:tplc="785E48F0">
        <w:start w:val="1"/>
        <w:numFmt w:val="decimal"/>
        <w:lvlText w:val="%1."/>
        <w:lvlJc w:val="left"/>
        <w:pPr>
          <w:tabs>
            <w:tab w:val="num" w:pos="1440"/>
          </w:tabs>
          <w:ind w:left="720" w:firstLine="0"/>
        </w:pPr>
        <w:rPr>
          <w:rFonts w:ascii="Cambria" w:hAnsi="Cambria" w:hint="default"/>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DC46F804">
        <w:start w:val="1"/>
        <w:numFmt w:val="lowerLetter"/>
        <w:lvlText w:val="%2."/>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F20DDC4">
        <w:start w:val="1"/>
        <w:numFmt w:val="lowerRoman"/>
        <w:lvlText w:val="%3."/>
        <w:lvlJc w:val="left"/>
        <w:pPr>
          <w:tabs>
            <w:tab w:val="num" w:pos="2160"/>
          </w:tabs>
          <w:ind w:left="1440" w:firstLine="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81015B0">
        <w:start w:val="1"/>
        <w:numFmt w:val="decimal"/>
        <w:lvlText w:val="%4."/>
        <w:lvlJc w:val="left"/>
        <w:pPr>
          <w:tabs>
            <w:tab w:val="num" w:pos="2880"/>
          </w:tabs>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52A3C0A">
        <w:start w:val="1"/>
        <w:numFmt w:val="lowerLetter"/>
        <w:lvlText w:val="%5."/>
        <w:lvlJc w:val="left"/>
        <w:pPr>
          <w:tabs>
            <w:tab w:val="num" w:pos="3600"/>
          </w:tabs>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56C4E2">
        <w:start w:val="1"/>
        <w:numFmt w:val="lowerRoman"/>
        <w:lvlText w:val="%6."/>
        <w:lvlJc w:val="left"/>
        <w:pPr>
          <w:tabs>
            <w:tab w:val="num" w:pos="4320"/>
          </w:tabs>
          <w:ind w:left="3600" w:firstLine="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F12469E">
        <w:start w:val="1"/>
        <w:numFmt w:val="decimal"/>
        <w:lvlText w:val="%7."/>
        <w:lvlJc w:val="left"/>
        <w:pPr>
          <w:tabs>
            <w:tab w:val="num" w:pos="5040"/>
          </w:tabs>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1004D00">
        <w:start w:val="1"/>
        <w:numFmt w:val="lowerLetter"/>
        <w:lvlText w:val="%8."/>
        <w:lvlJc w:val="left"/>
        <w:pPr>
          <w:tabs>
            <w:tab w:val="num" w:pos="5760"/>
          </w:tabs>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C5C0D44">
        <w:start w:val="1"/>
        <w:numFmt w:val="lowerRoman"/>
        <w:lvlText w:val="%9."/>
        <w:lvlJc w:val="left"/>
        <w:pPr>
          <w:tabs>
            <w:tab w:val="num" w:pos="6480"/>
          </w:tabs>
          <w:ind w:left="5760" w:firstLine="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0"/>
  <w:activeWritingStyle w:appName="MSWord" w:lang="es-VE" w:vendorID="64" w:dllVersion="131078" w:nlCheck="1" w:checkStyle="1"/>
  <w:activeWritingStyle w:appName="MSWord" w:lang="es-ES_tradnl" w:vendorID="64" w:dllVersion="131078"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pt-B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16431"/>
    <w:rsid w:val="00024D04"/>
    <w:rsid w:val="000271B3"/>
    <w:rsid w:val="00030D97"/>
    <w:rsid w:val="00035B0E"/>
    <w:rsid w:val="00035D3C"/>
    <w:rsid w:val="00041238"/>
    <w:rsid w:val="000422E9"/>
    <w:rsid w:val="00046124"/>
    <w:rsid w:val="000468DD"/>
    <w:rsid w:val="00047B56"/>
    <w:rsid w:val="00052573"/>
    <w:rsid w:val="00053EDA"/>
    <w:rsid w:val="00056926"/>
    <w:rsid w:val="00056D2D"/>
    <w:rsid w:val="0006625E"/>
    <w:rsid w:val="00080D77"/>
    <w:rsid w:val="000A4686"/>
    <w:rsid w:val="000C4C38"/>
    <w:rsid w:val="000D1066"/>
    <w:rsid w:val="000D4F09"/>
    <w:rsid w:val="000E5F4B"/>
    <w:rsid w:val="000F4331"/>
    <w:rsid w:val="000F5CE0"/>
    <w:rsid w:val="00100A29"/>
    <w:rsid w:val="001028C1"/>
    <w:rsid w:val="00107353"/>
    <w:rsid w:val="00111B41"/>
    <w:rsid w:val="00123312"/>
    <w:rsid w:val="00124305"/>
    <w:rsid w:val="0012586C"/>
    <w:rsid w:val="001276E9"/>
    <w:rsid w:val="001313E1"/>
    <w:rsid w:val="00140308"/>
    <w:rsid w:val="001447EA"/>
    <w:rsid w:val="00145052"/>
    <w:rsid w:val="00145E04"/>
    <w:rsid w:val="00152001"/>
    <w:rsid w:val="00163F30"/>
    <w:rsid w:val="00173590"/>
    <w:rsid w:val="00173F4F"/>
    <w:rsid w:val="001809C1"/>
    <w:rsid w:val="0018142C"/>
    <w:rsid w:val="00186CAD"/>
    <w:rsid w:val="0019167B"/>
    <w:rsid w:val="001A1A27"/>
    <w:rsid w:val="001A214A"/>
    <w:rsid w:val="001C7659"/>
    <w:rsid w:val="001F3708"/>
    <w:rsid w:val="001F7889"/>
    <w:rsid w:val="00200405"/>
    <w:rsid w:val="00211030"/>
    <w:rsid w:val="00215059"/>
    <w:rsid w:val="0021669C"/>
    <w:rsid w:val="002203C6"/>
    <w:rsid w:val="00224E0D"/>
    <w:rsid w:val="0022574C"/>
    <w:rsid w:val="0023360E"/>
    <w:rsid w:val="00235EE9"/>
    <w:rsid w:val="00240E8E"/>
    <w:rsid w:val="00245E45"/>
    <w:rsid w:val="002556AD"/>
    <w:rsid w:val="00257941"/>
    <w:rsid w:val="002614C5"/>
    <w:rsid w:val="00270D20"/>
    <w:rsid w:val="00280B30"/>
    <w:rsid w:val="00281393"/>
    <w:rsid w:val="002859A9"/>
    <w:rsid w:val="002917A2"/>
    <w:rsid w:val="0029371A"/>
    <w:rsid w:val="00294B17"/>
    <w:rsid w:val="00295B1C"/>
    <w:rsid w:val="00296041"/>
    <w:rsid w:val="002A057D"/>
    <w:rsid w:val="002A39B2"/>
    <w:rsid w:val="002A5E09"/>
    <w:rsid w:val="002C0541"/>
    <w:rsid w:val="002C2DB4"/>
    <w:rsid w:val="002C3CF9"/>
    <w:rsid w:val="002C4783"/>
    <w:rsid w:val="002C70B0"/>
    <w:rsid w:val="002C7AD4"/>
    <w:rsid w:val="002E17D2"/>
    <w:rsid w:val="002F1192"/>
    <w:rsid w:val="00322E66"/>
    <w:rsid w:val="00327E8E"/>
    <w:rsid w:val="00333DC5"/>
    <w:rsid w:val="003345BB"/>
    <w:rsid w:val="00335B75"/>
    <w:rsid w:val="00342F3C"/>
    <w:rsid w:val="00343CED"/>
    <w:rsid w:val="00345295"/>
    <w:rsid w:val="00355877"/>
    <w:rsid w:val="00356FA7"/>
    <w:rsid w:val="0037203D"/>
    <w:rsid w:val="0037516A"/>
    <w:rsid w:val="00376C98"/>
    <w:rsid w:val="003802DA"/>
    <w:rsid w:val="00383E2D"/>
    <w:rsid w:val="00390207"/>
    <w:rsid w:val="00393310"/>
    <w:rsid w:val="0039422B"/>
    <w:rsid w:val="0039616F"/>
    <w:rsid w:val="00396C20"/>
    <w:rsid w:val="003A6747"/>
    <w:rsid w:val="003B7B05"/>
    <w:rsid w:val="003C0BD2"/>
    <w:rsid w:val="003C4836"/>
    <w:rsid w:val="003C4D5B"/>
    <w:rsid w:val="003C70F6"/>
    <w:rsid w:val="003E14CB"/>
    <w:rsid w:val="003F1ADB"/>
    <w:rsid w:val="003F6D90"/>
    <w:rsid w:val="003F7A99"/>
    <w:rsid w:val="004048B7"/>
    <w:rsid w:val="004210EF"/>
    <w:rsid w:val="00430950"/>
    <w:rsid w:val="00430BA1"/>
    <w:rsid w:val="00433072"/>
    <w:rsid w:val="004355E2"/>
    <w:rsid w:val="00440073"/>
    <w:rsid w:val="00447C92"/>
    <w:rsid w:val="00461093"/>
    <w:rsid w:val="00461EC4"/>
    <w:rsid w:val="0047146A"/>
    <w:rsid w:val="004722BC"/>
    <w:rsid w:val="00476A8C"/>
    <w:rsid w:val="00484E24"/>
    <w:rsid w:val="004A1E39"/>
    <w:rsid w:val="004A1F50"/>
    <w:rsid w:val="004A6427"/>
    <w:rsid w:val="004B0D9A"/>
    <w:rsid w:val="004B0DEF"/>
    <w:rsid w:val="004B3074"/>
    <w:rsid w:val="004B3F3B"/>
    <w:rsid w:val="004C4B31"/>
    <w:rsid w:val="004C77A0"/>
    <w:rsid w:val="004D707E"/>
    <w:rsid w:val="004E3579"/>
    <w:rsid w:val="004F190F"/>
    <w:rsid w:val="00517622"/>
    <w:rsid w:val="005239D9"/>
    <w:rsid w:val="005242E6"/>
    <w:rsid w:val="005260BF"/>
    <w:rsid w:val="00531156"/>
    <w:rsid w:val="00534F2B"/>
    <w:rsid w:val="00535111"/>
    <w:rsid w:val="005410BD"/>
    <w:rsid w:val="005566F5"/>
    <w:rsid w:val="0056226D"/>
    <w:rsid w:val="00575A9D"/>
    <w:rsid w:val="0058059B"/>
    <w:rsid w:val="00586C44"/>
    <w:rsid w:val="00592132"/>
    <w:rsid w:val="00596CC9"/>
    <w:rsid w:val="005A328E"/>
    <w:rsid w:val="005A583C"/>
    <w:rsid w:val="005A5E14"/>
    <w:rsid w:val="005A7DA6"/>
    <w:rsid w:val="005B2027"/>
    <w:rsid w:val="005B56D1"/>
    <w:rsid w:val="005B6286"/>
    <w:rsid w:val="005B7B95"/>
    <w:rsid w:val="005C6E8D"/>
    <w:rsid w:val="005D0645"/>
    <w:rsid w:val="005F0A9E"/>
    <w:rsid w:val="005F0DA7"/>
    <w:rsid w:val="005F432E"/>
    <w:rsid w:val="005F4AAA"/>
    <w:rsid w:val="00604132"/>
    <w:rsid w:val="0060712A"/>
    <w:rsid w:val="00617983"/>
    <w:rsid w:val="006236D7"/>
    <w:rsid w:val="00627B50"/>
    <w:rsid w:val="00633243"/>
    <w:rsid w:val="00634C43"/>
    <w:rsid w:val="00641340"/>
    <w:rsid w:val="006430AD"/>
    <w:rsid w:val="006469F3"/>
    <w:rsid w:val="006564BF"/>
    <w:rsid w:val="00663D68"/>
    <w:rsid w:val="00667B16"/>
    <w:rsid w:val="00671335"/>
    <w:rsid w:val="006813AE"/>
    <w:rsid w:val="00682244"/>
    <w:rsid w:val="00685EAD"/>
    <w:rsid w:val="006B5F08"/>
    <w:rsid w:val="006C45AC"/>
    <w:rsid w:val="006C63B2"/>
    <w:rsid w:val="006C7DE8"/>
    <w:rsid w:val="006D2C54"/>
    <w:rsid w:val="006E2BD8"/>
    <w:rsid w:val="006E4CE4"/>
    <w:rsid w:val="006E5913"/>
    <w:rsid w:val="006F0429"/>
    <w:rsid w:val="006F7B54"/>
    <w:rsid w:val="007014A8"/>
    <w:rsid w:val="00703E24"/>
    <w:rsid w:val="007052CA"/>
    <w:rsid w:val="00707A03"/>
    <w:rsid w:val="00712B45"/>
    <w:rsid w:val="00721BDC"/>
    <w:rsid w:val="007323C6"/>
    <w:rsid w:val="00736A13"/>
    <w:rsid w:val="007660A1"/>
    <w:rsid w:val="00775160"/>
    <w:rsid w:val="007942FF"/>
    <w:rsid w:val="007A0AA5"/>
    <w:rsid w:val="007A0B1E"/>
    <w:rsid w:val="007A1F6C"/>
    <w:rsid w:val="007A2520"/>
    <w:rsid w:val="007B0327"/>
    <w:rsid w:val="007C2CC3"/>
    <w:rsid w:val="007C351D"/>
    <w:rsid w:val="007C6D93"/>
    <w:rsid w:val="007E0C62"/>
    <w:rsid w:val="007E2AF4"/>
    <w:rsid w:val="007E446B"/>
    <w:rsid w:val="007E755F"/>
    <w:rsid w:val="007F4D6C"/>
    <w:rsid w:val="007F5F4E"/>
    <w:rsid w:val="00803D69"/>
    <w:rsid w:val="00806FEC"/>
    <w:rsid w:val="00807BAA"/>
    <w:rsid w:val="00814DFD"/>
    <w:rsid w:val="0082413A"/>
    <w:rsid w:val="00826CD9"/>
    <w:rsid w:val="00830098"/>
    <w:rsid w:val="0083397E"/>
    <w:rsid w:val="00840331"/>
    <w:rsid w:val="008550EF"/>
    <w:rsid w:val="00861206"/>
    <w:rsid w:val="00861739"/>
    <w:rsid w:val="00864155"/>
    <w:rsid w:val="00864794"/>
    <w:rsid w:val="008721D8"/>
    <w:rsid w:val="00872944"/>
    <w:rsid w:val="00891138"/>
    <w:rsid w:val="008A7DAF"/>
    <w:rsid w:val="008B3D56"/>
    <w:rsid w:val="008D10A0"/>
    <w:rsid w:val="008D4481"/>
    <w:rsid w:val="008D6E63"/>
    <w:rsid w:val="008D6F68"/>
    <w:rsid w:val="008E0A29"/>
    <w:rsid w:val="008E42E1"/>
    <w:rsid w:val="008E6833"/>
    <w:rsid w:val="008E6FB2"/>
    <w:rsid w:val="008F2248"/>
    <w:rsid w:val="008F4BDC"/>
    <w:rsid w:val="00911040"/>
    <w:rsid w:val="00915A80"/>
    <w:rsid w:val="0092137A"/>
    <w:rsid w:val="009403F4"/>
    <w:rsid w:val="009413A1"/>
    <w:rsid w:val="009413D3"/>
    <w:rsid w:val="00961E4F"/>
    <w:rsid w:val="00964A35"/>
    <w:rsid w:val="00970EC7"/>
    <w:rsid w:val="00972BD3"/>
    <w:rsid w:val="00985134"/>
    <w:rsid w:val="00987FD2"/>
    <w:rsid w:val="009A3DAE"/>
    <w:rsid w:val="009A6413"/>
    <w:rsid w:val="009B178C"/>
    <w:rsid w:val="009B219C"/>
    <w:rsid w:val="009C18E2"/>
    <w:rsid w:val="009C227B"/>
    <w:rsid w:val="009C3C8C"/>
    <w:rsid w:val="009C4D87"/>
    <w:rsid w:val="009C7D8D"/>
    <w:rsid w:val="009D1521"/>
    <w:rsid w:val="009D2FB2"/>
    <w:rsid w:val="009E73F0"/>
    <w:rsid w:val="009F030C"/>
    <w:rsid w:val="009F5B9F"/>
    <w:rsid w:val="009F64CA"/>
    <w:rsid w:val="00A110FF"/>
    <w:rsid w:val="00A143FC"/>
    <w:rsid w:val="00A2502C"/>
    <w:rsid w:val="00A25CA7"/>
    <w:rsid w:val="00A326A1"/>
    <w:rsid w:val="00A343FF"/>
    <w:rsid w:val="00A37698"/>
    <w:rsid w:val="00A404E4"/>
    <w:rsid w:val="00A4053E"/>
    <w:rsid w:val="00A43B3D"/>
    <w:rsid w:val="00A53A76"/>
    <w:rsid w:val="00A53ADC"/>
    <w:rsid w:val="00A5528C"/>
    <w:rsid w:val="00A553B9"/>
    <w:rsid w:val="00A61B5E"/>
    <w:rsid w:val="00A6700B"/>
    <w:rsid w:val="00A7781B"/>
    <w:rsid w:val="00A85C64"/>
    <w:rsid w:val="00A9044B"/>
    <w:rsid w:val="00AA1079"/>
    <w:rsid w:val="00AB6075"/>
    <w:rsid w:val="00AE1B0F"/>
    <w:rsid w:val="00AE5BB3"/>
    <w:rsid w:val="00AF7331"/>
    <w:rsid w:val="00B011F0"/>
    <w:rsid w:val="00B056D9"/>
    <w:rsid w:val="00B13A40"/>
    <w:rsid w:val="00B14604"/>
    <w:rsid w:val="00B205A7"/>
    <w:rsid w:val="00B2344F"/>
    <w:rsid w:val="00B25E3B"/>
    <w:rsid w:val="00B40CF4"/>
    <w:rsid w:val="00B437E0"/>
    <w:rsid w:val="00B53B52"/>
    <w:rsid w:val="00B55522"/>
    <w:rsid w:val="00B56ADB"/>
    <w:rsid w:val="00B601CB"/>
    <w:rsid w:val="00B64A9B"/>
    <w:rsid w:val="00B806AC"/>
    <w:rsid w:val="00B8714F"/>
    <w:rsid w:val="00B93993"/>
    <w:rsid w:val="00BA2B9F"/>
    <w:rsid w:val="00BB03A0"/>
    <w:rsid w:val="00BD654A"/>
    <w:rsid w:val="00BD6968"/>
    <w:rsid w:val="00BE3A1B"/>
    <w:rsid w:val="00BF6FAE"/>
    <w:rsid w:val="00C0235F"/>
    <w:rsid w:val="00C17F04"/>
    <w:rsid w:val="00C26B1C"/>
    <w:rsid w:val="00C402CB"/>
    <w:rsid w:val="00C45C25"/>
    <w:rsid w:val="00C46D95"/>
    <w:rsid w:val="00C55FDD"/>
    <w:rsid w:val="00C60183"/>
    <w:rsid w:val="00C60248"/>
    <w:rsid w:val="00C61038"/>
    <w:rsid w:val="00C64959"/>
    <w:rsid w:val="00C74B02"/>
    <w:rsid w:val="00C7598D"/>
    <w:rsid w:val="00C850CA"/>
    <w:rsid w:val="00C90B57"/>
    <w:rsid w:val="00C91040"/>
    <w:rsid w:val="00CB30D7"/>
    <w:rsid w:val="00CB4C1E"/>
    <w:rsid w:val="00CB6344"/>
    <w:rsid w:val="00CC4BBD"/>
    <w:rsid w:val="00CC69BF"/>
    <w:rsid w:val="00CD00B0"/>
    <w:rsid w:val="00CD0D88"/>
    <w:rsid w:val="00CE5842"/>
    <w:rsid w:val="00CF0863"/>
    <w:rsid w:val="00CF2A70"/>
    <w:rsid w:val="00D05BCC"/>
    <w:rsid w:val="00D14742"/>
    <w:rsid w:val="00D20737"/>
    <w:rsid w:val="00D22C3A"/>
    <w:rsid w:val="00D27355"/>
    <w:rsid w:val="00D339A4"/>
    <w:rsid w:val="00D34861"/>
    <w:rsid w:val="00D736FF"/>
    <w:rsid w:val="00D73CCB"/>
    <w:rsid w:val="00D74780"/>
    <w:rsid w:val="00D76420"/>
    <w:rsid w:val="00D76834"/>
    <w:rsid w:val="00D822C4"/>
    <w:rsid w:val="00D92822"/>
    <w:rsid w:val="00D96131"/>
    <w:rsid w:val="00DA3B77"/>
    <w:rsid w:val="00DB5FA6"/>
    <w:rsid w:val="00DC2EBE"/>
    <w:rsid w:val="00DC5A37"/>
    <w:rsid w:val="00DC7C8F"/>
    <w:rsid w:val="00DD7E0A"/>
    <w:rsid w:val="00DE3BED"/>
    <w:rsid w:val="00DE64B1"/>
    <w:rsid w:val="00DF0FE5"/>
    <w:rsid w:val="00DF7FE9"/>
    <w:rsid w:val="00E00441"/>
    <w:rsid w:val="00E004F0"/>
    <w:rsid w:val="00E07E59"/>
    <w:rsid w:val="00E17093"/>
    <w:rsid w:val="00E174E4"/>
    <w:rsid w:val="00E20F0C"/>
    <w:rsid w:val="00E21ACA"/>
    <w:rsid w:val="00E3040C"/>
    <w:rsid w:val="00E338AC"/>
    <w:rsid w:val="00E4192B"/>
    <w:rsid w:val="00E42F0E"/>
    <w:rsid w:val="00E45EF1"/>
    <w:rsid w:val="00E518B2"/>
    <w:rsid w:val="00E6614F"/>
    <w:rsid w:val="00E75539"/>
    <w:rsid w:val="00E765B8"/>
    <w:rsid w:val="00E83172"/>
    <w:rsid w:val="00E83A9F"/>
    <w:rsid w:val="00E908AD"/>
    <w:rsid w:val="00E9662E"/>
    <w:rsid w:val="00EB3AD2"/>
    <w:rsid w:val="00EB6975"/>
    <w:rsid w:val="00EC1870"/>
    <w:rsid w:val="00EC213A"/>
    <w:rsid w:val="00EC4817"/>
    <w:rsid w:val="00EC4FA8"/>
    <w:rsid w:val="00EC71BD"/>
    <w:rsid w:val="00ED39F6"/>
    <w:rsid w:val="00EE0B2C"/>
    <w:rsid w:val="00EE2C0F"/>
    <w:rsid w:val="00EF70B8"/>
    <w:rsid w:val="00EF72C2"/>
    <w:rsid w:val="00F04DAD"/>
    <w:rsid w:val="00F110A9"/>
    <w:rsid w:val="00F1307A"/>
    <w:rsid w:val="00F1673B"/>
    <w:rsid w:val="00F239AC"/>
    <w:rsid w:val="00F306AD"/>
    <w:rsid w:val="00F3429E"/>
    <w:rsid w:val="00F35890"/>
    <w:rsid w:val="00F54F60"/>
    <w:rsid w:val="00F55649"/>
    <w:rsid w:val="00F639C8"/>
    <w:rsid w:val="00F66FEE"/>
    <w:rsid w:val="00F7121E"/>
    <w:rsid w:val="00F72F80"/>
    <w:rsid w:val="00F736E4"/>
    <w:rsid w:val="00F76F08"/>
    <w:rsid w:val="00F83AB1"/>
    <w:rsid w:val="00F85F0F"/>
    <w:rsid w:val="00F92B07"/>
    <w:rsid w:val="00F93088"/>
    <w:rsid w:val="00FA0AA8"/>
    <w:rsid w:val="00FA5441"/>
    <w:rsid w:val="00FB163E"/>
    <w:rsid w:val="00FB5DAF"/>
    <w:rsid w:val="00FC2D3C"/>
    <w:rsid w:val="00FC35E9"/>
    <w:rsid w:val="00FC66C2"/>
    <w:rsid w:val="00FC7AF6"/>
    <w:rsid w:val="00FD2488"/>
    <w:rsid w:val="00FE574C"/>
    <w:rsid w:val="00FE6778"/>
    <w:rsid w:val="00FE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48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F1673B"/>
    <w:pPr>
      <w:ind w:left="720"/>
      <w:contextualSpacing/>
    </w:pPr>
  </w:style>
  <w:style w:type="character" w:customStyle="1" w:styleId="ListParagraphChar">
    <w:name w:val="List Paragraph Char"/>
    <w:aliases w:val="Párrafo de lista1 Char,List Paragraph1 Char,Colorful List - Accent 11 Char,List Paragraph11 Char,Colorful List - Accent 1 Char"/>
    <w:link w:val="ListParagraph"/>
    <w:uiPriority w:val="34"/>
    <w:qFormat/>
    <w:locked/>
    <w:rsid w:val="00F1673B"/>
    <w:rPr>
      <w:sz w:val="22"/>
      <w:szCs w:val="22"/>
    </w:rPr>
  </w:style>
  <w:style w:type="character" w:styleId="Hyperlink">
    <w:name w:val="Hyperlink"/>
    <w:uiPriority w:val="99"/>
    <w:unhideWhenUsed/>
    <w:rsid w:val="00F1673B"/>
    <w:rPr>
      <w:color w:val="0563C1"/>
      <w:u w:val="single"/>
    </w:rPr>
  </w:style>
  <w:style w:type="character" w:styleId="FollowedHyperlink">
    <w:name w:val="FollowedHyperlink"/>
    <w:uiPriority w:val="99"/>
    <w:semiHidden/>
    <w:unhideWhenUsed/>
    <w:rsid w:val="00586C44"/>
    <w:rPr>
      <w:color w:val="954F72"/>
      <w:u w:val="single"/>
    </w:rPr>
  </w:style>
  <w:style w:type="paragraph" w:styleId="NoSpacing">
    <w:name w:val="No Spacing"/>
    <w:uiPriority w:val="1"/>
    <w:qFormat/>
    <w:rsid w:val="00FA5441"/>
    <w:rPr>
      <w:sz w:val="22"/>
      <w:szCs w:val="22"/>
    </w:rPr>
  </w:style>
  <w:style w:type="character" w:styleId="CommentReference">
    <w:name w:val="annotation reference"/>
    <w:uiPriority w:val="99"/>
    <w:semiHidden/>
    <w:unhideWhenUsed/>
    <w:rsid w:val="00440073"/>
    <w:rPr>
      <w:sz w:val="16"/>
      <w:szCs w:val="16"/>
    </w:rPr>
  </w:style>
  <w:style w:type="paragraph" w:styleId="CommentText">
    <w:name w:val="annotation text"/>
    <w:basedOn w:val="Normal"/>
    <w:link w:val="CommentTextChar"/>
    <w:uiPriority w:val="99"/>
    <w:unhideWhenUsed/>
    <w:rsid w:val="00440073"/>
    <w:rPr>
      <w:sz w:val="20"/>
      <w:szCs w:val="20"/>
    </w:rPr>
  </w:style>
  <w:style w:type="character" w:customStyle="1" w:styleId="CommentTextChar">
    <w:name w:val="Comment Text Char"/>
    <w:basedOn w:val="DefaultParagraphFont"/>
    <w:link w:val="CommentText"/>
    <w:uiPriority w:val="99"/>
    <w:rsid w:val="00440073"/>
  </w:style>
  <w:style w:type="paragraph" w:styleId="CommentSubject">
    <w:name w:val="annotation subject"/>
    <w:basedOn w:val="CommentText"/>
    <w:next w:val="CommentText"/>
    <w:link w:val="CommentSubjectChar"/>
    <w:uiPriority w:val="99"/>
    <w:semiHidden/>
    <w:unhideWhenUsed/>
    <w:rsid w:val="00440073"/>
    <w:rPr>
      <w:b/>
      <w:bCs/>
    </w:rPr>
  </w:style>
  <w:style w:type="character" w:customStyle="1" w:styleId="CommentSubjectChar">
    <w:name w:val="Comment Subject Char"/>
    <w:link w:val="CommentSubject"/>
    <w:uiPriority w:val="99"/>
    <w:semiHidden/>
    <w:rsid w:val="00440073"/>
    <w:rPr>
      <w:b/>
      <w:bC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2203C6"/>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2203C6"/>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2203C6"/>
    <w:rPr>
      <w:vertAlign w:val="superscript"/>
    </w:rPr>
  </w:style>
  <w:style w:type="paragraph" w:customStyle="1" w:styleId="Appelnotedebasde">
    <w:name w:val="Appel note de bas de..."/>
    <w:basedOn w:val="Normal"/>
    <w:link w:val="FootnoteReference"/>
    <w:rsid w:val="003F6D90"/>
    <w:pPr>
      <w:spacing w:after="160" w:line="240" w:lineRule="exact"/>
    </w:pPr>
    <w:rPr>
      <w:sz w:val="20"/>
      <w:szCs w:val="20"/>
      <w:vertAlign w:val="superscript"/>
    </w:rPr>
  </w:style>
  <w:style w:type="paragraph" w:styleId="BlockText">
    <w:name w:val="Block Text"/>
    <w:basedOn w:val="Normal"/>
    <w:uiPriority w:val="99"/>
    <w:rsid w:val="003F6D90"/>
    <w:pPr>
      <w:spacing w:before="120" w:after="120" w:line="240" w:lineRule="auto"/>
      <w:ind w:left="-180" w:right="-180" w:firstLine="900"/>
      <w:jc w:val="both"/>
    </w:pPr>
    <w:rPr>
      <w:rFonts w:ascii="Univers" w:eastAsia="Times New Roman" w:hAnsi="Univers"/>
      <w:szCs w:val="20"/>
    </w:rPr>
  </w:style>
  <w:style w:type="numbering" w:customStyle="1" w:styleId="EstiloImportado9">
    <w:name w:val="Estilo Importado 9"/>
    <w:rsid w:val="00A9044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8105">
      <w:bodyDiv w:val="1"/>
      <w:marLeft w:val="0"/>
      <w:marRight w:val="0"/>
      <w:marTop w:val="0"/>
      <w:marBottom w:val="0"/>
      <w:divBdr>
        <w:top w:val="none" w:sz="0" w:space="0" w:color="auto"/>
        <w:left w:val="none" w:sz="0" w:space="0" w:color="auto"/>
        <w:bottom w:val="none" w:sz="0" w:space="0" w:color="auto"/>
        <w:right w:val="none" w:sz="0" w:space="0" w:color="auto"/>
      </w:divBdr>
    </w:div>
    <w:div w:id="1318339479">
      <w:bodyDiv w:val="1"/>
      <w:marLeft w:val="0"/>
      <w:marRight w:val="0"/>
      <w:marTop w:val="0"/>
      <w:marBottom w:val="0"/>
      <w:divBdr>
        <w:top w:val="none" w:sz="0" w:space="0" w:color="auto"/>
        <w:left w:val="none" w:sz="0" w:space="0" w:color="auto"/>
        <w:bottom w:val="none" w:sz="0" w:space="0" w:color="auto"/>
        <w:right w:val="none" w:sz="0" w:space="0" w:color="auto"/>
      </w:divBdr>
    </w:div>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 w:id="1530218493">
      <w:bodyDiv w:val="1"/>
      <w:marLeft w:val="0"/>
      <w:marRight w:val="0"/>
      <w:marTop w:val="0"/>
      <w:marBottom w:val="0"/>
      <w:divBdr>
        <w:top w:val="none" w:sz="0" w:space="0" w:color="auto"/>
        <w:left w:val="none" w:sz="0" w:space="0" w:color="auto"/>
        <w:bottom w:val="none" w:sz="0" w:space="0" w:color="auto"/>
        <w:right w:val="none" w:sz="0" w:space="0" w:color="auto"/>
      </w:divBdr>
    </w:div>
    <w:div w:id="17314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dh.oas.org/annualrep/2001sp/Guyana12264.htm" TargetMode="External"/><Relationship Id="rId4" Type="http://schemas.openxmlformats.org/officeDocument/2006/relationships/styles" Target="styles.xml"/><Relationship Id="rId9" Type="http://schemas.openxmlformats.org/officeDocument/2006/relationships/hyperlink" Target="http://www.cidh.oas.org/annualrep/2006sp/Guyana12264sp.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p/professionalinterest/pages/remedyandreparation.aspx" TargetMode="External"/><Relationship Id="rId3" Type="http://schemas.openxmlformats.org/officeDocument/2006/relationships/hyperlink" Target="http://www.oas.org/es/cidh/docs/anual/2012/Cap.3.D.doc" TargetMode="External"/><Relationship Id="rId7" Type="http://schemas.openxmlformats.org/officeDocument/2006/relationships/hyperlink" Target="http://www.cidh.org/pdf%20files/Lineamientos%20principales%20para%20una%20pol%C3%ADtica%20integral%20de%20reparaciones.pdf" TargetMode="External"/><Relationship Id="rId2" Type="http://schemas.openxmlformats.org/officeDocument/2006/relationships/hyperlink" Target="http://www.oas.org/es/cidh/docs/anual/2013/docs-es/InformeAnual-Cap2-D.pdf" TargetMode="External"/><Relationship Id="rId1" Type="http://schemas.openxmlformats.org/officeDocument/2006/relationships/hyperlink" Target="http://www.oas.org/es/cidh/docs/anual/2012/Cap.3.D.doc" TargetMode="External"/><Relationship Id="rId6" Type="http://schemas.openxmlformats.org/officeDocument/2006/relationships/hyperlink" Target="http://www.corteidh.or.cr/docs/casos/articulos/seriec_162_esp.pdf" TargetMode="External"/><Relationship Id="rId5" Type="http://schemas.openxmlformats.org/officeDocument/2006/relationships/hyperlink" Target="http://www.oas.org/es/cidh/docs/anual/2013/docs-es/InformeAnual-Cap2-D.pdf" TargetMode="External"/><Relationship Id="rId4" Type="http://schemas.openxmlformats.org/officeDocument/2006/relationships/hyperlink" Target="http://www.oas.org/es/cidh/docs/anual/2012/Cap.3.D.doc" TargetMode="External"/><Relationship Id="rId9" Type="http://schemas.openxmlformats.org/officeDocument/2006/relationships/hyperlink" Target="http://www.corteidh.or.cr/docs/casos/articulos/seriec_162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81107043-339D-4562-8EA6-70634A861759}">
  <ds:schemaRefs>
    <ds:schemaRef ds:uri="http://schemas.openxmlformats.org/officeDocument/2006/bibliography"/>
  </ds:schemaRefs>
</ds:datastoreItem>
</file>

<file path=customXml/itemProps2.xml><?xml version="1.0" encoding="utf-8"?>
<ds:datastoreItem xmlns:ds="http://schemas.openxmlformats.org/officeDocument/2006/customXml" ds:itemID="{DB8FBCF6-3544-44BE-A156-07F166F8B4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Links>
    <vt:vector size="72" baseType="variant">
      <vt:variant>
        <vt:i4>1966172</vt:i4>
      </vt:variant>
      <vt:variant>
        <vt:i4>3</vt:i4>
      </vt:variant>
      <vt:variant>
        <vt:i4>0</vt:i4>
      </vt:variant>
      <vt:variant>
        <vt:i4>5</vt:i4>
      </vt:variant>
      <vt:variant>
        <vt:lpwstr>http://www.cidh.oas.org/annualrep/2001sp/Guyana12264.htm</vt:lpwstr>
      </vt:variant>
      <vt:variant>
        <vt:lpwstr/>
      </vt:variant>
      <vt:variant>
        <vt:i4>6881327</vt:i4>
      </vt:variant>
      <vt:variant>
        <vt:i4>0</vt:i4>
      </vt:variant>
      <vt:variant>
        <vt:i4>0</vt:i4>
      </vt:variant>
      <vt:variant>
        <vt:i4>5</vt:i4>
      </vt:variant>
      <vt:variant>
        <vt:lpwstr>http://www.cidh.oas.org/annualrep/2006sp/Guyana12264sp.htm</vt:lpwstr>
      </vt:variant>
      <vt:variant>
        <vt:lpwstr/>
      </vt:variant>
      <vt:variant>
        <vt:i4>5636183</vt:i4>
      </vt:variant>
      <vt:variant>
        <vt:i4>27</vt:i4>
      </vt:variant>
      <vt:variant>
        <vt:i4>0</vt:i4>
      </vt:variant>
      <vt:variant>
        <vt:i4>5</vt:i4>
      </vt:variant>
      <vt:variant>
        <vt:lpwstr>http://www.corteidh.or.cr/docs/casos/articulos/seriec_162_esp.pdf</vt:lpwstr>
      </vt:variant>
      <vt:variant>
        <vt:lpwstr/>
      </vt:variant>
      <vt:variant>
        <vt:i4>851989</vt:i4>
      </vt:variant>
      <vt:variant>
        <vt:i4>24</vt:i4>
      </vt:variant>
      <vt:variant>
        <vt:i4>0</vt:i4>
      </vt:variant>
      <vt:variant>
        <vt:i4>5</vt:i4>
      </vt:variant>
      <vt:variant>
        <vt:lpwstr>https://www.ohchr.org/sp/professionalinterest/pages/remedyandreparation.aspx</vt:lpwstr>
      </vt:variant>
      <vt:variant>
        <vt:lpwstr/>
      </vt:variant>
      <vt:variant>
        <vt:i4>3866723</vt:i4>
      </vt:variant>
      <vt:variant>
        <vt:i4>21</vt:i4>
      </vt:variant>
      <vt:variant>
        <vt:i4>0</vt:i4>
      </vt:variant>
      <vt:variant>
        <vt:i4>5</vt:i4>
      </vt:variant>
      <vt:variant>
        <vt:lpwstr>http://www.cidh.org/pdf files/Lineamientos principales para una pol%C3%ADtica integral de reparaciones.pdf</vt:lpwstr>
      </vt:variant>
      <vt:variant>
        <vt:lpwstr/>
      </vt:variant>
      <vt:variant>
        <vt:i4>5636183</vt:i4>
      </vt:variant>
      <vt:variant>
        <vt:i4>18</vt:i4>
      </vt:variant>
      <vt:variant>
        <vt:i4>0</vt:i4>
      </vt:variant>
      <vt:variant>
        <vt:i4>5</vt:i4>
      </vt:variant>
      <vt:variant>
        <vt:lpwstr>http://www.corteidh.or.cr/docs/casos/articulos/seriec_162_esp.pdf</vt:lpwstr>
      </vt:variant>
      <vt:variant>
        <vt:lpwstr/>
      </vt:variant>
      <vt:variant>
        <vt:i4>3997799</vt:i4>
      </vt:variant>
      <vt:variant>
        <vt:i4>15</vt:i4>
      </vt:variant>
      <vt:variant>
        <vt:i4>0</vt:i4>
      </vt:variant>
      <vt:variant>
        <vt:i4>5</vt:i4>
      </vt:variant>
      <vt:variant>
        <vt:lpwstr>http://www.oas.org/es/cidh/docs/anual/2013/docs-es/InformeAnual-Cap2-D.pdf</vt:lpwstr>
      </vt:variant>
      <vt:variant>
        <vt:lpwstr/>
      </vt:variant>
      <vt:variant>
        <vt:i4>3997809</vt:i4>
      </vt:variant>
      <vt:variant>
        <vt:i4>12</vt:i4>
      </vt:variant>
      <vt:variant>
        <vt:i4>0</vt:i4>
      </vt:variant>
      <vt:variant>
        <vt:i4>5</vt:i4>
      </vt:variant>
      <vt:variant>
        <vt:lpwstr>http://www.oas.org/es/cidh/docs/anual/2012/Cap.3.D.doc</vt:lpwstr>
      </vt:variant>
      <vt:variant>
        <vt:lpwstr/>
      </vt:variant>
      <vt:variant>
        <vt:i4>3997809</vt:i4>
      </vt:variant>
      <vt:variant>
        <vt:i4>9</vt:i4>
      </vt:variant>
      <vt:variant>
        <vt:i4>0</vt:i4>
      </vt:variant>
      <vt:variant>
        <vt:i4>5</vt:i4>
      </vt:variant>
      <vt:variant>
        <vt:lpwstr>http://www.oas.org/es/cidh/docs/anual/2012/Cap.3.D.doc</vt:lpwstr>
      </vt:variant>
      <vt:variant>
        <vt:lpwstr/>
      </vt:variant>
      <vt:variant>
        <vt:i4>5570646</vt:i4>
      </vt:variant>
      <vt:variant>
        <vt:i4>6</vt:i4>
      </vt:variant>
      <vt:variant>
        <vt:i4>0</vt:i4>
      </vt:variant>
      <vt:variant>
        <vt:i4>5</vt:i4>
      </vt:variant>
      <vt:variant>
        <vt:lpwstr>http://www.corteidh.or.cr/docs/casos/articulos/seriec_250_esp.pdf</vt:lpwstr>
      </vt:variant>
      <vt:variant>
        <vt:lpwstr/>
      </vt:variant>
      <vt:variant>
        <vt:i4>3997799</vt:i4>
      </vt:variant>
      <vt:variant>
        <vt:i4>3</vt:i4>
      </vt:variant>
      <vt:variant>
        <vt:i4>0</vt:i4>
      </vt:variant>
      <vt:variant>
        <vt:i4>5</vt:i4>
      </vt:variant>
      <vt:variant>
        <vt:lpwstr>http://www.oas.org/es/cidh/docs/anual/2013/docs-es/InformeAnual-Cap2-D.pdf</vt:lpwstr>
      </vt:variant>
      <vt:variant>
        <vt:lpwstr/>
      </vt:variant>
      <vt:variant>
        <vt:i4>3997809</vt:i4>
      </vt:variant>
      <vt:variant>
        <vt:i4>0</vt:i4>
      </vt:variant>
      <vt:variant>
        <vt:i4>0</vt:i4>
      </vt:variant>
      <vt:variant>
        <vt:i4>5</vt:i4>
      </vt:variant>
      <vt:variant>
        <vt:lpwstr>http://www.oas.org/es/cidh/docs/anual/2012/Cap.3.D.doc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2022-03-22T15:16:00Z</dcterms:created>
  <dcterms:modified xsi:type="dcterms:W3CDTF">2022-03-22T15:16:00Z</dcterms:modified>
</cp:coreProperties>
</file>