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FC5E" w14:textId="77777777" w:rsidR="00303C41" w:rsidRPr="005F2A3E" w:rsidRDefault="00303C41" w:rsidP="6F1EBC17">
      <w:pPr>
        <w:pStyle w:val="Header"/>
        <w:jc w:val="center"/>
        <w:rPr>
          <w:rFonts w:ascii="Cambria" w:hAnsi="Cambria"/>
          <w:b/>
          <w:bCs/>
          <w:sz w:val="20"/>
          <w:szCs w:val="20"/>
          <w:lang w:val="es-ES"/>
        </w:rPr>
      </w:pPr>
    </w:p>
    <w:p w14:paraId="4C9C86B4" w14:textId="77777777" w:rsidR="00303C41" w:rsidRPr="001E246B" w:rsidRDefault="00303C41" w:rsidP="00303C41">
      <w:pPr>
        <w:pStyle w:val="Header"/>
        <w:jc w:val="center"/>
        <w:rPr>
          <w:rFonts w:ascii="Cambria" w:hAnsi="Cambria"/>
          <w:sz w:val="20"/>
          <w:szCs w:val="20"/>
          <w:lang w:val="es-ES"/>
        </w:rPr>
      </w:pPr>
      <w:r w:rsidRPr="6F1EBC17">
        <w:rPr>
          <w:rFonts w:ascii="Cambria" w:hAnsi="Cambria"/>
          <w:b/>
          <w:bCs/>
          <w:sz w:val="20"/>
          <w:szCs w:val="20"/>
          <w:lang w:val="es-ES"/>
        </w:rPr>
        <w:t xml:space="preserve">FICHA DE SEGUIMIENTO DEL INFORME </w:t>
      </w:r>
      <w:proofErr w:type="spellStart"/>
      <w:r w:rsidRPr="6F1EBC17">
        <w:rPr>
          <w:rFonts w:ascii="Cambria" w:hAnsi="Cambria"/>
          <w:b/>
          <w:bCs/>
          <w:sz w:val="20"/>
          <w:szCs w:val="20"/>
          <w:lang w:val="es-ES"/>
        </w:rPr>
        <w:t>Nº</w:t>
      </w:r>
      <w:proofErr w:type="spellEnd"/>
      <w:r w:rsidRPr="6F1EBC17">
        <w:rPr>
          <w:rFonts w:ascii="Cambria" w:hAnsi="Cambria"/>
          <w:b/>
          <w:bCs/>
          <w:sz w:val="20"/>
          <w:szCs w:val="20"/>
          <w:lang w:val="es-ES"/>
        </w:rPr>
        <w:t xml:space="preserve"> 28/09</w:t>
      </w:r>
    </w:p>
    <w:p w14:paraId="2BE87817" w14:textId="77777777" w:rsidR="00303C41" w:rsidRPr="001E246B" w:rsidRDefault="00303C41" w:rsidP="6F1EBC17">
      <w:pPr>
        <w:jc w:val="center"/>
        <w:rPr>
          <w:rFonts w:ascii="Cambria" w:hAnsi="Cambria"/>
          <w:b/>
          <w:bCs/>
          <w:sz w:val="20"/>
          <w:szCs w:val="20"/>
          <w:lang w:val="es-ES"/>
        </w:rPr>
      </w:pPr>
      <w:r w:rsidRPr="6F1EBC17">
        <w:rPr>
          <w:rFonts w:ascii="Cambria" w:hAnsi="Cambria"/>
          <w:b/>
          <w:bCs/>
          <w:sz w:val="20"/>
          <w:szCs w:val="20"/>
          <w:lang w:val="es-ES"/>
        </w:rPr>
        <w:t>CASO 12.269</w:t>
      </w:r>
    </w:p>
    <w:p w14:paraId="1053D5E3" w14:textId="77777777" w:rsidR="00303C41" w:rsidRPr="001E246B" w:rsidRDefault="00303C41" w:rsidP="6F1EBC17">
      <w:pPr>
        <w:jc w:val="center"/>
        <w:rPr>
          <w:rFonts w:ascii="Cambria" w:hAnsi="Cambria"/>
          <w:b/>
          <w:bCs/>
          <w:sz w:val="20"/>
          <w:szCs w:val="20"/>
          <w:lang w:val="es-ES"/>
        </w:rPr>
      </w:pPr>
      <w:r w:rsidRPr="6F1EBC17">
        <w:rPr>
          <w:rFonts w:ascii="Cambria" w:hAnsi="Cambria"/>
          <w:b/>
          <w:bCs/>
          <w:sz w:val="20"/>
          <w:szCs w:val="20"/>
          <w:lang w:val="es-ES"/>
        </w:rPr>
        <w:t>DEXTER LENDORE</w:t>
      </w:r>
    </w:p>
    <w:p w14:paraId="7B411C89" w14:textId="77777777" w:rsidR="00303C41" w:rsidRPr="001E246B" w:rsidRDefault="00303C41" w:rsidP="6F1EBC17">
      <w:pPr>
        <w:jc w:val="center"/>
        <w:rPr>
          <w:rFonts w:ascii="Cambria" w:hAnsi="Cambria"/>
          <w:b/>
          <w:bCs/>
          <w:sz w:val="20"/>
          <w:szCs w:val="20"/>
          <w:lang w:val="es-ES"/>
        </w:rPr>
      </w:pPr>
      <w:r w:rsidRPr="6F1EBC17">
        <w:rPr>
          <w:rFonts w:ascii="Cambria" w:hAnsi="Cambria"/>
          <w:b/>
          <w:bCs/>
          <w:sz w:val="20"/>
          <w:szCs w:val="20"/>
          <w:lang w:val="es-ES"/>
        </w:rPr>
        <w:t>(Trinidad and Tobago)</w:t>
      </w:r>
    </w:p>
    <w:p w14:paraId="0BF0A105" w14:textId="77777777" w:rsidR="00303C41" w:rsidRPr="001E246B" w:rsidRDefault="00303C41" w:rsidP="00303C41">
      <w:pPr>
        <w:jc w:val="center"/>
        <w:rPr>
          <w:rFonts w:ascii="Cambria" w:hAnsi="Cambria"/>
          <w:sz w:val="20"/>
          <w:szCs w:val="20"/>
          <w:lang w:val="es-ES"/>
        </w:rPr>
      </w:pPr>
    </w:p>
    <w:p w14:paraId="295DEA00" w14:textId="77777777" w:rsidR="00303C41" w:rsidRPr="001E246B" w:rsidRDefault="00303C41" w:rsidP="6F1EBC17">
      <w:pPr>
        <w:numPr>
          <w:ilvl w:val="0"/>
          <w:numId w:val="30"/>
        </w:numPr>
        <w:ind w:left="1440"/>
        <w:jc w:val="both"/>
        <w:rPr>
          <w:rFonts w:ascii="Cambria" w:hAnsi="Cambria" w:cs="Calibri Light"/>
          <w:b/>
          <w:bCs/>
          <w:sz w:val="20"/>
          <w:szCs w:val="20"/>
          <w:lang w:val="es-ES"/>
        </w:rPr>
      </w:pPr>
      <w:r w:rsidRPr="6F1EBC17">
        <w:rPr>
          <w:rFonts w:ascii="Cambria" w:hAnsi="Cambria" w:cs="Calibri Light"/>
          <w:b/>
          <w:bCs/>
          <w:sz w:val="20"/>
          <w:szCs w:val="20"/>
          <w:lang w:val="es-ES"/>
        </w:rPr>
        <w:t xml:space="preserve">Resumen del caso  </w:t>
      </w:r>
    </w:p>
    <w:p w14:paraId="12E6C9C9" w14:textId="77777777" w:rsidR="00303C41" w:rsidRPr="001E246B" w:rsidRDefault="00303C41" w:rsidP="00303C41">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03C41" w:rsidRPr="00850444" w14:paraId="6BF0D614" w14:textId="77777777" w:rsidTr="6F1EBC17">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D7D7F2" w14:textId="77777777" w:rsidR="00303C41" w:rsidRPr="001E246B" w:rsidRDefault="00303C41" w:rsidP="6F1EBC17">
            <w:pPr>
              <w:spacing w:before="120"/>
              <w:jc w:val="both"/>
              <w:rPr>
                <w:rFonts w:ascii="Cambria" w:hAnsi="Cambria"/>
                <w:b/>
                <w:bCs/>
                <w:sz w:val="20"/>
                <w:szCs w:val="20"/>
                <w:lang w:val="es-ES"/>
              </w:rPr>
            </w:pPr>
            <w:r w:rsidRPr="6F1EBC17">
              <w:rPr>
                <w:rFonts w:ascii="Cambria" w:hAnsi="Cambria"/>
                <w:b/>
                <w:bCs/>
                <w:sz w:val="20"/>
                <w:szCs w:val="20"/>
                <w:lang w:val="es-ES"/>
              </w:rPr>
              <w:t xml:space="preserve">Víctima (s): </w:t>
            </w:r>
            <w:r w:rsidRPr="6F1EBC17">
              <w:rPr>
                <w:rFonts w:ascii="Cambria" w:hAnsi="Cambria"/>
                <w:sz w:val="20"/>
                <w:szCs w:val="20"/>
                <w:lang w:val="es-ES"/>
              </w:rPr>
              <w:t xml:space="preserve">Dexter </w:t>
            </w:r>
            <w:proofErr w:type="spellStart"/>
            <w:r w:rsidRPr="6F1EBC17">
              <w:rPr>
                <w:rFonts w:ascii="Cambria" w:hAnsi="Cambria"/>
                <w:sz w:val="20"/>
                <w:szCs w:val="20"/>
                <w:lang w:val="es-ES"/>
              </w:rPr>
              <w:t>Lendore</w:t>
            </w:r>
            <w:proofErr w:type="spellEnd"/>
            <w:r w:rsidRPr="6F1EBC17">
              <w:rPr>
                <w:rFonts w:ascii="Cambria" w:hAnsi="Cambria"/>
                <w:sz w:val="20"/>
                <w:szCs w:val="20"/>
                <w:lang w:val="es-ES"/>
              </w:rPr>
              <w:t xml:space="preserve"> </w:t>
            </w:r>
          </w:p>
          <w:p w14:paraId="05843409" w14:textId="77777777" w:rsidR="00303C41" w:rsidRPr="001E246B" w:rsidRDefault="00303C41" w:rsidP="00B61D5E">
            <w:pPr>
              <w:jc w:val="both"/>
              <w:rPr>
                <w:rFonts w:ascii="Cambria" w:hAnsi="Cambria"/>
                <w:sz w:val="20"/>
                <w:szCs w:val="20"/>
              </w:rPr>
            </w:pPr>
            <w:proofErr w:type="spellStart"/>
            <w:r w:rsidRPr="6F1EBC17">
              <w:rPr>
                <w:rFonts w:ascii="Cambria" w:hAnsi="Cambria"/>
                <w:b/>
                <w:bCs/>
                <w:sz w:val="20"/>
                <w:szCs w:val="20"/>
              </w:rPr>
              <w:t>Peticionario</w:t>
            </w:r>
            <w:proofErr w:type="spellEnd"/>
            <w:r w:rsidRPr="6F1EBC17">
              <w:rPr>
                <w:rFonts w:ascii="Cambria" w:hAnsi="Cambria"/>
                <w:b/>
                <w:bCs/>
                <w:sz w:val="20"/>
                <w:szCs w:val="20"/>
              </w:rPr>
              <w:t xml:space="preserve"> (s):</w:t>
            </w:r>
            <w:r w:rsidRPr="6F1EBC17">
              <w:rPr>
                <w:rFonts w:ascii="Cambria" w:hAnsi="Cambria"/>
                <w:sz w:val="20"/>
                <w:szCs w:val="20"/>
              </w:rPr>
              <w:t xml:space="preserve"> Saul </w:t>
            </w:r>
            <w:proofErr w:type="spellStart"/>
            <w:r w:rsidRPr="6F1EBC17">
              <w:rPr>
                <w:rFonts w:ascii="Cambria" w:hAnsi="Cambria"/>
                <w:sz w:val="20"/>
                <w:szCs w:val="20"/>
              </w:rPr>
              <w:t>Lehrfreund</w:t>
            </w:r>
            <w:proofErr w:type="spellEnd"/>
            <w:r w:rsidRPr="6F1EBC17">
              <w:rPr>
                <w:rFonts w:ascii="Cambria" w:hAnsi="Cambria"/>
                <w:sz w:val="20"/>
                <w:szCs w:val="20"/>
              </w:rPr>
              <w:t xml:space="preserve"> (Death Penalty Project)</w:t>
            </w:r>
          </w:p>
          <w:p w14:paraId="3BCCFDEF" w14:textId="77777777" w:rsidR="00303C41" w:rsidRPr="001E246B" w:rsidRDefault="00303C41" w:rsidP="00B61D5E">
            <w:pPr>
              <w:jc w:val="both"/>
              <w:rPr>
                <w:rFonts w:ascii="Cambria" w:hAnsi="Cambria"/>
                <w:sz w:val="20"/>
                <w:szCs w:val="20"/>
                <w:lang w:val="es-US"/>
              </w:rPr>
            </w:pPr>
            <w:r w:rsidRPr="6F1EBC17">
              <w:rPr>
                <w:rFonts w:ascii="Cambria" w:hAnsi="Cambria"/>
                <w:b/>
                <w:bCs/>
                <w:sz w:val="20"/>
                <w:szCs w:val="20"/>
                <w:lang w:val="es-US"/>
              </w:rPr>
              <w:t xml:space="preserve">Estado: </w:t>
            </w:r>
            <w:r w:rsidRPr="6F1EBC17">
              <w:rPr>
                <w:rFonts w:ascii="Cambria" w:hAnsi="Cambria"/>
                <w:sz w:val="20"/>
                <w:szCs w:val="20"/>
                <w:lang w:val="es-US"/>
              </w:rPr>
              <w:t>Trinidad y Tobago</w:t>
            </w:r>
          </w:p>
          <w:p w14:paraId="42368A4C" w14:textId="77777777" w:rsidR="00303C41" w:rsidRPr="001E246B" w:rsidRDefault="00303C41" w:rsidP="00B61D5E">
            <w:pPr>
              <w:jc w:val="both"/>
              <w:rPr>
                <w:rFonts w:ascii="Cambria" w:hAnsi="Cambria"/>
                <w:sz w:val="20"/>
                <w:szCs w:val="20"/>
                <w:lang w:val="es-ES"/>
              </w:rPr>
            </w:pPr>
            <w:r w:rsidRPr="6F1EBC17">
              <w:rPr>
                <w:rFonts w:ascii="Cambria" w:hAnsi="Cambria"/>
                <w:b/>
                <w:bCs/>
                <w:sz w:val="20"/>
                <w:szCs w:val="20"/>
                <w:lang w:val="es-ES"/>
              </w:rPr>
              <w:t xml:space="preserve">Informe de Fondo </w:t>
            </w:r>
            <w:proofErr w:type="spellStart"/>
            <w:r w:rsidRPr="6F1EBC17">
              <w:rPr>
                <w:rFonts w:ascii="Cambria" w:hAnsi="Cambria"/>
                <w:b/>
                <w:bCs/>
                <w:sz w:val="20"/>
                <w:szCs w:val="20"/>
                <w:lang w:val="es-ES"/>
              </w:rPr>
              <w:t>Nº</w:t>
            </w:r>
            <w:proofErr w:type="spellEnd"/>
            <w:r w:rsidRPr="6F1EBC17">
              <w:rPr>
                <w:rFonts w:ascii="Cambria" w:hAnsi="Cambria"/>
                <w:b/>
                <w:bCs/>
                <w:sz w:val="20"/>
                <w:szCs w:val="20"/>
                <w:lang w:val="es-ES"/>
              </w:rPr>
              <w:t xml:space="preserve">: </w:t>
            </w:r>
            <w:hyperlink r:id="rId8">
              <w:r w:rsidRPr="6F1EBC17">
                <w:rPr>
                  <w:rStyle w:val="Hyperlink"/>
                  <w:rFonts w:ascii="Cambria" w:hAnsi="Cambria"/>
                  <w:sz w:val="20"/>
                  <w:szCs w:val="20"/>
                  <w:lang w:val="es-ES"/>
                </w:rPr>
                <w:t>28/09</w:t>
              </w:r>
            </w:hyperlink>
            <w:r w:rsidRPr="6F1EBC17">
              <w:rPr>
                <w:rFonts w:ascii="Cambria" w:hAnsi="Cambria"/>
                <w:sz w:val="20"/>
                <w:szCs w:val="20"/>
                <w:lang w:val="es-ES"/>
              </w:rPr>
              <w:t>, publicado el 20 de marzo de 2009</w:t>
            </w:r>
          </w:p>
          <w:p w14:paraId="41646298" w14:textId="77777777" w:rsidR="00303C41" w:rsidRPr="001E246B" w:rsidRDefault="00303C41" w:rsidP="00B61D5E">
            <w:pPr>
              <w:jc w:val="both"/>
              <w:rPr>
                <w:rFonts w:ascii="Cambria" w:hAnsi="Cambria"/>
                <w:sz w:val="20"/>
                <w:szCs w:val="20"/>
                <w:lang w:val="es-ES"/>
              </w:rPr>
            </w:pPr>
            <w:r w:rsidRPr="6F1EBC17">
              <w:rPr>
                <w:rFonts w:ascii="Cambria" w:hAnsi="Cambria"/>
                <w:b/>
                <w:bCs/>
                <w:sz w:val="20"/>
                <w:szCs w:val="20"/>
                <w:lang w:val="es-ES"/>
              </w:rPr>
              <w:t xml:space="preserve">Informe de Admisibilidad </w:t>
            </w:r>
            <w:proofErr w:type="spellStart"/>
            <w:r w:rsidRPr="6F1EBC17">
              <w:rPr>
                <w:rFonts w:ascii="Cambria" w:hAnsi="Cambria"/>
                <w:b/>
                <w:bCs/>
                <w:sz w:val="20"/>
                <w:szCs w:val="20"/>
                <w:lang w:val="es-ES"/>
              </w:rPr>
              <w:t>Nº</w:t>
            </w:r>
            <w:proofErr w:type="spellEnd"/>
            <w:r w:rsidRPr="6F1EBC17">
              <w:rPr>
                <w:rFonts w:ascii="Cambria" w:hAnsi="Cambria"/>
                <w:b/>
                <w:bCs/>
                <w:sz w:val="20"/>
                <w:szCs w:val="20"/>
                <w:lang w:val="es-ES"/>
              </w:rPr>
              <w:t xml:space="preserve">: </w:t>
            </w:r>
            <w:hyperlink r:id="rId9">
              <w:r w:rsidRPr="6F1EBC17">
                <w:rPr>
                  <w:rStyle w:val="Hyperlink"/>
                  <w:rFonts w:ascii="Cambria" w:hAnsi="Cambria"/>
                  <w:sz w:val="20"/>
                  <w:szCs w:val="20"/>
                  <w:lang w:val="es-ES"/>
                </w:rPr>
                <w:t>21/05</w:t>
              </w:r>
            </w:hyperlink>
            <w:r w:rsidRPr="6F1EBC17">
              <w:rPr>
                <w:rFonts w:ascii="Cambria" w:hAnsi="Cambria"/>
                <w:sz w:val="20"/>
                <w:szCs w:val="20"/>
                <w:lang w:val="es-ES"/>
              </w:rPr>
              <w:t>, publicado el 25 de febrero de 2005</w:t>
            </w:r>
          </w:p>
          <w:p w14:paraId="43274B05" w14:textId="77777777" w:rsidR="00303C41" w:rsidRPr="001E246B" w:rsidRDefault="00303C41" w:rsidP="6F1EBC17">
            <w:pPr>
              <w:spacing w:after="120"/>
              <w:jc w:val="both"/>
              <w:rPr>
                <w:rFonts w:ascii="Cambria" w:hAnsi="Cambria"/>
                <w:b/>
                <w:bCs/>
                <w:sz w:val="20"/>
                <w:szCs w:val="20"/>
                <w:lang w:val="es-ES"/>
              </w:rPr>
            </w:pPr>
            <w:r w:rsidRPr="6F1EBC17">
              <w:rPr>
                <w:rFonts w:ascii="Cambria" w:hAnsi="Cambria"/>
                <w:b/>
                <w:bCs/>
                <w:sz w:val="20"/>
                <w:szCs w:val="20"/>
                <w:lang w:val="es-ES"/>
              </w:rPr>
              <w:t xml:space="preserve">Temas: </w:t>
            </w:r>
            <w:r w:rsidRPr="6F1EBC17">
              <w:rPr>
                <w:rFonts w:ascii="Cambria" w:hAnsi="Cambria"/>
                <w:sz w:val="20"/>
                <w:szCs w:val="20"/>
                <w:lang w:val="es-ES"/>
              </w:rPr>
              <w:t>Deber de Adoptar Medidas y Disposiciones de Derecho Interno</w:t>
            </w:r>
            <w:r w:rsidRPr="6F1EBC17">
              <w:rPr>
                <w:rFonts w:ascii="Cambria" w:hAnsi="Cambria"/>
                <w:b/>
                <w:bCs/>
                <w:sz w:val="20"/>
                <w:szCs w:val="20"/>
                <w:lang w:val="es-ES"/>
              </w:rPr>
              <w:t xml:space="preserve"> / </w:t>
            </w:r>
            <w:r w:rsidRPr="6F1EBC17">
              <w:rPr>
                <w:rFonts w:ascii="Cambria" w:hAnsi="Cambria"/>
                <w:sz w:val="20"/>
                <w:szCs w:val="20"/>
                <w:lang w:val="es-ES"/>
              </w:rPr>
              <w:t xml:space="preserve">Garantías Judiciales / Protección Judicial / Derecho a la Integridad Personal / Derecho a la Libertad Personal / Condiciones de Detención / Tortura y otros Tratos Crueles, Inhumanos y/o Degradantes. </w:t>
            </w:r>
          </w:p>
          <w:p w14:paraId="5575C493" w14:textId="77777777" w:rsidR="00303C41" w:rsidRPr="001E246B" w:rsidRDefault="00303C41" w:rsidP="00B61D5E">
            <w:pPr>
              <w:spacing w:after="120"/>
              <w:jc w:val="both"/>
              <w:rPr>
                <w:rFonts w:ascii="Cambria" w:eastAsia="Times New Roman" w:hAnsi="Cambria"/>
                <w:sz w:val="20"/>
                <w:szCs w:val="20"/>
                <w:lang w:val="es-ES"/>
              </w:rPr>
            </w:pPr>
            <w:r w:rsidRPr="6F1EBC17">
              <w:rPr>
                <w:rFonts w:ascii="Cambria" w:hAnsi="Cambria"/>
                <w:b/>
                <w:bCs/>
                <w:sz w:val="20"/>
                <w:szCs w:val="20"/>
                <w:lang w:val="es-ES"/>
              </w:rPr>
              <w:t xml:space="preserve">Hechos: </w:t>
            </w:r>
            <w:r w:rsidRPr="6F1EBC17">
              <w:rPr>
                <w:rFonts w:ascii="Cambria" w:hAnsi="Cambria"/>
                <w:sz w:val="20"/>
                <w:szCs w:val="20"/>
                <w:lang w:val="es-ES"/>
              </w:rPr>
              <w:t xml:space="preserve">Este caso se refiere a las condiciones de privación de la libertad del señor Dexter </w:t>
            </w:r>
            <w:proofErr w:type="spellStart"/>
            <w:r w:rsidRPr="6F1EBC17">
              <w:rPr>
                <w:rFonts w:ascii="Cambria" w:hAnsi="Cambria"/>
                <w:sz w:val="20"/>
                <w:szCs w:val="20"/>
                <w:lang w:val="es-ES"/>
              </w:rPr>
              <w:t>Lendore</w:t>
            </w:r>
            <w:proofErr w:type="spellEnd"/>
            <w:r w:rsidRPr="6F1EBC17">
              <w:rPr>
                <w:rFonts w:ascii="Cambria" w:hAnsi="Cambria"/>
                <w:sz w:val="20"/>
                <w:szCs w:val="20"/>
                <w:lang w:val="es-ES"/>
              </w:rPr>
              <w:t>, quien fue detenido en el corredor de la muerte de la prisión estatal en Puerto España, Trinidad y Tobago, y cuya sentencia fue posteriormente conmutada a 75 años de prisión con trabajos forzados.</w:t>
            </w:r>
          </w:p>
          <w:p w14:paraId="2203195D" w14:textId="77777777" w:rsidR="00303C41" w:rsidRPr="001E246B" w:rsidRDefault="00303C41" w:rsidP="00B61D5E">
            <w:pPr>
              <w:pStyle w:val="Default"/>
              <w:jc w:val="both"/>
              <w:rPr>
                <w:color w:val="auto"/>
                <w:lang w:val="es-ES"/>
              </w:rPr>
            </w:pPr>
            <w:r w:rsidRPr="6F1EBC17">
              <w:rPr>
                <w:b/>
                <w:bCs/>
                <w:color w:val="auto"/>
                <w:sz w:val="20"/>
                <w:szCs w:val="20"/>
                <w:lang w:val="es-ES"/>
              </w:rPr>
              <w:t xml:space="preserve">Derechos violados: </w:t>
            </w:r>
            <w:r w:rsidRPr="6F1EBC17">
              <w:rPr>
                <w:color w:val="auto"/>
                <w:sz w:val="20"/>
                <w:szCs w:val="20"/>
                <w:lang w:val="es-ES"/>
              </w:rPr>
              <w:t xml:space="preserve">La Comisión Interamericana concluyó que Trinidad y Tobago es responsable de la violación de los derechos del señor </w:t>
            </w:r>
            <w:proofErr w:type="spellStart"/>
            <w:r w:rsidRPr="6F1EBC17">
              <w:rPr>
                <w:color w:val="auto"/>
                <w:sz w:val="20"/>
                <w:szCs w:val="20"/>
                <w:lang w:val="es-ES"/>
              </w:rPr>
              <w:t>Lendore</w:t>
            </w:r>
            <w:proofErr w:type="spellEnd"/>
            <w:r w:rsidRPr="6F1EBC17">
              <w:rPr>
                <w:color w:val="auto"/>
                <w:sz w:val="20"/>
                <w:szCs w:val="20"/>
                <w:lang w:val="es-ES"/>
              </w:rPr>
              <w:t xml:space="preserve">, protegidos por los artículos 8(1) y 8(2) de la Convención Americana, en conjunción con la violación del artículo 1(1) del mismo instrumento internacional, debido a que no se le proveyó de asistencia legal competente y efectiva durante un procedimiento criminal; y que el Estado es asimismo responsable por la violación de los derechos del señor </w:t>
            </w:r>
            <w:proofErr w:type="spellStart"/>
            <w:r w:rsidRPr="6F1EBC17">
              <w:rPr>
                <w:color w:val="auto"/>
                <w:sz w:val="20"/>
                <w:szCs w:val="20"/>
                <w:lang w:val="es-ES"/>
              </w:rPr>
              <w:t>Lendore</w:t>
            </w:r>
            <w:proofErr w:type="spellEnd"/>
            <w:r w:rsidRPr="6F1EBC17">
              <w:rPr>
                <w:color w:val="auto"/>
                <w:sz w:val="20"/>
                <w:szCs w:val="20"/>
                <w:lang w:val="es-ES"/>
              </w:rPr>
              <w:t xml:space="preserve"> protegidos por los artículos 25 y 8 de la Convención Americana, en conjunción con la violación del artículo 1(1) de la Convención Americana, así como también la violación de los artículos XVIII y XXVI de la Declaración Americana, por no otorgar al Señor acceso efectivo a una Moción Constitucional para la protección de sus derechos fundamentales.</w:t>
            </w:r>
          </w:p>
        </w:tc>
      </w:tr>
    </w:tbl>
    <w:p w14:paraId="1151C08B" w14:textId="77777777" w:rsidR="00303C41" w:rsidRPr="001E246B" w:rsidRDefault="00303C41" w:rsidP="00303C41">
      <w:pPr>
        <w:ind w:left="180"/>
        <w:jc w:val="both"/>
        <w:rPr>
          <w:rFonts w:ascii="Cambria" w:hAnsi="Cambria"/>
          <w:sz w:val="20"/>
          <w:szCs w:val="20"/>
          <w:lang w:val="es-ES"/>
        </w:rPr>
      </w:pPr>
    </w:p>
    <w:p w14:paraId="085450F8" w14:textId="77777777" w:rsidR="00303C41" w:rsidRPr="001E246B" w:rsidRDefault="00303C41" w:rsidP="6F1EBC17">
      <w:pPr>
        <w:numPr>
          <w:ilvl w:val="0"/>
          <w:numId w:val="30"/>
        </w:numPr>
        <w:ind w:left="1440"/>
        <w:jc w:val="both"/>
        <w:rPr>
          <w:rFonts w:ascii="Cambria" w:hAnsi="Cambria" w:cs="Calibri Light"/>
          <w:b/>
          <w:bCs/>
          <w:sz w:val="20"/>
          <w:szCs w:val="20"/>
          <w:lang w:val="es-ES"/>
        </w:rPr>
      </w:pPr>
      <w:r w:rsidRPr="6F1EBC17">
        <w:rPr>
          <w:rFonts w:ascii="Cambria" w:hAnsi="Cambria" w:cs="Calibri Light"/>
          <w:b/>
          <w:bCs/>
          <w:sz w:val="20"/>
          <w:szCs w:val="20"/>
          <w:lang w:val="es-ES"/>
        </w:rPr>
        <w:t>Recomendaciones</w:t>
      </w:r>
    </w:p>
    <w:p w14:paraId="25B2DD9D" w14:textId="77777777" w:rsidR="00303C41" w:rsidRPr="001E246B" w:rsidRDefault="00303C41" w:rsidP="00303C41">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gridCol w:w="2483"/>
      </w:tblGrid>
      <w:tr w:rsidR="00303C41" w:rsidRPr="00850444" w14:paraId="451D3443" w14:textId="77777777" w:rsidTr="6F1EBC17">
        <w:tc>
          <w:tcPr>
            <w:tcW w:w="7020" w:type="dxa"/>
            <w:tcBorders>
              <w:top w:val="single" w:sz="4" w:space="0" w:color="auto"/>
              <w:left w:val="single" w:sz="4" w:space="0" w:color="auto"/>
              <w:bottom w:val="single" w:sz="4" w:space="0" w:color="auto"/>
              <w:right w:val="single" w:sz="4" w:space="0" w:color="auto"/>
            </w:tcBorders>
            <w:hideMark/>
          </w:tcPr>
          <w:p w14:paraId="59EC8742" w14:textId="77777777" w:rsidR="00303C41" w:rsidRPr="001E246B" w:rsidRDefault="00303C41" w:rsidP="6F1EBC17">
            <w:pPr>
              <w:spacing w:before="120"/>
              <w:jc w:val="center"/>
              <w:rPr>
                <w:rFonts w:ascii="Cambria" w:hAnsi="Cambria" w:cs="Calibri Light"/>
                <w:b/>
                <w:bCs/>
                <w:sz w:val="18"/>
                <w:szCs w:val="18"/>
                <w:lang w:val="es-ES"/>
              </w:rPr>
            </w:pPr>
            <w:r w:rsidRPr="6F1EBC17">
              <w:rPr>
                <w:rFonts w:ascii="Cambria" w:hAnsi="Cambria" w:cs="Calibri Light"/>
                <w:b/>
                <w:bCs/>
                <w:sz w:val="18"/>
                <w:szCs w:val="18"/>
                <w:lang w:val="es-ES"/>
              </w:rPr>
              <w:t>Recomendaciones</w:t>
            </w:r>
          </w:p>
        </w:tc>
        <w:tc>
          <w:tcPr>
            <w:tcW w:w="2520" w:type="dxa"/>
            <w:tcBorders>
              <w:top w:val="single" w:sz="4" w:space="0" w:color="auto"/>
              <w:left w:val="single" w:sz="4" w:space="0" w:color="auto"/>
              <w:bottom w:val="single" w:sz="4" w:space="0" w:color="auto"/>
              <w:right w:val="single" w:sz="4" w:space="0" w:color="auto"/>
            </w:tcBorders>
            <w:hideMark/>
          </w:tcPr>
          <w:p w14:paraId="620DC3CB" w14:textId="0EFE571B" w:rsidR="00303C41" w:rsidRPr="001E246B" w:rsidRDefault="00303C41" w:rsidP="6F1EBC17">
            <w:pPr>
              <w:jc w:val="center"/>
              <w:rPr>
                <w:rFonts w:ascii="Cambria" w:hAnsi="Cambria" w:cs="Calibri Light"/>
                <w:b/>
                <w:bCs/>
                <w:color w:val="000000"/>
                <w:sz w:val="18"/>
                <w:szCs w:val="18"/>
                <w:lang w:val="es-ES"/>
              </w:rPr>
            </w:pPr>
            <w:r w:rsidRPr="6F1EBC17">
              <w:rPr>
                <w:rFonts w:ascii="Cambria" w:hAnsi="Cambria" w:cs="Calibri Light"/>
                <w:b/>
                <w:bCs/>
                <w:color w:val="000000" w:themeColor="text1"/>
                <w:sz w:val="18"/>
                <w:szCs w:val="18"/>
                <w:lang w:val="es-ES"/>
              </w:rPr>
              <w:t xml:space="preserve">Estado de cumplimiento en el </w:t>
            </w:r>
            <w:r w:rsidR="00164925" w:rsidRPr="6F1EBC17">
              <w:rPr>
                <w:rFonts w:ascii="Cambria" w:hAnsi="Cambria" w:cs="Calibri Light"/>
                <w:b/>
                <w:bCs/>
                <w:color w:val="000000" w:themeColor="text1"/>
                <w:sz w:val="18"/>
                <w:szCs w:val="18"/>
                <w:lang w:val="es-ES"/>
              </w:rPr>
              <w:t>2021</w:t>
            </w:r>
          </w:p>
        </w:tc>
      </w:tr>
      <w:tr w:rsidR="00303C41" w:rsidRPr="001E246B" w14:paraId="17E8FA9B" w14:textId="77777777" w:rsidTr="6F1EBC17">
        <w:tc>
          <w:tcPr>
            <w:tcW w:w="7020" w:type="dxa"/>
            <w:tcBorders>
              <w:top w:val="single" w:sz="4" w:space="0" w:color="auto"/>
              <w:left w:val="single" w:sz="4" w:space="0" w:color="auto"/>
              <w:bottom w:val="single" w:sz="4" w:space="0" w:color="auto"/>
              <w:right w:val="single" w:sz="4" w:space="0" w:color="auto"/>
            </w:tcBorders>
            <w:hideMark/>
          </w:tcPr>
          <w:p w14:paraId="0C6ACF4D" w14:textId="77777777" w:rsidR="00303C41" w:rsidRPr="001E246B" w:rsidRDefault="00303C41" w:rsidP="00B61D5E">
            <w:pPr>
              <w:jc w:val="both"/>
              <w:rPr>
                <w:rFonts w:ascii="Cambria" w:hAnsi="Cambria" w:cs="Calibri Light"/>
                <w:sz w:val="18"/>
                <w:szCs w:val="18"/>
                <w:lang w:val="es-ES"/>
              </w:rPr>
            </w:pPr>
            <w:r w:rsidRPr="6F1EBC17">
              <w:rPr>
                <w:rFonts w:ascii="Cambria" w:hAnsi="Cambria"/>
                <w:sz w:val="18"/>
                <w:szCs w:val="18"/>
                <w:lang w:val="es-ES"/>
              </w:rPr>
              <w:t xml:space="preserve">1. Conceder al señor </w:t>
            </w:r>
            <w:proofErr w:type="spellStart"/>
            <w:r w:rsidRPr="6F1EBC17">
              <w:rPr>
                <w:rFonts w:ascii="Cambria" w:hAnsi="Cambria"/>
                <w:sz w:val="18"/>
                <w:szCs w:val="18"/>
                <w:lang w:val="es-ES"/>
              </w:rPr>
              <w:t>Lendore</w:t>
            </w:r>
            <w:proofErr w:type="spellEnd"/>
            <w:r w:rsidRPr="6F1EBC17">
              <w:rPr>
                <w:rFonts w:ascii="Cambria" w:hAnsi="Cambria"/>
                <w:sz w:val="18"/>
                <w:szCs w:val="18"/>
                <w:lang w:val="es-ES"/>
              </w:rPr>
              <w:t xml:space="preserve"> un recurso efectivo, que incluya un nuevo juicio conforme a los mecanismos de protección del debido proceso preceptuados por el artículo 8 de la Convención Americana, o bien, si no es posible llevar a cabo un nuevo juicio en cumplimiento de esos mecanismos de protección, la liberación y el pago de una indemnización al señor </w:t>
            </w:r>
            <w:proofErr w:type="spellStart"/>
            <w:r w:rsidRPr="6F1EBC17">
              <w:rPr>
                <w:rFonts w:ascii="Cambria" w:hAnsi="Cambria"/>
                <w:sz w:val="18"/>
                <w:szCs w:val="18"/>
                <w:lang w:val="es-ES"/>
              </w:rPr>
              <w:t>Lendore</w:t>
            </w:r>
            <w:proofErr w:type="spellEnd"/>
            <w:r w:rsidRPr="6F1EBC17">
              <w:rPr>
                <w:rFonts w:ascii="Cambria" w:hAnsi="Cambria"/>
                <w:sz w:val="18"/>
                <w:szCs w:val="18"/>
                <w:lang w:val="es-ES"/>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89F7218" w14:textId="77777777" w:rsidR="00303C41" w:rsidRPr="001E246B" w:rsidRDefault="00303C41" w:rsidP="6F1EBC17">
            <w:pPr>
              <w:jc w:val="center"/>
              <w:rPr>
                <w:rFonts w:ascii="Cambria" w:hAnsi="Cambria" w:cs="Calibri Light"/>
                <w:b/>
                <w:bCs/>
                <w:color w:val="000000"/>
                <w:sz w:val="18"/>
                <w:szCs w:val="18"/>
                <w:lang w:val="es-ES"/>
              </w:rPr>
            </w:pPr>
            <w:r w:rsidRPr="6F1EBC17">
              <w:rPr>
                <w:rFonts w:ascii="Cambria" w:hAnsi="Cambria"/>
                <w:color w:val="000000" w:themeColor="text1"/>
                <w:sz w:val="18"/>
                <w:szCs w:val="18"/>
                <w:lang w:val="es-ES"/>
              </w:rPr>
              <w:t>Pendiente de cumplimiento</w:t>
            </w:r>
          </w:p>
        </w:tc>
      </w:tr>
      <w:tr w:rsidR="00303C41" w:rsidRPr="001E246B" w14:paraId="626FE3B3" w14:textId="77777777" w:rsidTr="6F1EBC17">
        <w:tc>
          <w:tcPr>
            <w:tcW w:w="7020" w:type="dxa"/>
            <w:tcBorders>
              <w:top w:val="single" w:sz="4" w:space="0" w:color="auto"/>
              <w:left w:val="single" w:sz="4" w:space="0" w:color="auto"/>
              <w:bottom w:val="single" w:sz="4" w:space="0" w:color="auto"/>
              <w:right w:val="single" w:sz="4" w:space="0" w:color="auto"/>
            </w:tcBorders>
          </w:tcPr>
          <w:p w14:paraId="5FE2D7C2" w14:textId="77777777" w:rsidR="00303C41" w:rsidRPr="001E246B" w:rsidRDefault="00303C41" w:rsidP="00B61D5E">
            <w:pPr>
              <w:ind w:right="-14"/>
              <w:jc w:val="both"/>
              <w:rPr>
                <w:rFonts w:ascii="Cambria" w:hAnsi="Cambria"/>
                <w:sz w:val="18"/>
                <w:szCs w:val="18"/>
                <w:lang w:val="es-ES"/>
              </w:rPr>
            </w:pPr>
            <w:r w:rsidRPr="6F1EBC17">
              <w:rPr>
                <w:rFonts w:ascii="Cambria" w:hAnsi="Cambria"/>
                <w:sz w:val="18"/>
                <w:szCs w:val="18"/>
                <w:lang w:val="es-ES"/>
              </w:rPr>
              <w:t xml:space="preserve">2. Adoptar las medidas legislativas o de otro género que sean necesarias para garantizar al señor </w:t>
            </w:r>
            <w:proofErr w:type="spellStart"/>
            <w:r w:rsidRPr="6F1EBC17">
              <w:rPr>
                <w:rFonts w:ascii="Cambria" w:hAnsi="Cambria"/>
                <w:sz w:val="18"/>
                <w:szCs w:val="18"/>
                <w:lang w:val="es-ES"/>
              </w:rPr>
              <w:t>Lendore</w:t>
            </w:r>
            <w:proofErr w:type="spellEnd"/>
            <w:r w:rsidRPr="6F1EBC17">
              <w:rPr>
                <w:rFonts w:ascii="Cambria" w:hAnsi="Cambria"/>
                <w:sz w:val="18"/>
                <w:szCs w:val="18"/>
                <w:lang w:val="es-ES"/>
              </w:rPr>
              <w:t xml:space="preserve"> condiciones de detención congruentes con las normas internacionales de tratamiento humano previstas por el artículo 5 de la Convención Americana, los artículos XXV y XXVI de la Declaración Americana y otros instrumentos pertinentes, incluido el traslado del señor </w:t>
            </w:r>
            <w:proofErr w:type="spellStart"/>
            <w:r w:rsidRPr="6F1EBC17">
              <w:rPr>
                <w:rFonts w:ascii="Cambria" w:hAnsi="Cambria"/>
                <w:sz w:val="18"/>
                <w:szCs w:val="18"/>
                <w:lang w:val="es-ES"/>
              </w:rPr>
              <w:t>Lendore</w:t>
            </w:r>
            <w:proofErr w:type="spellEnd"/>
            <w:r w:rsidRPr="6F1EBC17">
              <w:rPr>
                <w:rFonts w:ascii="Cambria" w:hAnsi="Cambria"/>
                <w:sz w:val="18"/>
                <w:szCs w:val="18"/>
                <w:lang w:val="es-ES"/>
              </w:rPr>
              <w:t xml:space="preserve"> del pabellón de la muerte.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C7C2A4F" w14:textId="77777777" w:rsidR="00303C41" w:rsidRPr="001E246B" w:rsidRDefault="00303C41" w:rsidP="6F1EBC17">
            <w:pPr>
              <w:jc w:val="center"/>
              <w:rPr>
                <w:rFonts w:ascii="Cambria" w:hAnsi="Cambria" w:cs="Calibri Light"/>
                <w:b/>
                <w:bCs/>
                <w:sz w:val="18"/>
                <w:szCs w:val="18"/>
                <w:lang w:val="es-ES"/>
              </w:rPr>
            </w:pPr>
            <w:r w:rsidRPr="6F1EBC17">
              <w:rPr>
                <w:rFonts w:ascii="Cambria" w:hAnsi="Cambria"/>
                <w:sz w:val="18"/>
                <w:szCs w:val="18"/>
                <w:lang w:val="es-ES"/>
              </w:rPr>
              <w:t>Pendiente de cumplimiento</w:t>
            </w:r>
          </w:p>
        </w:tc>
      </w:tr>
      <w:tr w:rsidR="00303C41" w:rsidRPr="001E246B" w14:paraId="0A90C03A" w14:textId="77777777" w:rsidTr="6F1EBC17">
        <w:tc>
          <w:tcPr>
            <w:tcW w:w="7020" w:type="dxa"/>
            <w:tcBorders>
              <w:top w:val="single" w:sz="4" w:space="0" w:color="auto"/>
              <w:left w:val="single" w:sz="4" w:space="0" w:color="auto"/>
              <w:bottom w:val="single" w:sz="4" w:space="0" w:color="auto"/>
              <w:right w:val="single" w:sz="4" w:space="0" w:color="auto"/>
            </w:tcBorders>
          </w:tcPr>
          <w:p w14:paraId="797F4368" w14:textId="77777777" w:rsidR="00303C41" w:rsidRPr="001E246B" w:rsidRDefault="00303C41" w:rsidP="00B61D5E">
            <w:pPr>
              <w:jc w:val="both"/>
              <w:rPr>
                <w:rFonts w:ascii="Cambria" w:hAnsi="Cambria"/>
                <w:sz w:val="18"/>
                <w:szCs w:val="18"/>
                <w:lang w:val="es-ES"/>
              </w:rPr>
            </w:pPr>
            <w:r w:rsidRPr="6F1EBC17">
              <w:rPr>
                <w:rFonts w:ascii="Cambria" w:hAnsi="Cambria"/>
                <w:sz w:val="18"/>
                <w:szCs w:val="18"/>
                <w:lang w:val="es-ES"/>
              </w:rPr>
              <w:t>3. Adoptar las medidas legislativas o de otro género que sean necesarias para garantizar la observancia efectiva, en Trinidad y Tobago, del derecho a la protección judicial previsto por los artículos XVIII y XXVI de la Declaración Americana, en relación con la posibilidad de promover Mociones Constitucionales.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249F6E0" w14:textId="77777777" w:rsidR="00303C41" w:rsidRPr="001E246B" w:rsidRDefault="00303C41" w:rsidP="6F1EBC17">
            <w:pPr>
              <w:jc w:val="center"/>
              <w:rPr>
                <w:rFonts w:ascii="Cambria" w:hAnsi="Cambria" w:cs="Calibri Light"/>
                <w:b/>
                <w:bCs/>
                <w:sz w:val="18"/>
                <w:szCs w:val="18"/>
                <w:lang w:val="es-ES"/>
              </w:rPr>
            </w:pPr>
            <w:r w:rsidRPr="6F1EBC17">
              <w:rPr>
                <w:rFonts w:ascii="Cambria" w:hAnsi="Cambria"/>
                <w:sz w:val="18"/>
                <w:szCs w:val="18"/>
                <w:lang w:val="es-ES"/>
              </w:rPr>
              <w:t>Pendiente de cumplimiento</w:t>
            </w:r>
          </w:p>
        </w:tc>
      </w:tr>
    </w:tbl>
    <w:p w14:paraId="6E2B242B" w14:textId="77777777" w:rsidR="00303C41" w:rsidRPr="001E246B" w:rsidRDefault="00303C41" w:rsidP="00303C41">
      <w:pPr>
        <w:jc w:val="both"/>
        <w:rPr>
          <w:rFonts w:ascii="Cambria" w:hAnsi="Cambria" w:cs="Calibri Light"/>
          <w:sz w:val="20"/>
          <w:szCs w:val="20"/>
          <w:lang w:val="es-ES"/>
        </w:rPr>
      </w:pPr>
    </w:p>
    <w:p w14:paraId="272C66CD" w14:textId="77777777" w:rsidR="00850444" w:rsidRDefault="00850444">
      <w:pPr>
        <w:rPr>
          <w:rFonts w:ascii="Cambria" w:hAnsi="Cambria"/>
          <w:b/>
          <w:bCs/>
          <w:sz w:val="20"/>
          <w:szCs w:val="20"/>
          <w:lang w:val="es-ES"/>
        </w:rPr>
      </w:pPr>
      <w:r>
        <w:rPr>
          <w:rFonts w:ascii="Cambria" w:hAnsi="Cambria"/>
          <w:b/>
          <w:bCs/>
          <w:sz w:val="20"/>
          <w:szCs w:val="20"/>
          <w:lang w:val="es-ES"/>
        </w:rPr>
        <w:br w:type="page"/>
      </w:r>
    </w:p>
    <w:p w14:paraId="3EC1C1C6" w14:textId="6963727F" w:rsidR="00164925" w:rsidRPr="00164925" w:rsidRDefault="00303C41" w:rsidP="6F1EBC17">
      <w:pPr>
        <w:pStyle w:val="ListParagraph"/>
        <w:numPr>
          <w:ilvl w:val="0"/>
          <w:numId w:val="30"/>
        </w:numPr>
        <w:ind w:left="1440"/>
        <w:jc w:val="both"/>
        <w:rPr>
          <w:rFonts w:ascii="Cambria" w:hAnsi="Cambria" w:cs="Calibri Light"/>
          <w:b/>
          <w:bCs/>
          <w:sz w:val="20"/>
          <w:szCs w:val="20"/>
          <w:lang w:val="es-ES"/>
        </w:rPr>
      </w:pPr>
      <w:r w:rsidRPr="6F1EBC17">
        <w:rPr>
          <w:rFonts w:ascii="Cambria" w:hAnsi="Cambria"/>
          <w:b/>
          <w:bCs/>
          <w:sz w:val="20"/>
          <w:szCs w:val="20"/>
          <w:lang w:val="es-ES"/>
        </w:rPr>
        <w:lastRenderedPageBreak/>
        <w:t xml:space="preserve">Actividad Procesal </w:t>
      </w:r>
    </w:p>
    <w:p w14:paraId="7CF52941" w14:textId="77777777" w:rsidR="00164925" w:rsidRPr="00164925" w:rsidRDefault="00164925" w:rsidP="6F1EBC17">
      <w:pPr>
        <w:pStyle w:val="ListParagraph"/>
        <w:ind w:left="1440"/>
        <w:jc w:val="both"/>
        <w:rPr>
          <w:rFonts w:ascii="Cambria" w:hAnsi="Cambria" w:cs="Calibri Light"/>
          <w:b/>
          <w:bCs/>
          <w:sz w:val="20"/>
          <w:szCs w:val="20"/>
          <w:lang w:val="es-ES"/>
        </w:rPr>
      </w:pPr>
    </w:p>
    <w:p w14:paraId="568A1438" w14:textId="19581A26" w:rsidR="00164925" w:rsidRPr="00164925" w:rsidRDefault="00164925" w:rsidP="6F1EBC17">
      <w:pPr>
        <w:pStyle w:val="ListParagraph"/>
        <w:numPr>
          <w:ilvl w:val="0"/>
          <w:numId w:val="31"/>
        </w:numPr>
        <w:ind w:left="0" w:firstLine="709"/>
        <w:jc w:val="both"/>
        <w:rPr>
          <w:rFonts w:ascii="Cambria" w:hAnsi="Cambria" w:cs="Calibri Light"/>
          <w:color w:val="000000" w:themeColor="text1"/>
          <w:sz w:val="20"/>
          <w:szCs w:val="20"/>
          <w:lang w:val="es-ES"/>
        </w:rPr>
      </w:pPr>
      <w:r w:rsidRPr="6F1EBC17">
        <w:rPr>
          <w:rFonts w:ascii="Cambria" w:hAnsi="Cambria" w:cs="Calibri Light"/>
          <w:sz w:val="20"/>
          <w:szCs w:val="20"/>
          <w:lang w:val="es-ES"/>
        </w:rPr>
        <w:t xml:space="preserve">En </w:t>
      </w:r>
      <w:r w:rsidRPr="6F1EBC17">
        <w:rPr>
          <w:rFonts w:ascii="Cambria" w:hAnsi="Cambria" w:cs="Calibri Light"/>
          <w:color w:val="000000" w:themeColor="text1"/>
          <w:sz w:val="20"/>
          <w:szCs w:val="20"/>
          <w:lang w:val="es-ES"/>
        </w:rPr>
        <w:t>2021</w:t>
      </w:r>
      <w:r w:rsidRPr="6F1EBC17">
        <w:rPr>
          <w:rFonts w:ascii="Cambria" w:hAnsi="Cambria" w:cs="Calibri Light"/>
          <w:sz w:val="20"/>
          <w:szCs w:val="20"/>
          <w:lang w:val="es-ES"/>
        </w:rPr>
        <w:t>, la CIDH solicitó a</w:t>
      </w:r>
      <w:r w:rsidR="4041670D" w:rsidRPr="6F1EBC17">
        <w:rPr>
          <w:rFonts w:ascii="Cambria" w:hAnsi="Cambria" w:cs="Calibri Light"/>
          <w:sz w:val="20"/>
          <w:szCs w:val="20"/>
          <w:lang w:val="es-ES"/>
        </w:rPr>
        <w:t xml:space="preserve"> ambas partes </w:t>
      </w:r>
      <w:r w:rsidRPr="6F1EBC17">
        <w:rPr>
          <w:rFonts w:ascii="Cambria" w:hAnsi="Cambria" w:cs="Calibri Light"/>
          <w:sz w:val="20"/>
          <w:szCs w:val="20"/>
          <w:lang w:val="es-ES"/>
        </w:rPr>
        <w:t xml:space="preserve">información actualizada sobre el cumplimiento de las recomendaciones el 17 de agosto. </w:t>
      </w:r>
      <w:r w:rsidRPr="6F1EBC17">
        <w:rPr>
          <w:rFonts w:ascii="Cambria" w:hAnsi="Cambria"/>
          <w:sz w:val="20"/>
          <w:szCs w:val="20"/>
          <w:lang w:val="es-ES"/>
        </w:rPr>
        <w:t>A la fecha de cierre de este informe, la Comisión no había recibido dicha información de</w:t>
      </w:r>
      <w:r w:rsidR="0E7F075F" w:rsidRPr="6F1EBC17">
        <w:rPr>
          <w:rFonts w:ascii="Cambria" w:hAnsi="Cambria"/>
          <w:sz w:val="20"/>
          <w:szCs w:val="20"/>
          <w:lang w:val="es-ES"/>
        </w:rPr>
        <w:t xml:space="preserve"> ninguna de las partes</w:t>
      </w:r>
      <w:r w:rsidRPr="6F1EBC17">
        <w:rPr>
          <w:rFonts w:ascii="Cambria" w:hAnsi="Cambria"/>
          <w:sz w:val="20"/>
          <w:szCs w:val="20"/>
          <w:lang w:val="es-ES"/>
        </w:rPr>
        <w:t>.</w:t>
      </w:r>
    </w:p>
    <w:p w14:paraId="27B07084" w14:textId="02317AC4" w:rsidR="00303C41" w:rsidRPr="00164925" w:rsidRDefault="00303C41" w:rsidP="6F1EBC17">
      <w:pPr>
        <w:pStyle w:val="ListParagraph"/>
        <w:rPr>
          <w:rFonts w:ascii="Cambria" w:hAnsi="Cambria" w:cs="Calibri Light"/>
          <w:sz w:val="20"/>
          <w:szCs w:val="20"/>
          <w:lang w:val="es-ES"/>
        </w:rPr>
      </w:pPr>
    </w:p>
    <w:p w14:paraId="36D9432F" w14:textId="77777777" w:rsidR="00303C41" w:rsidRPr="001E246B" w:rsidRDefault="00303C41" w:rsidP="6F1EBC17">
      <w:pPr>
        <w:pStyle w:val="ListParagraph"/>
        <w:numPr>
          <w:ilvl w:val="0"/>
          <w:numId w:val="30"/>
        </w:numPr>
        <w:ind w:left="1440"/>
        <w:jc w:val="both"/>
        <w:rPr>
          <w:rFonts w:ascii="Cambria" w:hAnsi="Cambria" w:cs="Calibri Light"/>
          <w:b/>
          <w:bCs/>
          <w:sz w:val="20"/>
          <w:szCs w:val="20"/>
          <w:lang w:val="es-ES"/>
        </w:rPr>
      </w:pPr>
      <w:r w:rsidRPr="6F1EBC17">
        <w:rPr>
          <w:rFonts w:ascii="Cambria" w:hAnsi="Cambria" w:cs="Calibri Light"/>
          <w:b/>
          <w:bCs/>
          <w:sz w:val="20"/>
          <w:szCs w:val="20"/>
          <w:lang w:val="es-ES"/>
        </w:rPr>
        <w:t xml:space="preserve">Análisis relativo a la información proporcionada </w:t>
      </w:r>
    </w:p>
    <w:p w14:paraId="47F323A3" w14:textId="77777777" w:rsidR="00303C41" w:rsidRPr="001E246B" w:rsidRDefault="00303C41" w:rsidP="00303C41">
      <w:pPr>
        <w:jc w:val="both"/>
        <w:rPr>
          <w:rFonts w:ascii="Cambria" w:hAnsi="Cambria" w:cs="Calibri Light"/>
          <w:sz w:val="20"/>
          <w:szCs w:val="20"/>
          <w:lang w:val="es-ES"/>
        </w:rPr>
      </w:pPr>
    </w:p>
    <w:p w14:paraId="28DFDB92" w14:textId="5C445CC0" w:rsidR="00164925" w:rsidRPr="00164925" w:rsidRDefault="00164925" w:rsidP="00164925">
      <w:pPr>
        <w:pStyle w:val="ListParagraph"/>
        <w:numPr>
          <w:ilvl w:val="0"/>
          <w:numId w:val="31"/>
        </w:numPr>
        <w:ind w:left="0" w:firstLine="709"/>
        <w:jc w:val="both"/>
        <w:rPr>
          <w:rFonts w:ascii="Cambria" w:hAnsi="Cambria" w:cs="Calibri Light"/>
          <w:color w:val="000000"/>
          <w:sz w:val="20"/>
          <w:szCs w:val="20"/>
          <w:lang w:val="es-ES"/>
        </w:rPr>
      </w:pPr>
      <w:r w:rsidRPr="6F1EBC17">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1B825507" w14:textId="77777777" w:rsidR="00303C41" w:rsidRPr="001E246B" w:rsidRDefault="00303C41" w:rsidP="00303C41">
      <w:pPr>
        <w:jc w:val="both"/>
        <w:rPr>
          <w:rFonts w:ascii="Cambria" w:hAnsi="Cambria" w:cs="Calibri Light"/>
          <w:sz w:val="20"/>
          <w:szCs w:val="20"/>
          <w:lang w:val="es-ES"/>
        </w:rPr>
      </w:pPr>
    </w:p>
    <w:p w14:paraId="7204B579" w14:textId="77777777" w:rsidR="00303C41" w:rsidRPr="001E246B" w:rsidRDefault="00303C41" w:rsidP="6F1EBC17">
      <w:pPr>
        <w:pStyle w:val="ListParagraph"/>
        <w:numPr>
          <w:ilvl w:val="0"/>
          <w:numId w:val="30"/>
        </w:numPr>
        <w:ind w:left="1440"/>
        <w:jc w:val="both"/>
        <w:rPr>
          <w:rFonts w:ascii="Cambria" w:hAnsi="Cambria" w:cs="Calibri Light"/>
          <w:b/>
          <w:bCs/>
          <w:sz w:val="20"/>
          <w:szCs w:val="20"/>
          <w:lang w:val="es-ES"/>
        </w:rPr>
      </w:pPr>
      <w:r w:rsidRPr="6F1EBC17">
        <w:rPr>
          <w:rFonts w:ascii="Cambria" w:hAnsi="Cambria" w:cs="Calibri Light"/>
          <w:b/>
          <w:bCs/>
          <w:sz w:val="20"/>
          <w:szCs w:val="20"/>
          <w:lang w:val="es-ES"/>
        </w:rPr>
        <w:t xml:space="preserve">Análisis del cumplimiento de las recomendaciones </w:t>
      </w:r>
    </w:p>
    <w:p w14:paraId="39B2CB2F" w14:textId="77777777" w:rsidR="00303C41" w:rsidRPr="001E246B" w:rsidRDefault="00303C41" w:rsidP="00303C41">
      <w:pPr>
        <w:jc w:val="both"/>
        <w:rPr>
          <w:rFonts w:ascii="Cambria" w:hAnsi="Cambria" w:cs="Calibri Light"/>
          <w:sz w:val="20"/>
          <w:szCs w:val="20"/>
          <w:lang w:val="es-ES"/>
        </w:rPr>
      </w:pPr>
    </w:p>
    <w:p w14:paraId="1B299707" w14:textId="77777777" w:rsidR="00303C41" w:rsidRPr="001E246B" w:rsidRDefault="00303C41" w:rsidP="6F1EBC17">
      <w:pPr>
        <w:pStyle w:val="ListParagraph"/>
        <w:numPr>
          <w:ilvl w:val="0"/>
          <w:numId w:val="31"/>
        </w:numPr>
        <w:shd w:val="clear" w:color="auto" w:fill="FFFFFF" w:themeFill="background1"/>
        <w:ind w:left="0" w:firstLine="709"/>
        <w:jc w:val="both"/>
        <w:rPr>
          <w:rFonts w:ascii="Cambria" w:hAnsi="Cambria" w:cs="Calibri Light"/>
          <w:sz w:val="20"/>
          <w:szCs w:val="20"/>
          <w:lang w:val="es-ES"/>
        </w:rPr>
      </w:pPr>
      <w:r w:rsidRPr="6F1EBC17">
        <w:rPr>
          <w:rFonts w:ascii="Cambria" w:hAnsi="Cambria" w:cs="Calibri Light"/>
          <w:b/>
          <w:bCs/>
          <w:sz w:val="20"/>
          <w:szCs w:val="20"/>
          <w:lang w:val="es-ES"/>
        </w:rPr>
        <w:t>En relación con la primera recomendación</w:t>
      </w:r>
      <w:r w:rsidRPr="6F1EBC17">
        <w:rPr>
          <w:rFonts w:ascii="Cambria" w:hAnsi="Cambria" w:cs="Calibri Light"/>
          <w:sz w:val="20"/>
          <w:szCs w:val="20"/>
          <w:lang w:val="es-ES"/>
        </w:rPr>
        <w:t xml:space="preserve">, durante el 2019 el Estado señaló que el señor </w:t>
      </w:r>
      <w:proofErr w:type="spellStart"/>
      <w:r w:rsidRPr="6F1EBC17">
        <w:rPr>
          <w:rFonts w:ascii="Cambria" w:hAnsi="Cambria" w:cs="Calibri Light"/>
          <w:sz w:val="20"/>
          <w:szCs w:val="20"/>
          <w:lang w:val="es-ES"/>
        </w:rPr>
        <w:t>Lendore</w:t>
      </w:r>
      <w:proofErr w:type="spellEnd"/>
      <w:r w:rsidRPr="6F1EBC17">
        <w:rPr>
          <w:rFonts w:ascii="Cambria" w:hAnsi="Cambria" w:cs="Calibri Light"/>
          <w:sz w:val="20"/>
          <w:szCs w:val="20"/>
          <w:lang w:val="es-ES"/>
        </w:rPr>
        <w:t xml:space="preserve"> no califica para el desarrollo de un nuevo proceso judicial en tanto que su solicitud ha sido rechazada en dos ocasiones por el Consejo Privado. Informó que en 1998 las autoridades conmutaron la pena de muerte impuesta en su contra por una sentencia de 75 años de prisión con trabajo forzoso. El Estado manifestó </w:t>
      </w:r>
      <w:proofErr w:type="gramStart"/>
      <w:r w:rsidRPr="6F1EBC17">
        <w:rPr>
          <w:rFonts w:ascii="Cambria" w:hAnsi="Cambria" w:cs="Calibri Light"/>
          <w:sz w:val="20"/>
          <w:szCs w:val="20"/>
          <w:lang w:val="es-ES"/>
        </w:rPr>
        <w:t>que</w:t>
      </w:r>
      <w:proofErr w:type="gramEnd"/>
      <w:r w:rsidRPr="6F1EBC17">
        <w:rPr>
          <w:rFonts w:ascii="Cambria" w:hAnsi="Cambria" w:cs="Calibri Light"/>
          <w:sz w:val="20"/>
          <w:szCs w:val="20"/>
          <w:lang w:val="es-ES"/>
        </w:rPr>
        <w:t xml:space="preserve"> en 2017, como parte de un grupo más amplio de personas en la misma situación, el señor </w:t>
      </w:r>
      <w:proofErr w:type="spellStart"/>
      <w:r w:rsidRPr="6F1EBC17">
        <w:rPr>
          <w:rFonts w:ascii="Cambria" w:hAnsi="Cambria" w:cs="Calibri Light"/>
          <w:sz w:val="20"/>
          <w:szCs w:val="20"/>
          <w:lang w:val="es-ES"/>
        </w:rPr>
        <w:t>Lendore</w:t>
      </w:r>
      <w:proofErr w:type="spellEnd"/>
      <w:r w:rsidRPr="6F1EBC17">
        <w:rPr>
          <w:rFonts w:ascii="Cambria" w:hAnsi="Cambria" w:cs="Calibri Light"/>
          <w:sz w:val="20"/>
          <w:szCs w:val="20"/>
          <w:lang w:val="es-ES"/>
        </w:rPr>
        <w:t xml:space="preserve"> impugnó la decisión que conmutó su pena de muerte bajo el argumento de que dicha determinación había sido adoptada sobre la base de un análisis colectivo y no individualizado de las personas sentenciadas. El Consejo Privado denegó dicha apelación y desestimó el argumento al considerar que la decisión de conmutación había tomado en consideración la situación particular de los procesados. Por último, el Estado señaló en su comunicación que dar cumplimiento a esta recomendación implicaría aceptar que la OEA, por conducto de la CIDH, es capaz de usurpar la jurisdicción que posee el Comité Judicial del Consejo Privado. El Estado manifestó que no es su intención colocar a la OEA en una posición que vulnere la aplicación soberana de su legislación interna y precisó que en tanto que Trinidad y Tobado denunció la Convención Americana sobre Derechos Humanos en 1999, las decisiones que emita la CIDH no le resultan vinculantes.      </w:t>
      </w:r>
    </w:p>
    <w:p w14:paraId="2593AFED" w14:textId="77777777" w:rsidR="00303C41" w:rsidRPr="001E246B" w:rsidRDefault="00303C41" w:rsidP="6F1EBC17">
      <w:pPr>
        <w:pStyle w:val="ListParagraph"/>
        <w:shd w:val="clear" w:color="auto" w:fill="FFFFFF" w:themeFill="background1"/>
        <w:ind w:left="709"/>
        <w:jc w:val="both"/>
        <w:rPr>
          <w:rFonts w:ascii="Cambria" w:hAnsi="Cambria" w:cs="Calibri Light"/>
          <w:color w:val="000000"/>
          <w:sz w:val="20"/>
          <w:szCs w:val="20"/>
          <w:lang w:val="es-ES"/>
        </w:rPr>
      </w:pPr>
    </w:p>
    <w:p w14:paraId="2DD0DC68" w14:textId="77777777" w:rsidR="00303C41" w:rsidRPr="001E246B" w:rsidRDefault="00303C41" w:rsidP="6F1EBC17">
      <w:pPr>
        <w:pStyle w:val="ListParagraph"/>
        <w:numPr>
          <w:ilvl w:val="0"/>
          <w:numId w:val="31"/>
        </w:numPr>
        <w:shd w:val="clear" w:color="auto" w:fill="FFFFFF" w:themeFill="background1"/>
        <w:ind w:left="0" w:firstLine="709"/>
        <w:jc w:val="both"/>
        <w:rPr>
          <w:rFonts w:ascii="Cambria" w:hAnsi="Cambria" w:cs="Calibri Light"/>
          <w:color w:val="000000"/>
          <w:sz w:val="20"/>
          <w:szCs w:val="20"/>
          <w:lang w:val="es-ES"/>
        </w:rPr>
      </w:pPr>
      <w:r w:rsidRPr="6F1EBC17">
        <w:rPr>
          <w:rFonts w:ascii="Cambria" w:hAnsi="Cambria" w:cs="Calibri Light"/>
          <w:color w:val="000000" w:themeColor="text1"/>
          <w:sz w:val="20"/>
          <w:szCs w:val="20"/>
          <w:lang w:val="es-ES"/>
        </w:rPr>
        <w:t>En 2020, el Estado reiteró la misma información proporcionada en 2019.</w:t>
      </w:r>
    </w:p>
    <w:p w14:paraId="40A45C4B" w14:textId="77777777" w:rsidR="00303C41" w:rsidRPr="001E246B" w:rsidRDefault="00303C41" w:rsidP="00303C41">
      <w:pPr>
        <w:pStyle w:val="ListParagraph"/>
        <w:rPr>
          <w:rFonts w:ascii="Cambria" w:hAnsi="Cambria" w:cs="Calibri Light"/>
          <w:sz w:val="20"/>
          <w:szCs w:val="20"/>
          <w:lang w:val="es-ES"/>
        </w:rPr>
      </w:pPr>
    </w:p>
    <w:p w14:paraId="7C759344" w14:textId="77777777" w:rsidR="00303C41" w:rsidRPr="001E246B" w:rsidRDefault="00303C41" w:rsidP="6F1EBC17">
      <w:pPr>
        <w:pStyle w:val="ListParagraph"/>
        <w:numPr>
          <w:ilvl w:val="0"/>
          <w:numId w:val="31"/>
        </w:numPr>
        <w:shd w:val="clear" w:color="auto" w:fill="FFFFFF" w:themeFill="background1"/>
        <w:ind w:left="0" w:firstLine="709"/>
        <w:jc w:val="both"/>
        <w:rPr>
          <w:rFonts w:ascii="Cambria" w:hAnsi="Cambria" w:cs="Calibri Light"/>
          <w:sz w:val="20"/>
          <w:szCs w:val="20"/>
          <w:lang w:val="es-ES"/>
        </w:rPr>
      </w:pPr>
      <w:r w:rsidRPr="001E246B">
        <w:rPr>
          <w:rFonts w:ascii="Cambria" w:hAnsi="Cambria" w:cs="Calibri Light"/>
          <w:sz w:val="20"/>
          <w:szCs w:val="20"/>
          <w:lang w:val="es-ES"/>
        </w:rPr>
        <w:t xml:space="preserve">En 2018, los peticionarios informaron que no han actuado por el señor Dexter </w:t>
      </w:r>
      <w:proofErr w:type="spellStart"/>
      <w:r w:rsidRPr="001E246B">
        <w:rPr>
          <w:rFonts w:ascii="Cambria" w:hAnsi="Cambria" w:cs="Calibri Light"/>
          <w:sz w:val="20"/>
          <w:szCs w:val="20"/>
          <w:lang w:val="es-ES"/>
        </w:rPr>
        <w:t>Lendore</w:t>
      </w:r>
      <w:proofErr w:type="spellEnd"/>
      <w:r w:rsidRPr="001E246B">
        <w:rPr>
          <w:rFonts w:ascii="Cambria" w:hAnsi="Cambria" w:cs="Calibri Light"/>
          <w:sz w:val="20"/>
          <w:szCs w:val="20"/>
          <w:lang w:val="es-ES"/>
        </w:rPr>
        <w:t xml:space="preserve"> por un periodo considerable de tiempo. Al mismo tiempo, los peticionarios presentaron una decisión del Comité Judicial del Consejo Privado, </w:t>
      </w:r>
      <w:proofErr w:type="spellStart"/>
      <w:r w:rsidRPr="001E246B">
        <w:rPr>
          <w:rFonts w:ascii="Cambria" w:hAnsi="Cambria" w:cs="Calibri Light"/>
          <w:sz w:val="20"/>
          <w:szCs w:val="20"/>
          <w:lang w:val="es-ES"/>
        </w:rPr>
        <w:t>Lendore</w:t>
      </w:r>
      <w:proofErr w:type="spellEnd"/>
      <w:r w:rsidRPr="001E246B">
        <w:rPr>
          <w:rFonts w:ascii="Cambria" w:hAnsi="Cambria" w:cs="Calibri Light"/>
          <w:sz w:val="20"/>
          <w:szCs w:val="20"/>
          <w:lang w:val="es-ES"/>
        </w:rPr>
        <w:t xml:space="preserve"> y otros c. el </w:t>
      </w:r>
      <w:proofErr w:type="gramStart"/>
      <w:r w:rsidRPr="001E246B">
        <w:rPr>
          <w:rFonts w:ascii="Cambria" w:hAnsi="Cambria" w:cs="Calibri Light"/>
          <w:sz w:val="20"/>
          <w:szCs w:val="20"/>
          <w:lang w:val="es-ES"/>
        </w:rPr>
        <w:t>Fiscal General</w:t>
      </w:r>
      <w:proofErr w:type="gramEnd"/>
      <w:r w:rsidRPr="001E246B">
        <w:rPr>
          <w:rFonts w:ascii="Cambria" w:hAnsi="Cambria" w:cs="Calibri Light"/>
          <w:sz w:val="20"/>
          <w:szCs w:val="20"/>
          <w:lang w:val="es-ES"/>
        </w:rPr>
        <w:t xml:space="preserve"> de Trinidad and Tobago (2017)</w:t>
      </w:r>
      <w:r w:rsidRPr="001E246B">
        <w:rPr>
          <w:rStyle w:val="FootnoteReference"/>
          <w:rFonts w:ascii="Cambria" w:hAnsi="Cambria" w:cs="Calibri Light"/>
          <w:sz w:val="20"/>
          <w:szCs w:val="20"/>
          <w:lang w:val="es-ES"/>
        </w:rPr>
        <w:footnoteReference w:id="1"/>
      </w:r>
      <w:r w:rsidRPr="001E246B">
        <w:rPr>
          <w:rFonts w:ascii="Cambria" w:hAnsi="Cambria" w:cs="Calibri Light"/>
          <w:sz w:val="20"/>
          <w:szCs w:val="20"/>
          <w:lang w:val="es-ES"/>
        </w:rPr>
        <w:t>,</w:t>
      </w:r>
      <w:r w:rsidRPr="6F1EBC17">
        <w:rPr>
          <w:rFonts w:ascii="Cambria" w:hAnsi="Cambria" w:cs="Calibri Light"/>
          <w:i/>
          <w:iCs/>
          <w:sz w:val="20"/>
          <w:szCs w:val="20"/>
          <w:lang w:val="es-ES"/>
        </w:rPr>
        <w:t xml:space="preserve"> </w:t>
      </w:r>
      <w:r w:rsidRPr="001E246B">
        <w:rPr>
          <w:rFonts w:ascii="Cambria" w:hAnsi="Cambria" w:cs="Calibri Light"/>
          <w:sz w:val="20"/>
          <w:szCs w:val="20"/>
          <w:lang w:val="es-ES"/>
        </w:rPr>
        <w:t xml:space="preserve">la cual concierne al señor Dexter </w:t>
      </w:r>
      <w:proofErr w:type="spellStart"/>
      <w:r w:rsidRPr="001E246B">
        <w:rPr>
          <w:rFonts w:ascii="Cambria" w:hAnsi="Cambria" w:cs="Calibri Light"/>
          <w:sz w:val="20"/>
          <w:szCs w:val="20"/>
          <w:lang w:val="es-ES"/>
        </w:rPr>
        <w:t>Lendore</w:t>
      </w:r>
      <w:proofErr w:type="spellEnd"/>
      <w:r w:rsidRPr="001E246B">
        <w:rPr>
          <w:rFonts w:ascii="Cambria" w:hAnsi="Cambria" w:cs="Calibri Light"/>
          <w:sz w:val="20"/>
          <w:szCs w:val="20"/>
          <w:lang w:val="es-ES"/>
        </w:rPr>
        <w:t xml:space="preserve">. En este caso, el señor Dexter </w:t>
      </w:r>
      <w:proofErr w:type="spellStart"/>
      <w:r w:rsidRPr="001E246B">
        <w:rPr>
          <w:rFonts w:ascii="Cambria" w:hAnsi="Cambria" w:cs="Calibri Light"/>
          <w:sz w:val="20"/>
          <w:szCs w:val="20"/>
          <w:lang w:val="es-ES"/>
        </w:rPr>
        <w:t>Lendore</w:t>
      </w:r>
      <w:proofErr w:type="spellEnd"/>
      <w:r w:rsidRPr="001E246B">
        <w:rPr>
          <w:rFonts w:ascii="Cambria" w:hAnsi="Cambria" w:cs="Calibri Light"/>
          <w:sz w:val="20"/>
          <w:szCs w:val="20"/>
          <w:lang w:val="es-ES"/>
        </w:rPr>
        <w:t>, junto con otros individuos, cuyas sentencias de pena de muerte habían sido conmutadas a prisión perpetua o a prisión por 75 años en Trinidad y Tobago, impugnaron la constitucionalidad de las sentencias sustitutorias argumentando que estas sentencias fueron impuestas sobre un amplio grupo de prisioneros sin haber considerado las circunstancias individuales de cada uno. Sin embargo, el Comité Judicial del Consejo Privado no concedió la impugnación rechazando el argumento de que cada prisionero tuviera derecho a que su sentencia sustituta se determinara de acuerdo con sus circunstancias individuales.</w:t>
      </w:r>
    </w:p>
    <w:p w14:paraId="459F98BB" w14:textId="77777777" w:rsidR="00303C41" w:rsidRPr="001E246B" w:rsidRDefault="00303C41" w:rsidP="00303C41">
      <w:pPr>
        <w:pStyle w:val="ListParagraph"/>
        <w:rPr>
          <w:rFonts w:ascii="Cambria" w:hAnsi="Cambria" w:cs="Calibri Light"/>
          <w:sz w:val="20"/>
          <w:szCs w:val="20"/>
          <w:lang w:val="es-ES"/>
        </w:rPr>
      </w:pPr>
    </w:p>
    <w:p w14:paraId="16B30FAF" w14:textId="77777777" w:rsidR="00303C41" w:rsidRPr="001E246B" w:rsidRDefault="00303C41" w:rsidP="6F1EBC17">
      <w:pPr>
        <w:pStyle w:val="ListParagraph"/>
        <w:numPr>
          <w:ilvl w:val="0"/>
          <w:numId w:val="31"/>
        </w:numPr>
        <w:shd w:val="clear" w:color="auto" w:fill="FFFFFF" w:themeFill="background1"/>
        <w:ind w:left="0" w:firstLine="709"/>
        <w:jc w:val="both"/>
        <w:rPr>
          <w:rFonts w:ascii="Cambria" w:hAnsi="Cambria" w:cs="Calibri Light"/>
          <w:sz w:val="20"/>
          <w:szCs w:val="20"/>
          <w:lang w:val="es-ES"/>
        </w:rPr>
      </w:pPr>
      <w:r w:rsidRPr="6F1EBC17">
        <w:rPr>
          <w:rFonts w:ascii="Cambria" w:hAnsi="Cambria" w:cs="Calibri Light"/>
          <w:sz w:val="20"/>
          <w:szCs w:val="20"/>
          <w:lang w:val="es-ES"/>
        </w:rPr>
        <w:t xml:space="preserve">Durante 2019 los peticionarios informaron que en 1998 el señor </w:t>
      </w:r>
      <w:proofErr w:type="spellStart"/>
      <w:r w:rsidRPr="6F1EBC17">
        <w:rPr>
          <w:rFonts w:ascii="Cambria" w:hAnsi="Cambria" w:cs="Calibri Light"/>
          <w:sz w:val="20"/>
          <w:szCs w:val="20"/>
          <w:lang w:val="es-ES"/>
        </w:rPr>
        <w:t>Lendore</w:t>
      </w:r>
      <w:proofErr w:type="spellEnd"/>
      <w:r w:rsidRPr="6F1EBC17">
        <w:rPr>
          <w:rFonts w:ascii="Cambria" w:hAnsi="Cambria" w:cs="Calibri Light"/>
          <w:sz w:val="20"/>
          <w:szCs w:val="20"/>
          <w:lang w:val="es-ES"/>
        </w:rPr>
        <w:t xml:space="preserve"> había sido beneficiado con la conmutación de la pena de muerte por el cumplimiento de 75 años de prisión. Precisaron que si bien dentro del Estado existen servicios de asesoría legal para casos que involucren posibles vulneraciones a derechos humanos, el Estado aún no ha ordenado su liberación. Los peticionarios informaron a la CIDH que la sentencia ordenada contra el señor </w:t>
      </w:r>
      <w:proofErr w:type="spellStart"/>
      <w:r w:rsidRPr="6F1EBC17">
        <w:rPr>
          <w:rFonts w:ascii="Cambria" w:hAnsi="Cambria" w:cs="Calibri Light"/>
          <w:sz w:val="20"/>
          <w:szCs w:val="20"/>
          <w:lang w:val="es-ES"/>
        </w:rPr>
        <w:t>Lendore</w:t>
      </w:r>
      <w:proofErr w:type="spellEnd"/>
      <w:r w:rsidRPr="6F1EBC17">
        <w:rPr>
          <w:rFonts w:ascii="Cambria" w:hAnsi="Cambria" w:cs="Calibri Light"/>
          <w:sz w:val="20"/>
          <w:szCs w:val="20"/>
          <w:lang w:val="es-ES"/>
        </w:rPr>
        <w:t xml:space="preserve"> continúa a la espera de ser reconsiderada por parte de las autoridades judiciales. </w:t>
      </w:r>
      <w:r w:rsidRPr="6F1EBC17">
        <w:rPr>
          <w:rFonts w:ascii="Cambria" w:hAnsi="Cambria" w:cs="Calibri Light"/>
          <w:color w:val="000000" w:themeColor="text1"/>
          <w:sz w:val="20"/>
          <w:szCs w:val="20"/>
          <w:lang w:val="es-ES"/>
        </w:rPr>
        <w:t xml:space="preserve">En 2020, los peticionarios informaron que no estaban al tanto de ninguna apelación pendiente ya que la </w:t>
      </w:r>
      <w:proofErr w:type="spellStart"/>
      <w:r w:rsidRPr="6F1EBC17">
        <w:rPr>
          <w:rFonts w:ascii="Cambria" w:hAnsi="Cambria" w:cs="Calibri Light"/>
          <w:color w:val="000000" w:themeColor="text1"/>
          <w:sz w:val="20"/>
          <w:szCs w:val="20"/>
          <w:lang w:val="es-ES"/>
        </w:rPr>
        <w:t>ultima</w:t>
      </w:r>
      <w:proofErr w:type="spellEnd"/>
      <w:r w:rsidRPr="6F1EBC17">
        <w:rPr>
          <w:rFonts w:ascii="Cambria" w:hAnsi="Cambria" w:cs="Calibri Light"/>
          <w:color w:val="000000" w:themeColor="text1"/>
          <w:sz w:val="20"/>
          <w:szCs w:val="20"/>
          <w:lang w:val="es-ES"/>
        </w:rPr>
        <w:t xml:space="preserve"> oportunidad de apelación fue el Consejo Privado. Ellos manifestaron que las decisiones de este órgano eran finales, ante la ausencia de evidencia nueva y circunstancias extraordinarias </w:t>
      </w:r>
      <w:r w:rsidRPr="6F1EBC17">
        <w:rPr>
          <w:rFonts w:ascii="Cambria" w:hAnsi="Cambria" w:cs="Calibri Light"/>
          <w:color w:val="000000" w:themeColor="text1"/>
          <w:sz w:val="20"/>
          <w:szCs w:val="20"/>
          <w:lang w:val="es-ES"/>
        </w:rPr>
        <w:lastRenderedPageBreak/>
        <w:t xml:space="preserve">que justifiquen una reconsideración. En cuanto a la naturaleza obligatoria de las recomendaciones de la CIDH, los peticionarios manifestaron que el Estado era aún parte de la Convención Americana para el momento del juicio de la víctima y el procedimiento de sentencia y </w:t>
      </w:r>
      <w:proofErr w:type="spellStart"/>
      <w:r w:rsidRPr="6F1EBC17">
        <w:rPr>
          <w:rFonts w:ascii="Cambria" w:hAnsi="Cambria" w:cs="Calibri Light"/>
          <w:color w:val="000000" w:themeColor="text1"/>
          <w:sz w:val="20"/>
          <w:szCs w:val="20"/>
          <w:lang w:val="es-ES"/>
        </w:rPr>
        <w:t>re-sentencia</w:t>
      </w:r>
      <w:proofErr w:type="spellEnd"/>
      <w:r w:rsidRPr="6F1EBC17">
        <w:rPr>
          <w:rFonts w:ascii="Cambria" w:hAnsi="Cambria" w:cs="Calibri Light"/>
          <w:color w:val="000000" w:themeColor="text1"/>
          <w:sz w:val="20"/>
          <w:szCs w:val="20"/>
          <w:lang w:val="es-ES"/>
        </w:rPr>
        <w:t>, estando el Estado obligado a cumplir con las medidas establecidas por la Comisión.</w:t>
      </w:r>
      <w:r w:rsidRPr="6F1EBC17">
        <w:rPr>
          <w:rFonts w:ascii="Cambria" w:hAnsi="Cambria" w:cs="Calibri Light"/>
          <w:color w:val="FF0000"/>
          <w:sz w:val="20"/>
          <w:szCs w:val="20"/>
          <w:lang w:val="es-ES"/>
        </w:rPr>
        <w:t xml:space="preserve"> </w:t>
      </w:r>
    </w:p>
    <w:p w14:paraId="6E6D6691" w14:textId="77777777" w:rsidR="00303C41" w:rsidRPr="001E246B" w:rsidRDefault="00303C41" w:rsidP="00303C41">
      <w:pPr>
        <w:pStyle w:val="ListParagraph"/>
        <w:rPr>
          <w:rFonts w:ascii="Cambria" w:hAnsi="Cambria" w:cs="Calibri Light"/>
          <w:sz w:val="20"/>
          <w:szCs w:val="20"/>
          <w:lang w:val="es-ES"/>
        </w:rPr>
      </w:pPr>
    </w:p>
    <w:p w14:paraId="7604B924" w14:textId="77777777" w:rsidR="00303C41" w:rsidRPr="001E246B" w:rsidRDefault="00303C41" w:rsidP="6F1EBC17">
      <w:pPr>
        <w:pStyle w:val="ListParagraph"/>
        <w:numPr>
          <w:ilvl w:val="0"/>
          <w:numId w:val="31"/>
        </w:numPr>
        <w:shd w:val="clear" w:color="auto" w:fill="FFFFFF" w:themeFill="background1"/>
        <w:ind w:left="0" w:firstLine="709"/>
        <w:jc w:val="both"/>
        <w:rPr>
          <w:rFonts w:ascii="Cambria" w:hAnsi="Cambria" w:cs="Calibri Light"/>
          <w:color w:val="000000"/>
          <w:sz w:val="20"/>
          <w:szCs w:val="20"/>
          <w:lang w:val="es-ES"/>
        </w:rPr>
      </w:pPr>
      <w:r w:rsidRPr="6F1EBC17">
        <w:rPr>
          <w:rFonts w:ascii="Cambria" w:hAnsi="Cambria" w:cs="Calibri Light"/>
          <w:color w:val="000000" w:themeColor="text1"/>
          <w:sz w:val="20"/>
          <w:szCs w:val="20"/>
          <w:lang w:val="es-ES"/>
        </w:rPr>
        <w:t xml:space="preserve">Adicionalmente, los peticionarios expresaron que la información proporcionada por el Estado en su nota diplomática fue engañosa, particularmente con respecto a la caracterización de la apelación del Sr. </w:t>
      </w:r>
      <w:proofErr w:type="spellStart"/>
      <w:r w:rsidRPr="6F1EBC17">
        <w:rPr>
          <w:rFonts w:ascii="Cambria" w:hAnsi="Cambria" w:cs="Calibri Light"/>
          <w:color w:val="000000" w:themeColor="text1"/>
          <w:sz w:val="20"/>
          <w:szCs w:val="20"/>
          <w:lang w:val="es-ES"/>
        </w:rPr>
        <w:t>Lendore</w:t>
      </w:r>
      <w:proofErr w:type="spellEnd"/>
      <w:r w:rsidRPr="6F1EBC17">
        <w:rPr>
          <w:rFonts w:ascii="Cambria" w:hAnsi="Cambria" w:cs="Calibri Light"/>
          <w:color w:val="000000" w:themeColor="text1"/>
          <w:sz w:val="20"/>
          <w:szCs w:val="20"/>
          <w:lang w:val="es-ES"/>
        </w:rPr>
        <w:t xml:space="preserve"> ante el Consejo Privado. Los peticionarios notaron que, aunque que el Consejo Privado se negó a pasar el caso a la Corte Suprema, también ratificó la decisión de la Corte de Apelaciones frente la inconstitucionalidad del procedimiento de </w:t>
      </w:r>
      <w:proofErr w:type="spellStart"/>
      <w:r w:rsidRPr="6F1EBC17">
        <w:rPr>
          <w:rFonts w:ascii="Cambria" w:hAnsi="Cambria" w:cs="Calibri Light"/>
          <w:color w:val="000000" w:themeColor="text1"/>
          <w:sz w:val="20"/>
          <w:szCs w:val="20"/>
          <w:lang w:val="es-ES"/>
        </w:rPr>
        <w:t>re-sentencia</w:t>
      </w:r>
      <w:proofErr w:type="spellEnd"/>
      <w:r w:rsidRPr="6F1EBC17">
        <w:rPr>
          <w:rFonts w:ascii="Cambria" w:hAnsi="Cambria" w:cs="Calibri Light"/>
          <w:color w:val="000000" w:themeColor="text1"/>
          <w:sz w:val="20"/>
          <w:szCs w:val="20"/>
          <w:lang w:val="es-ES"/>
        </w:rPr>
        <w:t xml:space="preserve">, así como la falta de observación de los principios de justicia natural. Además, los peticionarios resaltan que el Consejo Privado también apoyó la decisión de remitir el caso al Comité Consultivo para una segunda consideración. Al respecto, los peticionarios informaron que ninguno de los solicitantes tuvo sus casos reconsiderados por el Comité Consultivo, tras la decisión de la Corte de Apelaciones en el 2014, a pesar de sus numerosas solicitudes. </w:t>
      </w:r>
    </w:p>
    <w:p w14:paraId="2E3F8CA5" w14:textId="77777777" w:rsidR="00303C41" w:rsidRPr="001E246B" w:rsidRDefault="00303C41" w:rsidP="6F1EBC17">
      <w:pPr>
        <w:pStyle w:val="ListParagraph"/>
        <w:shd w:val="clear" w:color="auto" w:fill="FFFFFF" w:themeFill="background1"/>
        <w:ind w:left="709"/>
        <w:jc w:val="both"/>
        <w:rPr>
          <w:rFonts w:ascii="Cambria" w:hAnsi="Cambria" w:cs="Calibri Light"/>
          <w:color w:val="000000"/>
          <w:sz w:val="20"/>
          <w:szCs w:val="20"/>
          <w:lang w:val="es-ES"/>
        </w:rPr>
      </w:pPr>
    </w:p>
    <w:p w14:paraId="57036570" w14:textId="77777777" w:rsidR="00303C41" w:rsidRPr="001E246B" w:rsidRDefault="00303C41" w:rsidP="6F1EBC17">
      <w:pPr>
        <w:pStyle w:val="ListParagraph"/>
        <w:numPr>
          <w:ilvl w:val="0"/>
          <w:numId w:val="31"/>
        </w:numPr>
        <w:shd w:val="clear" w:color="auto" w:fill="FFFFFF" w:themeFill="background1"/>
        <w:ind w:left="0" w:firstLine="709"/>
        <w:jc w:val="both"/>
        <w:rPr>
          <w:rFonts w:ascii="Cambria" w:hAnsi="Cambria" w:cs="Calibri Light"/>
          <w:color w:val="000000"/>
          <w:sz w:val="20"/>
          <w:szCs w:val="20"/>
          <w:lang w:val="es-ES"/>
        </w:rPr>
      </w:pPr>
      <w:r w:rsidRPr="001E246B">
        <w:rPr>
          <w:rFonts w:ascii="Cambria" w:hAnsi="Cambria" w:cs="Calibri Light"/>
          <w:color w:val="000000"/>
          <w:sz w:val="20"/>
          <w:szCs w:val="20"/>
          <w:lang w:val="es-ES"/>
        </w:rPr>
        <w:t xml:space="preserve">La Comisión toma una vista positiva de la información proporcionada por los peticionarios y el Estado, particularmente acerca de la conmutación de la sentencia de muerte del Sr. </w:t>
      </w:r>
      <w:proofErr w:type="spellStart"/>
      <w:r w:rsidRPr="001E246B">
        <w:rPr>
          <w:rFonts w:ascii="Cambria" w:hAnsi="Cambria" w:cs="Calibri Light"/>
          <w:color w:val="000000"/>
          <w:sz w:val="20"/>
          <w:szCs w:val="20"/>
          <w:lang w:val="es-ES"/>
        </w:rPr>
        <w:t>Lendore</w:t>
      </w:r>
      <w:proofErr w:type="spellEnd"/>
      <w:r w:rsidRPr="001E246B">
        <w:rPr>
          <w:rFonts w:ascii="Cambria" w:hAnsi="Cambria" w:cs="Calibri Light"/>
          <w:color w:val="000000"/>
          <w:sz w:val="20"/>
          <w:szCs w:val="20"/>
          <w:lang w:val="es-ES"/>
        </w:rPr>
        <w:t xml:space="preserve"> a una alternativa. Sin embargo, nota que, aunque el Estado ha procesado y resuelto varios procedimientos legales, ninguno ha asegurado la oportunidad de un nuevo juicio al Sr. </w:t>
      </w:r>
      <w:proofErr w:type="spellStart"/>
      <w:r w:rsidRPr="001E246B">
        <w:rPr>
          <w:rFonts w:ascii="Cambria" w:hAnsi="Cambria" w:cs="Calibri Light"/>
          <w:color w:val="000000"/>
          <w:sz w:val="20"/>
          <w:szCs w:val="20"/>
          <w:lang w:val="es-ES"/>
        </w:rPr>
        <w:t>Lendore</w:t>
      </w:r>
      <w:proofErr w:type="spellEnd"/>
      <w:r w:rsidRPr="001E246B">
        <w:rPr>
          <w:rFonts w:ascii="Cambria" w:hAnsi="Cambria" w:cs="Calibri Light"/>
          <w:color w:val="000000"/>
          <w:sz w:val="20"/>
          <w:szCs w:val="20"/>
          <w:lang w:val="es-ES"/>
        </w:rPr>
        <w:t xml:space="preserve"> o, en caso de que esto no sea posible, que sea liberado de prisión y se le otorgue compensación. La CIDH está a la espera de una actualización del tratamiento del caso del Sr. </w:t>
      </w:r>
      <w:proofErr w:type="spellStart"/>
      <w:r w:rsidRPr="001E246B">
        <w:rPr>
          <w:rFonts w:ascii="Cambria" w:hAnsi="Cambria" w:cs="Calibri Light"/>
          <w:color w:val="000000"/>
          <w:sz w:val="20"/>
          <w:szCs w:val="20"/>
          <w:lang w:val="es-ES"/>
        </w:rPr>
        <w:t>Lendore</w:t>
      </w:r>
      <w:proofErr w:type="spellEnd"/>
      <w:r w:rsidRPr="001E246B">
        <w:rPr>
          <w:rFonts w:ascii="Cambria" w:hAnsi="Cambria" w:cs="Calibri Light"/>
          <w:color w:val="000000"/>
          <w:sz w:val="20"/>
          <w:szCs w:val="20"/>
          <w:lang w:val="es-ES"/>
        </w:rPr>
        <w:t xml:space="preserve"> ante el Comité Consultivo o de la provisión de otro remedio alternativo para revisar su sentencia, en cumplimiento del derecho al juicio justo y el debido proceso. En cuanto a las afirmaciones sobre el carácter no vinculante de las recomendaciones de la CIDH, la Comisión recuerda que la Declaración Americana es reconocida como fuente legal de las obligaciones de los Estados Miembros de la OEA, incluyendo, en particular, aquellos Estados que no son parte de la Convención Americana de Derechos Humanos.</w:t>
      </w:r>
      <w:r w:rsidRPr="001E246B">
        <w:rPr>
          <w:rStyle w:val="FootnoteReference"/>
          <w:rFonts w:ascii="Cambria" w:hAnsi="Cambria" w:cs="Calibri Light"/>
          <w:color w:val="000000"/>
          <w:sz w:val="20"/>
          <w:szCs w:val="20"/>
          <w:lang w:val="es-ES"/>
        </w:rPr>
        <w:footnoteReference w:id="2"/>
      </w:r>
      <w:r w:rsidRPr="001E246B">
        <w:rPr>
          <w:rFonts w:ascii="Cambria" w:hAnsi="Cambria" w:cs="Calibri Light"/>
          <w:color w:val="000000"/>
          <w:sz w:val="20"/>
          <w:szCs w:val="20"/>
          <w:lang w:val="es-ES"/>
        </w:rPr>
        <w:t xml:space="preserve"> Además, de acuerdo con el artículo 31(1) de la Convención de Viena y la Ley de Tratados, los Estados Miembros deben asumir esfuerzos de buena fe para cumplir con las recomendaciones de organismos de supervisión, tales como la Comisión Interamericana.</w:t>
      </w:r>
      <w:r w:rsidRPr="001E246B">
        <w:rPr>
          <w:rStyle w:val="FootnoteReference"/>
          <w:rFonts w:ascii="Cambria" w:hAnsi="Cambria" w:cs="Calibri Light"/>
          <w:color w:val="000000"/>
          <w:sz w:val="20"/>
          <w:szCs w:val="20"/>
          <w:lang w:val="es-ES"/>
        </w:rPr>
        <w:footnoteReference w:id="3"/>
      </w:r>
      <w:r w:rsidRPr="001E246B">
        <w:rPr>
          <w:rFonts w:ascii="Cambria" w:hAnsi="Cambria" w:cs="Calibri Light"/>
          <w:color w:val="000000"/>
          <w:sz w:val="20"/>
          <w:szCs w:val="20"/>
          <w:lang w:val="es-ES"/>
        </w:rPr>
        <w:t xml:space="preserve"> Con base a lo señalado, la Comisión considera que recomendación 1 está pendiente de cumplimiento. </w:t>
      </w:r>
    </w:p>
    <w:p w14:paraId="38576F2D" w14:textId="77777777" w:rsidR="00303C41" w:rsidRPr="001E246B" w:rsidRDefault="00303C41" w:rsidP="6F1EBC17">
      <w:pPr>
        <w:pStyle w:val="ListParagraph"/>
        <w:shd w:val="clear" w:color="auto" w:fill="FFFFFF" w:themeFill="background1"/>
        <w:ind w:left="709"/>
        <w:jc w:val="both"/>
        <w:rPr>
          <w:rFonts w:ascii="Cambria" w:hAnsi="Cambria" w:cs="Calibri Light"/>
          <w:sz w:val="20"/>
          <w:szCs w:val="20"/>
          <w:lang w:val="es-ES"/>
        </w:rPr>
      </w:pPr>
    </w:p>
    <w:p w14:paraId="0D50E3FF" w14:textId="77777777" w:rsidR="00303C41" w:rsidRPr="001E246B" w:rsidRDefault="00303C41" w:rsidP="6F1EBC17">
      <w:pPr>
        <w:pStyle w:val="ListParagraph"/>
        <w:numPr>
          <w:ilvl w:val="0"/>
          <w:numId w:val="31"/>
        </w:numPr>
        <w:shd w:val="clear" w:color="auto" w:fill="FFFFFF" w:themeFill="background1"/>
        <w:ind w:left="0" w:firstLine="709"/>
        <w:jc w:val="both"/>
        <w:rPr>
          <w:rFonts w:ascii="Cambria" w:hAnsi="Cambria" w:cs="Calibri Light"/>
          <w:sz w:val="20"/>
          <w:szCs w:val="20"/>
          <w:lang w:val="es-ES"/>
        </w:rPr>
      </w:pPr>
      <w:r w:rsidRPr="6F1EBC17">
        <w:rPr>
          <w:rFonts w:ascii="Cambria" w:hAnsi="Cambria"/>
          <w:b/>
          <w:bCs/>
          <w:sz w:val="20"/>
          <w:szCs w:val="20"/>
          <w:lang w:val="es-ES"/>
        </w:rPr>
        <w:t>Respecto de las recomendaciones segunda y tercera</w:t>
      </w:r>
      <w:r w:rsidRPr="6F1EBC17">
        <w:rPr>
          <w:rFonts w:ascii="Cambria" w:hAnsi="Cambria" w:cs="Calibri Light"/>
          <w:sz w:val="20"/>
          <w:szCs w:val="20"/>
          <w:lang w:val="es-ES"/>
        </w:rPr>
        <w:t xml:space="preserve">, el Estado informó que existen disposiciones legislativas tendientes a armonizar la legislación de Trinidad y Tobago con los estándares internacionales. </w:t>
      </w:r>
      <w:r w:rsidRPr="6F1EBC17">
        <w:rPr>
          <w:rFonts w:ascii="Cambria" w:hAnsi="Cambria" w:cs="Calibri Light"/>
          <w:color w:val="000000" w:themeColor="text1"/>
          <w:sz w:val="20"/>
          <w:szCs w:val="20"/>
          <w:lang w:val="es-ES"/>
        </w:rPr>
        <w:t>En contraste con su posición anterior, el Estado informó en 2020 que no existían provisiones legislativas para posicionar los estándares de encarcelamiento estatales en línea con estándares internacionales.</w:t>
      </w:r>
      <w:r w:rsidRPr="6F1EBC17">
        <w:rPr>
          <w:rFonts w:ascii="Cambria" w:hAnsi="Cambria" w:cs="Calibri Light"/>
          <w:sz w:val="20"/>
          <w:szCs w:val="20"/>
          <w:lang w:val="es-ES"/>
        </w:rPr>
        <w:t xml:space="preserve"> Asimismo, manifestó que a nivel interno existen recursos que posibilitan la revisión constitucional y que el señor </w:t>
      </w:r>
      <w:proofErr w:type="spellStart"/>
      <w:r w:rsidRPr="6F1EBC17">
        <w:rPr>
          <w:rFonts w:ascii="Cambria" w:hAnsi="Cambria" w:cs="Calibri Light"/>
          <w:sz w:val="20"/>
          <w:szCs w:val="20"/>
          <w:lang w:val="es-ES"/>
        </w:rPr>
        <w:t>Lendore</w:t>
      </w:r>
      <w:proofErr w:type="spellEnd"/>
      <w:r w:rsidRPr="6F1EBC17">
        <w:rPr>
          <w:rFonts w:ascii="Cambria" w:hAnsi="Cambria" w:cs="Calibri Light"/>
          <w:sz w:val="20"/>
          <w:szCs w:val="20"/>
          <w:lang w:val="es-ES"/>
        </w:rPr>
        <w:t xml:space="preserve"> había ejercido dicho derecho al apelar en 2017 ante el Consejo Privado, </w:t>
      </w:r>
      <w:r w:rsidRPr="6F1EBC17">
        <w:rPr>
          <w:rFonts w:ascii="Cambria" w:hAnsi="Cambria" w:cs="Calibri Light"/>
          <w:color w:val="000000" w:themeColor="text1"/>
          <w:sz w:val="20"/>
          <w:szCs w:val="20"/>
          <w:lang w:val="es-ES"/>
        </w:rPr>
        <w:t>y “falló”.</w:t>
      </w:r>
      <w:r w:rsidRPr="6F1EBC17">
        <w:rPr>
          <w:rFonts w:ascii="Cambria" w:hAnsi="Cambria" w:cs="Calibri Light"/>
          <w:sz w:val="20"/>
          <w:szCs w:val="20"/>
          <w:lang w:val="es-ES"/>
        </w:rPr>
        <w:t xml:space="preserve"> </w:t>
      </w:r>
    </w:p>
    <w:p w14:paraId="73476E86" w14:textId="77777777" w:rsidR="00303C41" w:rsidRPr="001E246B" w:rsidRDefault="00303C41" w:rsidP="00303C41">
      <w:pPr>
        <w:pStyle w:val="ListParagraph"/>
        <w:rPr>
          <w:rFonts w:ascii="Cambria" w:hAnsi="Cambria" w:cs="Calibri Light"/>
          <w:sz w:val="20"/>
          <w:szCs w:val="20"/>
          <w:lang w:val="es-ES"/>
        </w:rPr>
      </w:pPr>
    </w:p>
    <w:p w14:paraId="1667F00F" w14:textId="77777777" w:rsidR="00303C41" w:rsidRPr="001E246B" w:rsidRDefault="00303C41" w:rsidP="6F1EBC17">
      <w:pPr>
        <w:pStyle w:val="ListParagraph"/>
        <w:numPr>
          <w:ilvl w:val="0"/>
          <w:numId w:val="31"/>
        </w:numPr>
        <w:shd w:val="clear" w:color="auto" w:fill="FFFFFF" w:themeFill="background1"/>
        <w:ind w:left="0" w:firstLine="709"/>
        <w:jc w:val="both"/>
        <w:rPr>
          <w:rFonts w:ascii="Cambria" w:hAnsi="Cambria" w:cs="Calibri Light"/>
          <w:color w:val="000000"/>
          <w:sz w:val="20"/>
          <w:szCs w:val="20"/>
          <w:lang w:val="es-ES"/>
        </w:rPr>
      </w:pPr>
      <w:r w:rsidRPr="6F1EBC17">
        <w:rPr>
          <w:rFonts w:ascii="Cambria" w:hAnsi="Cambria" w:cs="Calibri Light"/>
          <w:color w:val="000000" w:themeColor="text1"/>
          <w:sz w:val="20"/>
          <w:szCs w:val="20"/>
          <w:lang w:val="es-ES"/>
        </w:rPr>
        <w:t>En 2020, los peticionarios no aportaron información relativa al cumplimiento de esta recomendación.</w:t>
      </w:r>
    </w:p>
    <w:p w14:paraId="2C714026" w14:textId="77777777" w:rsidR="00303C41" w:rsidRPr="001E246B" w:rsidRDefault="00303C41" w:rsidP="00303C41">
      <w:pPr>
        <w:pStyle w:val="ListParagraph"/>
        <w:rPr>
          <w:rFonts w:ascii="Cambria" w:hAnsi="Cambria" w:cs="Calibri Light"/>
          <w:sz w:val="20"/>
          <w:szCs w:val="20"/>
          <w:lang w:val="es-ES"/>
        </w:rPr>
      </w:pPr>
    </w:p>
    <w:p w14:paraId="0FB6BD56" w14:textId="77777777" w:rsidR="00303C41" w:rsidRPr="001E246B" w:rsidRDefault="00303C41" w:rsidP="6F1EBC17">
      <w:pPr>
        <w:pStyle w:val="ListParagraph"/>
        <w:numPr>
          <w:ilvl w:val="0"/>
          <w:numId w:val="31"/>
        </w:numPr>
        <w:shd w:val="clear" w:color="auto" w:fill="FFFFFF" w:themeFill="background1"/>
        <w:ind w:left="0" w:firstLine="709"/>
        <w:jc w:val="both"/>
        <w:rPr>
          <w:rFonts w:ascii="Cambria" w:hAnsi="Cambria" w:cs="Calibri Light"/>
          <w:color w:val="000000"/>
          <w:sz w:val="20"/>
          <w:szCs w:val="20"/>
          <w:lang w:val="es-ES"/>
        </w:rPr>
      </w:pPr>
      <w:r w:rsidRPr="6F1EBC17">
        <w:rPr>
          <w:rFonts w:ascii="Cambria" w:hAnsi="Cambria" w:cs="Calibri Light"/>
          <w:color w:val="000000" w:themeColor="text1"/>
          <w:sz w:val="20"/>
          <w:szCs w:val="20"/>
          <w:lang w:val="es-ES"/>
        </w:rPr>
        <w:t xml:space="preserve">La Comisión saluda la información aportada por el Estado respecto de la situación actual del caso, así como de las medidas adoptadas para asegurar su cumplimiento con el Informe de Fondo 28/09. Sin embargo, nota con preocupación el retroceso en la posición del Estado sobre la adopción de medidas para adecuar las leyes domesticas a las obligaciones asumidas por el Estado en la esfera del derecho internacional. Al respecto, la CIDH urge a las partes a proporcionar información amplia y actualizada de leyes o políticas existentes, y su contenido, al igual que de otra iniciativa reglamentaria para adecuar los estándares de </w:t>
      </w:r>
      <w:r w:rsidRPr="6F1EBC17">
        <w:rPr>
          <w:rFonts w:ascii="Cambria" w:hAnsi="Cambria" w:cs="Calibri Light"/>
          <w:color w:val="000000" w:themeColor="text1"/>
          <w:sz w:val="20"/>
          <w:szCs w:val="20"/>
          <w:lang w:val="es-ES"/>
        </w:rPr>
        <w:lastRenderedPageBreak/>
        <w:t xml:space="preserve">encarcelamiento del Estado de conformidad a los estándares internacionales. Con base a lo señalado, la CIDH considera que la recomendación se encuentra pendiente de cumplimiento. </w:t>
      </w:r>
    </w:p>
    <w:p w14:paraId="708A4350" w14:textId="77777777" w:rsidR="00303C41" w:rsidRPr="001E246B" w:rsidRDefault="00303C41" w:rsidP="00303C41">
      <w:pPr>
        <w:pStyle w:val="ListParagraph"/>
        <w:rPr>
          <w:rFonts w:ascii="Cambria" w:hAnsi="Cambria" w:cs="Calibri Light"/>
          <w:color w:val="000000"/>
          <w:sz w:val="20"/>
          <w:szCs w:val="20"/>
          <w:lang w:val="es-ES"/>
        </w:rPr>
      </w:pPr>
    </w:p>
    <w:p w14:paraId="03454150" w14:textId="77777777" w:rsidR="00303C41" w:rsidRPr="001E246B" w:rsidRDefault="00303C41" w:rsidP="6F1EBC17">
      <w:pPr>
        <w:pStyle w:val="ListParagraph"/>
        <w:shd w:val="clear" w:color="auto" w:fill="FFFFFF" w:themeFill="background1"/>
        <w:ind w:left="709"/>
        <w:jc w:val="both"/>
        <w:rPr>
          <w:rFonts w:ascii="Cambria" w:hAnsi="Cambria" w:cs="Calibri Light"/>
          <w:color w:val="000000"/>
          <w:sz w:val="20"/>
          <w:szCs w:val="20"/>
          <w:lang w:val="es-ES"/>
        </w:rPr>
      </w:pPr>
    </w:p>
    <w:p w14:paraId="12E7473F" w14:textId="77777777" w:rsidR="00303C41" w:rsidRPr="001E246B" w:rsidRDefault="00303C41" w:rsidP="00303C41">
      <w:pPr>
        <w:jc w:val="both"/>
        <w:rPr>
          <w:rFonts w:ascii="Cambria" w:hAnsi="Cambria"/>
          <w:sz w:val="20"/>
          <w:szCs w:val="20"/>
          <w:lang w:val="es-ES"/>
        </w:rPr>
      </w:pPr>
    </w:p>
    <w:p w14:paraId="4DA503AB" w14:textId="77777777" w:rsidR="00303C41" w:rsidRPr="001E246B" w:rsidRDefault="00303C41" w:rsidP="6F1EBC17">
      <w:pPr>
        <w:pStyle w:val="ListParagraph"/>
        <w:numPr>
          <w:ilvl w:val="0"/>
          <w:numId w:val="30"/>
        </w:numPr>
        <w:ind w:left="1440"/>
        <w:jc w:val="both"/>
        <w:rPr>
          <w:rFonts w:ascii="Cambria" w:hAnsi="Cambria" w:cs="Calibri Light"/>
          <w:b/>
          <w:bCs/>
          <w:sz w:val="20"/>
          <w:szCs w:val="20"/>
          <w:lang w:val="es-ES"/>
        </w:rPr>
      </w:pPr>
      <w:r w:rsidRPr="6F1EBC17">
        <w:rPr>
          <w:rFonts w:ascii="Cambria" w:hAnsi="Cambria" w:cs="Calibri Light"/>
          <w:b/>
          <w:bCs/>
          <w:sz w:val="20"/>
          <w:szCs w:val="20"/>
          <w:lang w:val="es-ES"/>
        </w:rPr>
        <w:t xml:space="preserve">Nivel del cumplimiento del caso  </w:t>
      </w:r>
    </w:p>
    <w:p w14:paraId="4E8AA869" w14:textId="77777777" w:rsidR="00303C41" w:rsidRPr="001E246B" w:rsidRDefault="00303C41" w:rsidP="00303C41">
      <w:pPr>
        <w:jc w:val="both"/>
        <w:rPr>
          <w:rFonts w:ascii="Cambria" w:hAnsi="Cambria" w:cs="Calibri Light"/>
          <w:sz w:val="20"/>
          <w:szCs w:val="20"/>
          <w:lang w:val="es-ES"/>
        </w:rPr>
      </w:pPr>
    </w:p>
    <w:p w14:paraId="386BB690" w14:textId="77777777" w:rsidR="00303C41" w:rsidRPr="001E246B" w:rsidRDefault="00303C41" w:rsidP="6F1EBC17">
      <w:pPr>
        <w:pStyle w:val="ListParagraph"/>
        <w:numPr>
          <w:ilvl w:val="0"/>
          <w:numId w:val="31"/>
        </w:numPr>
        <w:shd w:val="clear" w:color="auto" w:fill="FFFFFF" w:themeFill="background1"/>
        <w:ind w:left="0" w:firstLine="709"/>
        <w:jc w:val="both"/>
        <w:rPr>
          <w:rFonts w:ascii="Cambria" w:hAnsi="Cambria" w:cs="Calibri Light"/>
          <w:sz w:val="20"/>
          <w:szCs w:val="20"/>
          <w:lang w:val="es-ES"/>
        </w:rPr>
      </w:pPr>
      <w:r w:rsidRPr="6F1EBC17">
        <w:rPr>
          <w:rFonts w:ascii="Cambria" w:hAnsi="Cambria" w:cs="Calibri Light"/>
          <w:sz w:val="20"/>
          <w:szCs w:val="20"/>
          <w:lang w:val="es-ES"/>
        </w:rPr>
        <w:t>Por lo anterior, la Comisión concluye que el nivel de cumplimiento del caso es pendiente. En consecuencia, la CIDH seguirá supervisando el cumplimiento de las Recomendaciones 1, 2 y 3.</w:t>
      </w:r>
    </w:p>
    <w:p w14:paraId="174773CD" w14:textId="77777777" w:rsidR="00303C41" w:rsidRPr="001E246B" w:rsidRDefault="00303C41" w:rsidP="6F1EBC17">
      <w:pPr>
        <w:pStyle w:val="ListParagraph"/>
        <w:shd w:val="clear" w:color="auto" w:fill="FFFFFF" w:themeFill="background1"/>
        <w:ind w:left="709"/>
        <w:jc w:val="both"/>
        <w:rPr>
          <w:rFonts w:ascii="Cambria" w:hAnsi="Cambria" w:cs="Calibri Light"/>
          <w:sz w:val="20"/>
          <w:szCs w:val="20"/>
          <w:lang w:val="es-ES"/>
        </w:rPr>
      </w:pPr>
    </w:p>
    <w:p w14:paraId="2B324FDF" w14:textId="77777777" w:rsidR="00303C41" w:rsidRPr="001E246B" w:rsidRDefault="00303C41" w:rsidP="6F1EBC17">
      <w:pPr>
        <w:pStyle w:val="ListParagraph"/>
        <w:numPr>
          <w:ilvl w:val="0"/>
          <w:numId w:val="31"/>
        </w:numPr>
        <w:shd w:val="clear" w:color="auto" w:fill="FFFFFF" w:themeFill="background1"/>
        <w:ind w:left="0" w:firstLine="709"/>
        <w:jc w:val="both"/>
        <w:rPr>
          <w:rFonts w:ascii="Cambria" w:hAnsi="Cambria" w:cs="Calibri Light"/>
          <w:sz w:val="20"/>
          <w:szCs w:val="20"/>
          <w:lang w:val="es-ES"/>
        </w:rPr>
      </w:pPr>
      <w:r w:rsidRPr="6F1EBC17">
        <w:rPr>
          <w:rFonts w:ascii="Cambria" w:hAnsi="Cambria" w:cs="Calibri Light"/>
          <w:sz w:val="20"/>
          <w:szCs w:val="20"/>
          <w:lang w:val="es-ES"/>
        </w:rPr>
        <w:t xml:space="preserve">La Comisión invita al Estado a adoptar acciones para cumplir con las recomendaciones emitidas en el Informe de Fondo </w:t>
      </w:r>
      <w:proofErr w:type="spellStart"/>
      <w:r w:rsidRPr="6F1EBC17">
        <w:rPr>
          <w:rFonts w:ascii="Cambria" w:hAnsi="Cambria" w:cs="Calibri Light"/>
          <w:sz w:val="20"/>
          <w:szCs w:val="20"/>
          <w:lang w:val="es-ES"/>
        </w:rPr>
        <w:t>Nº</w:t>
      </w:r>
      <w:proofErr w:type="spellEnd"/>
      <w:r w:rsidRPr="6F1EBC17">
        <w:rPr>
          <w:rFonts w:ascii="Cambria" w:hAnsi="Cambria"/>
          <w:sz w:val="20"/>
          <w:szCs w:val="20"/>
          <w:lang w:val="es-ES"/>
        </w:rPr>
        <w:t xml:space="preserve"> 28/09, y a remitir a la Comisión información actualizada y detallada sobre estas medidas. </w:t>
      </w:r>
    </w:p>
    <w:p w14:paraId="442EF408" w14:textId="77777777" w:rsidR="00303C41" w:rsidRPr="001E246B" w:rsidRDefault="00303C41" w:rsidP="00303C41">
      <w:pPr>
        <w:jc w:val="both"/>
        <w:rPr>
          <w:rFonts w:ascii="Cambria" w:hAnsi="Cambria"/>
          <w:sz w:val="20"/>
          <w:szCs w:val="20"/>
          <w:lang w:val="es-ES"/>
        </w:rPr>
      </w:pPr>
    </w:p>
    <w:p w14:paraId="58549E76" w14:textId="77777777" w:rsidR="00303C41" w:rsidRPr="001E246B" w:rsidRDefault="00303C41" w:rsidP="6F1EBC17">
      <w:pPr>
        <w:pStyle w:val="ListParagraph"/>
        <w:numPr>
          <w:ilvl w:val="0"/>
          <w:numId w:val="30"/>
        </w:numPr>
        <w:jc w:val="both"/>
        <w:rPr>
          <w:rFonts w:ascii="Cambria" w:hAnsi="Cambria"/>
          <w:b/>
          <w:bCs/>
          <w:sz w:val="20"/>
          <w:szCs w:val="20"/>
          <w:lang w:val="es-ES"/>
        </w:rPr>
      </w:pPr>
      <w:r w:rsidRPr="6F1EBC17">
        <w:rPr>
          <w:rFonts w:ascii="Cambria" w:hAnsi="Cambria"/>
          <w:b/>
          <w:bCs/>
          <w:sz w:val="20"/>
          <w:szCs w:val="20"/>
          <w:lang w:val="es-ES"/>
        </w:rPr>
        <w:t xml:space="preserve">Resultados individuales y estructurales del caso </w:t>
      </w:r>
    </w:p>
    <w:p w14:paraId="4150009D" w14:textId="77777777" w:rsidR="00303C41" w:rsidRPr="001E246B" w:rsidRDefault="00303C41" w:rsidP="6F1EBC17">
      <w:pPr>
        <w:jc w:val="both"/>
        <w:rPr>
          <w:rFonts w:ascii="Cambria" w:hAnsi="Cambria"/>
          <w:b/>
          <w:bCs/>
          <w:sz w:val="20"/>
          <w:szCs w:val="20"/>
          <w:lang w:val="es-ES"/>
        </w:rPr>
      </w:pPr>
    </w:p>
    <w:p w14:paraId="35346885" w14:textId="77777777" w:rsidR="00303C41" w:rsidRPr="001E246B" w:rsidRDefault="00303C41" w:rsidP="6F1EBC17">
      <w:pPr>
        <w:pStyle w:val="ListParagraph"/>
        <w:numPr>
          <w:ilvl w:val="0"/>
          <w:numId w:val="31"/>
        </w:numPr>
        <w:autoSpaceDE w:val="0"/>
        <w:autoSpaceDN w:val="0"/>
        <w:adjustRightInd w:val="0"/>
        <w:ind w:left="0" w:firstLine="709"/>
        <w:jc w:val="both"/>
        <w:rPr>
          <w:rFonts w:ascii="Cambria" w:hAnsi="Cambria"/>
          <w:b/>
          <w:bCs/>
          <w:sz w:val="20"/>
          <w:szCs w:val="20"/>
          <w:lang w:val="es-ES"/>
        </w:rPr>
      </w:pPr>
      <w:r w:rsidRPr="6F1EBC17">
        <w:rPr>
          <w:rFonts w:ascii="Cambria" w:hAnsi="Cambria"/>
          <w:sz w:val="20"/>
          <w:szCs w:val="20"/>
          <w:lang w:val="es-ES"/>
        </w:rPr>
        <w:t>Dado que este caso está pendiente de cumplimiento, no hay resultados individuales o estructurales que hayan sido informados por las partes.</w:t>
      </w:r>
    </w:p>
    <w:p w14:paraId="36298FC7" w14:textId="77777777" w:rsidR="00575BF1" w:rsidRPr="00303C41" w:rsidRDefault="00575BF1" w:rsidP="00303C41">
      <w:pPr>
        <w:rPr>
          <w:lang w:val="es-ES"/>
        </w:rPr>
      </w:pPr>
    </w:p>
    <w:sectPr w:rsidR="00575BF1" w:rsidRPr="00303C41"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3B15" w14:textId="77777777" w:rsidR="00F30045" w:rsidRDefault="00F30045" w:rsidP="00672733">
      <w:r>
        <w:separator/>
      </w:r>
    </w:p>
  </w:endnote>
  <w:endnote w:type="continuationSeparator" w:id="0">
    <w:p w14:paraId="58E8DF63" w14:textId="77777777" w:rsidR="00F30045" w:rsidRDefault="00F30045"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CB20" w14:textId="77777777" w:rsidR="00F30045" w:rsidRDefault="00F30045" w:rsidP="00672733">
      <w:r>
        <w:separator/>
      </w:r>
    </w:p>
  </w:footnote>
  <w:footnote w:type="continuationSeparator" w:id="0">
    <w:p w14:paraId="2E067809" w14:textId="77777777" w:rsidR="00F30045" w:rsidRDefault="00F30045" w:rsidP="00672733">
      <w:r>
        <w:continuationSeparator/>
      </w:r>
    </w:p>
  </w:footnote>
  <w:footnote w:id="1">
    <w:p w14:paraId="369A75DB" w14:textId="77777777" w:rsidR="00303C41" w:rsidRPr="001E246B" w:rsidRDefault="00303C41" w:rsidP="00303C41">
      <w:pPr>
        <w:pStyle w:val="FootnoteText"/>
        <w:spacing w:after="120"/>
        <w:ind w:firstLine="720"/>
        <w:jc w:val="both"/>
        <w:rPr>
          <w:rFonts w:ascii="Cambria" w:hAnsi="Cambria"/>
          <w:sz w:val="16"/>
          <w:szCs w:val="16"/>
          <w:lang w:val="es-CO"/>
        </w:rPr>
      </w:pPr>
      <w:r w:rsidRPr="001E246B">
        <w:rPr>
          <w:rStyle w:val="FootnoteReference"/>
          <w:rFonts w:ascii="Cambria" w:hAnsi="Cambria"/>
          <w:sz w:val="16"/>
          <w:szCs w:val="16"/>
        </w:rPr>
        <w:footnoteRef/>
      </w:r>
      <w:r w:rsidRPr="001E246B">
        <w:rPr>
          <w:rFonts w:ascii="Cambria" w:hAnsi="Cambria"/>
          <w:sz w:val="16"/>
          <w:szCs w:val="16"/>
          <w:lang w:val="es-CO"/>
        </w:rPr>
        <w:t xml:space="preserve"> </w:t>
      </w:r>
      <w:r w:rsidRPr="001E246B">
        <w:rPr>
          <w:rFonts w:ascii="Cambria" w:hAnsi="Cambria" w:cs="Calibri Light"/>
          <w:sz w:val="16"/>
          <w:szCs w:val="16"/>
          <w:lang w:val="es-CO"/>
        </w:rPr>
        <w:t xml:space="preserve">Comité Judicial del Consejo Privado de Trinidad y Tobago, </w:t>
      </w:r>
      <w:hyperlink r:id="rId1" w:history="1">
        <w:proofErr w:type="spellStart"/>
        <w:r w:rsidRPr="001E246B">
          <w:rPr>
            <w:rStyle w:val="Hyperlink"/>
            <w:rFonts w:ascii="Cambria" w:hAnsi="Cambria"/>
            <w:sz w:val="16"/>
            <w:szCs w:val="16"/>
            <w:lang w:val="es-CO"/>
          </w:rPr>
          <w:t>Lendore</w:t>
        </w:r>
        <w:proofErr w:type="spellEnd"/>
        <w:r w:rsidRPr="001E246B">
          <w:rPr>
            <w:rStyle w:val="Hyperlink"/>
            <w:rFonts w:ascii="Cambria" w:hAnsi="Cambria"/>
            <w:sz w:val="16"/>
            <w:szCs w:val="16"/>
            <w:lang w:val="es-CO"/>
          </w:rPr>
          <w:t xml:space="preserve"> y otros c. </w:t>
        </w:r>
        <w:proofErr w:type="gramStart"/>
        <w:r w:rsidRPr="001E246B">
          <w:rPr>
            <w:rStyle w:val="Hyperlink"/>
            <w:rFonts w:ascii="Cambria" w:hAnsi="Cambria"/>
            <w:sz w:val="16"/>
            <w:szCs w:val="16"/>
            <w:lang w:val="es-CO"/>
          </w:rPr>
          <w:t>Fiscal General</w:t>
        </w:r>
        <w:proofErr w:type="gramEnd"/>
        <w:r w:rsidRPr="001E246B">
          <w:rPr>
            <w:rStyle w:val="Hyperlink"/>
            <w:rFonts w:ascii="Cambria" w:hAnsi="Cambria"/>
            <w:sz w:val="16"/>
            <w:szCs w:val="16"/>
            <w:lang w:val="es-CO"/>
          </w:rPr>
          <w:t xml:space="preserve"> de Trinidad y Tobago (Trinidad y Tobago)</w:t>
        </w:r>
      </w:hyperlink>
      <w:r w:rsidRPr="001E246B">
        <w:rPr>
          <w:rFonts w:ascii="Cambria" w:hAnsi="Cambria"/>
          <w:sz w:val="16"/>
          <w:szCs w:val="16"/>
          <w:lang w:val="es-CO"/>
        </w:rPr>
        <w:t xml:space="preserve"> [2017] UKPC 25 (Reino Unido) (solo disponible en inglés).</w:t>
      </w:r>
    </w:p>
  </w:footnote>
  <w:footnote w:id="2">
    <w:p w14:paraId="5EA82D98" w14:textId="77777777" w:rsidR="00303C41" w:rsidRPr="001E246B" w:rsidRDefault="00303C41" w:rsidP="00303C41">
      <w:pPr>
        <w:ind w:firstLine="720"/>
        <w:rPr>
          <w:rFonts w:ascii="Cambria" w:eastAsia="Times New Roman" w:hAnsi="Cambria"/>
          <w:color w:val="000000"/>
          <w:sz w:val="16"/>
          <w:szCs w:val="16"/>
          <w:lang w:val="es-BO"/>
        </w:rPr>
      </w:pPr>
      <w:r w:rsidRPr="001E246B">
        <w:rPr>
          <w:rStyle w:val="FootnoteReference"/>
          <w:rFonts w:ascii="Cambria" w:hAnsi="Cambria"/>
          <w:color w:val="000000"/>
          <w:sz w:val="16"/>
          <w:szCs w:val="16"/>
        </w:rPr>
        <w:footnoteRef/>
      </w:r>
      <w:r w:rsidRPr="001E246B">
        <w:rPr>
          <w:rFonts w:ascii="Cambria" w:hAnsi="Cambria"/>
          <w:color w:val="000000"/>
          <w:sz w:val="16"/>
          <w:szCs w:val="16"/>
          <w:lang w:val="es-BO"/>
        </w:rPr>
        <w:t xml:space="preserve"> Corte IDH, </w:t>
      </w:r>
      <w:hyperlink r:id="rId2" w:history="1">
        <w:r w:rsidRPr="001E246B">
          <w:rPr>
            <w:rStyle w:val="Hyperlink"/>
            <w:rFonts w:ascii="Cambria" w:eastAsia="Times New Roman" w:hAnsi="Cambria"/>
            <w:color w:val="000000"/>
            <w:sz w:val="16"/>
            <w:szCs w:val="16"/>
            <w:lang w:val="es-BO"/>
          </w:rPr>
          <w:t>Interpretación de la Declaración Americana de los Derechos y Deberes del Hombre en el marco del artículo 64 de la Convención Americana sobre Derechos Humanos</w:t>
        </w:r>
      </w:hyperlink>
      <w:r w:rsidRPr="001E246B">
        <w:rPr>
          <w:rFonts w:ascii="Cambria" w:eastAsia="Times New Roman" w:hAnsi="Cambria"/>
          <w:color w:val="000000"/>
          <w:sz w:val="16"/>
          <w:szCs w:val="16"/>
          <w:lang w:val="es-BO"/>
        </w:rPr>
        <w:t>. Opinión Consultiva OC-10/89 de 14 de julio de 1989. Serie A No. 10.</w:t>
      </w:r>
    </w:p>
    <w:p w14:paraId="74EA14A8" w14:textId="77777777" w:rsidR="00303C41" w:rsidRPr="001E246B" w:rsidRDefault="00303C41" w:rsidP="00303C41">
      <w:pPr>
        <w:ind w:firstLine="720"/>
        <w:rPr>
          <w:rFonts w:ascii="Cambria" w:eastAsia="Times New Roman" w:hAnsi="Cambria"/>
          <w:color w:val="000000"/>
          <w:sz w:val="16"/>
          <w:szCs w:val="16"/>
          <w:lang w:val="es-BO"/>
        </w:rPr>
      </w:pPr>
    </w:p>
  </w:footnote>
  <w:footnote w:id="3">
    <w:p w14:paraId="53275536" w14:textId="77777777" w:rsidR="00303C41" w:rsidRPr="00421C29" w:rsidRDefault="00303C41" w:rsidP="00303C41">
      <w:pPr>
        <w:pStyle w:val="FootnoteText"/>
        <w:ind w:firstLine="720"/>
        <w:rPr>
          <w:lang w:val="es-BO"/>
        </w:rPr>
      </w:pPr>
      <w:r w:rsidRPr="001E246B">
        <w:rPr>
          <w:rStyle w:val="FootnoteReference"/>
          <w:rFonts w:ascii="Cambria" w:hAnsi="Cambria"/>
          <w:color w:val="000000"/>
          <w:sz w:val="16"/>
          <w:szCs w:val="16"/>
        </w:rPr>
        <w:footnoteRef/>
      </w:r>
      <w:r w:rsidRPr="001E246B">
        <w:rPr>
          <w:rFonts w:ascii="Cambria" w:hAnsi="Cambria"/>
          <w:color w:val="000000"/>
          <w:sz w:val="16"/>
          <w:szCs w:val="16"/>
          <w:lang w:val="es-BO"/>
        </w:rPr>
        <w:t xml:space="preserve"> CIDH, </w:t>
      </w:r>
      <w:hyperlink r:id="rId3" w:history="1">
        <w:r w:rsidRPr="001E246B">
          <w:rPr>
            <w:rStyle w:val="Hyperlink"/>
            <w:rFonts w:ascii="Cambria" w:hAnsi="Cambria"/>
            <w:color w:val="000000"/>
            <w:sz w:val="16"/>
            <w:szCs w:val="16"/>
            <w:lang w:val="es-BO"/>
          </w:rPr>
          <w:t>Caso 12.873, Informe de Fondo No. 44/14, Edgar Tamayo Arias (Estados Unidos)</w:t>
        </w:r>
      </w:hyperlink>
      <w:r w:rsidRPr="001E246B">
        <w:rPr>
          <w:rFonts w:ascii="Cambria" w:hAnsi="Cambria"/>
          <w:color w:val="000000"/>
          <w:sz w:val="16"/>
          <w:szCs w:val="16"/>
          <w:lang w:val="es-BO"/>
        </w:rPr>
        <w:t xml:space="preserve">, pár. 214; CIDH, </w:t>
      </w:r>
      <w:hyperlink r:id="rId4" w:history="1">
        <w:r w:rsidRPr="001E246B">
          <w:rPr>
            <w:rStyle w:val="Hyperlink"/>
            <w:rFonts w:ascii="Cambria" w:hAnsi="Cambria"/>
            <w:color w:val="000000"/>
            <w:sz w:val="16"/>
            <w:szCs w:val="16"/>
            <w:lang w:val="es-BO"/>
          </w:rPr>
          <w:t xml:space="preserve">Hacia el Cierre de </w:t>
        </w:r>
        <w:proofErr w:type="spellStart"/>
        <w:r w:rsidRPr="001E246B">
          <w:rPr>
            <w:rStyle w:val="Hyperlink"/>
            <w:rFonts w:ascii="Cambria" w:hAnsi="Cambria"/>
            <w:color w:val="000000"/>
            <w:sz w:val="16"/>
            <w:szCs w:val="16"/>
            <w:lang w:val="es-BO"/>
          </w:rPr>
          <w:t>Guantanamo</w:t>
        </w:r>
        <w:proofErr w:type="spellEnd"/>
      </w:hyperlink>
      <w:r w:rsidRPr="001E246B">
        <w:rPr>
          <w:rFonts w:ascii="Cambria" w:hAnsi="Cambria"/>
          <w:color w:val="000000"/>
          <w:sz w:val="16"/>
          <w:szCs w:val="16"/>
          <w:lang w:val="es-BO"/>
        </w:rPr>
        <w:t xml:space="preserve">, 2015, párs.17-21; CIDH, Caso 12.586, Informe No. 78/11, John </w:t>
      </w:r>
      <w:proofErr w:type="spellStart"/>
      <w:r w:rsidRPr="001E246B">
        <w:rPr>
          <w:rFonts w:ascii="Cambria" w:hAnsi="Cambria"/>
          <w:color w:val="000000"/>
          <w:sz w:val="16"/>
          <w:szCs w:val="16"/>
          <w:lang w:val="es-BO"/>
        </w:rPr>
        <w:t>Doe</w:t>
      </w:r>
      <w:proofErr w:type="spellEnd"/>
      <w:r w:rsidRPr="001E246B">
        <w:rPr>
          <w:rFonts w:ascii="Cambria" w:hAnsi="Cambria"/>
          <w:color w:val="000000"/>
          <w:sz w:val="16"/>
          <w:szCs w:val="16"/>
          <w:lang w:val="es-BO"/>
        </w:rPr>
        <w:t xml:space="preserve"> y otros (</w:t>
      </w:r>
      <w:proofErr w:type="spellStart"/>
      <w:r w:rsidRPr="001E246B">
        <w:rPr>
          <w:rFonts w:ascii="Cambria" w:hAnsi="Cambria"/>
          <w:color w:val="000000"/>
          <w:sz w:val="16"/>
          <w:szCs w:val="16"/>
          <w:lang w:val="es-BO"/>
        </w:rPr>
        <w:t>Canada</w:t>
      </w:r>
      <w:proofErr w:type="spellEnd"/>
      <w:r w:rsidRPr="001E246B">
        <w:rPr>
          <w:rFonts w:ascii="Cambria" w:hAnsi="Cambria"/>
          <w:color w:val="000000"/>
          <w:sz w:val="16"/>
          <w:szCs w:val="16"/>
          <w:lang w:val="es-BO"/>
        </w:rPr>
        <w:t>), pár. 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982A1F02"/>
    <w:lvl w:ilvl="0" w:tplc="ED0A3C7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911B9"/>
    <w:multiLevelType w:val="hybridMultilevel"/>
    <w:tmpl w:val="283C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7B66293"/>
    <w:multiLevelType w:val="hybridMultilevel"/>
    <w:tmpl w:val="C9A2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1E3F7D4C"/>
    <w:multiLevelType w:val="hybridMultilevel"/>
    <w:tmpl w:val="C32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276E67D6"/>
    <w:multiLevelType w:val="hybridMultilevel"/>
    <w:tmpl w:val="911E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C135C"/>
    <w:multiLevelType w:val="hybridMultilevel"/>
    <w:tmpl w:val="7FCE6AD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15:restartNumberingAfterBreak="0">
    <w:nsid w:val="41936C6B"/>
    <w:multiLevelType w:val="hybridMultilevel"/>
    <w:tmpl w:val="8B584D40"/>
    <w:lvl w:ilvl="0" w:tplc="F21CC3E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968B3"/>
    <w:multiLevelType w:val="hybridMultilevel"/>
    <w:tmpl w:val="04BE29B0"/>
    <w:lvl w:ilvl="0" w:tplc="BC800B10">
      <w:start w:val="1"/>
      <w:numFmt w:val="decimal"/>
      <w:lvlText w:val="%1."/>
      <w:lvlJc w:val="left"/>
      <w:pPr>
        <w:ind w:left="720" w:hanging="360"/>
      </w:pPr>
      <w:rPr>
        <w:rFonts w:hint="default"/>
        <w:color w:val="000000"/>
        <w:sz w:val="2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662E5"/>
    <w:multiLevelType w:val="hybridMultilevel"/>
    <w:tmpl w:val="1E9A83FA"/>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D23DB"/>
    <w:multiLevelType w:val="hybridMultilevel"/>
    <w:tmpl w:val="6242DF96"/>
    <w:lvl w:ilvl="0" w:tplc="199855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270F2"/>
    <w:multiLevelType w:val="hybridMultilevel"/>
    <w:tmpl w:val="79C05DA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9C1C07"/>
    <w:multiLevelType w:val="hybridMultilevel"/>
    <w:tmpl w:val="CD2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B7C6B"/>
    <w:multiLevelType w:val="hybridMultilevel"/>
    <w:tmpl w:val="8272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BC655D2"/>
    <w:multiLevelType w:val="hybridMultilevel"/>
    <w:tmpl w:val="9AD8EED2"/>
    <w:lvl w:ilvl="0" w:tplc="F48AE38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00A47"/>
    <w:multiLevelType w:val="hybridMultilevel"/>
    <w:tmpl w:val="CF8CB3EE"/>
    <w:lvl w:ilvl="0" w:tplc="27B230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994624A"/>
    <w:multiLevelType w:val="hybridMultilevel"/>
    <w:tmpl w:val="086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30" w15:restartNumberingAfterBreak="0">
    <w:nsid w:val="7CF506BA"/>
    <w:multiLevelType w:val="hybridMultilevel"/>
    <w:tmpl w:val="56EA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783063">
    <w:abstractNumId w:val="12"/>
  </w:num>
  <w:num w:numId="2" w16cid:durableId="110898157">
    <w:abstractNumId w:val="29"/>
  </w:num>
  <w:num w:numId="3" w16cid:durableId="1460763129">
    <w:abstractNumId w:val="21"/>
  </w:num>
  <w:num w:numId="4" w16cid:durableId="1515805143">
    <w:abstractNumId w:val="5"/>
  </w:num>
  <w:num w:numId="5" w16cid:durableId="309098756">
    <w:abstractNumId w:val="3"/>
  </w:num>
  <w:num w:numId="6" w16cid:durableId="487091347">
    <w:abstractNumId w:val="9"/>
  </w:num>
  <w:num w:numId="7" w16cid:durableId="1051685934">
    <w:abstractNumId w:val="1"/>
  </w:num>
  <w:num w:numId="8" w16cid:durableId="568657269">
    <w:abstractNumId w:val="20"/>
  </w:num>
  <w:num w:numId="9" w16cid:durableId="12524660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2597032">
    <w:abstractNumId w:val="0"/>
  </w:num>
  <w:num w:numId="11" w16cid:durableId="63113881">
    <w:abstractNumId w:val="18"/>
  </w:num>
  <w:num w:numId="12" w16cid:durableId="92362710">
    <w:abstractNumId w:val="14"/>
  </w:num>
  <w:num w:numId="13" w16cid:durableId="1580015189">
    <w:abstractNumId w:val="27"/>
  </w:num>
  <w:num w:numId="14" w16cid:durableId="474680835">
    <w:abstractNumId w:val="22"/>
  </w:num>
  <w:num w:numId="15" w16cid:durableId="1595631095">
    <w:abstractNumId w:val="26"/>
  </w:num>
  <w:num w:numId="16" w16cid:durableId="381248712">
    <w:abstractNumId w:val="28"/>
  </w:num>
  <w:num w:numId="17" w16cid:durableId="1291084015">
    <w:abstractNumId w:val="23"/>
  </w:num>
  <w:num w:numId="18" w16cid:durableId="1807580388">
    <w:abstractNumId w:val="17"/>
  </w:num>
  <w:num w:numId="19" w16cid:durableId="343434061">
    <w:abstractNumId w:val="24"/>
  </w:num>
  <w:num w:numId="20" w16cid:durableId="324210140">
    <w:abstractNumId w:val="2"/>
  </w:num>
  <w:num w:numId="21" w16cid:durableId="1980721015">
    <w:abstractNumId w:val="25"/>
  </w:num>
  <w:num w:numId="22" w16cid:durableId="1373768610">
    <w:abstractNumId w:val="11"/>
  </w:num>
  <w:num w:numId="23" w16cid:durableId="1249998063">
    <w:abstractNumId w:val="6"/>
  </w:num>
  <w:num w:numId="24" w16cid:durableId="2129080797">
    <w:abstractNumId w:val="15"/>
  </w:num>
  <w:num w:numId="25" w16cid:durableId="1041828084">
    <w:abstractNumId w:val="30"/>
  </w:num>
  <w:num w:numId="26" w16cid:durableId="486752442">
    <w:abstractNumId w:val="10"/>
  </w:num>
  <w:num w:numId="27" w16cid:durableId="2076009765">
    <w:abstractNumId w:val="13"/>
  </w:num>
  <w:num w:numId="28" w16cid:durableId="822546268">
    <w:abstractNumId w:val="19"/>
  </w:num>
  <w:num w:numId="29" w16cid:durableId="44768103">
    <w:abstractNumId w:val="4"/>
  </w:num>
  <w:num w:numId="30" w16cid:durableId="10331863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5897945">
    <w:abstractNumId w:val="7"/>
  </w:num>
  <w:num w:numId="32" w16cid:durableId="4748800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7A65"/>
    <w:rsid w:val="00045E5E"/>
    <w:rsid w:val="000B5E1D"/>
    <w:rsid w:val="00105B23"/>
    <w:rsid w:val="00164925"/>
    <w:rsid w:val="00181DA0"/>
    <w:rsid w:val="001949EE"/>
    <w:rsid w:val="001B7C1B"/>
    <w:rsid w:val="002248FB"/>
    <w:rsid w:val="00234E64"/>
    <w:rsid w:val="002B4428"/>
    <w:rsid w:val="002E337B"/>
    <w:rsid w:val="00303C41"/>
    <w:rsid w:val="00322720"/>
    <w:rsid w:val="00453115"/>
    <w:rsid w:val="004758C9"/>
    <w:rsid w:val="0048723C"/>
    <w:rsid w:val="004C0E4E"/>
    <w:rsid w:val="00500FDE"/>
    <w:rsid w:val="005612A8"/>
    <w:rsid w:val="00566CD0"/>
    <w:rsid w:val="00575BF1"/>
    <w:rsid w:val="00637ED3"/>
    <w:rsid w:val="006638E5"/>
    <w:rsid w:val="00672733"/>
    <w:rsid w:val="006B1F24"/>
    <w:rsid w:val="007B7BB1"/>
    <w:rsid w:val="007C4DCE"/>
    <w:rsid w:val="008463D3"/>
    <w:rsid w:val="00850444"/>
    <w:rsid w:val="008818B0"/>
    <w:rsid w:val="008861D6"/>
    <w:rsid w:val="009C1E23"/>
    <w:rsid w:val="00A211C8"/>
    <w:rsid w:val="00B6126B"/>
    <w:rsid w:val="00BD17B0"/>
    <w:rsid w:val="00BF7A78"/>
    <w:rsid w:val="00D56DC4"/>
    <w:rsid w:val="00D73AC6"/>
    <w:rsid w:val="00E042FE"/>
    <w:rsid w:val="00E516AB"/>
    <w:rsid w:val="00E90CB3"/>
    <w:rsid w:val="00EA0262"/>
    <w:rsid w:val="00EC61E3"/>
    <w:rsid w:val="00ED0AAA"/>
    <w:rsid w:val="00ED1EBA"/>
    <w:rsid w:val="00F30045"/>
    <w:rsid w:val="00F41E7E"/>
    <w:rsid w:val="0E7F075F"/>
    <w:rsid w:val="4041670D"/>
    <w:rsid w:val="421DB740"/>
    <w:rsid w:val="6F1EB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2B4428"/>
    <w:pPr>
      <w:spacing w:after="160" w:line="240" w:lineRule="exact"/>
    </w:pPr>
    <w:rPr>
      <w:vertAlign w:val="superscript"/>
    </w:rPr>
  </w:style>
  <w:style w:type="character" w:styleId="Hyperlink">
    <w:name w:val="Hyperlink"/>
    <w:uiPriority w:val="99"/>
    <w:unhideWhenUsed/>
    <w:rsid w:val="002B4428"/>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2B4428"/>
  </w:style>
  <w:style w:type="paragraph" w:styleId="NoSpacing">
    <w:name w:val="No Spacing"/>
    <w:link w:val="NoSpacingChar"/>
    <w:uiPriority w:val="1"/>
    <w:qFormat/>
    <w:rsid w:val="002B4428"/>
    <w:rPr>
      <w:rFonts w:ascii="Calibri" w:eastAsia="Calibri" w:hAnsi="Calibri" w:cs="Times New Roman"/>
      <w:sz w:val="22"/>
      <w:szCs w:val="22"/>
      <w:lang w:val="pt-BR"/>
    </w:rPr>
  </w:style>
  <w:style w:type="paragraph" w:customStyle="1" w:styleId="Default">
    <w:name w:val="Default"/>
    <w:rsid w:val="007B7BB1"/>
    <w:pPr>
      <w:autoSpaceDE w:val="0"/>
      <w:autoSpaceDN w:val="0"/>
      <w:adjustRightInd w:val="0"/>
    </w:pPr>
    <w:rPr>
      <w:rFonts w:ascii="Cambria" w:hAnsi="Cambria" w:cs="Cambria"/>
      <w:color w:val="000000"/>
    </w:rPr>
  </w:style>
  <w:style w:type="paragraph" w:styleId="EndnoteText">
    <w:name w:val="endnote text"/>
    <w:basedOn w:val="Normal"/>
    <w:link w:val="EndnoteTextChar"/>
    <w:semiHidden/>
    <w:rsid w:val="00A211C8"/>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211C8"/>
    <w:rPr>
      <w:rFonts w:ascii="Times New Roman" w:eastAsia="Times New Roman" w:hAnsi="Times New Roman" w:cs="Times New Roman"/>
      <w:lang w:val="pt-BR" w:eastAsia="pt-BR"/>
    </w:rPr>
  </w:style>
  <w:style w:type="character" w:customStyle="1" w:styleId="NoSpacingChar">
    <w:name w:val="No Spacing Char"/>
    <w:link w:val="NoSpacing"/>
    <w:uiPriority w:val="1"/>
    <w:rsid w:val="001949EE"/>
    <w:rPr>
      <w:rFonts w:ascii="Calibri" w:eastAsia="Calibri" w:hAnsi="Calibri" w:cs="Times New Roman"/>
      <w:sz w:val="22"/>
      <w:szCs w:val="22"/>
      <w:lang w:val="pt-BR"/>
    </w:rPr>
  </w:style>
  <w:style w:type="paragraph" w:styleId="BodyTextIndent2">
    <w:name w:val="Body Text Indent 2"/>
    <w:basedOn w:val="Normal"/>
    <w:link w:val="BodyTextIndent2Char"/>
    <w:uiPriority w:val="99"/>
    <w:semiHidden/>
    <w:unhideWhenUsed/>
    <w:rsid w:val="009C1E23"/>
    <w:pPr>
      <w:spacing w:before="100" w:beforeAutospacing="1" w:after="100" w:afterAutospacing="1"/>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9C1E23"/>
    <w:rPr>
      <w:rFonts w:ascii="Times New Roman" w:eastAsia="Times New Roman" w:hAnsi="Times New Roman" w:cs="Times New Roman"/>
    </w:rPr>
  </w:style>
  <w:style w:type="character" w:styleId="CommentReference">
    <w:name w:val="annotation reference"/>
    <w:uiPriority w:val="99"/>
    <w:semiHidden/>
    <w:unhideWhenUsed/>
    <w:rsid w:val="00575B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9sp/TT12269.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5sp/TT12269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2014/USPU12873ES.pdf" TargetMode="External"/><Relationship Id="rId2" Type="http://schemas.openxmlformats.org/officeDocument/2006/relationships/hyperlink" Target="https://www.corteidh.or.cr/corteidh/docs/opiniones/seriea_10_esp1.pdf" TargetMode="External"/><Relationship Id="rId1" Type="http://schemas.openxmlformats.org/officeDocument/2006/relationships/hyperlink" Target="https://www.jcpc.uk/cases/docs/jcpc-2015-0055-judgment.pdf" TargetMode="External"/><Relationship Id="rId4" Type="http://schemas.openxmlformats.org/officeDocument/2006/relationships/hyperlink" Target="http://www.oas.org/es/cidh/informes/pdfs/Hacia-cierre-Guantanam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2022-04-20T20:10:00Z</dcterms:created>
  <dcterms:modified xsi:type="dcterms:W3CDTF">2022-04-20T20:10:00Z</dcterms:modified>
</cp:coreProperties>
</file>