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193" w:rsidRPr="003740AA" w:rsidRDefault="00DB24DC" w:rsidP="008D59C8">
      <w:pPr>
        <w:tabs>
          <w:tab w:val="left" w:pos="360"/>
        </w:tabs>
        <w:suppressAutoHyphens/>
        <w:rPr>
          <w:rFonts w:ascii="Cambria" w:hAnsi="Cambria"/>
          <w:sz w:val="20"/>
        </w:rPr>
      </w:pPr>
      <w:r>
        <w:rPr>
          <w:rFonts w:ascii="Cambria" w:hAnsi="Cambria"/>
          <w:noProof/>
          <w:sz w:val="20"/>
          <w:lang w:val="en-US" w:eastAsia="en-US" w:bidi="ar-SA"/>
        </w:rPr>
        <w:drawing>
          <wp:anchor distT="0" distB="0" distL="114300" distR="114300" simplePos="0" relativeHeight="251659776" behindDoc="1" locked="0" layoutInCell="1" allowOverlap="1" wp14:anchorId="455F6DE3" wp14:editId="7907665E">
            <wp:simplePos x="636270" y="358140"/>
            <wp:positionH relativeFrom="margin">
              <wp:align>left</wp:align>
            </wp:positionH>
            <wp:positionV relativeFrom="margin">
              <wp:align>top</wp:align>
            </wp:positionV>
            <wp:extent cx="2122170" cy="412750"/>
            <wp:effectExtent l="0" t="0" r="0" b="6350"/>
            <wp:wrapSquare wrapText="bothSides"/>
            <wp:docPr id="3" name="Picture 3"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2170" cy="412750"/>
                    </a:xfrm>
                    <a:prstGeom prst="rect">
                      <a:avLst/>
                    </a:prstGeom>
                    <a:noFill/>
                  </pic:spPr>
                </pic:pic>
              </a:graphicData>
            </a:graphic>
            <wp14:sizeRelH relativeFrom="page">
              <wp14:pctWidth>0</wp14:pctWidth>
            </wp14:sizeRelH>
            <wp14:sizeRelV relativeFrom="page">
              <wp14:pctHeight>0</wp14:pctHeight>
            </wp14:sizeRelV>
          </wp:anchor>
        </w:drawing>
      </w:r>
      <w:r w:rsidR="00181E29">
        <w:rPr>
          <w:rFonts w:ascii="Cambria" w:hAnsi="Cambria"/>
          <w:noProof/>
          <w:sz w:val="20"/>
          <w:lang w:val="en-US" w:eastAsia="en-US" w:bidi="ar-SA"/>
        </w:rPr>
        <w:drawing>
          <wp:anchor distT="0" distB="0" distL="114300" distR="114300" simplePos="0" relativeHeight="251660800" behindDoc="1" locked="0" layoutInCell="1" allowOverlap="1" wp14:anchorId="2BC4E2A0" wp14:editId="3B36EE44">
            <wp:simplePos x="0" y="0"/>
            <wp:positionH relativeFrom="margin">
              <wp:align>right</wp:align>
            </wp:positionH>
            <wp:positionV relativeFrom="margin">
              <wp:align>top</wp:align>
            </wp:positionV>
            <wp:extent cx="1647825" cy="478155"/>
            <wp:effectExtent l="0" t="0" r="9525" b="0"/>
            <wp:wrapSquare wrapText="bothSides"/>
            <wp:docPr id="2" name="Picture 2"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a-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7825" cy="478155"/>
                    </a:xfrm>
                    <a:prstGeom prst="rect">
                      <a:avLst/>
                    </a:prstGeom>
                    <a:noFill/>
                  </pic:spPr>
                </pic:pic>
              </a:graphicData>
            </a:graphic>
            <wp14:sizeRelH relativeFrom="page">
              <wp14:pctWidth>0</wp14:pctWidth>
            </wp14:sizeRelH>
            <wp14:sizeRelV relativeFrom="page">
              <wp14:pctHeight>0</wp14:pctHeight>
            </wp14:sizeRelV>
          </wp:anchor>
        </w:drawing>
      </w:r>
    </w:p>
    <w:p w:rsidR="00514193" w:rsidRPr="003740AA" w:rsidRDefault="00514193" w:rsidP="008D59C8">
      <w:pPr>
        <w:tabs>
          <w:tab w:val="left" w:pos="360"/>
        </w:tabs>
        <w:suppressAutoHyphens/>
        <w:rPr>
          <w:rFonts w:ascii="Cambria" w:hAnsi="Cambria"/>
          <w:sz w:val="20"/>
        </w:rPr>
      </w:pPr>
    </w:p>
    <w:p w:rsidR="00C95A96" w:rsidRPr="00FC2F1B" w:rsidRDefault="00C95A96" w:rsidP="008D59C8">
      <w:pPr>
        <w:tabs>
          <w:tab w:val="left" w:pos="6480"/>
        </w:tabs>
        <w:rPr>
          <w:rFonts w:ascii="Cambria" w:hAnsi="Cambria"/>
        </w:rPr>
      </w:pPr>
    </w:p>
    <w:p w:rsidR="00526AAE" w:rsidRPr="00181E29" w:rsidRDefault="00526AAE" w:rsidP="008D59C8">
      <w:pPr>
        <w:rPr>
          <w:rFonts w:ascii="Cambria" w:hAnsi="Cambria"/>
          <w:sz w:val="20"/>
          <w:lang w:val="pt-BR"/>
        </w:rPr>
      </w:pPr>
    </w:p>
    <w:p w:rsidR="00526AAE" w:rsidRPr="00181E29" w:rsidRDefault="00526AAE" w:rsidP="008D59C8">
      <w:pPr>
        <w:rPr>
          <w:rFonts w:ascii="Cambria" w:hAnsi="Cambria"/>
          <w:sz w:val="20"/>
          <w:lang w:val="pt-BR"/>
        </w:rPr>
      </w:pPr>
    </w:p>
    <w:p w:rsidR="00C95A96" w:rsidRPr="00181E29" w:rsidRDefault="00526AAE" w:rsidP="00A14276">
      <w:pPr>
        <w:spacing w:line="360" w:lineRule="auto"/>
        <w:ind w:left="6120" w:right="65"/>
        <w:rPr>
          <w:rFonts w:ascii="Cambria" w:hAnsi="Cambria" w:cs="Arial"/>
          <w:sz w:val="20"/>
          <w:szCs w:val="20"/>
          <w:lang w:val="pt-BR"/>
        </w:rPr>
      </w:pPr>
      <w:r w:rsidRPr="00181E29">
        <w:rPr>
          <w:rFonts w:ascii="Cambria" w:hAnsi="Cambria"/>
          <w:sz w:val="20"/>
          <w:lang w:val="pt-BR"/>
        </w:rPr>
        <w:t>O</w:t>
      </w:r>
      <w:r w:rsidR="00C95A96" w:rsidRPr="00181E29">
        <w:rPr>
          <w:rFonts w:ascii="Cambria" w:hAnsi="Cambria"/>
          <w:sz w:val="20"/>
          <w:lang w:val="pt-BR"/>
        </w:rPr>
        <w:t>EA/Ser.L/V/II.</w:t>
      </w:r>
      <w:r w:rsidR="00C95A96" w:rsidRPr="00181E29">
        <w:rPr>
          <w:rFonts w:ascii="Cambria" w:hAnsi="Cambria"/>
          <w:sz w:val="20"/>
          <w:szCs w:val="20"/>
          <w:lang w:val="pt-BR"/>
        </w:rPr>
        <w:br/>
      </w:r>
      <w:r w:rsidR="00C95A96" w:rsidRPr="00181E29">
        <w:rPr>
          <w:rFonts w:ascii="Cambria" w:hAnsi="Cambria"/>
          <w:sz w:val="20"/>
          <w:lang w:val="pt-BR"/>
        </w:rPr>
        <w:t xml:space="preserve">Doc. </w:t>
      </w:r>
      <w:r w:rsidR="0031445E" w:rsidRPr="00181E29">
        <w:rPr>
          <w:rFonts w:ascii="Cambria" w:hAnsi="Cambria"/>
          <w:sz w:val="20"/>
          <w:lang w:val="pt-BR"/>
        </w:rPr>
        <w:t>20/15</w:t>
      </w:r>
    </w:p>
    <w:p w:rsidR="00C95A96" w:rsidRPr="00FC2F1B" w:rsidRDefault="0031445E" w:rsidP="00A14276">
      <w:pPr>
        <w:tabs>
          <w:tab w:val="left" w:pos="6480"/>
        </w:tabs>
        <w:spacing w:line="360" w:lineRule="auto"/>
        <w:ind w:left="6120"/>
        <w:rPr>
          <w:rFonts w:ascii="Cambria" w:hAnsi="Cambria" w:cs="Arial"/>
          <w:sz w:val="20"/>
          <w:szCs w:val="20"/>
        </w:rPr>
      </w:pPr>
      <w:r>
        <w:rPr>
          <w:rFonts w:ascii="Cambria" w:hAnsi="Cambria"/>
          <w:sz w:val="20"/>
        </w:rPr>
        <w:t>3 Junio</w:t>
      </w:r>
      <w:r w:rsidR="00835BEE">
        <w:rPr>
          <w:rFonts w:ascii="Cambria" w:hAnsi="Cambria"/>
          <w:sz w:val="20"/>
        </w:rPr>
        <w:t xml:space="preserve"> 2015</w:t>
      </w:r>
    </w:p>
    <w:p w:rsidR="00C95A96" w:rsidRPr="00FC2F1B" w:rsidRDefault="00C95A96" w:rsidP="00A14276">
      <w:pPr>
        <w:tabs>
          <w:tab w:val="left" w:pos="6480"/>
        </w:tabs>
        <w:spacing w:line="360" w:lineRule="auto"/>
        <w:ind w:left="6120"/>
        <w:rPr>
          <w:rFonts w:ascii="Cambria" w:hAnsi="Cambria" w:cs="Arial"/>
          <w:sz w:val="20"/>
          <w:szCs w:val="20"/>
        </w:rPr>
      </w:pPr>
      <w:r>
        <w:rPr>
          <w:rFonts w:ascii="Cambria" w:hAnsi="Cambria"/>
          <w:sz w:val="20"/>
        </w:rPr>
        <w:t>Original: Inglés</w:t>
      </w:r>
    </w:p>
    <w:p w:rsidR="00C95A96" w:rsidRPr="008D59C8" w:rsidRDefault="00C95A96" w:rsidP="00225F6F">
      <w:pPr>
        <w:jc w:val="center"/>
        <w:rPr>
          <w:rFonts w:ascii="Cambria" w:hAnsi="Cambria" w:cs="Arial"/>
          <w:b/>
          <w:bCs/>
        </w:rPr>
      </w:pPr>
    </w:p>
    <w:p w:rsidR="00C95A96" w:rsidRPr="008D59C8" w:rsidRDefault="00C95A96" w:rsidP="00225F6F">
      <w:pPr>
        <w:jc w:val="center"/>
        <w:rPr>
          <w:rFonts w:ascii="Cambria" w:hAnsi="Cambria" w:cs="Arial"/>
          <w:b/>
          <w:bCs/>
        </w:rPr>
      </w:pPr>
    </w:p>
    <w:p w:rsidR="00C95A96" w:rsidRPr="008D59C8" w:rsidRDefault="00C95A96" w:rsidP="00225F6F">
      <w:pPr>
        <w:jc w:val="center"/>
        <w:rPr>
          <w:rFonts w:ascii="Cambria" w:hAnsi="Cambria" w:cs="Arial"/>
          <w:b/>
          <w:bCs/>
        </w:rPr>
      </w:pPr>
    </w:p>
    <w:p w:rsidR="00C95A96" w:rsidRPr="008D59C8" w:rsidRDefault="00C95A96" w:rsidP="00225F6F">
      <w:pPr>
        <w:jc w:val="center"/>
        <w:rPr>
          <w:rFonts w:ascii="Cambria" w:hAnsi="Cambria" w:cs="Arial"/>
          <w:b/>
          <w:bCs/>
        </w:rPr>
      </w:pPr>
    </w:p>
    <w:p w:rsidR="00C95A96" w:rsidRPr="008D59C8" w:rsidRDefault="00C95A96" w:rsidP="00225F6F">
      <w:pPr>
        <w:jc w:val="center"/>
        <w:rPr>
          <w:rFonts w:ascii="Cambria" w:hAnsi="Cambria" w:cs="Arial"/>
          <w:b/>
          <w:bCs/>
        </w:rPr>
      </w:pPr>
    </w:p>
    <w:p w:rsidR="006B3828" w:rsidRPr="008D59C8" w:rsidRDefault="006B3828" w:rsidP="00225F6F">
      <w:pPr>
        <w:tabs>
          <w:tab w:val="left" w:pos="360"/>
        </w:tabs>
        <w:suppressAutoHyphens/>
        <w:jc w:val="center"/>
        <w:rPr>
          <w:rFonts w:ascii="Cambria" w:hAnsi="Cambria"/>
        </w:rPr>
      </w:pPr>
    </w:p>
    <w:p w:rsidR="006B3828" w:rsidRPr="008D59C8" w:rsidRDefault="006B3828" w:rsidP="00225F6F">
      <w:pPr>
        <w:tabs>
          <w:tab w:val="left" w:pos="360"/>
        </w:tabs>
        <w:suppressAutoHyphens/>
        <w:jc w:val="center"/>
        <w:rPr>
          <w:rFonts w:ascii="Cambria" w:hAnsi="Cambria"/>
        </w:rPr>
      </w:pPr>
    </w:p>
    <w:p w:rsidR="00526AAE" w:rsidRPr="008D59C8" w:rsidRDefault="00526AAE" w:rsidP="00225F6F">
      <w:pPr>
        <w:tabs>
          <w:tab w:val="left" w:pos="360"/>
        </w:tabs>
        <w:suppressAutoHyphens/>
        <w:jc w:val="center"/>
        <w:rPr>
          <w:rFonts w:ascii="Cambria" w:hAnsi="Cambria"/>
        </w:rPr>
      </w:pPr>
    </w:p>
    <w:p w:rsidR="00526AAE" w:rsidRPr="008D59C8" w:rsidRDefault="00526AAE" w:rsidP="00225F6F">
      <w:pPr>
        <w:tabs>
          <w:tab w:val="left" w:pos="360"/>
        </w:tabs>
        <w:suppressAutoHyphens/>
        <w:jc w:val="center"/>
        <w:rPr>
          <w:rFonts w:ascii="Cambria" w:hAnsi="Cambria"/>
        </w:rPr>
      </w:pPr>
    </w:p>
    <w:p w:rsidR="00C95A96" w:rsidRPr="00FC2F1B" w:rsidRDefault="00C95A96" w:rsidP="00225F6F">
      <w:pPr>
        <w:tabs>
          <w:tab w:val="left" w:pos="360"/>
        </w:tabs>
        <w:suppressAutoHyphens/>
        <w:jc w:val="center"/>
        <w:rPr>
          <w:rFonts w:ascii="Cambria" w:hAnsi="Cambria"/>
          <w:sz w:val="20"/>
        </w:rPr>
      </w:pPr>
      <w:r>
        <w:rPr>
          <w:rFonts w:ascii="Cambria" w:hAnsi="Cambria"/>
        </w:rPr>
        <w:t>COMISIÓN INTERAMERICANA DE DERECHOS HUMANOS</w:t>
      </w:r>
    </w:p>
    <w:p w:rsidR="00C95A96" w:rsidRPr="00FC2F1B" w:rsidRDefault="00C95A96" w:rsidP="00225F6F">
      <w:pPr>
        <w:ind w:left="5760" w:hanging="720"/>
        <w:rPr>
          <w:rFonts w:ascii="Cambria" w:hAnsi="Cambria" w:cs="Arial"/>
          <w:b/>
          <w:bCs/>
          <w:sz w:val="20"/>
          <w:szCs w:val="20"/>
        </w:rPr>
      </w:pPr>
    </w:p>
    <w:p w:rsidR="00C95A96" w:rsidRPr="00526AAE" w:rsidRDefault="006054C3" w:rsidP="006054C3">
      <w:pPr>
        <w:jc w:val="center"/>
        <w:rPr>
          <w:rFonts w:ascii="Cambria" w:hAnsi="Cambria" w:cs="Arial"/>
          <w:sz w:val="52"/>
          <w:szCs w:val="52"/>
        </w:rPr>
      </w:pPr>
      <w:r w:rsidRPr="00526AAE">
        <w:rPr>
          <w:rFonts w:ascii="Cambria" w:hAnsi="Cambria"/>
          <w:sz w:val="52"/>
          <w:szCs w:val="52"/>
        </w:rPr>
        <w:t>Hacia el cierre de Guantánamo</w:t>
      </w:r>
    </w:p>
    <w:p w:rsidR="00C95A96" w:rsidRPr="00FC2F1B" w:rsidRDefault="00C95A96" w:rsidP="00225F6F">
      <w:pPr>
        <w:jc w:val="center"/>
        <w:rPr>
          <w:rFonts w:ascii="Cambria" w:hAnsi="Cambria" w:cs="Arial"/>
          <w:sz w:val="18"/>
          <w:szCs w:val="18"/>
        </w:rPr>
      </w:pPr>
    </w:p>
    <w:p w:rsidR="00C95A96" w:rsidRPr="00FC2F1B" w:rsidRDefault="00C95A96" w:rsidP="008D59C8">
      <w:pPr>
        <w:jc w:val="center"/>
        <w:rPr>
          <w:rFonts w:ascii="Cambria" w:hAnsi="Cambria" w:cs="Arial"/>
          <w:sz w:val="18"/>
          <w:szCs w:val="18"/>
        </w:rPr>
      </w:pPr>
    </w:p>
    <w:p w:rsidR="00C95A96" w:rsidRPr="00FC2F1B" w:rsidRDefault="00C95A96" w:rsidP="008D59C8">
      <w:pPr>
        <w:jc w:val="center"/>
        <w:rPr>
          <w:rFonts w:ascii="Cambria" w:hAnsi="Cambria" w:cs="Arial"/>
          <w:sz w:val="18"/>
          <w:szCs w:val="18"/>
        </w:rPr>
      </w:pPr>
    </w:p>
    <w:p w:rsidR="00C95A96" w:rsidRPr="00FC2F1B" w:rsidRDefault="00C95A96" w:rsidP="008D59C8">
      <w:pPr>
        <w:jc w:val="center"/>
        <w:rPr>
          <w:rFonts w:ascii="Cambria" w:hAnsi="Cambria" w:cs="Arial"/>
          <w:sz w:val="18"/>
          <w:szCs w:val="18"/>
        </w:rPr>
      </w:pPr>
    </w:p>
    <w:p w:rsidR="00C95A96" w:rsidRPr="00FC2F1B" w:rsidRDefault="00C95A96" w:rsidP="008D59C8">
      <w:pPr>
        <w:jc w:val="center"/>
        <w:rPr>
          <w:rFonts w:ascii="Cambria" w:hAnsi="Cambria" w:cs="Arial"/>
          <w:sz w:val="18"/>
          <w:szCs w:val="18"/>
        </w:rPr>
      </w:pPr>
    </w:p>
    <w:p w:rsidR="00C95A96" w:rsidRPr="00FC2F1B" w:rsidRDefault="00C95A96" w:rsidP="008D59C8">
      <w:pPr>
        <w:jc w:val="center"/>
        <w:rPr>
          <w:rFonts w:ascii="Cambria" w:hAnsi="Cambria" w:cs="Arial"/>
          <w:sz w:val="18"/>
          <w:szCs w:val="18"/>
        </w:rPr>
      </w:pPr>
    </w:p>
    <w:p w:rsidR="00C95A96" w:rsidRPr="00FC2F1B" w:rsidRDefault="00C95A96" w:rsidP="008D59C8">
      <w:pPr>
        <w:jc w:val="center"/>
        <w:rPr>
          <w:rFonts w:ascii="Cambria" w:hAnsi="Cambria" w:cs="Arial"/>
          <w:sz w:val="18"/>
          <w:szCs w:val="18"/>
        </w:rPr>
      </w:pPr>
    </w:p>
    <w:p w:rsidR="00C95A96" w:rsidRPr="00FC2F1B" w:rsidRDefault="00C95A96" w:rsidP="008D59C8">
      <w:pPr>
        <w:jc w:val="center"/>
        <w:rPr>
          <w:rFonts w:ascii="Cambria" w:hAnsi="Cambria" w:cs="Arial"/>
          <w:sz w:val="18"/>
          <w:szCs w:val="18"/>
        </w:rPr>
      </w:pPr>
    </w:p>
    <w:p w:rsidR="00C95A96" w:rsidRPr="00FC2F1B" w:rsidRDefault="00C95A96" w:rsidP="008D59C8">
      <w:pPr>
        <w:jc w:val="center"/>
        <w:rPr>
          <w:rFonts w:ascii="Cambria" w:hAnsi="Cambria" w:cs="Arial"/>
          <w:sz w:val="18"/>
          <w:szCs w:val="18"/>
        </w:rPr>
      </w:pPr>
    </w:p>
    <w:p w:rsidR="00C95A96" w:rsidRPr="00FC2F1B" w:rsidRDefault="00C95A96" w:rsidP="008D59C8">
      <w:pPr>
        <w:jc w:val="center"/>
        <w:rPr>
          <w:rFonts w:ascii="Cambria" w:hAnsi="Cambria" w:cs="Arial"/>
          <w:sz w:val="18"/>
          <w:szCs w:val="18"/>
        </w:rPr>
      </w:pPr>
    </w:p>
    <w:p w:rsidR="00C95A96" w:rsidRPr="00FC2F1B" w:rsidRDefault="00C95A96" w:rsidP="008D59C8">
      <w:pPr>
        <w:jc w:val="center"/>
        <w:rPr>
          <w:rFonts w:ascii="Cambria" w:hAnsi="Cambria" w:cs="Arial"/>
          <w:sz w:val="18"/>
          <w:szCs w:val="18"/>
        </w:rPr>
      </w:pPr>
    </w:p>
    <w:p w:rsidR="00C95A96" w:rsidRPr="00FC2F1B" w:rsidRDefault="00C95A96" w:rsidP="008D59C8">
      <w:pPr>
        <w:jc w:val="center"/>
        <w:rPr>
          <w:rFonts w:ascii="Cambria" w:hAnsi="Cambria" w:cs="Arial"/>
          <w:sz w:val="18"/>
          <w:szCs w:val="18"/>
        </w:rPr>
      </w:pPr>
    </w:p>
    <w:p w:rsidR="00C95A96" w:rsidRPr="00FC2F1B" w:rsidRDefault="00C95A96" w:rsidP="008D59C8">
      <w:pPr>
        <w:jc w:val="center"/>
        <w:rPr>
          <w:rFonts w:ascii="Cambria" w:hAnsi="Cambria" w:cs="Arial"/>
          <w:sz w:val="18"/>
          <w:szCs w:val="18"/>
        </w:rPr>
      </w:pPr>
    </w:p>
    <w:p w:rsidR="00C95A96" w:rsidRPr="00FC2F1B" w:rsidRDefault="00C95A96" w:rsidP="008D59C8">
      <w:pPr>
        <w:jc w:val="center"/>
        <w:rPr>
          <w:rFonts w:ascii="Cambria" w:hAnsi="Cambria" w:cs="Arial"/>
          <w:sz w:val="18"/>
          <w:szCs w:val="18"/>
        </w:rPr>
      </w:pPr>
    </w:p>
    <w:p w:rsidR="00C95A96" w:rsidRPr="00FC2F1B" w:rsidRDefault="00C95A96" w:rsidP="008D59C8">
      <w:pPr>
        <w:jc w:val="center"/>
        <w:rPr>
          <w:rFonts w:ascii="Cambria" w:hAnsi="Cambria" w:cs="Arial"/>
          <w:sz w:val="18"/>
          <w:szCs w:val="18"/>
        </w:rPr>
      </w:pPr>
    </w:p>
    <w:p w:rsidR="00C95A96" w:rsidRPr="00FC2F1B" w:rsidRDefault="00C95A96" w:rsidP="008D59C8">
      <w:pPr>
        <w:jc w:val="center"/>
        <w:rPr>
          <w:rFonts w:ascii="Cambria" w:hAnsi="Cambria" w:cs="Arial"/>
          <w:sz w:val="18"/>
          <w:szCs w:val="18"/>
        </w:rPr>
      </w:pPr>
    </w:p>
    <w:p w:rsidR="00C95A96" w:rsidRPr="00FC2F1B" w:rsidRDefault="00C95A96" w:rsidP="008D59C8">
      <w:pPr>
        <w:jc w:val="center"/>
        <w:rPr>
          <w:rFonts w:ascii="Cambria" w:hAnsi="Cambria" w:cs="Arial"/>
          <w:sz w:val="18"/>
          <w:szCs w:val="18"/>
        </w:rPr>
      </w:pPr>
    </w:p>
    <w:p w:rsidR="006B3828" w:rsidRDefault="006B3828" w:rsidP="008D59C8">
      <w:pPr>
        <w:jc w:val="center"/>
        <w:rPr>
          <w:rFonts w:ascii="Cambria" w:hAnsi="Cambria" w:cs="Arial"/>
          <w:sz w:val="20"/>
          <w:szCs w:val="20"/>
        </w:rPr>
      </w:pPr>
    </w:p>
    <w:p w:rsidR="00355FD9" w:rsidRDefault="00355FD9" w:rsidP="008D59C8">
      <w:pPr>
        <w:jc w:val="center"/>
        <w:rPr>
          <w:rFonts w:ascii="Cambria" w:hAnsi="Cambria" w:cs="Arial"/>
          <w:sz w:val="20"/>
          <w:szCs w:val="20"/>
        </w:rPr>
      </w:pPr>
    </w:p>
    <w:p w:rsidR="00355FD9" w:rsidRDefault="00355FD9" w:rsidP="008D59C8">
      <w:pPr>
        <w:jc w:val="center"/>
        <w:rPr>
          <w:rFonts w:ascii="Cambria" w:hAnsi="Cambria" w:cs="Arial"/>
          <w:sz w:val="20"/>
          <w:szCs w:val="20"/>
        </w:rPr>
      </w:pPr>
    </w:p>
    <w:p w:rsidR="00355FD9" w:rsidRDefault="00355FD9" w:rsidP="008D59C8">
      <w:pPr>
        <w:jc w:val="center"/>
        <w:rPr>
          <w:rFonts w:ascii="Cambria" w:hAnsi="Cambria" w:cs="Arial"/>
          <w:sz w:val="20"/>
          <w:szCs w:val="20"/>
        </w:rPr>
      </w:pPr>
    </w:p>
    <w:p w:rsidR="008D59C8" w:rsidRDefault="008D59C8" w:rsidP="008D59C8">
      <w:pPr>
        <w:jc w:val="center"/>
        <w:rPr>
          <w:rFonts w:ascii="Cambria" w:hAnsi="Cambria" w:cs="Arial"/>
          <w:sz w:val="20"/>
          <w:szCs w:val="20"/>
        </w:rPr>
      </w:pPr>
    </w:p>
    <w:p w:rsidR="008D59C8" w:rsidRDefault="008D59C8" w:rsidP="008D59C8">
      <w:pPr>
        <w:jc w:val="center"/>
        <w:rPr>
          <w:rFonts w:ascii="Cambria" w:hAnsi="Cambria" w:cs="Arial"/>
          <w:sz w:val="20"/>
          <w:szCs w:val="20"/>
        </w:rPr>
      </w:pPr>
    </w:p>
    <w:p w:rsidR="00B86B87" w:rsidRDefault="00B86B87" w:rsidP="008D59C8">
      <w:pPr>
        <w:jc w:val="center"/>
        <w:rPr>
          <w:rFonts w:ascii="Cambria" w:hAnsi="Cambria" w:cs="Arial"/>
          <w:sz w:val="20"/>
          <w:szCs w:val="20"/>
        </w:rPr>
      </w:pPr>
    </w:p>
    <w:p w:rsidR="00526AAE" w:rsidRPr="00FC2F1B" w:rsidRDefault="00526AAE" w:rsidP="008D59C8">
      <w:pPr>
        <w:jc w:val="center"/>
        <w:rPr>
          <w:rFonts w:ascii="Cambria" w:hAnsi="Cambria" w:cs="Arial"/>
          <w:sz w:val="20"/>
          <w:szCs w:val="20"/>
        </w:rPr>
      </w:pPr>
    </w:p>
    <w:p w:rsidR="00C95A96" w:rsidRPr="00FC2F1B" w:rsidRDefault="00C95A96" w:rsidP="00225F6F">
      <w:pPr>
        <w:jc w:val="center"/>
        <w:rPr>
          <w:rFonts w:ascii="Cambria" w:hAnsi="Cambria" w:cs="Arial"/>
          <w:sz w:val="22"/>
          <w:szCs w:val="22"/>
        </w:rPr>
      </w:pPr>
      <w:r>
        <w:rPr>
          <w:rFonts w:ascii="Cambria" w:hAnsi="Cambria"/>
          <w:sz w:val="22"/>
        </w:rPr>
        <w:t>2015</w:t>
      </w:r>
    </w:p>
    <w:p w:rsidR="00C95A96" w:rsidRPr="00FC2F1B" w:rsidRDefault="00C95A96" w:rsidP="00225F6F">
      <w:pPr>
        <w:jc w:val="center"/>
        <w:rPr>
          <w:rFonts w:ascii="Cambria" w:hAnsi="Cambria"/>
          <w:b/>
          <w:color w:val="4A442A"/>
          <w:sz w:val="22"/>
          <w:szCs w:val="22"/>
        </w:rPr>
        <w:sectPr w:rsidR="00C95A96" w:rsidRPr="00FC2F1B" w:rsidSect="00B86B87">
          <w:headerReference w:type="default" r:id="rId11"/>
          <w:pgSz w:w="10325" w:h="14573" w:code="13"/>
          <w:pgMar w:top="1152" w:right="1152" w:bottom="1152" w:left="1440" w:header="720" w:footer="720" w:gutter="0"/>
          <w:cols w:space="720"/>
          <w:titlePg/>
          <w:docGrid w:linePitch="326"/>
        </w:sectPr>
      </w:pPr>
      <w:r>
        <w:rPr>
          <w:rFonts w:ascii="Cambria" w:hAnsi="Cambria"/>
          <w:sz w:val="22"/>
        </w:rPr>
        <w:t>www.cidh.org</w:t>
      </w:r>
    </w:p>
    <w:tbl>
      <w:tblPr>
        <w:tblW w:w="6351" w:type="dxa"/>
        <w:jc w:val="center"/>
        <w:shd w:val="clear" w:color="auto" w:fill="DDD9C3"/>
        <w:tblLook w:val="01E0" w:firstRow="1" w:lastRow="1" w:firstColumn="1" w:lastColumn="1" w:noHBand="0" w:noVBand="0"/>
      </w:tblPr>
      <w:tblGrid>
        <w:gridCol w:w="6351"/>
      </w:tblGrid>
      <w:tr w:rsidR="00901FE4" w:rsidRPr="00901FE4" w:rsidTr="00AD56DA">
        <w:trPr>
          <w:trHeight w:val="2687"/>
          <w:jc w:val="center"/>
        </w:trPr>
        <w:tc>
          <w:tcPr>
            <w:tcW w:w="6351" w:type="dxa"/>
            <w:shd w:val="clear" w:color="auto" w:fill="EEECE1"/>
          </w:tcPr>
          <w:p w:rsidR="00901FE4" w:rsidRPr="005E6786" w:rsidRDefault="00901FE4" w:rsidP="00AD56DA">
            <w:pPr>
              <w:pStyle w:val="Heading6"/>
              <w:spacing w:before="0" w:after="0"/>
              <w:jc w:val="center"/>
              <w:rPr>
                <w:rFonts w:ascii="Cambria" w:eastAsia="MS Mincho" w:hAnsi="Cambria"/>
                <w:sz w:val="18"/>
                <w:szCs w:val="18"/>
                <w:lang w:val="en-US"/>
              </w:rPr>
            </w:pPr>
          </w:p>
          <w:p w:rsidR="00901FE4" w:rsidRPr="00901FE4" w:rsidRDefault="00901FE4" w:rsidP="00AD56DA">
            <w:pPr>
              <w:pStyle w:val="Heading6"/>
              <w:spacing w:before="0" w:after="0"/>
              <w:jc w:val="center"/>
              <w:rPr>
                <w:rFonts w:ascii="Cambria" w:eastAsia="MS Mincho" w:hAnsi="Cambria"/>
                <w:sz w:val="18"/>
                <w:szCs w:val="18"/>
                <w:lang w:val="en-US"/>
              </w:rPr>
            </w:pPr>
            <w:r w:rsidRPr="00901FE4">
              <w:rPr>
                <w:rFonts w:ascii="Cambria" w:eastAsia="MS Mincho" w:hAnsi="Cambria"/>
                <w:sz w:val="18"/>
                <w:szCs w:val="18"/>
                <w:lang w:val="en-US"/>
              </w:rPr>
              <w:t>OAS Cataloging-in-Publication Data</w:t>
            </w:r>
          </w:p>
          <w:p w:rsidR="00901FE4" w:rsidRPr="00901FE4" w:rsidRDefault="00901FE4" w:rsidP="00AD56DA">
            <w:pPr>
              <w:rPr>
                <w:rFonts w:ascii="Cambria" w:eastAsia="MS Mincho" w:hAnsi="Cambria"/>
                <w:b/>
                <w:bCs/>
                <w:sz w:val="18"/>
                <w:szCs w:val="18"/>
                <w:u w:val="single"/>
                <w:lang w:val="en-US"/>
              </w:rPr>
            </w:pPr>
          </w:p>
          <w:p w:rsidR="00901FE4" w:rsidRPr="00901FE4" w:rsidRDefault="00901FE4" w:rsidP="00AD56DA">
            <w:pPr>
              <w:ind w:left="360" w:right="446"/>
              <w:rPr>
                <w:rFonts w:ascii="Cambria" w:eastAsia="MS Mincho" w:hAnsi="Cambria"/>
                <w:sz w:val="18"/>
                <w:szCs w:val="18"/>
                <w:lang w:val="en-US"/>
              </w:rPr>
            </w:pPr>
          </w:p>
          <w:p w:rsidR="00901FE4" w:rsidRPr="00901FE4" w:rsidRDefault="00901FE4" w:rsidP="00AD56DA">
            <w:pPr>
              <w:spacing w:after="120"/>
              <w:ind w:left="360" w:right="446"/>
              <w:rPr>
                <w:rFonts w:ascii="Cambria" w:eastAsia="MS Mincho" w:hAnsi="Cambria"/>
                <w:sz w:val="18"/>
                <w:szCs w:val="18"/>
                <w:lang w:val="en-US"/>
              </w:rPr>
            </w:pPr>
            <w:r w:rsidRPr="00901FE4">
              <w:rPr>
                <w:rFonts w:ascii="Cambria" w:eastAsia="MS Mincho" w:hAnsi="Cambria"/>
                <w:sz w:val="18"/>
                <w:szCs w:val="18"/>
                <w:lang w:val="en-US"/>
              </w:rPr>
              <w:t>Inter-American Commission on Human Rights.</w:t>
            </w:r>
          </w:p>
          <w:p w:rsidR="00901FE4" w:rsidRPr="00901FE4" w:rsidRDefault="00901FE4" w:rsidP="00901FE4">
            <w:pPr>
              <w:spacing w:after="120" w:line="360" w:lineRule="auto"/>
              <w:ind w:left="360" w:right="446"/>
              <w:rPr>
                <w:rFonts w:ascii="Cambria" w:eastAsia="MS Mincho" w:hAnsi="Cambria"/>
                <w:sz w:val="18"/>
                <w:szCs w:val="18"/>
              </w:rPr>
            </w:pPr>
            <w:r w:rsidRPr="00901FE4">
              <w:rPr>
                <w:rFonts w:ascii="Cambria" w:eastAsia="MS Mincho" w:hAnsi="Cambria"/>
                <w:sz w:val="18"/>
                <w:szCs w:val="18"/>
              </w:rPr>
              <w:t>Hacia el cierre de Guantánamo  / Comisión Interamericana de Derechos Humanos.</w:t>
            </w:r>
          </w:p>
          <w:p w:rsidR="00901FE4" w:rsidRPr="00901FE4" w:rsidRDefault="00901FE4" w:rsidP="00901FE4">
            <w:pPr>
              <w:spacing w:after="120" w:line="360" w:lineRule="auto"/>
              <w:ind w:left="360" w:right="446"/>
              <w:rPr>
                <w:rFonts w:ascii="Cambria" w:eastAsia="MS Mincho" w:hAnsi="Cambria"/>
                <w:sz w:val="18"/>
                <w:szCs w:val="18"/>
              </w:rPr>
            </w:pPr>
            <w:proofErr w:type="gramStart"/>
            <w:r w:rsidRPr="00901FE4">
              <w:rPr>
                <w:rFonts w:ascii="Cambria" w:eastAsia="MS Mincho" w:hAnsi="Cambria"/>
                <w:sz w:val="18"/>
                <w:szCs w:val="18"/>
              </w:rPr>
              <w:t>v. ;</w:t>
            </w:r>
            <w:proofErr w:type="gramEnd"/>
            <w:r w:rsidRPr="00901FE4">
              <w:rPr>
                <w:rFonts w:ascii="Cambria" w:eastAsia="MS Mincho" w:hAnsi="Cambria"/>
                <w:sz w:val="18"/>
                <w:szCs w:val="18"/>
              </w:rPr>
              <w:t xml:space="preserve"> cm. (OAS. Documentos oficiales ;  OEA/</w:t>
            </w:r>
            <w:proofErr w:type="spellStart"/>
            <w:r w:rsidRPr="00901FE4">
              <w:rPr>
                <w:rFonts w:ascii="Cambria" w:eastAsia="MS Mincho" w:hAnsi="Cambria"/>
                <w:sz w:val="18"/>
                <w:szCs w:val="18"/>
              </w:rPr>
              <w:t>Ser.L</w:t>
            </w:r>
            <w:proofErr w:type="spellEnd"/>
            <w:r w:rsidRPr="00901FE4">
              <w:rPr>
                <w:rFonts w:ascii="Cambria" w:eastAsia="MS Mincho" w:hAnsi="Cambria"/>
                <w:sz w:val="18"/>
                <w:szCs w:val="18"/>
              </w:rPr>
              <w:t>)</w:t>
            </w:r>
          </w:p>
          <w:p w:rsidR="00901FE4" w:rsidRPr="00901FE4" w:rsidRDefault="00901FE4" w:rsidP="00AD56DA">
            <w:pPr>
              <w:spacing w:after="120"/>
              <w:ind w:left="360" w:right="446"/>
              <w:rPr>
                <w:rFonts w:ascii="Cambria" w:eastAsia="MS Mincho" w:hAnsi="Cambria"/>
                <w:sz w:val="18"/>
                <w:szCs w:val="18"/>
              </w:rPr>
            </w:pPr>
            <w:r w:rsidRPr="00901FE4">
              <w:rPr>
                <w:rFonts w:ascii="Cambria" w:eastAsia="MS Mincho" w:hAnsi="Cambria"/>
                <w:sz w:val="18"/>
                <w:szCs w:val="18"/>
              </w:rPr>
              <w:t>ISBN 978-0-8270-6422-5</w:t>
            </w:r>
          </w:p>
          <w:p w:rsidR="00901FE4" w:rsidRPr="00901FE4" w:rsidRDefault="00901FE4" w:rsidP="00AD56DA">
            <w:pPr>
              <w:spacing w:after="120" w:line="360" w:lineRule="auto"/>
              <w:ind w:left="360" w:right="446"/>
              <w:rPr>
                <w:rFonts w:ascii="Cambria" w:eastAsia="MS Mincho" w:hAnsi="Cambria"/>
                <w:sz w:val="18"/>
                <w:szCs w:val="18"/>
              </w:rPr>
            </w:pPr>
          </w:p>
          <w:p w:rsidR="00901FE4" w:rsidRPr="00901FE4" w:rsidRDefault="00901FE4" w:rsidP="00901FE4">
            <w:pPr>
              <w:spacing w:after="120" w:line="360" w:lineRule="auto"/>
              <w:ind w:left="360" w:right="446"/>
              <w:rPr>
                <w:rFonts w:ascii="Cambria" w:eastAsia="MS Mincho" w:hAnsi="Cambria"/>
                <w:sz w:val="18"/>
                <w:szCs w:val="18"/>
              </w:rPr>
            </w:pPr>
            <w:r w:rsidRPr="00901FE4">
              <w:rPr>
                <w:rFonts w:ascii="Cambria" w:eastAsia="MS Mincho" w:hAnsi="Cambria"/>
                <w:sz w:val="18"/>
                <w:szCs w:val="18"/>
              </w:rPr>
              <w:t xml:space="preserve">1. Guantánamo </w:t>
            </w:r>
            <w:proofErr w:type="spellStart"/>
            <w:r w:rsidRPr="00901FE4">
              <w:rPr>
                <w:rFonts w:ascii="Cambria" w:eastAsia="MS Mincho" w:hAnsi="Cambria"/>
                <w:sz w:val="18"/>
                <w:szCs w:val="18"/>
              </w:rPr>
              <w:t>Bay</w:t>
            </w:r>
            <w:proofErr w:type="spellEnd"/>
            <w:r w:rsidRPr="00901FE4">
              <w:rPr>
                <w:rFonts w:ascii="Cambria" w:eastAsia="MS Mincho" w:hAnsi="Cambria"/>
                <w:sz w:val="18"/>
                <w:szCs w:val="18"/>
              </w:rPr>
              <w:t xml:space="preserve"> </w:t>
            </w:r>
            <w:proofErr w:type="spellStart"/>
            <w:r w:rsidRPr="00901FE4">
              <w:rPr>
                <w:rFonts w:ascii="Cambria" w:eastAsia="MS Mincho" w:hAnsi="Cambria"/>
                <w:sz w:val="18"/>
                <w:szCs w:val="18"/>
              </w:rPr>
              <w:t>Detention</w:t>
            </w:r>
            <w:proofErr w:type="spellEnd"/>
            <w:r w:rsidRPr="00901FE4">
              <w:rPr>
                <w:rFonts w:ascii="Cambria" w:eastAsia="MS Mincho" w:hAnsi="Cambria"/>
                <w:sz w:val="18"/>
                <w:szCs w:val="18"/>
              </w:rPr>
              <w:t xml:space="preserve"> Camp.  2. </w:t>
            </w:r>
            <w:proofErr w:type="spellStart"/>
            <w:r w:rsidRPr="00901FE4">
              <w:rPr>
                <w:rFonts w:ascii="Cambria" w:eastAsia="MS Mincho" w:hAnsi="Cambria"/>
                <w:sz w:val="18"/>
                <w:szCs w:val="18"/>
              </w:rPr>
              <w:t>Prisoners</w:t>
            </w:r>
            <w:proofErr w:type="spellEnd"/>
            <w:r w:rsidRPr="00901FE4">
              <w:rPr>
                <w:rFonts w:ascii="Cambria" w:eastAsia="MS Mincho" w:hAnsi="Cambria"/>
                <w:sz w:val="18"/>
                <w:szCs w:val="18"/>
              </w:rPr>
              <w:t xml:space="preserve"> of </w:t>
            </w:r>
            <w:proofErr w:type="spellStart"/>
            <w:r w:rsidRPr="00901FE4">
              <w:rPr>
                <w:rFonts w:ascii="Cambria" w:eastAsia="MS Mincho" w:hAnsi="Cambria"/>
                <w:sz w:val="18"/>
                <w:szCs w:val="18"/>
              </w:rPr>
              <w:t>war</w:t>
            </w:r>
            <w:proofErr w:type="spellEnd"/>
            <w:r w:rsidRPr="00901FE4">
              <w:rPr>
                <w:rFonts w:ascii="Cambria" w:eastAsia="MS Mincho" w:hAnsi="Cambria"/>
                <w:sz w:val="18"/>
                <w:szCs w:val="18"/>
              </w:rPr>
              <w:t xml:space="preserve">--Legal status, </w:t>
            </w:r>
            <w:proofErr w:type="spellStart"/>
            <w:r w:rsidRPr="00901FE4">
              <w:rPr>
                <w:rFonts w:ascii="Cambria" w:eastAsia="MS Mincho" w:hAnsi="Cambria"/>
                <w:sz w:val="18"/>
                <w:szCs w:val="18"/>
              </w:rPr>
              <w:t>laws</w:t>
            </w:r>
            <w:proofErr w:type="spellEnd"/>
            <w:r w:rsidRPr="00901FE4">
              <w:rPr>
                <w:rFonts w:ascii="Cambria" w:eastAsia="MS Mincho" w:hAnsi="Cambria"/>
                <w:sz w:val="18"/>
                <w:szCs w:val="18"/>
              </w:rPr>
              <w:t xml:space="preserve">, etc.--Cuba--Guantánamo </w:t>
            </w:r>
            <w:proofErr w:type="spellStart"/>
            <w:r w:rsidRPr="00901FE4">
              <w:rPr>
                <w:rFonts w:ascii="Cambria" w:eastAsia="MS Mincho" w:hAnsi="Cambria"/>
                <w:sz w:val="18"/>
                <w:szCs w:val="18"/>
              </w:rPr>
              <w:t>Bay</w:t>
            </w:r>
            <w:proofErr w:type="spellEnd"/>
            <w:r w:rsidRPr="00901FE4">
              <w:rPr>
                <w:rFonts w:ascii="Cambria" w:eastAsia="MS Mincho" w:hAnsi="Cambria"/>
                <w:sz w:val="18"/>
                <w:szCs w:val="18"/>
              </w:rPr>
              <w:t xml:space="preserve"> Naval Base.</w:t>
            </w:r>
          </w:p>
          <w:p w:rsidR="00901FE4" w:rsidRPr="00901FE4" w:rsidRDefault="00901FE4" w:rsidP="00901FE4">
            <w:pPr>
              <w:spacing w:after="120" w:line="360" w:lineRule="auto"/>
              <w:ind w:left="360" w:right="446"/>
              <w:rPr>
                <w:rFonts w:ascii="Cambria" w:eastAsia="MS Mincho" w:hAnsi="Cambria"/>
                <w:sz w:val="18"/>
                <w:szCs w:val="18"/>
                <w:lang w:val="en-US"/>
              </w:rPr>
            </w:pPr>
            <w:r w:rsidRPr="00901FE4">
              <w:rPr>
                <w:rFonts w:ascii="Cambria" w:eastAsia="MS Mincho" w:hAnsi="Cambria"/>
                <w:sz w:val="18"/>
                <w:szCs w:val="18"/>
                <w:lang w:val="en-US"/>
              </w:rPr>
              <w:t>3. Prisoners of war--United States. 4. Detention of persons--Cuba--Guantánamo Bay Naval Base. I. Title. II</w:t>
            </w:r>
            <w:proofErr w:type="gramStart"/>
            <w:r w:rsidRPr="00901FE4">
              <w:rPr>
                <w:rFonts w:ascii="Cambria" w:eastAsia="MS Mincho" w:hAnsi="Cambria"/>
                <w:sz w:val="18"/>
                <w:szCs w:val="18"/>
                <w:lang w:val="en-US"/>
              </w:rPr>
              <w:t xml:space="preserve">. </w:t>
            </w:r>
            <w:r>
              <w:rPr>
                <w:rFonts w:ascii="Cambria" w:eastAsia="MS Mincho" w:hAnsi="Cambria"/>
                <w:sz w:val="18"/>
                <w:szCs w:val="18"/>
                <w:lang w:val="en-US"/>
              </w:rPr>
              <w:t xml:space="preserve"> </w:t>
            </w:r>
            <w:r w:rsidRPr="00901FE4">
              <w:rPr>
                <w:rFonts w:ascii="Cambria" w:eastAsia="MS Mincho" w:hAnsi="Cambria"/>
                <w:sz w:val="18"/>
                <w:szCs w:val="18"/>
                <w:lang w:val="en-US"/>
              </w:rPr>
              <w:t>OAS</w:t>
            </w:r>
            <w:proofErr w:type="gramEnd"/>
            <w:r w:rsidRPr="00901FE4">
              <w:rPr>
                <w:rFonts w:ascii="Cambria" w:eastAsia="MS Mincho" w:hAnsi="Cambria"/>
                <w:sz w:val="18"/>
                <w:szCs w:val="18"/>
                <w:lang w:val="en-US"/>
              </w:rPr>
              <w:t xml:space="preserve">. </w:t>
            </w:r>
            <w:proofErr w:type="spellStart"/>
            <w:r w:rsidRPr="00901FE4">
              <w:rPr>
                <w:rFonts w:ascii="Cambria" w:eastAsia="MS Mincho" w:hAnsi="Cambria"/>
                <w:sz w:val="18"/>
                <w:szCs w:val="18"/>
                <w:lang w:val="en-US"/>
              </w:rPr>
              <w:t>Documentos</w:t>
            </w:r>
            <w:proofErr w:type="spellEnd"/>
            <w:r w:rsidRPr="00901FE4">
              <w:rPr>
                <w:rFonts w:ascii="Cambria" w:eastAsia="MS Mincho" w:hAnsi="Cambria"/>
                <w:sz w:val="18"/>
                <w:szCs w:val="18"/>
                <w:lang w:val="en-US"/>
              </w:rPr>
              <w:t xml:space="preserve"> </w:t>
            </w:r>
            <w:proofErr w:type="spellStart"/>
            <w:r w:rsidRPr="00901FE4">
              <w:rPr>
                <w:rFonts w:ascii="Cambria" w:eastAsia="MS Mincho" w:hAnsi="Cambria"/>
                <w:sz w:val="18"/>
                <w:szCs w:val="18"/>
                <w:lang w:val="en-US"/>
              </w:rPr>
              <w:t>oficiales</w:t>
            </w:r>
            <w:proofErr w:type="spellEnd"/>
            <w:r w:rsidRPr="00901FE4">
              <w:rPr>
                <w:rFonts w:ascii="Cambria" w:eastAsia="MS Mincho" w:hAnsi="Cambria"/>
                <w:sz w:val="18"/>
                <w:szCs w:val="18"/>
                <w:lang w:val="en-US"/>
              </w:rPr>
              <w:t xml:space="preserve"> ;</w:t>
            </w:r>
          </w:p>
          <w:p w:rsidR="00901FE4" w:rsidRPr="00901FE4" w:rsidRDefault="00901FE4" w:rsidP="00AD56DA">
            <w:pPr>
              <w:spacing w:after="120"/>
              <w:ind w:left="360" w:right="446"/>
              <w:jc w:val="right"/>
              <w:rPr>
                <w:rFonts w:ascii="Cambria" w:eastAsia="MS Mincho" w:hAnsi="Cambria"/>
                <w:b/>
                <w:sz w:val="18"/>
                <w:szCs w:val="18"/>
                <w:lang w:val="en-US"/>
              </w:rPr>
            </w:pPr>
            <w:r w:rsidRPr="00901FE4">
              <w:rPr>
                <w:rFonts w:ascii="Cambria" w:eastAsia="MS Mincho" w:hAnsi="Cambria"/>
                <w:sz w:val="18"/>
                <w:szCs w:val="18"/>
                <w:lang w:val="en-US"/>
              </w:rPr>
              <w:t>OEA/</w:t>
            </w:r>
            <w:proofErr w:type="spellStart"/>
            <w:r w:rsidRPr="00901FE4">
              <w:rPr>
                <w:rFonts w:ascii="Cambria" w:eastAsia="MS Mincho" w:hAnsi="Cambria"/>
                <w:sz w:val="18"/>
                <w:szCs w:val="18"/>
                <w:lang w:val="en-US"/>
              </w:rPr>
              <w:t>Ser.L</w:t>
            </w:r>
            <w:proofErr w:type="spellEnd"/>
            <w:r w:rsidRPr="00901FE4">
              <w:rPr>
                <w:rFonts w:ascii="Cambria" w:eastAsia="MS Mincho" w:hAnsi="Cambria"/>
                <w:sz w:val="18"/>
                <w:szCs w:val="18"/>
                <w:lang w:val="en-US"/>
              </w:rPr>
              <w:t>/V/II. Doc.20/15</w:t>
            </w:r>
          </w:p>
        </w:tc>
      </w:tr>
    </w:tbl>
    <w:p w:rsidR="00C95A96" w:rsidRPr="00FC2F1B" w:rsidRDefault="00C95A96" w:rsidP="00225F6F">
      <w:pPr>
        <w:jc w:val="center"/>
        <w:rPr>
          <w:rFonts w:ascii="Cambria" w:hAnsi="Cambria"/>
          <w:b/>
          <w:sz w:val="20"/>
          <w:szCs w:val="20"/>
        </w:rPr>
        <w:sectPr w:rsidR="00C95A96" w:rsidRPr="00FC2F1B" w:rsidSect="00AD56DA">
          <w:headerReference w:type="first" r:id="rId12"/>
          <w:footerReference w:type="first" r:id="rId13"/>
          <w:pgSz w:w="10325" w:h="14573" w:code="13"/>
          <w:pgMar w:top="1152" w:right="1152" w:bottom="1152" w:left="1296" w:header="720" w:footer="720" w:gutter="0"/>
          <w:cols w:space="720"/>
          <w:vAlign w:val="center"/>
          <w:titlePg/>
          <w:docGrid w:linePitch="326"/>
        </w:sectPr>
      </w:pPr>
    </w:p>
    <w:p w:rsidR="00C95A96" w:rsidRPr="00FC2F1B" w:rsidRDefault="00C95A96" w:rsidP="00225F6F">
      <w:pPr>
        <w:rPr>
          <w:rFonts w:ascii="Cambria" w:hAnsi="Cambria"/>
          <w:b/>
          <w:sz w:val="28"/>
        </w:rPr>
      </w:pPr>
      <w:r>
        <w:rPr>
          <w:rFonts w:ascii="Cambria" w:hAnsi="Cambria"/>
          <w:b/>
          <w:sz w:val="28"/>
        </w:rPr>
        <w:lastRenderedPageBreak/>
        <w:t>COMISIÓN INTERAMERICANA DE DERECHOS HUMANOS</w:t>
      </w:r>
    </w:p>
    <w:p w:rsidR="00C95A96" w:rsidRPr="00FC2F1B" w:rsidRDefault="00C95A96" w:rsidP="00225F6F">
      <w:pPr>
        <w:tabs>
          <w:tab w:val="center" w:pos="4680"/>
        </w:tabs>
        <w:rPr>
          <w:rFonts w:ascii="Cambria" w:hAnsi="Cambria"/>
          <w:b/>
          <w:bCs/>
          <w:color w:val="7F7F7F"/>
        </w:rPr>
      </w:pPr>
    </w:p>
    <w:p w:rsidR="00C95A96" w:rsidRPr="00FC2F1B" w:rsidRDefault="00C95A96" w:rsidP="00225F6F">
      <w:pPr>
        <w:tabs>
          <w:tab w:val="center" w:pos="4680"/>
        </w:tabs>
        <w:rPr>
          <w:rFonts w:ascii="Cambria" w:hAnsi="Cambria"/>
          <w:b/>
          <w:bCs/>
          <w:color w:val="7F7F7F"/>
        </w:rPr>
      </w:pPr>
    </w:p>
    <w:p w:rsidR="00C95A96" w:rsidRPr="00FC2F1B" w:rsidRDefault="00C95A96" w:rsidP="00225F6F">
      <w:pPr>
        <w:tabs>
          <w:tab w:val="center" w:pos="4680"/>
        </w:tabs>
        <w:rPr>
          <w:rFonts w:ascii="Cambria" w:hAnsi="Cambria"/>
          <w:b/>
          <w:bCs/>
          <w:color w:val="7F7F7F"/>
        </w:rPr>
      </w:pPr>
    </w:p>
    <w:p w:rsidR="00C95A96" w:rsidRPr="0043424D" w:rsidRDefault="0091084E" w:rsidP="005E6786">
      <w:pPr>
        <w:pBdr>
          <w:bottom w:val="single" w:sz="4" w:space="1" w:color="808080" w:themeColor="background1" w:themeShade="80"/>
        </w:pBdr>
        <w:tabs>
          <w:tab w:val="center" w:pos="4680"/>
        </w:tabs>
        <w:rPr>
          <w:rFonts w:ascii="Cambria" w:hAnsi="Cambria"/>
          <w:b/>
          <w:bCs/>
          <w:color w:val="7F7F7F"/>
          <w:sz w:val="26"/>
          <w:szCs w:val="26"/>
        </w:rPr>
      </w:pPr>
      <w:r>
        <w:rPr>
          <w:rFonts w:ascii="Cambria" w:hAnsi="Cambria"/>
          <w:b/>
          <w:color w:val="7F7F7F"/>
          <w:sz w:val="26"/>
        </w:rPr>
        <w:t>Miembros</w:t>
      </w:r>
    </w:p>
    <w:p w:rsidR="00C95A96" w:rsidRPr="00FC2F1B" w:rsidRDefault="00C95A96" w:rsidP="00225F6F">
      <w:pPr>
        <w:tabs>
          <w:tab w:val="left" w:pos="0"/>
        </w:tabs>
        <w:rPr>
          <w:rFonts w:ascii="Cambria" w:hAnsi="Cambria"/>
          <w:sz w:val="20"/>
          <w:szCs w:val="20"/>
        </w:rPr>
      </w:pPr>
    </w:p>
    <w:p w:rsidR="00C95A96" w:rsidRPr="00FC2F1B" w:rsidRDefault="00C95A96" w:rsidP="00225F6F">
      <w:pPr>
        <w:tabs>
          <w:tab w:val="left" w:pos="0"/>
        </w:tabs>
        <w:rPr>
          <w:rFonts w:ascii="Cambria" w:hAnsi="Cambria"/>
          <w:sz w:val="20"/>
          <w:szCs w:val="20"/>
        </w:rPr>
      </w:pPr>
    </w:p>
    <w:p w:rsidR="00835BEE" w:rsidRPr="0043424D" w:rsidRDefault="00835BEE" w:rsidP="00835BEE">
      <w:pPr>
        <w:tabs>
          <w:tab w:val="left" w:pos="0"/>
        </w:tabs>
        <w:rPr>
          <w:rFonts w:ascii="Cambria" w:hAnsi="Cambria"/>
        </w:rPr>
      </w:pPr>
      <w:r>
        <w:rPr>
          <w:rFonts w:ascii="Cambria" w:hAnsi="Cambria"/>
        </w:rPr>
        <w:t>Rose-Marie Belle Antoine</w:t>
      </w:r>
    </w:p>
    <w:p w:rsidR="00835BEE" w:rsidRPr="0043424D" w:rsidRDefault="00835BEE" w:rsidP="00225F6F">
      <w:pPr>
        <w:tabs>
          <w:tab w:val="left" w:pos="0"/>
        </w:tabs>
        <w:rPr>
          <w:rFonts w:ascii="Cambria" w:hAnsi="Cambria"/>
        </w:rPr>
      </w:pPr>
    </w:p>
    <w:p w:rsidR="00835BEE" w:rsidRPr="0043424D" w:rsidRDefault="00835BEE" w:rsidP="00835BEE">
      <w:pPr>
        <w:tabs>
          <w:tab w:val="left" w:pos="0"/>
        </w:tabs>
        <w:rPr>
          <w:rFonts w:ascii="Cambria" w:hAnsi="Cambria"/>
        </w:rPr>
      </w:pPr>
      <w:r>
        <w:rPr>
          <w:rFonts w:ascii="Cambria" w:hAnsi="Cambria"/>
        </w:rPr>
        <w:t xml:space="preserve">James L. </w:t>
      </w:r>
      <w:proofErr w:type="spellStart"/>
      <w:r>
        <w:rPr>
          <w:rFonts w:ascii="Cambria" w:hAnsi="Cambria"/>
        </w:rPr>
        <w:t>Cavallaro</w:t>
      </w:r>
      <w:proofErr w:type="spellEnd"/>
      <w:r w:rsidR="00D568A5">
        <w:rPr>
          <w:rFonts w:ascii="Cambria" w:hAnsi="Cambria"/>
        </w:rPr>
        <w:t>*</w:t>
      </w:r>
    </w:p>
    <w:p w:rsidR="00835BEE" w:rsidRPr="0043424D" w:rsidRDefault="00835BEE" w:rsidP="00225F6F">
      <w:pPr>
        <w:tabs>
          <w:tab w:val="left" w:pos="0"/>
        </w:tabs>
        <w:rPr>
          <w:rFonts w:ascii="Cambria" w:hAnsi="Cambria"/>
        </w:rPr>
      </w:pPr>
    </w:p>
    <w:p w:rsidR="00835BEE" w:rsidRPr="0043424D" w:rsidRDefault="00835BEE" w:rsidP="00835BEE">
      <w:pPr>
        <w:tabs>
          <w:tab w:val="left" w:pos="0"/>
        </w:tabs>
        <w:rPr>
          <w:rFonts w:ascii="Cambria" w:hAnsi="Cambria"/>
        </w:rPr>
      </w:pPr>
      <w:r>
        <w:rPr>
          <w:rFonts w:ascii="Cambria" w:hAnsi="Cambria"/>
        </w:rPr>
        <w:t>José de Jesús Orozco Henríquez</w:t>
      </w:r>
    </w:p>
    <w:p w:rsidR="00835BEE" w:rsidRPr="0043424D" w:rsidRDefault="00835BEE" w:rsidP="00225F6F">
      <w:pPr>
        <w:tabs>
          <w:tab w:val="left" w:pos="0"/>
        </w:tabs>
        <w:rPr>
          <w:rFonts w:ascii="Cambria" w:hAnsi="Cambria"/>
        </w:rPr>
      </w:pPr>
    </w:p>
    <w:p w:rsidR="0038197A" w:rsidRPr="0043424D" w:rsidRDefault="0038197A" w:rsidP="0038197A">
      <w:pPr>
        <w:tabs>
          <w:tab w:val="left" w:pos="0"/>
        </w:tabs>
        <w:rPr>
          <w:rFonts w:ascii="Cambria" w:hAnsi="Cambria"/>
        </w:rPr>
      </w:pPr>
      <w:r>
        <w:rPr>
          <w:rFonts w:ascii="Cambria" w:hAnsi="Cambria"/>
        </w:rPr>
        <w:t>Felipe González</w:t>
      </w:r>
    </w:p>
    <w:p w:rsidR="0038197A" w:rsidRPr="0043424D" w:rsidRDefault="0038197A" w:rsidP="00225F6F">
      <w:pPr>
        <w:tabs>
          <w:tab w:val="left" w:pos="0"/>
        </w:tabs>
        <w:rPr>
          <w:rFonts w:ascii="Cambria" w:hAnsi="Cambria"/>
        </w:rPr>
      </w:pPr>
    </w:p>
    <w:p w:rsidR="00C95A96" w:rsidRPr="0043424D" w:rsidRDefault="00C95A96" w:rsidP="00225F6F">
      <w:pPr>
        <w:tabs>
          <w:tab w:val="left" w:pos="0"/>
        </w:tabs>
        <w:rPr>
          <w:rFonts w:ascii="Cambria" w:hAnsi="Cambria"/>
        </w:rPr>
      </w:pPr>
      <w:r>
        <w:rPr>
          <w:rFonts w:ascii="Cambria" w:hAnsi="Cambria"/>
        </w:rPr>
        <w:t>Tracy Robinson</w:t>
      </w:r>
    </w:p>
    <w:p w:rsidR="00C95A96" w:rsidRPr="0043424D" w:rsidRDefault="00C95A96" w:rsidP="00225F6F">
      <w:pPr>
        <w:tabs>
          <w:tab w:val="left" w:pos="0"/>
        </w:tabs>
        <w:rPr>
          <w:rFonts w:ascii="Cambria" w:hAnsi="Cambria"/>
          <w:b/>
        </w:rPr>
      </w:pPr>
    </w:p>
    <w:p w:rsidR="00C95A96" w:rsidRPr="0043424D" w:rsidRDefault="00C95A96" w:rsidP="00225F6F">
      <w:pPr>
        <w:tabs>
          <w:tab w:val="left" w:pos="0"/>
        </w:tabs>
        <w:rPr>
          <w:rFonts w:ascii="Cambria" w:hAnsi="Cambria"/>
        </w:rPr>
      </w:pPr>
      <w:r>
        <w:rPr>
          <w:rFonts w:ascii="Cambria" w:hAnsi="Cambria"/>
        </w:rPr>
        <w:t>Rosa María Ortiz</w:t>
      </w:r>
    </w:p>
    <w:p w:rsidR="00C95A96" w:rsidRPr="0043424D" w:rsidRDefault="00C95A96" w:rsidP="00225F6F">
      <w:pPr>
        <w:tabs>
          <w:tab w:val="left" w:pos="0"/>
        </w:tabs>
        <w:rPr>
          <w:rFonts w:ascii="Cambria" w:hAnsi="Cambria"/>
        </w:rPr>
      </w:pPr>
    </w:p>
    <w:p w:rsidR="00C95A96" w:rsidRPr="0043424D" w:rsidRDefault="00C95A96" w:rsidP="00225F6F">
      <w:pPr>
        <w:tabs>
          <w:tab w:val="left" w:pos="0"/>
        </w:tabs>
        <w:rPr>
          <w:rFonts w:ascii="Cambria" w:hAnsi="Cambria"/>
        </w:rPr>
      </w:pPr>
      <w:r>
        <w:rPr>
          <w:rFonts w:ascii="Cambria" w:hAnsi="Cambria"/>
        </w:rPr>
        <w:t>Paulo Vannuchi</w:t>
      </w:r>
    </w:p>
    <w:p w:rsidR="00C95A96" w:rsidRPr="00FC2F1B" w:rsidRDefault="00C95A96" w:rsidP="00225F6F">
      <w:pPr>
        <w:tabs>
          <w:tab w:val="left" w:pos="0"/>
        </w:tabs>
        <w:rPr>
          <w:rFonts w:ascii="Cambria" w:hAnsi="Cambria"/>
          <w:sz w:val="20"/>
          <w:szCs w:val="20"/>
        </w:rPr>
      </w:pPr>
    </w:p>
    <w:p w:rsidR="00C95A96" w:rsidRPr="00FC2F1B" w:rsidRDefault="00C95A96" w:rsidP="00225F6F">
      <w:pPr>
        <w:tabs>
          <w:tab w:val="left" w:pos="0"/>
        </w:tabs>
        <w:rPr>
          <w:rFonts w:ascii="Cambria" w:hAnsi="Cambria"/>
          <w:sz w:val="20"/>
          <w:szCs w:val="20"/>
        </w:rPr>
      </w:pPr>
    </w:p>
    <w:p w:rsidR="00C95A96" w:rsidRPr="0043424D" w:rsidRDefault="0091084E" w:rsidP="005E6786">
      <w:pPr>
        <w:pBdr>
          <w:bottom w:val="single" w:sz="4" w:space="1" w:color="808080" w:themeColor="background1" w:themeShade="80"/>
        </w:pBdr>
        <w:rPr>
          <w:rFonts w:ascii="Cambria" w:hAnsi="Cambria"/>
          <w:b/>
          <w:bCs/>
          <w:color w:val="7F7F7F"/>
          <w:sz w:val="26"/>
          <w:szCs w:val="26"/>
        </w:rPr>
      </w:pPr>
      <w:r>
        <w:rPr>
          <w:rFonts w:ascii="Cambria" w:hAnsi="Cambria"/>
          <w:b/>
          <w:color w:val="7F7F7F"/>
          <w:sz w:val="26"/>
        </w:rPr>
        <w:t>Secretario Ejecutivo</w:t>
      </w:r>
    </w:p>
    <w:p w:rsidR="00C95A96" w:rsidRPr="00FC2F1B" w:rsidRDefault="00C95A96" w:rsidP="00225F6F">
      <w:pPr>
        <w:rPr>
          <w:rFonts w:ascii="Cambria" w:hAnsi="Cambria"/>
          <w:bCs/>
          <w:sz w:val="20"/>
          <w:szCs w:val="20"/>
        </w:rPr>
      </w:pPr>
    </w:p>
    <w:p w:rsidR="00C95A96" w:rsidRPr="0043424D" w:rsidRDefault="00C95A96" w:rsidP="00225F6F">
      <w:pPr>
        <w:rPr>
          <w:rFonts w:ascii="Cambria" w:hAnsi="Cambria"/>
          <w:bCs/>
        </w:rPr>
      </w:pPr>
      <w:r>
        <w:rPr>
          <w:rFonts w:ascii="Cambria" w:hAnsi="Cambria"/>
        </w:rPr>
        <w:t>Emilio Álvarez-</w:t>
      </w:r>
      <w:r w:rsidR="009A675A">
        <w:rPr>
          <w:rFonts w:ascii="Cambria" w:hAnsi="Cambria"/>
        </w:rPr>
        <w:t>Icaza Longoria</w:t>
      </w:r>
    </w:p>
    <w:p w:rsidR="00C95A96" w:rsidRDefault="00C95A96" w:rsidP="00225F6F">
      <w:pPr>
        <w:rPr>
          <w:rFonts w:ascii="Cambria" w:hAnsi="Cambria"/>
          <w:bCs/>
          <w:sz w:val="20"/>
          <w:szCs w:val="20"/>
        </w:rPr>
      </w:pPr>
    </w:p>
    <w:p w:rsidR="005E6786" w:rsidRPr="00FC2F1B" w:rsidRDefault="005E6786" w:rsidP="00225F6F">
      <w:pPr>
        <w:rPr>
          <w:rFonts w:ascii="Cambria" w:hAnsi="Cambria"/>
          <w:bCs/>
          <w:sz w:val="20"/>
          <w:szCs w:val="20"/>
        </w:rPr>
      </w:pPr>
    </w:p>
    <w:p w:rsidR="00C95A96" w:rsidRPr="0043424D" w:rsidRDefault="0091084E" w:rsidP="005E6786">
      <w:pPr>
        <w:pBdr>
          <w:bottom w:val="single" w:sz="4" w:space="1" w:color="808080" w:themeColor="background1" w:themeShade="80"/>
        </w:pBdr>
        <w:rPr>
          <w:rFonts w:ascii="Cambria" w:hAnsi="Cambria"/>
          <w:bCs/>
          <w:color w:val="7F7F7F"/>
          <w:sz w:val="26"/>
          <w:szCs w:val="26"/>
        </w:rPr>
      </w:pPr>
      <w:r>
        <w:rPr>
          <w:rFonts w:ascii="Cambria" w:hAnsi="Cambria"/>
          <w:b/>
          <w:color w:val="7F7F7F"/>
          <w:sz w:val="26"/>
        </w:rPr>
        <w:t>Secretaria Ejecutiva Adjunta</w:t>
      </w:r>
    </w:p>
    <w:p w:rsidR="00C95A96" w:rsidRPr="00FC2F1B" w:rsidRDefault="00C95A96" w:rsidP="00225F6F">
      <w:pPr>
        <w:rPr>
          <w:rFonts w:ascii="Cambria" w:hAnsi="Cambria"/>
          <w:bCs/>
          <w:sz w:val="20"/>
          <w:szCs w:val="20"/>
        </w:rPr>
      </w:pPr>
    </w:p>
    <w:p w:rsidR="00C95A96" w:rsidRPr="0043424D" w:rsidRDefault="00C95A96" w:rsidP="00225F6F">
      <w:pPr>
        <w:rPr>
          <w:rFonts w:ascii="Cambria" w:hAnsi="Cambria"/>
          <w:bCs/>
        </w:rPr>
      </w:pPr>
      <w:r>
        <w:rPr>
          <w:rFonts w:ascii="Cambria" w:hAnsi="Cambria"/>
        </w:rPr>
        <w:t>Elizabeth Abi-Mershed</w:t>
      </w:r>
    </w:p>
    <w:p w:rsidR="00C95A96" w:rsidRPr="00FC2F1B" w:rsidRDefault="00C95A96" w:rsidP="00AA0C6A">
      <w:pPr>
        <w:rPr>
          <w:rFonts w:ascii="Cambria" w:hAnsi="Cambria"/>
          <w:b/>
          <w:sz w:val="20"/>
          <w:szCs w:val="20"/>
        </w:rPr>
      </w:pPr>
    </w:p>
    <w:p w:rsidR="00C95A96" w:rsidRDefault="00C95A96" w:rsidP="00AA0C6A">
      <w:pPr>
        <w:rPr>
          <w:rFonts w:ascii="Cambria" w:hAnsi="Cambria"/>
          <w:b/>
          <w:sz w:val="20"/>
          <w:szCs w:val="20"/>
        </w:rPr>
      </w:pPr>
    </w:p>
    <w:p w:rsidR="00D568A5" w:rsidRDefault="00D568A5" w:rsidP="00AA0C6A">
      <w:pPr>
        <w:rPr>
          <w:rFonts w:ascii="Cambria" w:hAnsi="Cambria"/>
          <w:b/>
          <w:sz w:val="20"/>
          <w:szCs w:val="20"/>
        </w:rPr>
      </w:pPr>
    </w:p>
    <w:p w:rsidR="00D568A5" w:rsidRDefault="00D568A5" w:rsidP="00AA0C6A">
      <w:pPr>
        <w:rPr>
          <w:rFonts w:ascii="Cambria" w:hAnsi="Cambria"/>
          <w:b/>
          <w:sz w:val="20"/>
          <w:szCs w:val="20"/>
        </w:rPr>
      </w:pPr>
    </w:p>
    <w:p w:rsidR="00D568A5" w:rsidRDefault="00D568A5" w:rsidP="00AA0C6A">
      <w:pPr>
        <w:rPr>
          <w:rFonts w:ascii="Cambria" w:hAnsi="Cambria"/>
          <w:b/>
          <w:sz w:val="20"/>
          <w:szCs w:val="20"/>
        </w:rPr>
      </w:pPr>
    </w:p>
    <w:p w:rsidR="00D568A5" w:rsidRDefault="00D568A5" w:rsidP="00AA0C6A">
      <w:pPr>
        <w:rPr>
          <w:rFonts w:ascii="Cambria" w:hAnsi="Cambria"/>
          <w:b/>
          <w:sz w:val="20"/>
          <w:szCs w:val="20"/>
        </w:rPr>
      </w:pPr>
    </w:p>
    <w:p w:rsidR="008841B6" w:rsidRDefault="008841B6" w:rsidP="00AA0C6A">
      <w:pPr>
        <w:rPr>
          <w:rFonts w:ascii="Cambria" w:hAnsi="Cambria"/>
          <w:b/>
          <w:sz w:val="20"/>
          <w:szCs w:val="20"/>
        </w:rPr>
      </w:pPr>
    </w:p>
    <w:p w:rsidR="00D568A5" w:rsidRPr="00D568A5" w:rsidRDefault="00D568A5" w:rsidP="00D568A5">
      <w:pPr>
        <w:jc w:val="both"/>
        <w:rPr>
          <w:rFonts w:asciiTheme="majorHAnsi" w:hAnsiTheme="majorHAnsi" w:cs="Arial"/>
          <w:sz w:val="18"/>
          <w:szCs w:val="18"/>
          <w:lang w:val="es-EC"/>
        </w:rPr>
      </w:pPr>
      <w:r w:rsidRPr="006425BA">
        <w:rPr>
          <w:rFonts w:asciiTheme="majorHAnsi" w:hAnsiTheme="majorHAnsi"/>
          <w:b/>
          <w:sz w:val="18"/>
          <w:szCs w:val="18"/>
        </w:rPr>
        <w:t xml:space="preserve">* </w:t>
      </w:r>
      <w:r w:rsidRPr="006425BA">
        <w:rPr>
          <w:rFonts w:asciiTheme="majorHAnsi" w:hAnsiTheme="majorHAnsi" w:cs="Arial"/>
          <w:sz w:val="18"/>
          <w:szCs w:val="18"/>
          <w:lang w:val="es-EC"/>
        </w:rPr>
        <w:t xml:space="preserve">Conforme a lo dispuesto en el artículo 17.2 del Reglamento de la Comisión, el Comisionado James L. </w:t>
      </w:r>
      <w:proofErr w:type="spellStart"/>
      <w:r w:rsidRPr="006425BA">
        <w:rPr>
          <w:rFonts w:asciiTheme="majorHAnsi" w:hAnsiTheme="majorHAnsi" w:cs="Arial"/>
          <w:sz w:val="18"/>
          <w:szCs w:val="18"/>
          <w:lang w:val="es-EC"/>
        </w:rPr>
        <w:t>Cavallaro</w:t>
      </w:r>
      <w:proofErr w:type="spellEnd"/>
      <w:r w:rsidRPr="006425BA">
        <w:rPr>
          <w:rFonts w:asciiTheme="majorHAnsi" w:hAnsiTheme="majorHAnsi" w:cs="Arial"/>
          <w:sz w:val="18"/>
          <w:szCs w:val="18"/>
          <w:lang w:val="es-EC"/>
        </w:rPr>
        <w:t>, de nacionalidad estadounidense, no participó en el debate ni en la decisión del presente Informe.</w:t>
      </w:r>
    </w:p>
    <w:p w:rsidR="00355FD9" w:rsidRPr="00D568A5" w:rsidRDefault="00355FD9" w:rsidP="00225F6F">
      <w:pPr>
        <w:jc w:val="center"/>
        <w:rPr>
          <w:rFonts w:asciiTheme="majorHAnsi" w:hAnsiTheme="majorHAnsi"/>
          <w:b/>
          <w:sz w:val="18"/>
          <w:szCs w:val="18"/>
        </w:rPr>
        <w:sectPr w:rsidR="00355FD9" w:rsidRPr="00D568A5" w:rsidSect="009171F5">
          <w:headerReference w:type="default" r:id="rId14"/>
          <w:footerReference w:type="default" r:id="rId15"/>
          <w:pgSz w:w="10325" w:h="14573" w:code="13"/>
          <w:pgMar w:top="1152" w:right="1152" w:bottom="1152" w:left="1440" w:header="288" w:footer="288" w:gutter="0"/>
          <w:cols w:space="720"/>
          <w:vAlign w:val="center"/>
          <w:docGrid w:linePitch="326"/>
        </w:sectPr>
      </w:pPr>
    </w:p>
    <w:p w:rsidR="00C95A96" w:rsidRPr="00FC2F1B" w:rsidRDefault="00355FD9" w:rsidP="00225F6F">
      <w:pPr>
        <w:jc w:val="center"/>
        <w:rPr>
          <w:rFonts w:ascii="Cambria" w:hAnsi="Cambria"/>
          <w:b/>
          <w:sz w:val="20"/>
          <w:szCs w:val="20"/>
        </w:rPr>
      </w:pPr>
      <w:r>
        <w:rPr>
          <w:rFonts w:ascii="Cambria" w:hAnsi="Cambria"/>
          <w:sz w:val="18"/>
        </w:rPr>
        <w:lastRenderedPageBreak/>
        <w:t xml:space="preserve">Aprobado por la Comisión Interamericana de Derechos Humanos el </w:t>
      </w:r>
      <w:r w:rsidR="006425BA">
        <w:rPr>
          <w:rFonts w:ascii="Cambria" w:hAnsi="Cambria"/>
          <w:sz w:val="18"/>
        </w:rPr>
        <w:t>3</w:t>
      </w:r>
      <w:r>
        <w:rPr>
          <w:rFonts w:ascii="Cambria" w:hAnsi="Cambria"/>
          <w:sz w:val="18"/>
        </w:rPr>
        <w:t xml:space="preserve"> de </w:t>
      </w:r>
      <w:r w:rsidR="006425BA">
        <w:rPr>
          <w:rFonts w:ascii="Cambria" w:hAnsi="Cambria"/>
          <w:sz w:val="18"/>
        </w:rPr>
        <w:t>junio</w:t>
      </w:r>
      <w:r>
        <w:rPr>
          <w:rFonts w:ascii="Cambria" w:hAnsi="Cambria"/>
          <w:sz w:val="18"/>
        </w:rPr>
        <w:t xml:space="preserve"> de 2015</w:t>
      </w:r>
    </w:p>
    <w:p w:rsidR="00D6522F" w:rsidRPr="00FC2F1B" w:rsidRDefault="00D6522F" w:rsidP="00225F6F">
      <w:pPr>
        <w:rPr>
          <w:rFonts w:ascii="Cambria" w:hAnsi="Cambria"/>
          <w:sz w:val="36"/>
          <w:szCs w:val="36"/>
        </w:rPr>
        <w:sectPr w:rsidR="00D6522F" w:rsidRPr="00FC2F1B" w:rsidSect="00AD56DA">
          <w:pgSz w:w="10325" w:h="14573" w:code="13"/>
          <w:pgMar w:top="1152" w:right="1152" w:bottom="1152" w:left="1296" w:header="288" w:footer="288" w:gutter="0"/>
          <w:cols w:space="720"/>
          <w:vAlign w:val="center"/>
          <w:docGrid w:linePitch="326"/>
        </w:sectPr>
      </w:pPr>
    </w:p>
    <w:p w:rsidR="00EC0F19" w:rsidRPr="00507AE2" w:rsidRDefault="00C95A96" w:rsidP="00225F6F">
      <w:pPr>
        <w:rPr>
          <w:rFonts w:ascii="Cambria" w:hAnsi="Cambria"/>
          <w:color w:val="4A442A" w:themeColor="background2" w:themeShade="40"/>
          <w:sz w:val="40"/>
          <w:szCs w:val="40"/>
        </w:rPr>
      </w:pPr>
      <w:r w:rsidRPr="00507AE2">
        <w:rPr>
          <w:rFonts w:ascii="Cambria" w:hAnsi="Cambria"/>
          <w:color w:val="4A442A" w:themeColor="background2" w:themeShade="40"/>
          <w:sz w:val="40"/>
          <w:szCs w:val="40"/>
        </w:rPr>
        <w:lastRenderedPageBreak/>
        <w:t>ÍNDICE</w:t>
      </w:r>
    </w:p>
    <w:p w:rsidR="00EC0F19" w:rsidRDefault="00EC0F19" w:rsidP="00BF3B5A">
      <w:pPr>
        <w:jc w:val="both"/>
        <w:rPr>
          <w:rFonts w:ascii="Cambria" w:hAnsi="Cambria"/>
          <w:b/>
          <w:sz w:val="20"/>
          <w:szCs w:val="20"/>
        </w:rPr>
      </w:pPr>
    </w:p>
    <w:p w:rsidR="00507AE2" w:rsidRPr="00FC2F1B" w:rsidRDefault="00507AE2" w:rsidP="00BF3B5A">
      <w:pPr>
        <w:jc w:val="both"/>
        <w:rPr>
          <w:rFonts w:ascii="Cambria" w:hAnsi="Cambria"/>
          <w:b/>
          <w:sz w:val="20"/>
          <w:szCs w:val="20"/>
        </w:rPr>
      </w:pPr>
    </w:p>
    <w:p w:rsidR="00EC0F19" w:rsidRDefault="00EC0F19" w:rsidP="00BF3B5A">
      <w:pPr>
        <w:jc w:val="both"/>
        <w:rPr>
          <w:rFonts w:ascii="Cambria" w:hAnsi="Cambria"/>
          <w:b/>
          <w:sz w:val="20"/>
          <w:szCs w:val="20"/>
        </w:rPr>
      </w:pPr>
    </w:p>
    <w:p w:rsidR="00507AE2" w:rsidRPr="00FC2F1B" w:rsidRDefault="00507AE2" w:rsidP="00BF3B5A">
      <w:pPr>
        <w:jc w:val="both"/>
        <w:rPr>
          <w:rFonts w:ascii="Cambria" w:hAnsi="Cambria"/>
          <w:b/>
          <w:sz w:val="20"/>
          <w:szCs w:val="20"/>
        </w:rPr>
      </w:pPr>
    </w:p>
    <w:p w:rsidR="00F906F0" w:rsidRPr="00F906F0" w:rsidRDefault="00237789" w:rsidP="001F21A7">
      <w:pPr>
        <w:pStyle w:val="TOC1"/>
        <w:pBdr>
          <w:bottom w:val="none" w:sz="0" w:space="0" w:color="auto"/>
        </w:pBdr>
        <w:tabs>
          <w:tab w:val="clear" w:pos="360"/>
          <w:tab w:val="clear" w:pos="720"/>
          <w:tab w:val="clear" w:pos="1080"/>
          <w:tab w:val="clear" w:pos="7830"/>
          <w:tab w:val="left" w:pos="547"/>
          <w:tab w:val="right" w:pos="7740"/>
        </w:tabs>
        <w:rPr>
          <w:rFonts w:asciiTheme="majorHAnsi" w:eastAsiaTheme="minorEastAsia" w:hAnsiTheme="majorHAnsi" w:cstheme="minorBidi"/>
          <w:noProof/>
          <w:sz w:val="20"/>
          <w:szCs w:val="20"/>
          <w:lang w:val="en-US" w:eastAsia="en-US" w:bidi="ar-SA"/>
        </w:rPr>
      </w:pPr>
      <w:r w:rsidRPr="00F906F0">
        <w:rPr>
          <w:rFonts w:asciiTheme="majorHAnsi" w:hAnsiTheme="majorHAnsi"/>
          <w:b/>
          <w:sz w:val="20"/>
          <w:szCs w:val="20"/>
        </w:rPr>
        <w:fldChar w:fldCharType="begin"/>
      </w:r>
      <w:r w:rsidRPr="00F906F0">
        <w:rPr>
          <w:rFonts w:asciiTheme="majorHAnsi" w:hAnsiTheme="majorHAnsi"/>
          <w:b/>
          <w:sz w:val="20"/>
          <w:szCs w:val="20"/>
        </w:rPr>
        <w:instrText xml:space="preserve"> TOC \o "1-4" \h \z \u </w:instrText>
      </w:r>
      <w:r w:rsidRPr="00F906F0">
        <w:rPr>
          <w:rFonts w:asciiTheme="majorHAnsi" w:hAnsiTheme="majorHAnsi"/>
          <w:b/>
          <w:sz w:val="20"/>
          <w:szCs w:val="20"/>
        </w:rPr>
        <w:fldChar w:fldCharType="separate"/>
      </w:r>
      <w:hyperlink w:anchor="_Toc423072818" w:history="1">
        <w:r w:rsidR="00F906F0" w:rsidRPr="00F906F0">
          <w:rPr>
            <w:rStyle w:val="Hyperlink"/>
            <w:rFonts w:asciiTheme="majorHAnsi" w:hAnsiTheme="majorHAnsi"/>
            <w:noProof/>
          </w:rPr>
          <w:t>RESUMEN EJECUTIVO</w:t>
        </w:r>
        <w:r w:rsidR="00F906F0" w:rsidRPr="00F906F0">
          <w:rPr>
            <w:rFonts w:asciiTheme="majorHAnsi" w:hAnsiTheme="majorHAnsi"/>
            <w:noProof/>
            <w:webHidden/>
            <w:sz w:val="20"/>
            <w:szCs w:val="20"/>
          </w:rPr>
          <w:tab/>
        </w:r>
        <w:r w:rsidR="00F906F0" w:rsidRPr="00F906F0">
          <w:rPr>
            <w:rFonts w:asciiTheme="majorHAnsi" w:hAnsiTheme="majorHAnsi"/>
            <w:noProof/>
            <w:webHidden/>
            <w:sz w:val="20"/>
            <w:szCs w:val="20"/>
          </w:rPr>
          <w:fldChar w:fldCharType="begin"/>
        </w:r>
        <w:r w:rsidR="00F906F0" w:rsidRPr="00F906F0">
          <w:rPr>
            <w:rFonts w:asciiTheme="majorHAnsi" w:hAnsiTheme="majorHAnsi"/>
            <w:noProof/>
            <w:webHidden/>
            <w:sz w:val="20"/>
            <w:szCs w:val="20"/>
          </w:rPr>
          <w:instrText xml:space="preserve"> PAGEREF _Toc423072818 \h </w:instrText>
        </w:r>
        <w:r w:rsidR="00F906F0" w:rsidRPr="00F906F0">
          <w:rPr>
            <w:rFonts w:asciiTheme="majorHAnsi" w:hAnsiTheme="majorHAnsi"/>
            <w:noProof/>
            <w:webHidden/>
            <w:sz w:val="20"/>
            <w:szCs w:val="20"/>
          </w:rPr>
        </w:r>
        <w:r w:rsidR="00F906F0" w:rsidRPr="00F906F0">
          <w:rPr>
            <w:rFonts w:asciiTheme="majorHAnsi" w:hAnsiTheme="majorHAnsi"/>
            <w:noProof/>
            <w:webHidden/>
            <w:sz w:val="20"/>
            <w:szCs w:val="20"/>
          </w:rPr>
          <w:fldChar w:fldCharType="separate"/>
        </w:r>
        <w:r w:rsidR="007F1660">
          <w:rPr>
            <w:rFonts w:asciiTheme="majorHAnsi" w:hAnsiTheme="majorHAnsi"/>
            <w:noProof/>
            <w:webHidden/>
            <w:sz w:val="20"/>
            <w:szCs w:val="20"/>
          </w:rPr>
          <w:t>9</w:t>
        </w:r>
        <w:r w:rsidR="00F906F0" w:rsidRPr="00F906F0">
          <w:rPr>
            <w:rFonts w:asciiTheme="majorHAnsi" w:hAnsiTheme="majorHAnsi"/>
            <w:noProof/>
            <w:webHidden/>
            <w:sz w:val="20"/>
            <w:szCs w:val="20"/>
          </w:rPr>
          <w:fldChar w:fldCharType="end"/>
        </w:r>
      </w:hyperlink>
    </w:p>
    <w:p w:rsidR="00F906F0" w:rsidRDefault="00F906F0" w:rsidP="001F21A7">
      <w:pPr>
        <w:pStyle w:val="TOC1"/>
        <w:pBdr>
          <w:bottom w:val="none" w:sz="0" w:space="0" w:color="auto"/>
        </w:pBdr>
        <w:tabs>
          <w:tab w:val="clear" w:pos="360"/>
          <w:tab w:val="clear" w:pos="720"/>
          <w:tab w:val="clear" w:pos="1080"/>
          <w:tab w:val="clear" w:pos="7830"/>
          <w:tab w:val="left" w:pos="547"/>
          <w:tab w:val="right" w:pos="7740"/>
        </w:tabs>
        <w:rPr>
          <w:rStyle w:val="Hyperlink"/>
          <w:rFonts w:asciiTheme="majorHAnsi" w:hAnsiTheme="majorHAnsi"/>
          <w:noProof/>
          <w:sz w:val="20"/>
          <w:szCs w:val="20"/>
        </w:rPr>
      </w:pPr>
    </w:p>
    <w:p w:rsidR="00F906F0" w:rsidRPr="00F906F0" w:rsidRDefault="00CD7021" w:rsidP="001F21A7">
      <w:pPr>
        <w:pStyle w:val="TOC1"/>
        <w:pBdr>
          <w:bottom w:val="single" w:sz="4" w:space="1" w:color="808080" w:themeColor="background1" w:themeShade="80"/>
        </w:pBdr>
        <w:tabs>
          <w:tab w:val="clear" w:pos="360"/>
          <w:tab w:val="clear" w:pos="720"/>
          <w:tab w:val="clear" w:pos="1080"/>
          <w:tab w:val="clear" w:pos="7830"/>
          <w:tab w:val="left" w:pos="547"/>
          <w:tab w:val="right" w:pos="7740"/>
        </w:tabs>
        <w:rPr>
          <w:rFonts w:asciiTheme="majorHAnsi" w:eastAsiaTheme="minorEastAsia" w:hAnsiTheme="majorHAnsi" w:cstheme="minorBidi"/>
          <w:noProof/>
          <w:sz w:val="20"/>
          <w:szCs w:val="20"/>
          <w:lang w:val="en-US" w:eastAsia="en-US" w:bidi="ar-SA"/>
        </w:rPr>
      </w:pPr>
      <w:hyperlink w:anchor="_Toc423072819" w:history="1">
        <w:r w:rsidR="00F906F0" w:rsidRPr="00464BF5">
          <w:rPr>
            <w:rStyle w:val="Hyperlink"/>
            <w:rFonts w:asciiTheme="majorHAnsi" w:hAnsiTheme="majorHAnsi"/>
            <w:b/>
            <w:noProof/>
            <w:color w:val="808080" w:themeColor="background1" w:themeShade="80"/>
          </w:rPr>
          <w:t xml:space="preserve">CAPÍTULO 1  | </w:t>
        </w:r>
        <w:r w:rsidR="00F906F0" w:rsidRPr="001F21A7">
          <w:rPr>
            <w:rStyle w:val="Hyperlink"/>
            <w:rFonts w:asciiTheme="majorHAnsi" w:hAnsiTheme="majorHAnsi"/>
            <w:b/>
            <w:noProof/>
          </w:rPr>
          <w:t xml:space="preserve"> </w:t>
        </w:r>
        <w:r w:rsidR="00F906F0" w:rsidRPr="001F21A7">
          <w:rPr>
            <w:rStyle w:val="Hyperlink"/>
            <w:rFonts w:asciiTheme="majorHAnsi" w:hAnsiTheme="majorHAnsi"/>
            <w:b/>
            <w:noProof/>
            <w:color w:val="4A442A" w:themeColor="background2" w:themeShade="40"/>
          </w:rPr>
          <w:t>INTRODUCCIÓN</w:t>
        </w:r>
        <w:r w:rsidR="00F906F0" w:rsidRPr="00F906F0">
          <w:rPr>
            <w:rFonts w:asciiTheme="majorHAnsi" w:hAnsiTheme="majorHAnsi"/>
            <w:noProof/>
            <w:webHidden/>
            <w:sz w:val="20"/>
            <w:szCs w:val="20"/>
          </w:rPr>
          <w:tab/>
        </w:r>
        <w:r w:rsidR="00F906F0" w:rsidRPr="00F906F0">
          <w:rPr>
            <w:rFonts w:asciiTheme="majorHAnsi" w:hAnsiTheme="majorHAnsi"/>
            <w:noProof/>
            <w:webHidden/>
            <w:sz w:val="20"/>
            <w:szCs w:val="20"/>
          </w:rPr>
          <w:fldChar w:fldCharType="begin"/>
        </w:r>
        <w:r w:rsidR="00F906F0" w:rsidRPr="00F906F0">
          <w:rPr>
            <w:rFonts w:asciiTheme="majorHAnsi" w:hAnsiTheme="majorHAnsi"/>
            <w:noProof/>
            <w:webHidden/>
            <w:sz w:val="20"/>
            <w:szCs w:val="20"/>
          </w:rPr>
          <w:instrText xml:space="preserve"> PAGEREF _Toc423072819 \h </w:instrText>
        </w:r>
        <w:r w:rsidR="00F906F0" w:rsidRPr="00F906F0">
          <w:rPr>
            <w:rFonts w:asciiTheme="majorHAnsi" w:hAnsiTheme="majorHAnsi"/>
            <w:noProof/>
            <w:webHidden/>
            <w:sz w:val="20"/>
            <w:szCs w:val="20"/>
          </w:rPr>
        </w:r>
        <w:r w:rsidR="00F906F0" w:rsidRPr="00F906F0">
          <w:rPr>
            <w:rFonts w:asciiTheme="majorHAnsi" w:hAnsiTheme="majorHAnsi"/>
            <w:noProof/>
            <w:webHidden/>
            <w:sz w:val="20"/>
            <w:szCs w:val="20"/>
          </w:rPr>
          <w:fldChar w:fldCharType="separate"/>
        </w:r>
        <w:r w:rsidR="007F1660">
          <w:rPr>
            <w:rFonts w:asciiTheme="majorHAnsi" w:hAnsiTheme="majorHAnsi"/>
            <w:noProof/>
            <w:webHidden/>
            <w:sz w:val="20"/>
            <w:szCs w:val="20"/>
          </w:rPr>
          <w:t>15</w:t>
        </w:r>
        <w:r w:rsidR="00F906F0" w:rsidRPr="00F906F0">
          <w:rPr>
            <w:rFonts w:asciiTheme="majorHAnsi" w:hAnsiTheme="majorHAnsi"/>
            <w:noProof/>
            <w:webHidden/>
            <w:sz w:val="20"/>
            <w:szCs w:val="20"/>
          </w:rPr>
          <w:fldChar w:fldCharType="end"/>
        </w:r>
      </w:hyperlink>
    </w:p>
    <w:p w:rsidR="00F906F0" w:rsidRDefault="00F906F0" w:rsidP="005A3F46">
      <w:pPr>
        <w:pStyle w:val="TOC2"/>
        <w:rPr>
          <w:rStyle w:val="Hyperlink"/>
        </w:rPr>
      </w:pPr>
    </w:p>
    <w:p w:rsidR="00F906F0" w:rsidRPr="00F906F0" w:rsidRDefault="00CD7021" w:rsidP="00A6686F">
      <w:pPr>
        <w:pStyle w:val="TOC2"/>
        <w:spacing w:after="60"/>
        <w:rPr>
          <w:rFonts w:eastAsiaTheme="minorEastAsia" w:cstheme="minorBidi"/>
          <w:lang w:val="en-US" w:eastAsia="en-US" w:bidi="ar-SA"/>
        </w:rPr>
      </w:pPr>
      <w:hyperlink w:anchor="_Toc423072820" w:history="1">
        <w:r w:rsidR="00F906F0" w:rsidRPr="00F906F0">
          <w:rPr>
            <w:rStyle w:val="Hyperlink"/>
          </w:rPr>
          <w:t>A.</w:t>
        </w:r>
        <w:r w:rsidR="00F906F0" w:rsidRPr="00F906F0">
          <w:rPr>
            <w:rFonts w:eastAsiaTheme="minorEastAsia" w:cstheme="minorBidi"/>
            <w:lang w:val="en-US" w:eastAsia="en-US" w:bidi="ar-SA"/>
          </w:rPr>
          <w:tab/>
        </w:r>
        <w:r w:rsidR="00F906F0" w:rsidRPr="00F906F0">
          <w:rPr>
            <w:rStyle w:val="Hyperlink"/>
          </w:rPr>
          <w:t>Antecedentes</w:t>
        </w:r>
        <w:r w:rsidR="00F906F0" w:rsidRPr="00F906F0">
          <w:rPr>
            <w:webHidden/>
          </w:rPr>
          <w:tab/>
        </w:r>
        <w:r w:rsidR="00F906F0" w:rsidRPr="00F906F0">
          <w:rPr>
            <w:webHidden/>
          </w:rPr>
          <w:fldChar w:fldCharType="begin"/>
        </w:r>
        <w:r w:rsidR="00F906F0" w:rsidRPr="00F906F0">
          <w:rPr>
            <w:webHidden/>
          </w:rPr>
          <w:instrText xml:space="preserve"> PAGEREF _Toc423072820 \h </w:instrText>
        </w:r>
        <w:r w:rsidR="00F906F0" w:rsidRPr="00F906F0">
          <w:rPr>
            <w:webHidden/>
          </w:rPr>
        </w:r>
        <w:r w:rsidR="00F906F0" w:rsidRPr="00F906F0">
          <w:rPr>
            <w:webHidden/>
          </w:rPr>
          <w:fldChar w:fldCharType="separate"/>
        </w:r>
        <w:r w:rsidR="007F1660">
          <w:rPr>
            <w:webHidden/>
          </w:rPr>
          <w:t>15</w:t>
        </w:r>
        <w:r w:rsidR="00F906F0" w:rsidRPr="00F906F0">
          <w:rPr>
            <w:webHidden/>
          </w:rPr>
          <w:fldChar w:fldCharType="end"/>
        </w:r>
      </w:hyperlink>
    </w:p>
    <w:p w:rsidR="00F906F0" w:rsidRPr="00F906F0" w:rsidRDefault="00CD7021" w:rsidP="00A6686F">
      <w:pPr>
        <w:pStyle w:val="TOC2"/>
        <w:spacing w:after="60"/>
        <w:rPr>
          <w:rFonts w:eastAsiaTheme="minorEastAsia" w:cstheme="minorBidi"/>
          <w:lang w:val="en-US" w:eastAsia="en-US" w:bidi="ar-SA"/>
        </w:rPr>
      </w:pPr>
      <w:hyperlink w:anchor="_Toc423072821" w:history="1">
        <w:r w:rsidR="00F906F0" w:rsidRPr="00F906F0">
          <w:rPr>
            <w:rStyle w:val="Hyperlink"/>
          </w:rPr>
          <w:t>B.</w:t>
        </w:r>
        <w:r w:rsidR="00F906F0" w:rsidRPr="00F906F0">
          <w:rPr>
            <w:rFonts w:eastAsiaTheme="minorEastAsia" w:cstheme="minorBidi"/>
            <w:lang w:val="en-US" w:eastAsia="en-US" w:bidi="ar-SA"/>
          </w:rPr>
          <w:tab/>
        </w:r>
        <w:r w:rsidR="00F906F0" w:rsidRPr="00F906F0">
          <w:rPr>
            <w:rStyle w:val="Hyperlink"/>
          </w:rPr>
          <w:t>Metodología</w:t>
        </w:r>
        <w:r w:rsidR="00F906F0" w:rsidRPr="00F906F0">
          <w:rPr>
            <w:webHidden/>
          </w:rPr>
          <w:tab/>
        </w:r>
        <w:r w:rsidR="00F906F0" w:rsidRPr="00F906F0">
          <w:rPr>
            <w:webHidden/>
          </w:rPr>
          <w:fldChar w:fldCharType="begin"/>
        </w:r>
        <w:r w:rsidR="00F906F0" w:rsidRPr="00F906F0">
          <w:rPr>
            <w:webHidden/>
          </w:rPr>
          <w:instrText xml:space="preserve"> PAGEREF _Toc423072821 \h </w:instrText>
        </w:r>
        <w:r w:rsidR="00F906F0" w:rsidRPr="00F906F0">
          <w:rPr>
            <w:webHidden/>
          </w:rPr>
        </w:r>
        <w:r w:rsidR="00F906F0" w:rsidRPr="00F906F0">
          <w:rPr>
            <w:webHidden/>
          </w:rPr>
          <w:fldChar w:fldCharType="separate"/>
        </w:r>
        <w:r w:rsidR="007F1660">
          <w:rPr>
            <w:webHidden/>
          </w:rPr>
          <w:t>16</w:t>
        </w:r>
        <w:r w:rsidR="00F906F0" w:rsidRPr="00F906F0">
          <w:rPr>
            <w:webHidden/>
          </w:rPr>
          <w:fldChar w:fldCharType="end"/>
        </w:r>
      </w:hyperlink>
    </w:p>
    <w:p w:rsidR="00F906F0" w:rsidRPr="00F906F0" w:rsidRDefault="00CD7021" w:rsidP="00A6686F">
      <w:pPr>
        <w:pStyle w:val="TOC2"/>
        <w:spacing w:after="60"/>
        <w:rPr>
          <w:rFonts w:eastAsiaTheme="minorEastAsia" w:cstheme="minorBidi"/>
          <w:lang w:val="en-US" w:eastAsia="en-US" w:bidi="ar-SA"/>
        </w:rPr>
      </w:pPr>
      <w:hyperlink w:anchor="_Toc423072822" w:history="1">
        <w:r w:rsidR="00F906F0" w:rsidRPr="00F906F0">
          <w:rPr>
            <w:rStyle w:val="Hyperlink"/>
          </w:rPr>
          <w:t>C.</w:t>
        </w:r>
        <w:r w:rsidR="00F906F0" w:rsidRPr="00F906F0">
          <w:rPr>
            <w:rFonts w:eastAsiaTheme="minorEastAsia" w:cstheme="minorBidi"/>
            <w:lang w:val="en-US" w:eastAsia="en-US" w:bidi="ar-SA"/>
          </w:rPr>
          <w:tab/>
        </w:r>
        <w:r w:rsidR="00F906F0" w:rsidRPr="00F906F0">
          <w:rPr>
            <w:rStyle w:val="Hyperlink"/>
          </w:rPr>
          <w:t>Estructura del informe</w:t>
        </w:r>
        <w:r w:rsidR="00F906F0" w:rsidRPr="00F906F0">
          <w:rPr>
            <w:webHidden/>
          </w:rPr>
          <w:tab/>
        </w:r>
        <w:r w:rsidR="00F906F0" w:rsidRPr="00F906F0">
          <w:rPr>
            <w:webHidden/>
          </w:rPr>
          <w:fldChar w:fldCharType="begin"/>
        </w:r>
        <w:r w:rsidR="00F906F0" w:rsidRPr="00F906F0">
          <w:rPr>
            <w:webHidden/>
          </w:rPr>
          <w:instrText xml:space="preserve"> PAGEREF _Toc423072822 \h </w:instrText>
        </w:r>
        <w:r w:rsidR="00F906F0" w:rsidRPr="00F906F0">
          <w:rPr>
            <w:webHidden/>
          </w:rPr>
        </w:r>
        <w:r w:rsidR="00F906F0" w:rsidRPr="00F906F0">
          <w:rPr>
            <w:webHidden/>
          </w:rPr>
          <w:fldChar w:fldCharType="separate"/>
        </w:r>
        <w:r w:rsidR="007F1660">
          <w:rPr>
            <w:webHidden/>
          </w:rPr>
          <w:t>17</w:t>
        </w:r>
        <w:r w:rsidR="00F906F0" w:rsidRPr="00F906F0">
          <w:rPr>
            <w:webHidden/>
          </w:rPr>
          <w:fldChar w:fldCharType="end"/>
        </w:r>
      </w:hyperlink>
    </w:p>
    <w:p w:rsidR="00F906F0" w:rsidRPr="00F906F0" w:rsidRDefault="00CD7021" w:rsidP="00A6686F">
      <w:pPr>
        <w:pStyle w:val="TOC2"/>
        <w:spacing w:after="60"/>
        <w:rPr>
          <w:rFonts w:eastAsiaTheme="minorEastAsia" w:cstheme="minorBidi"/>
          <w:lang w:val="en-US" w:eastAsia="en-US" w:bidi="ar-SA"/>
        </w:rPr>
      </w:pPr>
      <w:hyperlink w:anchor="_Toc423072823" w:history="1">
        <w:r w:rsidR="00F906F0" w:rsidRPr="00F906F0">
          <w:rPr>
            <w:rStyle w:val="Hyperlink"/>
          </w:rPr>
          <w:t>D.</w:t>
        </w:r>
        <w:r w:rsidR="00F906F0" w:rsidRPr="00F906F0">
          <w:rPr>
            <w:rFonts w:eastAsiaTheme="minorEastAsia" w:cstheme="minorBidi"/>
            <w:lang w:val="en-US" w:eastAsia="en-US" w:bidi="ar-SA"/>
          </w:rPr>
          <w:tab/>
        </w:r>
        <w:r w:rsidR="00F906F0" w:rsidRPr="00F906F0">
          <w:rPr>
            <w:rStyle w:val="Hyperlink"/>
          </w:rPr>
          <w:t>Preparación y aprobación del informe</w:t>
        </w:r>
        <w:r w:rsidR="00F906F0" w:rsidRPr="00F906F0">
          <w:rPr>
            <w:webHidden/>
          </w:rPr>
          <w:tab/>
        </w:r>
        <w:r w:rsidR="00F906F0" w:rsidRPr="00F906F0">
          <w:rPr>
            <w:webHidden/>
          </w:rPr>
          <w:fldChar w:fldCharType="begin"/>
        </w:r>
        <w:r w:rsidR="00F906F0" w:rsidRPr="00F906F0">
          <w:rPr>
            <w:webHidden/>
          </w:rPr>
          <w:instrText xml:space="preserve"> PAGEREF _Toc423072823 \h </w:instrText>
        </w:r>
        <w:r w:rsidR="00F906F0" w:rsidRPr="00F906F0">
          <w:rPr>
            <w:webHidden/>
          </w:rPr>
        </w:r>
        <w:r w:rsidR="00F906F0" w:rsidRPr="00F906F0">
          <w:rPr>
            <w:webHidden/>
          </w:rPr>
          <w:fldChar w:fldCharType="separate"/>
        </w:r>
        <w:r w:rsidR="007F1660">
          <w:rPr>
            <w:webHidden/>
          </w:rPr>
          <w:t>19</w:t>
        </w:r>
        <w:r w:rsidR="00F906F0" w:rsidRPr="00F906F0">
          <w:rPr>
            <w:webHidden/>
          </w:rPr>
          <w:fldChar w:fldCharType="end"/>
        </w:r>
      </w:hyperlink>
    </w:p>
    <w:p w:rsidR="00F906F0" w:rsidRDefault="00F906F0" w:rsidP="001F21A7">
      <w:pPr>
        <w:pStyle w:val="TOC1"/>
        <w:pBdr>
          <w:bottom w:val="none" w:sz="0" w:space="0" w:color="auto"/>
        </w:pBdr>
        <w:tabs>
          <w:tab w:val="clear" w:pos="360"/>
          <w:tab w:val="clear" w:pos="720"/>
          <w:tab w:val="clear" w:pos="1080"/>
          <w:tab w:val="clear" w:pos="7830"/>
          <w:tab w:val="left" w:pos="547"/>
          <w:tab w:val="right" w:pos="7740"/>
        </w:tabs>
        <w:rPr>
          <w:rStyle w:val="Hyperlink"/>
          <w:rFonts w:asciiTheme="majorHAnsi" w:hAnsiTheme="majorHAnsi"/>
          <w:noProof/>
          <w:sz w:val="20"/>
          <w:szCs w:val="20"/>
        </w:rPr>
      </w:pPr>
    </w:p>
    <w:p w:rsidR="001F21A7" w:rsidRPr="001F21A7" w:rsidRDefault="001F21A7" w:rsidP="001F21A7">
      <w:pPr>
        <w:tabs>
          <w:tab w:val="left" w:pos="547"/>
          <w:tab w:val="right" w:pos="7740"/>
        </w:tabs>
        <w:rPr>
          <w:noProof/>
        </w:rPr>
      </w:pPr>
    </w:p>
    <w:p w:rsidR="00F906F0" w:rsidRPr="00F906F0" w:rsidRDefault="00CD7021" w:rsidP="001F21A7">
      <w:pPr>
        <w:pStyle w:val="TOC1"/>
        <w:pBdr>
          <w:bottom w:val="single" w:sz="4" w:space="1" w:color="808080" w:themeColor="background1" w:themeShade="80"/>
        </w:pBdr>
        <w:tabs>
          <w:tab w:val="clear" w:pos="360"/>
          <w:tab w:val="clear" w:pos="720"/>
          <w:tab w:val="clear" w:pos="1080"/>
          <w:tab w:val="clear" w:pos="7830"/>
          <w:tab w:val="left" w:pos="547"/>
          <w:tab w:val="right" w:pos="7740"/>
        </w:tabs>
        <w:rPr>
          <w:rFonts w:asciiTheme="majorHAnsi" w:eastAsiaTheme="minorEastAsia" w:hAnsiTheme="majorHAnsi" w:cstheme="minorBidi"/>
          <w:noProof/>
          <w:sz w:val="20"/>
          <w:szCs w:val="20"/>
          <w:lang w:val="en-US" w:eastAsia="en-US" w:bidi="ar-SA"/>
        </w:rPr>
      </w:pPr>
      <w:hyperlink w:anchor="_Toc423072824" w:history="1">
        <w:r w:rsidR="00F906F0" w:rsidRPr="00464BF5">
          <w:rPr>
            <w:rStyle w:val="Hyperlink"/>
            <w:rFonts w:asciiTheme="majorHAnsi" w:hAnsiTheme="majorHAnsi"/>
            <w:b/>
            <w:noProof/>
            <w:color w:val="808080" w:themeColor="background1" w:themeShade="80"/>
          </w:rPr>
          <w:t xml:space="preserve">CAPÍTULO 2  |  </w:t>
        </w:r>
        <w:r w:rsidR="00F906F0" w:rsidRPr="001F21A7">
          <w:rPr>
            <w:rStyle w:val="Hyperlink"/>
            <w:rFonts w:asciiTheme="majorHAnsi" w:hAnsiTheme="majorHAnsi"/>
            <w:b/>
            <w:noProof/>
            <w:color w:val="4A442A" w:themeColor="background2" w:themeShade="40"/>
          </w:rPr>
          <w:t>EVOLUCIÓN</w:t>
        </w:r>
        <w:r w:rsidR="001F21A7" w:rsidRPr="001F21A7">
          <w:rPr>
            <w:rStyle w:val="Hyperlink"/>
            <w:rFonts w:asciiTheme="majorHAnsi" w:hAnsiTheme="majorHAnsi"/>
            <w:b/>
            <w:noProof/>
            <w:color w:val="4A442A" w:themeColor="background2" w:themeShade="40"/>
          </w:rPr>
          <w:t xml:space="preserve"> DE LAS INICIATIVAS DE LA CIDH </w:t>
        </w:r>
        <w:r w:rsidR="001F21A7" w:rsidRPr="001F21A7">
          <w:rPr>
            <w:rStyle w:val="Hyperlink"/>
            <w:rFonts w:asciiTheme="majorHAnsi" w:hAnsiTheme="majorHAnsi"/>
            <w:b/>
            <w:noProof/>
            <w:color w:val="4A442A" w:themeColor="background2" w:themeShade="40"/>
          </w:rPr>
          <w:br/>
          <w:t xml:space="preserve">                               </w:t>
        </w:r>
        <w:r w:rsidR="00F906F0" w:rsidRPr="001F21A7">
          <w:rPr>
            <w:rStyle w:val="Hyperlink"/>
            <w:rFonts w:asciiTheme="majorHAnsi" w:hAnsiTheme="majorHAnsi"/>
            <w:b/>
            <w:noProof/>
            <w:color w:val="4A442A" w:themeColor="background2" w:themeShade="40"/>
          </w:rPr>
          <w:t>RELATIVAS A GUANTÁNAMO</w:t>
        </w:r>
        <w:r w:rsidR="00F906F0" w:rsidRPr="00F906F0">
          <w:rPr>
            <w:rFonts w:asciiTheme="majorHAnsi" w:hAnsiTheme="majorHAnsi"/>
            <w:noProof/>
            <w:webHidden/>
            <w:sz w:val="20"/>
            <w:szCs w:val="20"/>
          </w:rPr>
          <w:tab/>
        </w:r>
        <w:r w:rsidR="00F906F0" w:rsidRPr="00F906F0">
          <w:rPr>
            <w:rFonts w:asciiTheme="majorHAnsi" w:hAnsiTheme="majorHAnsi"/>
            <w:noProof/>
            <w:webHidden/>
            <w:sz w:val="20"/>
            <w:szCs w:val="20"/>
          </w:rPr>
          <w:fldChar w:fldCharType="begin"/>
        </w:r>
        <w:r w:rsidR="00F906F0" w:rsidRPr="00F906F0">
          <w:rPr>
            <w:rFonts w:asciiTheme="majorHAnsi" w:hAnsiTheme="majorHAnsi"/>
            <w:noProof/>
            <w:webHidden/>
            <w:sz w:val="20"/>
            <w:szCs w:val="20"/>
          </w:rPr>
          <w:instrText xml:space="preserve"> PAGEREF _Toc423072824 \h </w:instrText>
        </w:r>
        <w:r w:rsidR="00F906F0" w:rsidRPr="00F906F0">
          <w:rPr>
            <w:rFonts w:asciiTheme="majorHAnsi" w:hAnsiTheme="majorHAnsi"/>
            <w:noProof/>
            <w:webHidden/>
            <w:sz w:val="20"/>
            <w:szCs w:val="20"/>
          </w:rPr>
        </w:r>
        <w:r w:rsidR="00F906F0" w:rsidRPr="00F906F0">
          <w:rPr>
            <w:rFonts w:asciiTheme="majorHAnsi" w:hAnsiTheme="majorHAnsi"/>
            <w:noProof/>
            <w:webHidden/>
            <w:sz w:val="20"/>
            <w:szCs w:val="20"/>
          </w:rPr>
          <w:fldChar w:fldCharType="separate"/>
        </w:r>
        <w:r w:rsidR="007F1660">
          <w:rPr>
            <w:rFonts w:asciiTheme="majorHAnsi" w:hAnsiTheme="majorHAnsi"/>
            <w:noProof/>
            <w:webHidden/>
            <w:sz w:val="20"/>
            <w:szCs w:val="20"/>
          </w:rPr>
          <w:t>23</w:t>
        </w:r>
        <w:r w:rsidR="00F906F0" w:rsidRPr="00F906F0">
          <w:rPr>
            <w:rFonts w:asciiTheme="majorHAnsi" w:hAnsiTheme="majorHAnsi"/>
            <w:noProof/>
            <w:webHidden/>
            <w:sz w:val="20"/>
            <w:szCs w:val="20"/>
          </w:rPr>
          <w:fldChar w:fldCharType="end"/>
        </w:r>
      </w:hyperlink>
    </w:p>
    <w:p w:rsidR="00F906F0" w:rsidRDefault="00F906F0" w:rsidP="005A3F46">
      <w:pPr>
        <w:pStyle w:val="TOC2"/>
        <w:rPr>
          <w:rStyle w:val="Hyperlink"/>
        </w:rPr>
      </w:pPr>
    </w:p>
    <w:p w:rsidR="00F906F0" w:rsidRPr="00F906F0" w:rsidRDefault="00CD7021" w:rsidP="005A3F46">
      <w:pPr>
        <w:pStyle w:val="TOC2"/>
        <w:rPr>
          <w:rFonts w:eastAsiaTheme="minorEastAsia" w:cstheme="minorBidi"/>
          <w:lang w:val="en-US" w:eastAsia="en-US" w:bidi="ar-SA"/>
        </w:rPr>
      </w:pPr>
      <w:hyperlink w:anchor="_Toc423072825" w:history="1">
        <w:r w:rsidR="00F906F0" w:rsidRPr="00F906F0">
          <w:rPr>
            <w:rStyle w:val="Hyperlink"/>
          </w:rPr>
          <w:t>A.</w:t>
        </w:r>
        <w:r w:rsidR="00F906F0" w:rsidRPr="00F906F0">
          <w:rPr>
            <w:rFonts w:eastAsiaTheme="minorEastAsia" w:cstheme="minorBidi"/>
            <w:lang w:val="en-US" w:eastAsia="en-US" w:bidi="ar-SA"/>
          </w:rPr>
          <w:tab/>
        </w:r>
        <w:r w:rsidR="00F906F0" w:rsidRPr="00F906F0">
          <w:rPr>
            <w:rStyle w:val="Hyperlink"/>
          </w:rPr>
          <w:t>El mandato de la CIDH</w:t>
        </w:r>
        <w:r w:rsidR="00F906F0" w:rsidRPr="00F906F0">
          <w:rPr>
            <w:webHidden/>
          </w:rPr>
          <w:tab/>
        </w:r>
        <w:r w:rsidR="00F906F0" w:rsidRPr="00F906F0">
          <w:rPr>
            <w:webHidden/>
          </w:rPr>
          <w:fldChar w:fldCharType="begin"/>
        </w:r>
        <w:r w:rsidR="00F906F0" w:rsidRPr="00F906F0">
          <w:rPr>
            <w:webHidden/>
          </w:rPr>
          <w:instrText xml:space="preserve"> PAGEREF _Toc423072825 \h </w:instrText>
        </w:r>
        <w:r w:rsidR="00F906F0" w:rsidRPr="00F906F0">
          <w:rPr>
            <w:webHidden/>
          </w:rPr>
        </w:r>
        <w:r w:rsidR="00F906F0" w:rsidRPr="00F906F0">
          <w:rPr>
            <w:webHidden/>
          </w:rPr>
          <w:fldChar w:fldCharType="separate"/>
        </w:r>
        <w:r w:rsidR="007F1660">
          <w:rPr>
            <w:webHidden/>
          </w:rPr>
          <w:t>23</w:t>
        </w:r>
        <w:r w:rsidR="00F906F0" w:rsidRPr="00F906F0">
          <w:rPr>
            <w:webHidden/>
          </w:rPr>
          <w:fldChar w:fldCharType="end"/>
        </w:r>
      </w:hyperlink>
    </w:p>
    <w:p w:rsidR="00F906F0" w:rsidRPr="00F906F0" w:rsidRDefault="00CD7021" w:rsidP="005A3F46">
      <w:pPr>
        <w:pStyle w:val="TOC2"/>
        <w:rPr>
          <w:rFonts w:eastAsiaTheme="minorEastAsia" w:cstheme="minorBidi"/>
          <w:lang w:val="en-US" w:eastAsia="en-US" w:bidi="ar-SA"/>
        </w:rPr>
      </w:pPr>
      <w:hyperlink w:anchor="_Toc423072826" w:history="1">
        <w:r w:rsidR="00F906F0" w:rsidRPr="00F906F0">
          <w:rPr>
            <w:rStyle w:val="Hyperlink"/>
          </w:rPr>
          <w:t>B.</w:t>
        </w:r>
        <w:r w:rsidR="00F906F0" w:rsidRPr="00F906F0">
          <w:rPr>
            <w:rFonts w:eastAsiaTheme="minorEastAsia" w:cstheme="minorBidi"/>
            <w:lang w:val="en-US" w:eastAsia="en-US" w:bidi="ar-SA"/>
          </w:rPr>
          <w:tab/>
        </w:r>
        <w:r w:rsidR="00F906F0" w:rsidRPr="00F906F0">
          <w:rPr>
            <w:rStyle w:val="Hyperlink"/>
          </w:rPr>
          <w:t>Medidas cautelares</w:t>
        </w:r>
        <w:r w:rsidR="00F906F0" w:rsidRPr="00F906F0">
          <w:rPr>
            <w:webHidden/>
          </w:rPr>
          <w:tab/>
        </w:r>
        <w:r w:rsidR="00F906F0" w:rsidRPr="00F906F0">
          <w:rPr>
            <w:webHidden/>
          </w:rPr>
          <w:fldChar w:fldCharType="begin"/>
        </w:r>
        <w:r w:rsidR="00F906F0" w:rsidRPr="00F906F0">
          <w:rPr>
            <w:webHidden/>
          </w:rPr>
          <w:instrText xml:space="preserve"> PAGEREF _Toc423072826 \h </w:instrText>
        </w:r>
        <w:r w:rsidR="00F906F0" w:rsidRPr="00F906F0">
          <w:rPr>
            <w:webHidden/>
          </w:rPr>
        </w:r>
        <w:r w:rsidR="00F906F0" w:rsidRPr="00F906F0">
          <w:rPr>
            <w:webHidden/>
          </w:rPr>
          <w:fldChar w:fldCharType="separate"/>
        </w:r>
        <w:r w:rsidR="007F1660">
          <w:rPr>
            <w:webHidden/>
          </w:rPr>
          <w:t>25</w:t>
        </w:r>
        <w:r w:rsidR="00F906F0" w:rsidRPr="00F906F0">
          <w:rPr>
            <w:webHidden/>
          </w:rPr>
          <w:fldChar w:fldCharType="end"/>
        </w:r>
      </w:hyperlink>
    </w:p>
    <w:p w:rsidR="00F906F0" w:rsidRPr="00F906F0" w:rsidRDefault="00CD7021" w:rsidP="005A3F46">
      <w:pPr>
        <w:pStyle w:val="TOC2"/>
        <w:rPr>
          <w:rFonts w:eastAsiaTheme="minorEastAsia" w:cstheme="minorBidi"/>
          <w:lang w:val="en-US" w:eastAsia="en-US" w:bidi="ar-SA"/>
        </w:rPr>
      </w:pPr>
      <w:hyperlink w:anchor="_Toc423072827" w:history="1">
        <w:r w:rsidR="00F906F0" w:rsidRPr="00F906F0">
          <w:rPr>
            <w:rStyle w:val="Hyperlink"/>
          </w:rPr>
          <w:t>C.</w:t>
        </w:r>
        <w:r w:rsidR="00F906F0" w:rsidRPr="00F906F0">
          <w:rPr>
            <w:rFonts w:eastAsiaTheme="minorEastAsia" w:cstheme="minorBidi"/>
            <w:lang w:val="en-US" w:eastAsia="en-US" w:bidi="ar-SA"/>
          </w:rPr>
          <w:tab/>
        </w:r>
        <w:r w:rsidR="00F906F0" w:rsidRPr="00F906F0">
          <w:rPr>
            <w:rStyle w:val="Hyperlink"/>
          </w:rPr>
          <w:t>Resoluciones</w:t>
        </w:r>
        <w:r w:rsidR="00F906F0" w:rsidRPr="00F906F0">
          <w:rPr>
            <w:webHidden/>
          </w:rPr>
          <w:tab/>
        </w:r>
        <w:r w:rsidR="00F906F0" w:rsidRPr="00F906F0">
          <w:rPr>
            <w:webHidden/>
          </w:rPr>
          <w:fldChar w:fldCharType="begin"/>
        </w:r>
        <w:r w:rsidR="00F906F0" w:rsidRPr="00F906F0">
          <w:rPr>
            <w:webHidden/>
          </w:rPr>
          <w:instrText xml:space="preserve"> PAGEREF _Toc423072827 \h </w:instrText>
        </w:r>
        <w:r w:rsidR="00F906F0" w:rsidRPr="00F906F0">
          <w:rPr>
            <w:webHidden/>
          </w:rPr>
        </w:r>
        <w:r w:rsidR="00F906F0" w:rsidRPr="00F906F0">
          <w:rPr>
            <w:webHidden/>
          </w:rPr>
          <w:fldChar w:fldCharType="separate"/>
        </w:r>
        <w:r w:rsidR="007F1660">
          <w:rPr>
            <w:webHidden/>
          </w:rPr>
          <w:t>29</w:t>
        </w:r>
        <w:r w:rsidR="00F906F0" w:rsidRPr="00F906F0">
          <w:rPr>
            <w:webHidden/>
          </w:rPr>
          <w:fldChar w:fldCharType="end"/>
        </w:r>
      </w:hyperlink>
    </w:p>
    <w:p w:rsidR="00F906F0" w:rsidRPr="00F906F0" w:rsidRDefault="00CD7021" w:rsidP="005A3F46">
      <w:pPr>
        <w:pStyle w:val="TOC2"/>
        <w:rPr>
          <w:rFonts w:eastAsiaTheme="minorEastAsia" w:cstheme="minorBidi"/>
          <w:lang w:val="en-US" w:eastAsia="en-US" w:bidi="ar-SA"/>
        </w:rPr>
      </w:pPr>
      <w:hyperlink w:anchor="_Toc423072828" w:history="1">
        <w:r w:rsidR="00F906F0" w:rsidRPr="00F906F0">
          <w:rPr>
            <w:rStyle w:val="Hyperlink"/>
          </w:rPr>
          <w:t>D.</w:t>
        </w:r>
        <w:r w:rsidR="00F906F0" w:rsidRPr="00F906F0">
          <w:rPr>
            <w:rFonts w:eastAsiaTheme="minorEastAsia" w:cstheme="minorBidi"/>
            <w:lang w:val="en-US" w:eastAsia="en-US" w:bidi="ar-SA"/>
          </w:rPr>
          <w:tab/>
        </w:r>
        <w:r w:rsidR="00F906F0" w:rsidRPr="00F906F0">
          <w:rPr>
            <w:rStyle w:val="Hyperlink"/>
          </w:rPr>
          <w:t>Audiencias públicas</w:t>
        </w:r>
        <w:r w:rsidR="00F906F0" w:rsidRPr="00F906F0">
          <w:rPr>
            <w:webHidden/>
          </w:rPr>
          <w:tab/>
        </w:r>
        <w:r w:rsidR="00F906F0" w:rsidRPr="00F906F0">
          <w:rPr>
            <w:webHidden/>
          </w:rPr>
          <w:fldChar w:fldCharType="begin"/>
        </w:r>
        <w:r w:rsidR="00F906F0" w:rsidRPr="00F906F0">
          <w:rPr>
            <w:webHidden/>
          </w:rPr>
          <w:instrText xml:space="preserve"> PAGEREF _Toc423072828 \h </w:instrText>
        </w:r>
        <w:r w:rsidR="00F906F0" w:rsidRPr="00F906F0">
          <w:rPr>
            <w:webHidden/>
          </w:rPr>
        </w:r>
        <w:r w:rsidR="00F906F0" w:rsidRPr="00F906F0">
          <w:rPr>
            <w:webHidden/>
          </w:rPr>
          <w:fldChar w:fldCharType="separate"/>
        </w:r>
        <w:r w:rsidR="007F1660">
          <w:rPr>
            <w:webHidden/>
          </w:rPr>
          <w:t>31</w:t>
        </w:r>
        <w:r w:rsidR="00F906F0" w:rsidRPr="00F906F0">
          <w:rPr>
            <w:webHidden/>
          </w:rPr>
          <w:fldChar w:fldCharType="end"/>
        </w:r>
      </w:hyperlink>
    </w:p>
    <w:p w:rsidR="00F906F0" w:rsidRPr="00F906F0" w:rsidRDefault="00CD7021" w:rsidP="005A3F46">
      <w:pPr>
        <w:pStyle w:val="TOC2"/>
        <w:rPr>
          <w:rFonts w:eastAsiaTheme="minorEastAsia" w:cstheme="minorBidi"/>
          <w:lang w:val="en-US" w:eastAsia="en-US" w:bidi="ar-SA"/>
        </w:rPr>
      </w:pPr>
      <w:hyperlink w:anchor="_Toc423072829" w:history="1">
        <w:r w:rsidR="00F906F0" w:rsidRPr="00F906F0">
          <w:rPr>
            <w:rStyle w:val="Hyperlink"/>
            <w:rFonts w:eastAsia="Arial Unicode MS"/>
          </w:rPr>
          <w:t>E.</w:t>
        </w:r>
        <w:r w:rsidR="00F906F0" w:rsidRPr="00F906F0">
          <w:rPr>
            <w:rFonts w:eastAsiaTheme="minorEastAsia" w:cstheme="minorBidi"/>
            <w:lang w:val="en-US" w:eastAsia="en-US" w:bidi="ar-SA"/>
          </w:rPr>
          <w:tab/>
        </w:r>
        <w:r w:rsidR="00F906F0" w:rsidRPr="00F906F0">
          <w:rPr>
            <w:rStyle w:val="Hyperlink"/>
          </w:rPr>
          <w:t>Sistema de peticiones individuales</w:t>
        </w:r>
        <w:r w:rsidR="00F906F0" w:rsidRPr="00F906F0">
          <w:rPr>
            <w:webHidden/>
          </w:rPr>
          <w:tab/>
        </w:r>
        <w:r w:rsidR="00F906F0" w:rsidRPr="00F906F0">
          <w:rPr>
            <w:webHidden/>
          </w:rPr>
          <w:fldChar w:fldCharType="begin"/>
        </w:r>
        <w:r w:rsidR="00F906F0" w:rsidRPr="00F906F0">
          <w:rPr>
            <w:webHidden/>
          </w:rPr>
          <w:instrText xml:space="preserve"> PAGEREF _Toc423072829 \h </w:instrText>
        </w:r>
        <w:r w:rsidR="00F906F0" w:rsidRPr="00F906F0">
          <w:rPr>
            <w:webHidden/>
          </w:rPr>
        </w:r>
        <w:r w:rsidR="00F906F0" w:rsidRPr="00F906F0">
          <w:rPr>
            <w:webHidden/>
          </w:rPr>
          <w:fldChar w:fldCharType="separate"/>
        </w:r>
        <w:r w:rsidR="007F1660">
          <w:rPr>
            <w:webHidden/>
          </w:rPr>
          <w:t>32</w:t>
        </w:r>
        <w:r w:rsidR="00F906F0" w:rsidRPr="00F906F0">
          <w:rPr>
            <w:webHidden/>
          </w:rPr>
          <w:fldChar w:fldCharType="end"/>
        </w:r>
      </w:hyperlink>
    </w:p>
    <w:p w:rsidR="00F906F0" w:rsidRPr="00F906F0" w:rsidRDefault="00CD7021" w:rsidP="005A3F46">
      <w:pPr>
        <w:pStyle w:val="TOC2"/>
        <w:rPr>
          <w:rFonts w:eastAsiaTheme="minorEastAsia" w:cstheme="minorBidi"/>
          <w:lang w:val="en-US" w:eastAsia="en-US" w:bidi="ar-SA"/>
        </w:rPr>
      </w:pPr>
      <w:hyperlink w:anchor="_Toc423072830" w:history="1">
        <w:r w:rsidR="00F906F0" w:rsidRPr="00F906F0">
          <w:rPr>
            <w:rStyle w:val="Hyperlink"/>
          </w:rPr>
          <w:t>F.</w:t>
        </w:r>
        <w:r w:rsidR="00F906F0" w:rsidRPr="00F906F0">
          <w:rPr>
            <w:rFonts w:eastAsiaTheme="minorEastAsia" w:cstheme="minorBidi"/>
            <w:lang w:val="en-US" w:eastAsia="en-US" w:bidi="ar-SA"/>
          </w:rPr>
          <w:tab/>
        </w:r>
        <w:r w:rsidR="00F906F0" w:rsidRPr="00F906F0">
          <w:rPr>
            <w:rStyle w:val="Hyperlink"/>
          </w:rPr>
          <w:t>Solicitudes de visita al centro de detención</w:t>
        </w:r>
        <w:r w:rsidR="00F906F0" w:rsidRPr="00F906F0">
          <w:rPr>
            <w:webHidden/>
          </w:rPr>
          <w:tab/>
        </w:r>
        <w:r w:rsidR="00F906F0" w:rsidRPr="00F906F0">
          <w:rPr>
            <w:webHidden/>
          </w:rPr>
          <w:fldChar w:fldCharType="begin"/>
        </w:r>
        <w:r w:rsidR="00F906F0" w:rsidRPr="00F906F0">
          <w:rPr>
            <w:webHidden/>
          </w:rPr>
          <w:instrText xml:space="preserve"> PAGEREF _Toc423072830 \h </w:instrText>
        </w:r>
        <w:r w:rsidR="00F906F0" w:rsidRPr="00F906F0">
          <w:rPr>
            <w:webHidden/>
          </w:rPr>
        </w:r>
        <w:r w:rsidR="00F906F0" w:rsidRPr="00F906F0">
          <w:rPr>
            <w:webHidden/>
          </w:rPr>
          <w:fldChar w:fldCharType="separate"/>
        </w:r>
        <w:r w:rsidR="007F1660">
          <w:rPr>
            <w:webHidden/>
          </w:rPr>
          <w:t>33</w:t>
        </w:r>
        <w:r w:rsidR="00F906F0" w:rsidRPr="00F906F0">
          <w:rPr>
            <w:webHidden/>
          </w:rPr>
          <w:fldChar w:fldCharType="end"/>
        </w:r>
      </w:hyperlink>
    </w:p>
    <w:p w:rsidR="00F906F0" w:rsidRPr="00F906F0" w:rsidRDefault="00CD7021" w:rsidP="005A3F46">
      <w:pPr>
        <w:pStyle w:val="TOC2"/>
        <w:rPr>
          <w:rFonts w:eastAsiaTheme="minorEastAsia" w:cstheme="minorBidi"/>
          <w:lang w:val="en-US" w:eastAsia="en-US" w:bidi="ar-SA"/>
        </w:rPr>
      </w:pPr>
      <w:hyperlink w:anchor="_Toc423072831" w:history="1">
        <w:r w:rsidR="00F906F0" w:rsidRPr="00F906F0">
          <w:rPr>
            <w:rStyle w:val="Hyperlink"/>
            <w:rFonts w:eastAsia="Arial Unicode MS"/>
          </w:rPr>
          <w:t>G.</w:t>
        </w:r>
        <w:r w:rsidR="00F906F0" w:rsidRPr="00F906F0">
          <w:rPr>
            <w:rFonts w:eastAsiaTheme="minorEastAsia" w:cstheme="minorBidi"/>
            <w:lang w:val="en-US" w:eastAsia="en-US" w:bidi="ar-SA"/>
          </w:rPr>
          <w:tab/>
        </w:r>
        <w:r w:rsidR="00F906F0" w:rsidRPr="00F906F0">
          <w:rPr>
            <w:rStyle w:val="Hyperlink"/>
          </w:rPr>
          <w:t>Comunicados de prensa</w:t>
        </w:r>
        <w:r w:rsidR="00F906F0" w:rsidRPr="00F906F0">
          <w:rPr>
            <w:webHidden/>
          </w:rPr>
          <w:tab/>
        </w:r>
        <w:r w:rsidR="00F906F0" w:rsidRPr="00F906F0">
          <w:rPr>
            <w:webHidden/>
          </w:rPr>
          <w:fldChar w:fldCharType="begin"/>
        </w:r>
        <w:r w:rsidR="00F906F0" w:rsidRPr="00F906F0">
          <w:rPr>
            <w:webHidden/>
          </w:rPr>
          <w:instrText xml:space="preserve"> PAGEREF _Toc423072831 \h </w:instrText>
        </w:r>
        <w:r w:rsidR="00F906F0" w:rsidRPr="00F906F0">
          <w:rPr>
            <w:webHidden/>
          </w:rPr>
        </w:r>
        <w:r w:rsidR="00F906F0" w:rsidRPr="00F906F0">
          <w:rPr>
            <w:webHidden/>
          </w:rPr>
          <w:fldChar w:fldCharType="separate"/>
        </w:r>
        <w:r w:rsidR="007F1660">
          <w:rPr>
            <w:webHidden/>
          </w:rPr>
          <w:t>34</w:t>
        </w:r>
        <w:r w:rsidR="00F906F0" w:rsidRPr="00F906F0">
          <w:rPr>
            <w:webHidden/>
          </w:rPr>
          <w:fldChar w:fldCharType="end"/>
        </w:r>
      </w:hyperlink>
    </w:p>
    <w:p w:rsidR="00F906F0" w:rsidRPr="00F906F0" w:rsidRDefault="00CD7021" w:rsidP="005A3F46">
      <w:pPr>
        <w:pStyle w:val="TOC2"/>
        <w:rPr>
          <w:rFonts w:eastAsiaTheme="minorEastAsia" w:cstheme="minorBidi"/>
          <w:lang w:val="en-US" w:eastAsia="en-US" w:bidi="ar-SA"/>
        </w:rPr>
      </w:pPr>
      <w:hyperlink w:anchor="_Toc423072832" w:history="1">
        <w:r w:rsidR="00F906F0" w:rsidRPr="00F906F0">
          <w:rPr>
            <w:rStyle w:val="Hyperlink"/>
            <w:rFonts w:eastAsia="Arial Unicode MS"/>
          </w:rPr>
          <w:t>H.</w:t>
        </w:r>
        <w:r w:rsidR="00F906F0" w:rsidRPr="00F906F0">
          <w:rPr>
            <w:rFonts w:eastAsiaTheme="minorEastAsia" w:cstheme="minorBidi"/>
            <w:lang w:val="en-US" w:eastAsia="en-US" w:bidi="ar-SA"/>
          </w:rPr>
          <w:tab/>
        </w:r>
        <w:r w:rsidR="00F906F0" w:rsidRPr="00F906F0">
          <w:rPr>
            <w:rStyle w:val="Hyperlink"/>
          </w:rPr>
          <w:t>Reunión de expertos</w:t>
        </w:r>
        <w:r w:rsidR="00F906F0" w:rsidRPr="00F906F0">
          <w:rPr>
            <w:webHidden/>
          </w:rPr>
          <w:tab/>
        </w:r>
        <w:r w:rsidR="00F906F0" w:rsidRPr="00F906F0">
          <w:rPr>
            <w:webHidden/>
          </w:rPr>
          <w:fldChar w:fldCharType="begin"/>
        </w:r>
        <w:r w:rsidR="00F906F0" w:rsidRPr="00F906F0">
          <w:rPr>
            <w:webHidden/>
          </w:rPr>
          <w:instrText xml:space="preserve"> PAGEREF _Toc423072832 \h </w:instrText>
        </w:r>
        <w:r w:rsidR="00F906F0" w:rsidRPr="00F906F0">
          <w:rPr>
            <w:webHidden/>
          </w:rPr>
        </w:r>
        <w:r w:rsidR="00F906F0" w:rsidRPr="00F906F0">
          <w:rPr>
            <w:webHidden/>
          </w:rPr>
          <w:fldChar w:fldCharType="separate"/>
        </w:r>
        <w:r w:rsidR="007F1660">
          <w:rPr>
            <w:webHidden/>
          </w:rPr>
          <w:t>35</w:t>
        </w:r>
        <w:r w:rsidR="00F906F0" w:rsidRPr="00F906F0">
          <w:rPr>
            <w:webHidden/>
          </w:rPr>
          <w:fldChar w:fldCharType="end"/>
        </w:r>
      </w:hyperlink>
    </w:p>
    <w:p w:rsidR="00F906F0" w:rsidRDefault="00F906F0" w:rsidP="001F21A7">
      <w:pPr>
        <w:pStyle w:val="TOC1"/>
        <w:pBdr>
          <w:bottom w:val="none" w:sz="0" w:space="0" w:color="auto"/>
        </w:pBdr>
        <w:tabs>
          <w:tab w:val="clear" w:pos="360"/>
          <w:tab w:val="clear" w:pos="720"/>
          <w:tab w:val="clear" w:pos="1080"/>
          <w:tab w:val="clear" w:pos="7830"/>
          <w:tab w:val="left" w:pos="547"/>
          <w:tab w:val="right" w:pos="7740"/>
        </w:tabs>
        <w:rPr>
          <w:rStyle w:val="Hyperlink"/>
          <w:rFonts w:asciiTheme="majorHAnsi" w:hAnsiTheme="majorHAnsi"/>
          <w:noProof/>
          <w:sz w:val="20"/>
          <w:szCs w:val="20"/>
        </w:rPr>
      </w:pPr>
    </w:p>
    <w:p w:rsidR="001F21A7" w:rsidRPr="001F21A7" w:rsidRDefault="001F21A7" w:rsidP="001F21A7">
      <w:pPr>
        <w:tabs>
          <w:tab w:val="left" w:pos="547"/>
          <w:tab w:val="right" w:pos="7740"/>
        </w:tabs>
        <w:rPr>
          <w:noProof/>
        </w:rPr>
      </w:pPr>
    </w:p>
    <w:p w:rsidR="00F906F0" w:rsidRPr="00F906F0" w:rsidRDefault="00CD7021" w:rsidP="001F21A7">
      <w:pPr>
        <w:pStyle w:val="TOC1"/>
        <w:pBdr>
          <w:bottom w:val="single" w:sz="4" w:space="1" w:color="808080" w:themeColor="background1" w:themeShade="80"/>
        </w:pBdr>
        <w:tabs>
          <w:tab w:val="clear" w:pos="360"/>
          <w:tab w:val="clear" w:pos="720"/>
          <w:tab w:val="clear" w:pos="1080"/>
          <w:tab w:val="clear" w:pos="7830"/>
          <w:tab w:val="left" w:pos="547"/>
          <w:tab w:val="right" w:pos="7740"/>
        </w:tabs>
        <w:rPr>
          <w:rFonts w:asciiTheme="majorHAnsi" w:eastAsiaTheme="minorEastAsia" w:hAnsiTheme="majorHAnsi" w:cstheme="minorBidi"/>
          <w:noProof/>
          <w:sz w:val="20"/>
          <w:szCs w:val="20"/>
          <w:lang w:val="en-US" w:eastAsia="en-US" w:bidi="ar-SA"/>
        </w:rPr>
      </w:pPr>
      <w:hyperlink w:anchor="_Toc423072833" w:history="1">
        <w:r w:rsidR="00F906F0" w:rsidRPr="00464BF5">
          <w:rPr>
            <w:rStyle w:val="Hyperlink"/>
            <w:rFonts w:asciiTheme="majorHAnsi" w:hAnsiTheme="majorHAnsi"/>
            <w:b/>
            <w:noProof/>
            <w:color w:val="808080" w:themeColor="background1" w:themeShade="80"/>
            <w:u w:val="none"/>
          </w:rPr>
          <w:t xml:space="preserve">CAPÍTULO 3  |  </w:t>
        </w:r>
        <w:r w:rsidR="00F906F0" w:rsidRPr="001F21A7">
          <w:rPr>
            <w:rStyle w:val="Hyperlink"/>
            <w:rFonts w:asciiTheme="majorHAnsi" w:hAnsiTheme="majorHAnsi"/>
            <w:b/>
            <w:noProof/>
            <w:color w:val="4A442A" w:themeColor="background2" w:themeShade="40"/>
            <w:u w:val="none"/>
          </w:rPr>
          <w:t>CONDICIONES DE DETENCIÓN</w:t>
        </w:r>
        <w:r w:rsidR="00F906F0" w:rsidRPr="00F906F0">
          <w:rPr>
            <w:rFonts w:asciiTheme="majorHAnsi" w:hAnsiTheme="majorHAnsi"/>
            <w:noProof/>
            <w:webHidden/>
            <w:sz w:val="20"/>
            <w:szCs w:val="20"/>
          </w:rPr>
          <w:tab/>
        </w:r>
        <w:r w:rsidR="00F906F0" w:rsidRPr="00F906F0">
          <w:rPr>
            <w:rFonts w:asciiTheme="majorHAnsi" w:hAnsiTheme="majorHAnsi"/>
            <w:noProof/>
            <w:webHidden/>
            <w:sz w:val="20"/>
            <w:szCs w:val="20"/>
          </w:rPr>
          <w:fldChar w:fldCharType="begin"/>
        </w:r>
        <w:r w:rsidR="00F906F0" w:rsidRPr="00F906F0">
          <w:rPr>
            <w:rFonts w:asciiTheme="majorHAnsi" w:hAnsiTheme="majorHAnsi"/>
            <w:noProof/>
            <w:webHidden/>
            <w:sz w:val="20"/>
            <w:szCs w:val="20"/>
          </w:rPr>
          <w:instrText xml:space="preserve"> PAGEREF _Toc423072833 \h </w:instrText>
        </w:r>
        <w:r w:rsidR="00F906F0" w:rsidRPr="00F906F0">
          <w:rPr>
            <w:rFonts w:asciiTheme="majorHAnsi" w:hAnsiTheme="majorHAnsi"/>
            <w:noProof/>
            <w:webHidden/>
            <w:sz w:val="20"/>
            <w:szCs w:val="20"/>
          </w:rPr>
        </w:r>
        <w:r w:rsidR="00F906F0" w:rsidRPr="00F906F0">
          <w:rPr>
            <w:rFonts w:asciiTheme="majorHAnsi" w:hAnsiTheme="majorHAnsi"/>
            <w:noProof/>
            <w:webHidden/>
            <w:sz w:val="20"/>
            <w:szCs w:val="20"/>
          </w:rPr>
          <w:fldChar w:fldCharType="separate"/>
        </w:r>
        <w:r w:rsidR="007F1660">
          <w:rPr>
            <w:rFonts w:asciiTheme="majorHAnsi" w:hAnsiTheme="majorHAnsi"/>
            <w:noProof/>
            <w:webHidden/>
            <w:sz w:val="20"/>
            <w:szCs w:val="20"/>
          </w:rPr>
          <w:t>39</w:t>
        </w:r>
        <w:r w:rsidR="00F906F0" w:rsidRPr="00F906F0">
          <w:rPr>
            <w:rFonts w:asciiTheme="majorHAnsi" w:hAnsiTheme="majorHAnsi"/>
            <w:noProof/>
            <w:webHidden/>
            <w:sz w:val="20"/>
            <w:szCs w:val="20"/>
          </w:rPr>
          <w:fldChar w:fldCharType="end"/>
        </w:r>
      </w:hyperlink>
    </w:p>
    <w:p w:rsidR="001F21A7" w:rsidRDefault="001F21A7" w:rsidP="005A3F46">
      <w:pPr>
        <w:pStyle w:val="TOC2"/>
        <w:rPr>
          <w:rStyle w:val="Hyperlink"/>
        </w:rPr>
      </w:pPr>
    </w:p>
    <w:p w:rsidR="00F906F0" w:rsidRPr="00603B61" w:rsidRDefault="00CD7021" w:rsidP="005A3F46">
      <w:pPr>
        <w:pStyle w:val="TOC2"/>
        <w:rPr>
          <w:rFonts w:eastAsiaTheme="minorEastAsia" w:cstheme="minorBidi"/>
          <w:lang w:val="en-US" w:eastAsia="en-US" w:bidi="ar-SA"/>
        </w:rPr>
      </w:pPr>
      <w:hyperlink w:anchor="_Toc423072834" w:history="1">
        <w:r w:rsidR="00F906F0" w:rsidRPr="00603B61">
          <w:rPr>
            <w:rStyle w:val="Hyperlink"/>
          </w:rPr>
          <w:t>A.</w:t>
        </w:r>
        <w:r w:rsidR="00F906F0" w:rsidRPr="00603B61">
          <w:rPr>
            <w:rFonts w:eastAsiaTheme="minorEastAsia" w:cstheme="minorBidi"/>
            <w:lang w:val="en-US" w:eastAsia="en-US" w:bidi="ar-SA"/>
          </w:rPr>
          <w:tab/>
        </w:r>
        <w:r w:rsidR="00F906F0" w:rsidRPr="00603B61">
          <w:rPr>
            <w:rStyle w:val="Hyperlink"/>
          </w:rPr>
          <w:t>Derecho a la libertad personal y detención indefinida</w:t>
        </w:r>
        <w:r w:rsidR="00F906F0" w:rsidRPr="00603B61">
          <w:rPr>
            <w:webHidden/>
          </w:rPr>
          <w:tab/>
        </w:r>
        <w:r w:rsidR="00F906F0" w:rsidRPr="00603B61">
          <w:rPr>
            <w:webHidden/>
          </w:rPr>
          <w:fldChar w:fldCharType="begin"/>
        </w:r>
        <w:r w:rsidR="00F906F0" w:rsidRPr="00603B61">
          <w:rPr>
            <w:webHidden/>
          </w:rPr>
          <w:instrText xml:space="preserve"> PAGEREF _Toc423072834 \h </w:instrText>
        </w:r>
        <w:r w:rsidR="00F906F0" w:rsidRPr="00603B61">
          <w:rPr>
            <w:webHidden/>
          </w:rPr>
        </w:r>
        <w:r w:rsidR="00F906F0" w:rsidRPr="00603B61">
          <w:rPr>
            <w:webHidden/>
          </w:rPr>
          <w:fldChar w:fldCharType="separate"/>
        </w:r>
        <w:r w:rsidR="007F1660">
          <w:rPr>
            <w:webHidden/>
          </w:rPr>
          <w:t>39</w:t>
        </w:r>
        <w:r w:rsidR="00F906F0" w:rsidRPr="00603B61">
          <w:rPr>
            <w:webHidden/>
          </w:rPr>
          <w:fldChar w:fldCharType="end"/>
        </w:r>
      </w:hyperlink>
    </w:p>
    <w:p w:rsidR="001F21A7" w:rsidRPr="00603B61" w:rsidRDefault="001F21A7" w:rsidP="00603B61">
      <w:pPr>
        <w:pStyle w:val="TOC3"/>
        <w:rPr>
          <w:rStyle w:val="Hyperlink"/>
          <w:rFonts w:asciiTheme="majorHAnsi" w:hAnsiTheme="majorHAnsi"/>
          <w:noProof/>
          <w:sz w:val="20"/>
          <w:szCs w:val="20"/>
        </w:rPr>
      </w:pPr>
    </w:p>
    <w:p w:rsidR="00F906F0" w:rsidRPr="00603B61" w:rsidRDefault="00CD7021" w:rsidP="005A3F46">
      <w:pPr>
        <w:pStyle w:val="TOC3"/>
        <w:rPr>
          <w:rFonts w:asciiTheme="majorHAnsi" w:eastAsiaTheme="minorEastAsia" w:hAnsiTheme="majorHAnsi" w:cstheme="minorBidi"/>
          <w:noProof/>
          <w:sz w:val="20"/>
          <w:szCs w:val="20"/>
          <w:lang w:val="en-US" w:eastAsia="en-US" w:bidi="ar-SA"/>
        </w:rPr>
      </w:pPr>
      <w:hyperlink w:anchor="_Toc423072835" w:history="1">
        <w:r w:rsidR="00F906F0" w:rsidRPr="00603B61">
          <w:rPr>
            <w:rStyle w:val="Hyperlink"/>
            <w:rFonts w:asciiTheme="majorHAnsi" w:hAnsiTheme="majorHAnsi"/>
            <w:noProof/>
            <w:sz w:val="20"/>
            <w:szCs w:val="20"/>
          </w:rPr>
          <w:t>1.</w:t>
        </w:r>
        <w:r w:rsidR="00F906F0" w:rsidRPr="00603B61">
          <w:rPr>
            <w:rFonts w:asciiTheme="majorHAnsi" w:eastAsiaTheme="minorEastAsia" w:hAnsiTheme="majorHAnsi" w:cstheme="minorBidi"/>
            <w:noProof/>
            <w:sz w:val="20"/>
            <w:szCs w:val="20"/>
            <w:lang w:val="en-US" w:eastAsia="en-US" w:bidi="ar-SA"/>
          </w:rPr>
          <w:tab/>
        </w:r>
        <w:r w:rsidR="00F906F0" w:rsidRPr="00603B61">
          <w:rPr>
            <w:rStyle w:val="Hyperlink"/>
            <w:rFonts w:asciiTheme="majorHAnsi" w:hAnsiTheme="majorHAnsi"/>
            <w:noProof/>
            <w:sz w:val="20"/>
            <w:szCs w:val="20"/>
          </w:rPr>
          <w:t>El estatus jurídico de los detenidos en la Bahía de Guantánamo</w:t>
        </w:r>
        <w:r w:rsidR="00F906F0" w:rsidRPr="00603B61">
          <w:rPr>
            <w:rFonts w:asciiTheme="majorHAnsi" w:hAnsiTheme="majorHAnsi"/>
            <w:noProof/>
            <w:webHidden/>
            <w:sz w:val="20"/>
            <w:szCs w:val="20"/>
          </w:rPr>
          <w:tab/>
        </w:r>
        <w:r w:rsidR="00F906F0" w:rsidRPr="00603B61">
          <w:rPr>
            <w:rFonts w:asciiTheme="majorHAnsi" w:hAnsiTheme="majorHAnsi"/>
            <w:noProof/>
            <w:webHidden/>
            <w:sz w:val="20"/>
            <w:szCs w:val="20"/>
          </w:rPr>
          <w:fldChar w:fldCharType="begin"/>
        </w:r>
        <w:r w:rsidR="00F906F0" w:rsidRPr="00603B61">
          <w:rPr>
            <w:rFonts w:asciiTheme="majorHAnsi" w:hAnsiTheme="majorHAnsi"/>
            <w:noProof/>
            <w:webHidden/>
            <w:sz w:val="20"/>
            <w:szCs w:val="20"/>
          </w:rPr>
          <w:instrText xml:space="preserve"> PAGEREF _Toc423072835 \h </w:instrText>
        </w:r>
        <w:r w:rsidR="00F906F0" w:rsidRPr="00603B61">
          <w:rPr>
            <w:rFonts w:asciiTheme="majorHAnsi" w:hAnsiTheme="majorHAnsi"/>
            <w:noProof/>
            <w:webHidden/>
            <w:sz w:val="20"/>
            <w:szCs w:val="20"/>
          </w:rPr>
        </w:r>
        <w:r w:rsidR="00F906F0" w:rsidRPr="00603B61">
          <w:rPr>
            <w:rFonts w:asciiTheme="majorHAnsi" w:hAnsiTheme="majorHAnsi"/>
            <w:noProof/>
            <w:webHidden/>
            <w:sz w:val="20"/>
            <w:szCs w:val="20"/>
          </w:rPr>
          <w:fldChar w:fldCharType="separate"/>
        </w:r>
        <w:r w:rsidR="007F1660">
          <w:rPr>
            <w:rFonts w:asciiTheme="majorHAnsi" w:hAnsiTheme="majorHAnsi"/>
            <w:noProof/>
            <w:webHidden/>
            <w:sz w:val="20"/>
            <w:szCs w:val="20"/>
          </w:rPr>
          <w:t>41</w:t>
        </w:r>
        <w:r w:rsidR="00F906F0" w:rsidRPr="00603B61">
          <w:rPr>
            <w:rFonts w:asciiTheme="majorHAnsi" w:hAnsiTheme="majorHAnsi"/>
            <w:noProof/>
            <w:webHidden/>
            <w:sz w:val="20"/>
            <w:szCs w:val="20"/>
          </w:rPr>
          <w:fldChar w:fldCharType="end"/>
        </w:r>
      </w:hyperlink>
    </w:p>
    <w:p w:rsidR="00F906F0" w:rsidRPr="00603B61" w:rsidRDefault="00CD7021" w:rsidP="005A3F46">
      <w:pPr>
        <w:pStyle w:val="TOC3"/>
        <w:rPr>
          <w:rFonts w:asciiTheme="majorHAnsi" w:eastAsiaTheme="minorEastAsia" w:hAnsiTheme="majorHAnsi" w:cstheme="minorBidi"/>
          <w:noProof/>
          <w:sz w:val="20"/>
          <w:szCs w:val="20"/>
          <w:lang w:val="en-US" w:eastAsia="en-US" w:bidi="ar-SA"/>
        </w:rPr>
      </w:pPr>
      <w:hyperlink w:anchor="_Toc423072836" w:history="1">
        <w:r w:rsidR="00F906F0" w:rsidRPr="00603B61">
          <w:rPr>
            <w:rStyle w:val="Hyperlink"/>
            <w:rFonts w:asciiTheme="majorHAnsi" w:hAnsiTheme="majorHAnsi"/>
            <w:noProof/>
            <w:sz w:val="20"/>
            <w:szCs w:val="20"/>
          </w:rPr>
          <w:t>2.</w:t>
        </w:r>
        <w:r w:rsidR="00F906F0" w:rsidRPr="00603B61">
          <w:rPr>
            <w:rFonts w:asciiTheme="majorHAnsi" w:eastAsiaTheme="minorEastAsia" w:hAnsiTheme="majorHAnsi" w:cstheme="minorBidi"/>
            <w:noProof/>
            <w:sz w:val="20"/>
            <w:szCs w:val="20"/>
            <w:lang w:val="en-US" w:eastAsia="en-US" w:bidi="ar-SA"/>
          </w:rPr>
          <w:tab/>
        </w:r>
        <w:r w:rsidR="00F906F0" w:rsidRPr="00603B61">
          <w:rPr>
            <w:rStyle w:val="Hyperlink"/>
            <w:rFonts w:asciiTheme="majorHAnsi" w:hAnsiTheme="majorHAnsi"/>
            <w:noProof/>
            <w:sz w:val="20"/>
            <w:szCs w:val="20"/>
          </w:rPr>
          <w:t>El derecho a la libertad personal en el contexto de conflictos armados</w:t>
        </w:r>
        <w:r w:rsidR="00603B61" w:rsidRPr="00603B61">
          <w:rPr>
            <w:rStyle w:val="Hyperlink"/>
            <w:rFonts w:asciiTheme="majorHAnsi" w:hAnsiTheme="majorHAnsi"/>
            <w:noProof/>
            <w:sz w:val="20"/>
            <w:szCs w:val="20"/>
          </w:rPr>
          <w:br/>
        </w:r>
        <w:r w:rsidR="00F906F0" w:rsidRPr="00603B61">
          <w:rPr>
            <w:rStyle w:val="Hyperlink"/>
            <w:rFonts w:asciiTheme="majorHAnsi" w:hAnsiTheme="majorHAnsi"/>
            <w:noProof/>
            <w:sz w:val="20"/>
            <w:szCs w:val="20"/>
          </w:rPr>
          <w:t>no internacionales</w:t>
        </w:r>
        <w:r w:rsidR="00F906F0" w:rsidRPr="00603B61">
          <w:rPr>
            <w:rFonts w:asciiTheme="majorHAnsi" w:hAnsiTheme="majorHAnsi"/>
            <w:noProof/>
            <w:webHidden/>
            <w:sz w:val="20"/>
            <w:szCs w:val="20"/>
          </w:rPr>
          <w:tab/>
        </w:r>
        <w:r w:rsidR="00F906F0" w:rsidRPr="00603B61">
          <w:rPr>
            <w:rFonts w:asciiTheme="majorHAnsi" w:hAnsiTheme="majorHAnsi"/>
            <w:noProof/>
            <w:webHidden/>
            <w:sz w:val="20"/>
            <w:szCs w:val="20"/>
          </w:rPr>
          <w:fldChar w:fldCharType="begin"/>
        </w:r>
        <w:r w:rsidR="00F906F0" w:rsidRPr="00603B61">
          <w:rPr>
            <w:rFonts w:asciiTheme="majorHAnsi" w:hAnsiTheme="majorHAnsi"/>
            <w:noProof/>
            <w:webHidden/>
            <w:sz w:val="20"/>
            <w:szCs w:val="20"/>
          </w:rPr>
          <w:instrText xml:space="preserve"> PAGEREF _Toc423072836 \h </w:instrText>
        </w:r>
        <w:r w:rsidR="00F906F0" w:rsidRPr="00603B61">
          <w:rPr>
            <w:rFonts w:asciiTheme="majorHAnsi" w:hAnsiTheme="majorHAnsi"/>
            <w:noProof/>
            <w:webHidden/>
            <w:sz w:val="20"/>
            <w:szCs w:val="20"/>
          </w:rPr>
        </w:r>
        <w:r w:rsidR="00F906F0" w:rsidRPr="00603B61">
          <w:rPr>
            <w:rFonts w:asciiTheme="majorHAnsi" w:hAnsiTheme="majorHAnsi"/>
            <w:noProof/>
            <w:webHidden/>
            <w:sz w:val="20"/>
            <w:szCs w:val="20"/>
          </w:rPr>
          <w:fldChar w:fldCharType="separate"/>
        </w:r>
        <w:r w:rsidR="007F1660">
          <w:rPr>
            <w:rFonts w:asciiTheme="majorHAnsi" w:hAnsiTheme="majorHAnsi"/>
            <w:noProof/>
            <w:webHidden/>
            <w:sz w:val="20"/>
            <w:szCs w:val="20"/>
          </w:rPr>
          <w:t>46</w:t>
        </w:r>
        <w:r w:rsidR="00F906F0" w:rsidRPr="00603B61">
          <w:rPr>
            <w:rFonts w:asciiTheme="majorHAnsi" w:hAnsiTheme="majorHAnsi"/>
            <w:noProof/>
            <w:webHidden/>
            <w:sz w:val="20"/>
            <w:szCs w:val="20"/>
          </w:rPr>
          <w:fldChar w:fldCharType="end"/>
        </w:r>
      </w:hyperlink>
    </w:p>
    <w:p w:rsidR="001F21A7" w:rsidRPr="00603B61" w:rsidRDefault="001F21A7" w:rsidP="005A3F46">
      <w:pPr>
        <w:pStyle w:val="TOC2"/>
        <w:rPr>
          <w:rStyle w:val="Hyperlink"/>
        </w:rPr>
      </w:pPr>
    </w:p>
    <w:p w:rsidR="00F906F0" w:rsidRPr="00603B61" w:rsidRDefault="00CD7021" w:rsidP="005A3F46">
      <w:pPr>
        <w:pStyle w:val="TOC2"/>
        <w:spacing w:after="0"/>
        <w:rPr>
          <w:rFonts w:eastAsiaTheme="minorEastAsia" w:cstheme="minorBidi"/>
          <w:lang w:val="en-US" w:eastAsia="en-US" w:bidi="ar-SA"/>
        </w:rPr>
      </w:pPr>
      <w:hyperlink w:anchor="_Toc423072837" w:history="1">
        <w:r w:rsidR="00F906F0" w:rsidRPr="00603B61">
          <w:rPr>
            <w:rStyle w:val="Hyperlink"/>
          </w:rPr>
          <w:t>B.</w:t>
        </w:r>
        <w:r w:rsidR="00F906F0" w:rsidRPr="00603B61">
          <w:rPr>
            <w:rFonts w:eastAsiaTheme="minorEastAsia" w:cstheme="minorBidi"/>
            <w:lang w:val="en-US" w:eastAsia="en-US" w:bidi="ar-SA"/>
          </w:rPr>
          <w:tab/>
        </w:r>
        <w:r w:rsidR="00F906F0" w:rsidRPr="00603B61">
          <w:rPr>
            <w:rStyle w:val="Hyperlink"/>
          </w:rPr>
          <w:t>Derecho a la integridad personal</w:t>
        </w:r>
        <w:r w:rsidR="00F906F0" w:rsidRPr="00603B61">
          <w:rPr>
            <w:webHidden/>
          </w:rPr>
          <w:tab/>
        </w:r>
        <w:r w:rsidR="00F906F0" w:rsidRPr="00603B61">
          <w:rPr>
            <w:webHidden/>
          </w:rPr>
          <w:fldChar w:fldCharType="begin"/>
        </w:r>
        <w:r w:rsidR="00F906F0" w:rsidRPr="00603B61">
          <w:rPr>
            <w:webHidden/>
          </w:rPr>
          <w:instrText xml:space="preserve"> PAGEREF _Toc423072837 \h </w:instrText>
        </w:r>
        <w:r w:rsidR="00F906F0" w:rsidRPr="00603B61">
          <w:rPr>
            <w:webHidden/>
          </w:rPr>
        </w:r>
        <w:r w:rsidR="00F906F0" w:rsidRPr="00603B61">
          <w:rPr>
            <w:webHidden/>
          </w:rPr>
          <w:fldChar w:fldCharType="separate"/>
        </w:r>
        <w:r w:rsidR="007F1660">
          <w:rPr>
            <w:webHidden/>
          </w:rPr>
          <w:t>51</w:t>
        </w:r>
        <w:r w:rsidR="00F906F0" w:rsidRPr="00603B61">
          <w:rPr>
            <w:webHidden/>
          </w:rPr>
          <w:fldChar w:fldCharType="end"/>
        </w:r>
      </w:hyperlink>
    </w:p>
    <w:p w:rsidR="001F21A7" w:rsidRPr="00603B61" w:rsidRDefault="001F21A7" w:rsidP="00603B61">
      <w:pPr>
        <w:pStyle w:val="TOC3"/>
        <w:rPr>
          <w:rStyle w:val="Hyperlink"/>
          <w:rFonts w:asciiTheme="majorHAnsi" w:hAnsiTheme="majorHAnsi"/>
          <w:noProof/>
          <w:sz w:val="20"/>
          <w:szCs w:val="20"/>
        </w:rPr>
      </w:pPr>
    </w:p>
    <w:p w:rsidR="00F906F0" w:rsidRPr="00603B61" w:rsidRDefault="00CD7021" w:rsidP="005A3F46">
      <w:pPr>
        <w:pStyle w:val="TOC3"/>
        <w:rPr>
          <w:rFonts w:asciiTheme="majorHAnsi" w:eastAsiaTheme="minorEastAsia" w:hAnsiTheme="majorHAnsi" w:cstheme="minorBidi"/>
          <w:noProof/>
          <w:sz w:val="20"/>
          <w:szCs w:val="20"/>
          <w:lang w:val="en-US" w:eastAsia="en-US" w:bidi="ar-SA"/>
        </w:rPr>
      </w:pPr>
      <w:hyperlink w:anchor="_Toc423072838" w:history="1">
        <w:r w:rsidR="00F906F0" w:rsidRPr="00603B61">
          <w:rPr>
            <w:rStyle w:val="Hyperlink"/>
            <w:rFonts w:asciiTheme="majorHAnsi" w:hAnsiTheme="majorHAnsi"/>
            <w:noProof/>
            <w:sz w:val="20"/>
            <w:szCs w:val="20"/>
          </w:rPr>
          <w:t>1.</w:t>
        </w:r>
        <w:r w:rsidR="00F906F0" w:rsidRPr="00603B61">
          <w:rPr>
            <w:rFonts w:asciiTheme="majorHAnsi" w:eastAsiaTheme="minorEastAsia" w:hAnsiTheme="majorHAnsi" w:cstheme="minorBidi"/>
            <w:noProof/>
            <w:sz w:val="20"/>
            <w:szCs w:val="20"/>
            <w:lang w:val="en-US" w:eastAsia="en-US" w:bidi="ar-SA"/>
          </w:rPr>
          <w:tab/>
        </w:r>
        <w:r w:rsidR="00F906F0" w:rsidRPr="00603B61">
          <w:rPr>
            <w:rStyle w:val="Hyperlink"/>
            <w:rFonts w:asciiTheme="majorHAnsi" w:hAnsiTheme="majorHAnsi"/>
            <w:noProof/>
            <w:sz w:val="20"/>
            <w:szCs w:val="20"/>
          </w:rPr>
          <w:t>Tortura</w:t>
        </w:r>
        <w:r w:rsidR="00F906F0" w:rsidRPr="00603B61">
          <w:rPr>
            <w:rFonts w:asciiTheme="majorHAnsi" w:hAnsiTheme="majorHAnsi"/>
            <w:noProof/>
            <w:webHidden/>
            <w:sz w:val="20"/>
            <w:szCs w:val="20"/>
          </w:rPr>
          <w:tab/>
        </w:r>
        <w:r w:rsidR="00F906F0" w:rsidRPr="00603B61">
          <w:rPr>
            <w:rFonts w:asciiTheme="majorHAnsi" w:hAnsiTheme="majorHAnsi"/>
            <w:noProof/>
            <w:webHidden/>
            <w:sz w:val="20"/>
            <w:szCs w:val="20"/>
          </w:rPr>
          <w:fldChar w:fldCharType="begin"/>
        </w:r>
        <w:r w:rsidR="00F906F0" w:rsidRPr="00603B61">
          <w:rPr>
            <w:rFonts w:asciiTheme="majorHAnsi" w:hAnsiTheme="majorHAnsi"/>
            <w:noProof/>
            <w:webHidden/>
            <w:sz w:val="20"/>
            <w:szCs w:val="20"/>
          </w:rPr>
          <w:instrText xml:space="preserve"> PAGEREF _Toc423072838 \h </w:instrText>
        </w:r>
        <w:r w:rsidR="00F906F0" w:rsidRPr="00603B61">
          <w:rPr>
            <w:rFonts w:asciiTheme="majorHAnsi" w:hAnsiTheme="majorHAnsi"/>
            <w:noProof/>
            <w:webHidden/>
            <w:sz w:val="20"/>
            <w:szCs w:val="20"/>
          </w:rPr>
        </w:r>
        <w:r w:rsidR="00F906F0" w:rsidRPr="00603B61">
          <w:rPr>
            <w:rFonts w:asciiTheme="majorHAnsi" w:hAnsiTheme="majorHAnsi"/>
            <w:noProof/>
            <w:webHidden/>
            <w:sz w:val="20"/>
            <w:szCs w:val="20"/>
          </w:rPr>
          <w:fldChar w:fldCharType="separate"/>
        </w:r>
        <w:r w:rsidR="007F1660">
          <w:rPr>
            <w:rFonts w:asciiTheme="majorHAnsi" w:hAnsiTheme="majorHAnsi"/>
            <w:noProof/>
            <w:webHidden/>
            <w:sz w:val="20"/>
            <w:szCs w:val="20"/>
          </w:rPr>
          <w:t>52</w:t>
        </w:r>
        <w:r w:rsidR="00F906F0" w:rsidRPr="00603B61">
          <w:rPr>
            <w:rFonts w:asciiTheme="majorHAnsi" w:hAnsiTheme="majorHAnsi"/>
            <w:noProof/>
            <w:webHidden/>
            <w:sz w:val="20"/>
            <w:szCs w:val="20"/>
          </w:rPr>
          <w:fldChar w:fldCharType="end"/>
        </w:r>
      </w:hyperlink>
    </w:p>
    <w:p w:rsidR="00F906F0" w:rsidRPr="00603B61" w:rsidRDefault="00CD7021" w:rsidP="005A3F46">
      <w:pPr>
        <w:pStyle w:val="TOC3"/>
        <w:rPr>
          <w:rFonts w:asciiTheme="majorHAnsi" w:eastAsiaTheme="minorEastAsia" w:hAnsiTheme="majorHAnsi" w:cstheme="minorBidi"/>
          <w:noProof/>
          <w:sz w:val="20"/>
          <w:szCs w:val="20"/>
          <w:lang w:val="en-US" w:eastAsia="en-US" w:bidi="ar-SA"/>
        </w:rPr>
      </w:pPr>
      <w:hyperlink w:anchor="_Toc423072839" w:history="1">
        <w:r w:rsidR="00F906F0" w:rsidRPr="00603B61">
          <w:rPr>
            <w:rStyle w:val="Hyperlink"/>
            <w:rFonts w:asciiTheme="majorHAnsi" w:hAnsiTheme="majorHAnsi"/>
            <w:noProof/>
            <w:sz w:val="20"/>
            <w:szCs w:val="20"/>
          </w:rPr>
          <w:t>2.</w:t>
        </w:r>
        <w:r w:rsidR="00F906F0" w:rsidRPr="00603B61">
          <w:rPr>
            <w:rFonts w:asciiTheme="majorHAnsi" w:eastAsiaTheme="minorEastAsia" w:hAnsiTheme="majorHAnsi" w:cstheme="minorBidi"/>
            <w:noProof/>
            <w:sz w:val="20"/>
            <w:szCs w:val="20"/>
            <w:lang w:val="en-US" w:eastAsia="en-US" w:bidi="ar-SA"/>
          </w:rPr>
          <w:tab/>
        </w:r>
        <w:r w:rsidR="00F906F0" w:rsidRPr="00603B61">
          <w:rPr>
            <w:rStyle w:val="Hyperlink"/>
            <w:rFonts w:asciiTheme="majorHAnsi" w:hAnsiTheme="majorHAnsi"/>
            <w:noProof/>
            <w:sz w:val="20"/>
            <w:szCs w:val="20"/>
          </w:rPr>
          <w:t>Tratos crueles, inhumanos y degradantes</w:t>
        </w:r>
        <w:r w:rsidR="00F906F0" w:rsidRPr="00603B61">
          <w:rPr>
            <w:rFonts w:asciiTheme="majorHAnsi" w:hAnsiTheme="majorHAnsi"/>
            <w:noProof/>
            <w:webHidden/>
            <w:sz w:val="20"/>
            <w:szCs w:val="20"/>
          </w:rPr>
          <w:tab/>
        </w:r>
        <w:r w:rsidR="00F906F0" w:rsidRPr="00603B61">
          <w:rPr>
            <w:rFonts w:asciiTheme="majorHAnsi" w:hAnsiTheme="majorHAnsi"/>
            <w:noProof/>
            <w:webHidden/>
            <w:sz w:val="20"/>
            <w:szCs w:val="20"/>
          </w:rPr>
          <w:fldChar w:fldCharType="begin"/>
        </w:r>
        <w:r w:rsidR="00F906F0" w:rsidRPr="00603B61">
          <w:rPr>
            <w:rFonts w:asciiTheme="majorHAnsi" w:hAnsiTheme="majorHAnsi"/>
            <w:noProof/>
            <w:webHidden/>
            <w:sz w:val="20"/>
            <w:szCs w:val="20"/>
          </w:rPr>
          <w:instrText xml:space="preserve"> PAGEREF _Toc423072839 \h </w:instrText>
        </w:r>
        <w:r w:rsidR="00F906F0" w:rsidRPr="00603B61">
          <w:rPr>
            <w:rFonts w:asciiTheme="majorHAnsi" w:hAnsiTheme="majorHAnsi"/>
            <w:noProof/>
            <w:webHidden/>
            <w:sz w:val="20"/>
            <w:szCs w:val="20"/>
          </w:rPr>
        </w:r>
        <w:r w:rsidR="00F906F0" w:rsidRPr="00603B61">
          <w:rPr>
            <w:rFonts w:asciiTheme="majorHAnsi" w:hAnsiTheme="majorHAnsi"/>
            <w:noProof/>
            <w:webHidden/>
            <w:sz w:val="20"/>
            <w:szCs w:val="20"/>
          </w:rPr>
          <w:fldChar w:fldCharType="separate"/>
        </w:r>
        <w:r w:rsidR="007F1660">
          <w:rPr>
            <w:rFonts w:asciiTheme="majorHAnsi" w:hAnsiTheme="majorHAnsi"/>
            <w:noProof/>
            <w:webHidden/>
            <w:sz w:val="20"/>
            <w:szCs w:val="20"/>
          </w:rPr>
          <w:t>60</w:t>
        </w:r>
        <w:r w:rsidR="00F906F0" w:rsidRPr="00603B61">
          <w:rPr>
            <w:rFonts w:asciiTheme="majorHAnsi" w:hAnsiTheme="majorHAnsi"/>
            <w:noProof/>
            <w:webHidden/>
            <w:sz w:val="20"/>
            <w:szCs w:val="20"/>
          </w:rPr>
          <w:fldChar w:fldCharType="end"/>
        </w:r>
      </w:hyperlink>
    </w:p>
    <w:p w:rsidR="00F906F0" w:rsidRPr="00603B61" w:rsidRDefault="00CD7021" w:rsidP="005A3F46">
      <w:pPr>
        <w:pStyle w:val="TOC3"/>
        <w:rPr>
          <w:rFonts w:asciiTheme="majorHAnsi" w:eastAsiaTheme="minorEastAsia" w:hAnsiTheme="majorHAnsi" w:cstheme="minorBidi"/>
          <w:noProof/>
          <w:sz w:val="20"/>
          <w:szCs w:val="20"/>
          <w:lang w:val="en-US" w:eastAsia="en-US" w:bidi="ar-SA"/>
        </w:rPr>
      </w:pPr>
      <w:hyperlink w:anchor="_Toc423072840" w:history="1">
        <w:r w:rsidR="00F906F0" w:rsidRPr="00603B61">
          <w:rPr>
            <w:rStyle w:val="Hyperlink"/>
            <w:rFonts w:asciiTheme="majorHAnsi" w:hAnsiTheme="majorHAnsi"/>
            <w:bCs/>
            <w:noProof/>
            <w:sz w:val="20"/>
            <w:szCs w:val="20"/>
          </w:rPr>
          <w:t>3.</w:t>
        </w:r>
        <w:r w:rsidR="00F906F0" w:rsidRPr="00603B61">
          <w:rPr>
            <w:rFonts w:asciiTheme="majorHAnsi" w:eastAsiaTheme="minorEastAsia" w:hAnsiTheme="majorHAnsi" w:cstheme="minorBidi"/>
            <w:noProof/>
            <w:sz w:val="20"/>
            <w:szCs w:val="20"/>
            <w:lang w:val="en-US" w:eastAsia="en-US" w:bidi="ar-SA"/>
          </w:rPr>
          <w:tab/>
        </w:r>
        <w:r w:rsidR="00F906F0" w:rsidRPr="00603B61">
          <w:rPr>
            <w:rStyle w:val="Hyperlink"/>
            <w:rFonts w:asciiTheme="majorHAnsi" w:hAnsiTheme="majorHAnsi"/>
            <w:bCs/>
            <w:noProof/>
            <w:sz w:val="20"/>
            <w:szCs w:val="20"/>
          </w:rPr>
          <w:t>Huelgas de hambre y alimentación forzada</w:t>
        </w:r>
        <w:r w:rsidR="00F906F0" w:rsidRPr="00603B61">
          <w:rPr>
            <w:rFonts w:asciiTheme="majorHAnsi" w:hAnsiTheme="majorHAnsi"/>
            <w:noProof/>
            <w:webHidden/>
            <w:sz w:val="20"/>
            <w:szCs w:val="20"/>
          </w:rPr>
          <w:tab/>
        </w:r>
        <w:r w:rsidR="00F906F0" w:rsidRPr="00603B61">
          <w:rPr>
            <w:rFonts w:asciiTheme="majorHAnsi" w:hAnsiTheme="majorHAnsi"/>
            <w:noProof/>
            <w:webHidden/>
            <w:sz w:val="20"/>
            <w:szCs w:val="20"/>
          </w:rPr>
          <w:fldChar w:fldCharType="begin"/>
        </w:r>
        <w:r w:rsidR="00F906F0" w:rsidRPr="00603B61">
          <w:rPr>
            <w:rFonts w:asciiTheme="majorHAnsi" w:hAnsiTheme="majorHAnsi"/>
            <w:noProof/>
            <w:webHidden/>
            <w:sz w:val="20"/>
            <w:szCs w:val="20"/>
          </w:rPr>
          <w:instrText xml:space="preserve"> PAGEREF _Toc423072840 \h </w:instrText>
        </w:r>
        <w:r w:rsidR="00F906F0" w:rsidRPr="00603B61">
          <w:rPr>
            <w:rFonts w:asciiTheme="majorHAnsi" w:hAnsiTheme="majorHAnsi"/>
            <w:noProof/>
            <w:webHidden/>
            <w:sz w:val="20"/>
            <w:szCs w:val="20"/>
          </w:rPr>
        </w:r>
        <w:r w:rsidR="00F906F0" w:rsidRPr="00603B61">
          <w:rPr>
            <w:rFonts w:asciiTheme="majorHAnsi" w:hAnsiTheme="majorHAnsi"/>
            <w:noProof/>
            <w:webHidden/>
            <w:sz w:val="20"/>
            <w:szCs w:val="20"/>
          </w:rPr>
          <w:fldChar w:fldCharType="separate"/>
        </w:r>
        <w:r w:rsidR="007F1660">
          <w:rPr>
            <w:rFonts w:asciiTheme="majorHAnsi" w:hAnsiTheme="majorHAnsi"/>
            <w:noProof/>
            <w:webHidden/>
            <w:sz w:val="20"/>
            <w:szCs w:val="20"/>
          </w:rPr>
          <w:t>66</w:t>
        </w:r>
        <w:r w:rsidR="00F906F0" w:rsidRPr="00603B61">
          <w:rPr>
            <w:rFonts w:asciiTheme="majorHAnsi" w:hAnsiTheme="majorHAnsi"/>
            <w:noProof/>
            <w:webHidden/>
            <w:sz w:val="20"/>
            <w:szCs w:val="20"/>
          </w:rPr>
          <w:fldChar w:fldCharType="end"/>
        </w:r>
      </w:hyperlink>
    </w:p>
    <w:p w:rsidR="00F906F0" w:rsidRPr="00F906F0" w:rsidRDefault="00CD7021" w:rsidP="001F21A7">
      <w:pPr>
        <w:pStyle w:val="TOC1"/>
        <w:pBdr>
          <w:bottom w:val="single" w:sz="4" w:space="1" w:color="808080" w:themeColor="background1" w:themeShade="80"/>
        </w:pBdr>
        <w:tabs>
          <w:tab w:val="clear" w:pos="360"/>
          <w:tab w:val="clear" w:pos="720"/>
          <w:tab w:val="clear" w:pos="1080"/>
          <w:tab w:val="clear" w:pos="7830"/>
          <w:tab w:val="left" w:pos="547"/>
          <w:tab w:val="right" w:pos="7740"/>
        </w:tabs>
        <w:rPr>
          <w:rFonts w:asciiTheme="majorHAnsi" w:eastAsiaTheme="minorEastAsia" w:hAnsiTheme="majorHAnsi" w:cstheme="minorBidi"/>
          <w:noProof/>
          <w:sz w:val="20"/>
          <w:szCs w:val="20"/>
          <w:lang w:val="en-US" w:eastAsia="en-US" w:bidi="ar-SA"/>
        </w:rPr>
      </w:pPr>
      <w:hyperlink w:anchor="_Toc423072841" w:history="1">
        <w:r w:rsidR="00F906F0" w:rsidRPr="00464BF5">
          <w:rPr>
            <w:rStyle w:val="Hyperlink"/>
            <w:rFonts w:asciiTheme="majorHAnsi" w:hAnsiTheme="majorHAnsi"/>
            <w:b/>
            <w:noProof/>
            <w:color w:val="808080" w:themeColor="background1" w:themeShade="80"/>
          </w:rPr>
          <w:t xml:space="preserve">CAPÍTULO 4  | </w:t>
        </w:r>
        <w:r w:rsidR="00F906F0" w:rsidRPr="001F21A7">
          <w:rPr>
            <w:rStyle w:val="Hyperlink"/>
            <w:rFonts w:asciiTheme="majorHAnsi" w:hAnsiTheme="majorHAnsi"/>
            <w:b/>
            <w:noProof/>
          </w:rPr>
          <w:t xml:space="preserve"> </w:t>
        </w:r>
        <w:r w:rsidR="00F906F0" w:rsidRPr="001F21A7">
          <w:rPr>
            <w:rStyle w:val="Hyperlink"/>
            <w:rFonts w:asciiTheme="majorHAnsi" w:hAnsiTheme="majorHAnsi"/>
            <w:b/>
            <w:noProof/>
            <w:color w:val="4A442A" w:themeColor="background2" w:themeShade="40"/>
          </w:rPr>
          <w:t>ACCESO A LA JUSTICIA</w:t>
        </w:r>
        <w:r w:rsidR="00F906F0" w:rsidRPr="00F906F0">
          <w:rPr>
            <w:rFonts w:asciiTheme="majorHAnsi" w:hAnsiTheme="majorHAnsi"/>
            <w:noProof/>
            <w:webHidden/>
            <w:sz w:val="20"/>
            <w:szCs w:val="20"/>
          </w:rPr>
          <w:tab/>
        </w:r>
        <w:r w:rsidR="00F906F0" w:rsidRPr="00F906F0">
          <w:rPr>
            <w:rFonts w:asciiTheme="majorHAnsi" w:hAnsiTheme="majorHAnsi"/>
            <w:noProof/>
            <w:webHidden/>
            <w:sz w:val="20"/>
            <w:szCs w:val="20"/>
          </w:rPr>
          <w:fldChar w:fldCharType="begin"/>
        </w:r>
        <w:r w:rsidR="00F906F0" w:rsidRPr="00F906F0">
          <w:rPr>
            <w:rFonts w:asciiTheme="majorHAnsi" w:hAnsiTheme="majorHAnsi"/>
            <w:noProof/>
            <w:webHidden/>
            <w:sz w:val="20"/>
            <w:szCs w:val="20"/>
          </w:rPr>
          <w:instrText xml:space="preserve"> PAGEREF _Toc423072841 \h </w:instrText>
        </w:r>
        <w:r w:rsidR="00F906F0" w:rsidRPr="00F906F0">
          <w:rPr>
            <w:rFonts w:asciiTheme="majorHAnsi" w:hAnsiTheme="majorHAnsi"/>
            <w:noProof/>
            <w:webHidden/>
            <w:sz w:val="20"/>
            <w:szCs w:val="20"/>
          </w:rPr>
        </w:r>
        <w:r w:rsidR="00F906F0" w:rsidRPr="00F906F0">
          <w:rPr>
            <w:rFonts w:asciiTheme="majorHAnsi" w:hAnsiTheme="majorHAnsi"/>
            <w:noProof/>
            <w:webHidden/>
            <w:sz w:val="20"/>
            <w:szCs w:val="20"/>
          </w:rPr>
          <w:fldChar w:fldCharType="separate"/>
        </w:r>
        <w:r w:rsidR="007F1660">
          <w:rPr>
            <w:rFonts w:asciiTheme="majorHAnsi" w:hAnsiTheme="majorHAnsi"/>
            <w:noProof/>
            <w:webHidden/>
            <w:sz w:val="20"/>
            <w:szCs w:val="20"/>
          </w:rPr>
          <w:t>75</w:t>
        </w:r>
        <w:r w:rsidR="00F906F0" w:rsidRPr="00F906F0">
          <w:rPr>
            <w:rFonts w:asciiTheme="majorHAnsi" w:hAnsiTheme="majorHAnsi"/>
            <w:noProof/>
            <w:webHidden/>
            <w:sz w:val="20"/>
            <w:szCs w:val="20"/>
          </w:rPr>
          <w:fldChar w:fldCharType="end"/>
        </w:r>
      </w:hyperlink>
    </w:p>
    <w:p w:rsidR="001F21A7" w:rsidRDefault="001F21A7" w:rsidP="005A3F46">
      <w:pPr>
        <w:pStyle w:val="TOC2"/>
        <w:rPr>
          <w:rStyle w:val="Hyperlink"/>
        </w:rPr>
      </w:pPr>
    </w:p>
    <w:p w:rsidR="00F906F0" w:rsidRPr="00603B61" w:rsidRDefault="00CD7021" w:rsidP="005A3F46">
      <w:pPr>
        <w:pStyle w:val="TOC2"/>
        <w:rPr>
          <w:rFonts w:eastAsiaTheme="minorEastAsia" w:cstheme="minorBidi"/>
          <w:lang w:val="en-US" w:eastAsia="en-US" w:bidi="ar-SA"/>
        </w:rPr>
      </w:pPr>
      <w:hyperlink w:anchor="_Toc423072842" w:history="1">
        <w:r w:rsidR="00F906F0" w:rsidRPr="00603B61">
          <w:rPr>
            <w:rStyle w:val="Hyperlink"/>
          </w:rPr>
          <w:t>A.</w:t>
        </w:r>
        <w:r w:rsidR="00F906F0" w:rsidRPr="00603B61">
          <w:rPr>
            <w:rFonts w:eastAsiaTheme="minorEastAsia" w:cstheme="minorBidi"/>
            <w:lang w:val="en-US" w:eastAsia="en-US" w:bidi="ar-SA"/>
          </w:rPr>
          <w:tab/>
        </w:r>
        <w:r w:rsidR="00F906F0" w:rsidRPr="00603B61">
          <w:rPr>
            <w:rStyle w:val="Hyperlink"/>
          </w:rPr>
          <w:t>Derecho a un recurso efectivo</w:t>
        </w:r>
        <w:r w:rsidR="00F906F0" w:rsidRPr="00603B61">
          <w:rPr>
            <w:webHidden/>
          </w:rPr>
          <w:tab/>
        </w:r>
        <w:r w:rsidR="00F906F0" w:rsidRPr="00603B61">
          <w:rPr>
            <w:webHidden/>
          </w:rPr>
          <w:fldChar w:fldCharType="begin"/>
        </w:r>
        <w:r w:rsidR="00F906F0" w:rsidRPr="00603B61">
          <w:rPr>
            <w:webHidden/>
          </w:rPr>
          <w:instrText xml:space="preserve"> PAGEREF _Toc423072842 \h </w:instrText>
        </w:r>
        <w:r w:rsidR="00F906F0" w:rsidRPr="00603B61">
          <w:rPr>
            <w:webHidden/>
          </w:rPr>
        </w:r>
        <w:r w:rsidR="00F906F0" w:rsidRPr="00603B61">
          <w:rPr>
            <w:webHidden/>
          </w:rPr>
          <w:fldChar w:fldCharType="separate"/>
        </w:r>
        <w:r w:rsidR="007F1660">
          <w:rPr>
            <w:webHidden/>
          </w:rPr>
          <w:t>76</w:t>
        </w:r>
        <w:r w:rsidR="00F906F0" w:rsidRPr="00603B61">
          <w:rPr>
            <w:webHidden/>
          </w:rPr>
          <w:fldChar w:fldCharType="end"/>
        </w:r>
      </w:hyperlink>
    </w:p>
    <w:p w:rsidR="00603B61" w:rsidRPr="00603B61" w:rsidRDefault="00603B61" w:rsidP="00603B61">
      <w:pPr>
        <w:pStyle w:val="TOC3"/>
        <w:rPr>
          <w:rStyle w:val="Hyperlink"/>
          <w:rFonts w:asciiTheme="majorHAnsi" w:hAnsiTheme="majorHAnsi"/>
          <w:noProof/>
          <w:sz w:val="20"/>
          <w:szCs w:val="20"/>
        </w:rPr>
      </w:pPr>
    </w:p>
    <w:p w:rsidR="00F906F0" w:rsidRPr="00603B61" w:rsidRDefault="00CD7021" w:rsidP="00603B61">
      <w:pPr>
        <w:pStyle w:val="TOC3"/>
        <w:rPr>
          <w:rFonts w:asciiTheme="majorHAnsi" w:eastAsiaTheme="minorEastAsia" w:hAnsiTheme="majorHAnsi" w:cstheme="minorBidi"/>
          <w:noProof/>
          <w:sz w:val="20"/>
          <w:szCs w:val="20"/>
          <w:lang w:val="en-US" w:eastAsia="en-US" w:bidi="ar-SA"/>
        </w:rPr>
      </w:pPr>
      <w:hyperlink w:anchor="_Toc423072843" w:history="1">
        <w:r w:rsidR="00F906F0" w:rsidRPr="00603B61">
          <w:rPr>
            <w:rStyle w:val="Hyperlink"/>
            <w:rFonts w:asciiTheme="majorHAnsi" w:hAnsiTheme="majorHAnsi"/>
            <w:noProof/>
            <w:sz w:val="20"/>
            <w:szCs w:val="20"/>
          </w:rPr>
          <w:t>1.</w:t>
        </w:r>
        <w:r w:rsidR="00F906F0" w:rsidRPr="00603B61">
          <w:rPr>
            <w:rFonts w:asciiTheme="majorHAnsi" w:eastAsiaTheme="minorEastAsia" w:hAnsiTheme="majorHAnsi" w:cstheme="minorBidi"/>
            <w:noProof/>
            <w:sz w:val="20"/>
            <w:szCs w:val="20"/>
            <w:lang w:val="en-US" w:eastAsia="en-US" w:bidi="ar-SA"/>
          </w:rPr>
          <w:tab/>
        </w:r>
        <w:r w:rsidR="00F906F0" w:rsidRPr="00603B61">
          <w:rPr>
            <w:rStyle w:val="Hyperlink"/>
            <w:rFonts w:asciiTheme="majorHAnsi" w:hAnsiTheme="majorHAnsi"/>
            <w:noProof/>
            <w:sz w:val="20"/>
            <w:szCs w:val="20"/>
          </w:rPr>
          <w:t>Procesos ante cortes federales</w:t>
        </w:r>
        <w:r w:rsidR="00F906F0" w:rsidRPr="00603B61">
          <w:rPr>
            <w:rFonts w:asciiTheme="majorHAnsi" w:hAnsiTheme="majorHAnsi"/>
            <w:noProof/>
            <w:webHidden/>
            <w:sz w:val="20"/>
            <w:szCs w:val="20"/>
          </w:rPr>
          <w:tab/>
        </w:r>
        <w:r w:rsidR="00F906F0" w:rsidRPr="00603B61">
          <w:rPr>
            <w:rFonts w:asciiTheme="majorHAnsi" w:hAnsiTheme="majorHAnsi"/>
            <w:noProof/>
            <w:webHidden/>
            <w:sz w:val="20"/>
            <w:szCs w:val="20"/>
          </w:rPr>
          <w:fldChar w:fldCharType="begin"/>
        </w:r>
        <w:r w:rsidR="00F906F0" w:rsidRPr="00603B61">
          <w:rPr>
            <w:rFonts w:asciiTheme="majorHAnsi" w:hAnsiTheme="majorHAnsi"/>
            <w:noProof/>
            <w:webHidden/>
            <w:sz w:val="20"/>
            <w:szCs w:val="20"/>
          </w:rPr>
          <w:instrText xml:space="preserve"> PAGEREF _Toc423072843 \h </w:instrText>
        </w:r>
        <w:r w:rsidR="00F906F0" w:rsidRPr="00603B61">
          <w:rPr>
            <w:rFonts w:asciiTheme="majorHAnsi" w:hAnsiTheme="majorHAnsi"/>
            <w:noProof/>
            <w:webHidden/>
            <w:sz w:val="20"/>
            <w:szCs w:val="20"/>
          </w:rPr>
        </w:r>
        <w:r w:rsidR="00F906F0" w:rsidRPr="00603B61">
          <w:rPr>
            <w:rFonts w:asciiTheme="majorHAnsi" w:hAnsiTheme="majorHAnsi"/>
            <w:noProof/>
            <w:webHidden/>
            <w:sz w:val="20"/>
            <w:szCs w:val="20"/>
          </w:rPr>
          <w:fldChar w:fldCharType="separate"/>
        </w:r>
        <w:r w:rsidR="007F1660">
          <w:rPr>
            <w:rFonts w:asciiTheme="majorHAnsi" w:hAnsiTheme="majorHAnsi"/>
            <w:noProof/>
            <w:webHidden/>
            <w:sz w:val="20"/>
            <w:szCs w:val="20"/>
          </w:rPr>
          <w:t>76</w:t>
        </w:r>
        <w:r w:rsidR="00F906F0" w:rsidRPr="00603B61">
          <w:rPr>
            <w:rFonts w:asciiTheme="majorHAnsi" w:hAnsiTheme="majorHAnsi"/>
            <w:noProof/>
            <w:webHidden/>
            <w:sz w:val="20"/>
            <w:szCs w:val="20"/>
          </w:rPr>
          <w:fldChar w:fldCharType="end"/>
        </w:r>
      </w:hyperlink>
    </w:p>
    <w:p w:rsidR="00603B61" w:rsidRPr="00603B61" w:rsidRDefault="00603B61" w:rsidP="001F21A7">
      <w:pPr>
        <w:pStyle w:val="TOC4"/>
        <w:tabs>
          <w:tab w:val="left" w:pos="547"/>
          <w:tab w:val="left" w:pos="1320"/>
          <w:tab w:val="right" w:pos="7740"/>
        </w:tabs>
        <w:rPr>
          <w:rStyle w:val="Hyperlink"/>
          <w:rFonts w:asciiTheme="majorHAnsi" w:hAnsiTheme="majorHAnsi"/>
          <w:noProof/>
          <w:sz w:val="20"/>
          <w:szCs w:val="20"/>
        </w:rPr>
      </w:pPr>
    </w:p>
    <w:p w:rsidR="00F906F0" w:rsidRPr="00603B61" w:rsidRDefault="00CD7021" w:rsidP="005A3F46">
      <w:pPr>
        <w:pStyle w:val="TOC4"/>
        <w:tabs>
          <w:tab w:val="left" w:pos="547"/>
          <w:tab w:val="left" w:pos="1080"/>
          <w:tab w:val="right" w:pos="7740"/>
        </w:tabs>
        <w:spacing w:after="60"/>
        <w:ind w:left="1080" w:hanging="360"/>
        <w:rPr>
          <w:rFonts w:asciiTheme="majorHAnsi" w:eastAsiaTheme="minorEastAsia" w:hAnsiTheme="majorHAnsi" w:cstheme="minorBidi"/>
          <w:noProof/>
          <w:sz w:val="20"/>
          <w:szCs w:val="20"/>
          <w:lang w:val="en-US" w:eastAsia="en-US" w:bidi="ar-SA"/>
        </w:rPr>
      </w:pPr>
      <w:hyperlink w:anchor="_Toc423072844" w:history="1">
        <w:r w:rsidR="00F906F0" w:rsidRPr="00603B61">
          <w:rPr>
            <w:rStyle w:val="Hyperlink"/>
            <w:rFonts w:asciiTheme="majorHAnsi" w:hAnsiTheme="majorHAnsi"/>
            <w:noProof/>
            <w:sz w:val="20"/>
            <w:szCs w:val="20"/>
          </w:rPr>
          <w:t>a.</w:t>
        </w:r>
        <w:r w:rsidR="00F906F0" w:rsidRPr="00603B61">
          <w:rPr>
            <w:rFonts w:asciiTheme="majorHAnsi" w:eastAsiaTheme="minorEastAsia" w:hAnsiTheme="majorHAnsi" w:cstheme="minorBidi"/>
            <w:noProof/>
            <w:sz w:val="20"/>
            <w:szCs w:val="20"/>
            <w:lang w:val="en-US" w:eastAsia="en-US" w:bidi="ar-SA"/>
          </w:rPr>
          <w:tab/>
        </w:r>
        <w:r w:rsidR="00F906F0" w:rsidRPr="00603B61">
          <w:rPr>
            <w:rStyle w:val="Hyperlink"/>
            <w:rFonts w:asciiTheme="majorHAnsi" w:hAnsiTheme="majorHAnsi"/>
            <w:noProof/>
            <w:sz w:val="20"/>
            <w:szCs w:val="20"/>
          </w:rPr>
          <w:t>Recursos respecto de la legalidad de la detención</w:t>
        </w:r>
        <w:r w:rsidR="00F906F0" w:rsidRPr="00603B61">
          <w:rPr>
            <w:rFonts w:asciiTheme="majorHAnsi" w:hAnsiTheme="majorHAnsi"/>
            <w:noProof/>
            <w:webHidden/>
            <w:sz w:val="20"/>
            <w:szCs w:val="20"/>
          </w:rPr>
          <w:tab/>
        </w:r>
        <w:r w:rsidR="00F906F0" w:rsidRPr="00603B61">
          <w:rPr>
            <w:rFonts w:asciiTheme="majorHAnsi" w:hAnsiTheme="majorHAnsi"/>
            <w:noProof/>
            <w:webHidden/>
            <w:sz w:val="20"/>
            <w:szCs w:val="20"/>
          </w:rPr>
          <w:fldChar w:fldCharType="begin"/>
        </w:r>
        <w:r w:rsidR="00F906F0" w:rsidRPr="00603B61">
          <w:rPr>
            <w:rFonts w:asciiTheme="majorHAnsi" w:hAnsiTheme="majorHAnsi"/>
            <w:noProof/>
            <w:webHidden/>
            <w:sz w:val="20"/>
            <w:szCs w:val="20"/>
          </w:rPr>
          <w:instrText xml:space="preserve"> PAGEREF _Toc423072844 \h </w:instrText>
        </w:r>
        <w:r w:rsidR="00F906F0" w:rsidRPr="00603B61">
          <w:rPr>
            <w:rFonts w:asciiTheme="majorHAnsi" w:hAnsiTheme="majorHAnsi"/>
            <w:noProof/>
            <w:webHidden/>
            <w:sz w:val="20"/>
            <w:szCs w:val="20"/>
          </w:rPr>
        </w:r>
        <w:r w:rsidR="00F906F0" w:rsidRPr="00603B61">
          <w:rPr>
            <w:rFonts w:asciiTheme="majorHAnsi" w:hAnsiTheme="majorHAnsi"/>
            <w:noProof/>
            <w:webHidden/>
            <w:sz w:val="20"/>
            <w:szCs w:val="20"/>
          </w:rPr>
          <w:fldChar w:fldCharType="separate"/>
        </w:r>
        <w:r w:rsidR="007F1660">
          <w:rPr>
            <w:rFonts w:asciiTheme="majorHAnsi" w:hAnsiTheme="majorHAnsi"/>
            <w:noProof/>
            <w:webHidden/>
            <w:sz w:val="20"/>
            <w:szCs w:val="20"/>
          </w:rPr>
          <w:t>78</w:t>
        </w:r>
        <w:r w:rsidR="00F906F0" w:rsidRPr="00603B61">
          <w:rPr>
            <w:rFonts w:asciiTheme="majorHAnsi" w:hAnsiTheme="majorHAnsi"/>
            <w:noProof/>
            <w:webHidden/>
            <w:sz w:val="20"/>
            <w:szCs w:val="20"/>
          </w:rPr>
          <w:fldChar w:fldCharType="end"/>
        </w:r>
      </w:hyperlink>
    </w:p>
    <w:p w:rsidR="00F906F0" w:rsidRPr="00603B61" w:rsidRDefault="00CD7021" w:rsidP="005A3F46">
      <w:pPr>
        <w:pStyle w:val="TOC4"/>
        <w:tabs>
          <w:tab w:val="left" w:pos="547"/>
          <w:tab w:val="left" w:pos="1080"/>
          <w:tab w:val="right" w:pos="7740"/>
        </w:tabs>
        <w:spacing w:after="60"/>
        <w:ind w:left="1080" w:hanging="360"/>
        <w:rPr>
          <w:rFonts w:asciiTheme="majorHAnsi" w:eastAsiaTheme="minorEastAsia" w:hAnsiTheme="majorHAnsi" w:cstheme="minorBidi"/>
          <w:noProof/>
          <w:sz w:val="20"/>
          <w:szCs w:val="20"/>
          <w:lang w:val="en-US" w:eastAsia="en-US" w:bidi="ar-SA"/>
        </w:rPr>
      </w:pPr>
      <w:hyperlink w:anchor="_Toc423072845" w:history="1">
        <w:r w:rsidR="00F906F0" w:rsidRPr="00603B61">
          <w:rPr>
            <w:rStyle w:val="Hyperlink"/>
            <w:rFonts w:asciiTheme="majorHAnsi" w:hAnsiTheme="majorHAnsi"/>
            <w:noProof/>
            <w:sz w:val="20"/>
            <w:szCs w:val="20"/>
          </w:rPr>
          <w:t>b.</w:t>
        </w:r>
        <w:r w:rsidR="00F906F0" w:rsidRPr="00603B61">
          <w:rPr>
            <w:rFonts w:asciiTheme="majorHAnsi" w:eastAsiaTheme="minorEastAsia" w:hAnsiTheme="majorHAnsi" w:cstheme="minorBidi"/>
            <w:noProof/>
            <w:sz w:val="20"/>
            <w:szCs w:val="20"/>
            <w:lang w:val="en-US" w:eastAsia="en-US" w:bidi="ar-SA"/>
          </w:rPr>
          <w:tab/>
        </w:r>
        <w:r w:rsidR="00F906F0" w:rsidRPr="00603B61">
          <w:rPr>
            <w:rStyle w:val="Hyperlink"/>
            <w:rFonts w:asciiTheme="majorHAnsi" w:hAnsiTheme="majorHAnsi"/>
            <w:noProof/>
            <w:sz w:val="20"/>
            <w:szCs w:val="20"/>
          </w:rPr>
          <w:t>Recursos en materia probatoria</w:t>
        </w:r>
        <w:r w:rsidR="00F906F0" w:rsidRPr="00603B61">
          <w:rPr>
            <w:rFonts w:asciiTheme="majorHAnsi" w:hAnsiTheme="majorHAnsi"/>
            <w:noProof/>
            <w:webHidden/>
            <w:sz w:val="20"/>
            <w:szCs w:val="20"/>
          </w:rPr>
          <w:tab/>
        </w:r>
        <w:r w:rsidR="00F906F0" w:rsidRPr="00603B61">
          <w:rPr>
            <w:rFonts w:asciiTheme="majorHAnsi" w:hAnsiTheme="majorHAnsi"/>
            <w:noProof/>
            <w:webHidden/>
            <w:sz w:val="20"/>
            <w:szCs w:val="20"/>
          </w:rPr>
          <w:fldChar w:fldCharType="begin"/>
        </w:r>
        <w:r w:rsidR="00F906F0" w:rsidRPr="00603B61">
          <w:rPr>
            <w:rFonts w:asciiTheme="majorHAnsi" w:hAnsiTheme="majorHAnsi"/>
            <w:noProof/>
            <w:webHidden/>
            <w:sz w:val="20"/>
            <w:szCs w:val="20"/>
          </w:rPr>
          <w:instrText xml:space="preserve"> PAGEREF _Toc423072845 \h </w:instrText>
        </w:r>
        <w:r w:rsidR="00F906F0" w:rsidRPr="00603B61">
          <w:rPr>
            <w:rFonts w:asciiTheme="majorHAnsi" w:hAnsiTheme="majorHAnsi"/>
            <w:noProof/>
            <w:webHidden/>
            <w:sz w:val="20"/>
            <w:szCs w:val="20"/>
          </w:rPr>
        </w:r>
        <w:r w:rsidR="00F906F0" w:rsidRPr="00603B61">
          <w:rPr>
            <w:rFonts w:asciiTheme="majorHAnsi" w:hAnsiTheme="majorHAnsi"/>
            <w:noProof/>
            <w:webHidden/>
            <w:sz w:val="20"/>
            <w:szCs w:val="20"/>
          </w:rPr>
          <w:fldChar w:fldCharType="separate"/>
        </w:r>
        <w:r w:rsidR="007F1660">
          <w:rPr>
            <w:rFonts w:asciiTheme="majorHAnsi" w:hAnsiTheme="majorHAnsi"/>
            <w:noProof/>
            <w:webHidden/>
            <w:sz w:val="20"/>
            <w:szCs w:val="20"/>
          </w:rPr>
          <w:t>80</w:t>
        </w:r>
        <w:r w:rsidR="00F906F0" w:rsidRPr="00603B61">
          <w:rPr>
            <w:rFonts w:asciiTheme="majorHAnsi" w:hAnsiTheme="majorHAnsi"/>
            <w:noProof/>
            <w:webHidden/>
            <w:sz w:val="20"/>
            <w:szCs w:val="20"/>
          </w:rPr>
          <w:fldChar w:fldCharType="end"/>
        </w:r>
      </w:hyperlink>
    </w:p>
    <w:p w:rsidR="00F906F0" w:rsidRPr="00603B61" w:rsidRDefault="00CD7021" w:rsidP="005A3F46">
      <w:pPr>
        <w:pStyle w:val="TOC4"/>
        <w:tabs>
          <w:tab w:val="left" w:pos="547"/>
          <w:tab w:val="left" w:pos="1080"/>
          <w:tab w:val="right" w:pos="7740"/>
        </w:tabs>
        <w:spacing w:after="60"/>
        <w:ind w:left="1080" w:hanging="360"/>
        <w:rPr>
          <w:rFonts w:asciiTheme="majorHAnsi" w:eastAsiaTheme="minorEastAsia" w:hAnsiTheme="majorHAnsi" w:cstheme="minorBidi"/>
          <w:noProof/>
          <w:sz w:val="20"/>
          <w:szCs w:val="20"/>
          <w:lang w:val="en-US" w:eastAsia="en-US" w:bidi="ar-SA"/>
        </w:rPr>
      </w:pPr>
      <w:hyperlink w:anchor="_Toc423072846" w:history="1">
        <w:r w:rsidR="00F906F0" w:rsidRPr="00603B61">
          <w:rPr>
            <w:rStyle w:val="Hyperlink"/>
            <w:rFonts w:asciiTheme="majorHAnsi" w:hAnsiTheme="majorHAnsi"/>
            <w:noProof/>
            <w:sz w:val="20"/>
            <w:szCs w:val="20"/>
          </w:rPr>
          <w:t>c.</w:t>
        </w:r>
        <w:r w:rsidR="00F906F0" w:rsidRPr="00603B61">
          <w:rPr>
            <w:rFonts w:asciiTheme="majorHAnsi" w:eastAsiaTheme="minorEastAsia" w:hAnsiTheme="majorHAnsi" w:cstheme="minorBidi"/>
            <w:noProof/>
            <w:sz w:val="20"/>
            <w:szCs w:val="20"/>
            <w:lang w:val="en-US" w:eastAsia="en-US" w:bidi="ar-SA"/>
          </w:rPr>
          <w:tab/>
        </w:r>
        <w:r w:rsidR="00F906F0" w:rsidRPr="00603B61">
          <w:rPr>
            <w:rStyle w:val="Hyperlink"/>
            <w:rFonts w:asciiTheme="majorHAnsi" w:hAnsiTheme="majorHAnsi"/>
            <w:noProof/>
            <w:sz w:val="20"/>
            <w:szCs w:val="20"/>
          </w:rPr>
          <w:t>Otros recursos</w:t>
        </w:r>
        <w:r w:rsidR="00F906F0" w:rsidRPr="00603B61">
          <w:rPr>
            <w:rFonts w:asciiTheme="majorHAnsi" w:hAnsiTheme="majorHAnsi"/>
            <w:noProof/>
            <w:webHidden/>
            <w:sz w:val="20"/>
            <w:szCs w:val="20"/>
          </w:rPr>
          <w:tab/>
        </w:r>
        <w:r w:rsidR="00F906F0" w:rsidRPr="00603B61">
          <w:rPr>
            <w:rFonts w:asciiTheme="majorHAnsi" w:hAnsiTheme="majorHAnsi"/>
            <w:noProof/>
            <w:webHidden/>
            <w:sz w:val="20"/>
            <w:szCs w:val="20"/>
          </w:rPr>
          <w:fldChar w:fldCharType="begin"/>
        </w:r>
        <w:r w:rsidR="00F906F0" w:rsidRPr="00603B61">
          <w:rPr>
            <w:rFonts w:asciiTheme="majorHAnsi" w:hAnsiTheme="majorHAnsi"/>
            <w:noProof/>
            <w:webHidden/>
            <w:sz w:val="20"/>
            <w:szCs w:val="20"/>
          </w:rPr>
          <w:instrText xml:space="preserve"> PAGEREF _Toc423072846 \h </w:instrText>
        </w:r>
        <w:r w:rsidR="00F906F0" w:rsidRPr="00603B61">
          <w:rPr>
            <w:rFonts w:asciiTheme="majorHAnsi" w:hAnsiTheme="majorHAnsi"/>
            <w:noProof/>
            <w:webHidden/>
            <w:sz w:val="20"/>
            <w:szCs w:val="20"/>
          </w:rPr>
        </w:r>
        <w:r w:rsidR="00F906F0" w:rsidRPr="00603B61">
          <w:rPr>
            <w:rFonts w:asciiTheme="majorHAnsi" w:hAnsiTheme="majorHAnsi"/>
            <w:noProof/>
            <w:webHidden/>
            <w:sz w:val="20"/>
            <w:szCs w:val="20"/>
          </w:rPr>
          <w:fldChar w:fldCharType="separate"/>
        </w:r>
        <w:r w:rsidR="007F1660">
          <w:rPr>
            <w:rFonts w:asciiTheme="majorHAnsi" w:hAnsiTheme="majorHAnsi"/>
            <w:noProof/>
            <w:webHidden/>
            <w:sz w:val="20"/>
            <w:szCs w:val="20"/>
          </w:rPr>
          <w:t>83</w:t>
        </w:r>
        <w:r w:rsidR="00F906F0" w:rsidRPr="00603B61">
          <w:rPr>
            <w:rFonts w:asciiTheme="majorHAnsi" w:hAnsiTheme="majorHAnsi"/>
            <w:noProof/>
            <w:webHidden/>
            <w:sz w:val="20"/>
            <w:szCs w:val="20"/>
          </w:rPr>
          <w:fldChar w:fldCharType="end"/>
        </w:r>
      </w:hyperlink>
    </w:p>
    <w:p w:rsidR="00603B61" w:rsidRPr="00603B61" w:rsidRDefault="00603B61" w:rsidP="00603B61">
      <w:pPr>
        <w:pStyle w:val="TOC3"/>
        <w:rPr>
          <w:rStyle w:val="Hyperlink"/>
          <w:rFonts w:asciiTheme="majorHAnsi" w:hAnsiTheme="majorHAnsi"/>
          <w:noProof/>
          <w:sz w:val="20"/>
          <w:szCs w:val="20"/>
        </w:rPr>
      </w:pPr>
    </w:p>
    <w:p w:rsidR="00F906F0" w:rsidRPr="00603B61" w:rsidRDefault="00CD7021" w:rsidP="00603B61">
      <w:pPr>
        <w:pStyle w:val="TOC3"/>
        <w:rPr>
          <w:rFonts w:asciiTheme="majorHAnsi" w:eastAsiaTheme="minorEastAsia" w:hAnsiTheme="majorHAnsi" w:cstheme="minorBidi"/>
          <w:noProof/>
          <w:sz w:val="20"/>
          <w:szCs w:val="20"/>
          <w:lang w:val="en-US" w:eastAsia="en-US" w:bidi="ar-SA"/>
        </w:rPr>
      </w:pPr>
      <w:hyperlink w:anchor="_Toc423072847" w:history="1">
        <w:r w:rsidR="00F906F0" w:rsidRPr="00603B61">
          <w:rPr>
            <w:rStyle w:val="Hyperlink"/>
            <w:rFonts w:asciiTheme="majorHAnsi" w:hAnsiTheme="majorHAnsi"/>
            <w:noProof/>
            <w:sz w:val="20"/>
            <w:szCs w:val="20"/>
          </w:rPr>
          <w:t>2.</w:t>
        </w:r>
        <w:r w:rsidR="00F906F0" w:rsidRPr="00603B61">
          <w:rPr>
            <w:rFonts w:asciiTheme="majorHAnsi" w:eastAsiaTheme="minorEastAsia" w:hAnsiTheme="majorHAnsi" w:cstheme="minorBidi"/>
            <w:noProof/>
            <w:sz w:val="20"/>
            <w:szCs w:val="20"/>
            <w:lang w:val="en-US" w:eastAsia="en-US" w:bidi="ar-SA"/>
          </w:rPr>
          <w:tab/>
        </w:r>
        <w:r w:rsidR="00F906F0" w:rsidRPr="00603B61">
          <w:rPr>
            <w:rStyle w:val="Hyperlink"/>
            <w:rFonts w:asciiTheme="majorHAnsi" w:hAnsiTheme="majorHAnsi"/>
            <w:noProof/>
            <w:sz w:val="20"/>
            <w:szCs w:val="20"/>
          </w:rPr>
          <w:t>Procedimientos ante comisiones militares</w:t>
        </w:r>
        <w:r w:rsidR="00F906F0" w:rsidRPr="00603B61">
          <w:rPr>
            <w:rFonts w:asciiTheme="majorHAnsi" w:hAnsiTheme="majorHAnsi"/>
            <w:noProof/>
            <w:webHidden/>
            <w:sz w:val="20"/>
            <w:szCs w:val="20"/>
          </w:rPr>
          <w:tab/>
        </w:r>
        <w:r w:rsidR="00F906F0" w:rsidRPr="00603B61">
          <w:rPr>
            <w:rFonts w:asciiTheme="majorHAnsi" w:hAnsiTheme="majorHAnsi"/>
            <w:noProof/>
            <w:webHidden/>
            <w:sz w:val="20"/>
            <w:szCs w:val="20"/>
          </w:rPr>
          <w:fldChar w:fldCharType="begin"/>
        </w:r>
        <w:r w:rsidR="00F906F0" w:rsidRPr="00603B61">
          <w:rPr>
            <w:rFonts w:asciiTheme="majorHAnsi" w:hAnsiTheme="majorHAnsi"/>
            <w:noProof/>
            <w:webHidden/>
            <w:sz w:val="20"/>
            <w:szCs w:val="20"/>
          </w:rPr>
          <w:instrText xml:space="preserve"> PAGEREF _Toc423072847 \h </w:instrText>
        </w:r>
        <w:r w:rsidR="00F906F0" w:rsidRPr="00603B61">
          <w:rPr>
            <w:rFonts w:asciiTheme="majorHAnsi" w:hAnsiTheme="majorHAnsi"/>
            <w:noProof/>
            <w:webHidden/>
            <w:sz w:val="20"/>
            <w:szCs w:val="20"/>
          </w:rPr>
        </w:r>
        <w:r w:rsidR="00F906F0" w:rsidRPr="00603B61">
          <w:rPr>
            <w:rFonts w:asciiTheme="majorHAnsi" w:hAnsiTheme="majorHAnsi"/>
            <w:noProof/>
            <w:webHidden/>
            <w:sz w:val="20"/>
            <w:szCs w:val="20"/>
          </w:rPr>
          <w:fldChar w:fldCharType="separate"/>
        </w:r>
        <w:r w:rsidR="007F1660">
          <w:rPr>
            <w:rFonts w:asciiTheme="majorHAnsi" w:hAnsiTheme="majorHAnsi"/>
            <w:noProof/>
            <w:webHidden/>
            <w:sz w:val="20"/>
            <w:szCs w:val="20"/>
          </w:rPr>
          <w:t>86</w:t>
        </w:r>
        <w:r w:rsidR="00F906F0" w:rsidRPr="00603B61">
          <w:rPr>
            <w:rFonts w:asciiTheme="majorHAnsi" w:hAnsiTheme="majorHAnsi"/>
            <w:noProof/>
            <w:webHidden/>
            <w:sz w:val="20"/>
            <w:szCs w:val="20"/>
          </w:rPr>
          <w:fldChar w:fldCharType="end"/>
        </w:r>
      </w:hyperlink>
    </w:p>
    <w:p w:rsidR="00603B61" w:rsidRPr="00603B61" w:rsidRDefault="00603B61" w:rsidP="001F21A7">
      <w:pPr>
        <w:pStyle w:val="TOC4"/>
        <w:tabs>
          <w:tab w:val="left" w:pos="547"/>
          <w:tab w:val="left" w:pos="1320"/>
          <w:tab w:val="right" w:pos="7740"/>
        </w:tabs>
        <w:rPr>
          <w:rStyle w:val="Hyperlink"/>
          <w:rFonts w:asciiTheme="majorHAnsi" w:hAnsiTheme="majorHAnsi"/>
          <w:noProof/>
          <w:sz w:val="20"/>
          <w:szCs w:val="20"/>
        </w:rPr>
      </w:pPr>
    </w:p>
    <w:p w:rsidR="00F906F0" w:rsidRPr="00603B61" w:rsidRDefault="00CD7021" w:rsidP="005A3F46">
      <w:pPr>
        <w:pStyle w:val="TOC4"/>
        <w:tabs>
          <w:tab w:val="left" w:pos="547"/>
          <w:tab w:val="left" w:pos="1080"/>
          <w:tab w:val="right" w:pos="7740"/>
        </w:tabs>
        <w:spacing w:after="60"/>
        <w:ind w:left="1080" w:hanging="360"/>
        <w:rPr>
          <w:rFonts w:asciiTheme="majorHAnsi" w:eastAsiaTheme="minorEastAsia" w:hAnsiTheme="majorHAnsi" w:cstheme="minorBidi"/>
          <w:noProof/>
          <w:sz w:val="20"/>
          <w:szCs w:val="20"/>
          <w:lang w:val="en-US" w:eastAsia="en-US" w:bidi="ar-SA"/>
        </w:rPr>
      </w:pPr>
      <w:hyperlink w:anchor="_Toc423072848" w:history="1">
        <w:r w:rsidR="00F906F0" w:rsidRPr="00603B61">
          <w:rPr>
            <w:rStyle w:val="Hyperlink"/>
            <w:rFonts w:asciiTheme="majorHAnsi" w:hAnsiTheme="majorHAnsi"/>
            <w:noProof/>
            <w:sz w:val="20"/>
            <w:szCs w:val="20"/>
          </w:rPr>
          <w:t>a.</w:t>
        </w:r>
        <w:r w:rsidR="00F906F0" w:rsidRPr="00603B61">
          <w:rPr>
            <w:rFonts w:asciiTheme="majorHAnsi" w:eastAsiaTheme="minorEastAsia" w:hAnsiTheme="majorHAnsi" w:cstheme="minorBidi"/>
            <w:noProof/>
            <w:sz w:val="20"/>
            <w:szCs w:val="20"/>
            <w:lang w:val="en-US" w:eastAsia="en-US" w:bidi="ar-SA"/>
          </w:rPr>
          <w:tab/>
        </w:r>
        <w:r w:rsidR="00F906F0" w:rsidRPr="00603B61">
          <w:rPr>
            <w:rStyle w:val="Hyperlink"/>
            <w:rFonts w:asciiTheme="majorHAnsi" w:hAnsiTheme="majorHAnsi"/>
            <w:noProof/>
            <w:sz w:val="20"/>
            <w:szCs w:val="20"/>
          </w:rPr>
          <w:t>La Ley de Comisiones Militares de 2009</w:t>
        </w:r>
        <w:r w:rsidR="00F906F0" w:rsidRPr="00603B61">
          <w:rPr>
            <w:rFonts w:asciiTheme="majorHAnsi" w:hAnsiTheme="majorHAnsi"/>
            <w:noProof/>
            <w:webHidden/>
            <w:sz w:val="20"/>
            <w:szCs w:val="20"/>
          </w:rPr>
          <w:tab/>
        </w:r>
        <w:r w:rsidR="00F906F0" w:rsidRPr="00603B61">
          <w:rPr>
            <w:rFonts w:asciiTheme="majorHAnsi" w:hAnsiTheme="majorHAnsi"/>
            <w:noProof/>
            <w:webHidden/>
            <w:sz w:val="20"/>
            <w:szCs w:val="20"/>
          </w:rPr>
          <w:fldChar w:fldCharType="begin"/>
        </w:r>
        <w:r w:rsidR="00F906F0" w:rsidRPr="00603B61">
          <w:rPr>
            <w:rFonts w:asciiTheme="majorHAnsi" w:hAnsiTheme="majorHAnsi"/>
            <w:noProof/>
            <w:webHidden/>
            <w:sz w:val="20"/>
            <w:szCs w:val="20"/>
          </w:rPr>
          <w:instrText xml:space="preserve"> PAGEREF _Toc423072848 \h </w:instrText>
        </w:r>
        <w:r w:rsidR="00F906F0" w:rsidRPr="00603B61">
          <w:rPr>
            <w:rFonts w:asciiTheme="majorHAnsi" w:hAnsiTheme="majorHAnsi"/>
            <w:noProof/>
            <w:webHidden/>
            <w:sz w:val="20"/>
            <w:szCs w:val="20"/>
          </w:rPr>
        </w:r>
        <w:r w:rsidR="00F906F0" w:rsidRPr="00603B61">
          <w:rPr>
            <w:rFonts w:asciiTheme="majorHAnsi" w:hAnsiTheme="majorHAnsi"/>
            <w:noProof/>
            <w:webHidden/>
            <w:sz w:val="20"/>
            <w:szCs w:val="20"/>
          </w:rPr>
          <w:fldChar w:fldCharType="separate"/>
        </w:r>
        <w:r w:rsidR="007F1660">
          <w:rPr>
            <w:rFonts w:asciiTheme="majorHAnsi" w:hAnsiTheme="majorHAnsi"/>
            <w:noProof/>
            <w:webHidden/>
            <w:sz w:val="20"/>
            <w:szCs w:val="20"/>
          </w:rPr>
          <w:t>88</w:t>
        </w:r>
        <w:r w:rsidR="00F906F0" w:rsidRPr="00603B61">
          <w:rPr>
            <w:rFonts w:asciiTheme="majorHAnsi" w:hAnsiTheme="majorHAnsi"/>
            <w:noProof/>
            <w:webHidden/>
            <w:sz w:val="20"/>
            <w:szCs w:val="20"/>
          </w:rPr>
          <w:fldChar w:fldCharType="end"/>
        </w:r>
      </w:hyperlink>
    </w:p>
    <w:p w:rsidR="00F906F0" w:rsidRPr="00603B61" w:rsidRDefault="00CD7021" w:rsidP="005A3F46">
      <w:pPr>
        <w:pStyle w:val="TOC4"/>
        <w:tabs>
          <w:tab w:val="left" w:pos="547"/>
          <w:tab w:val="left" w:pos="1080"/>
          <w:tab w:val="right" w:pos="7740"/>
        </w:tabs>
        <w:spacing w:after="60"/>
        <w:ind w:left="1080" w:hanging="360"/>
        <w:rPr>
          <w:rFonts w:asciiTheme="majorHAnsi" w:eastAsiaTheme="minorEastAsia" w:hAnsiTheme="majorHAnsi" w:cstheme="minorBidi"/>
          <w:noProof/>
          <w:sz w:val="20"/>
          <w:szCs w:val="20"/>
          <w:lang w:val="en-US" w:eastAsia="en-US" w:bidi="ar-SA"/>
        </w:rPr>
      </w:pPr>
      <w:hyperlink w:anchor="_Toc423072849" w:history="1">
        <w:r w:rsidR="00F906F0" w:rsidRPr="00603B61">
          <w:rPr>
            <w:rStyle w:val="Hyperlink"/>
            <w:rFonts w:asciiTheme="majorHAnsi" w:hAnsiTheme="majorHAnsi"/>
            <w:noProof/>
            <w:sz w:val="20"/>
            <w:szCs w:val="20"/>
          </w:rPr>
          <w:t>b.</w:t>
        </w:r>
        <w:r w:rsidR="00F906F0" w:rsidRPr="00603B61">
          <w:rPr>
            <w:rFonts w:asciiTheme="majorHAnsi" w:eastAsiaTheme="minorEastAsia" w:hAnsiTheme="majorHAnsi" w:cstheme="minorBidi"/>
            <w:noProof/>
            <w:sz w:val="20"/>
            <w:szCs w:val="20"/>
            <w:lang w:val="en-US" w:eastAsia="en-US" w:bidi="ar-SA"/>
          </w:rPr>
          <w:tab/>
        </w:r>
        <w:r w:rsidR="00F906F0" w:rsidRPr="00603B61">
          <w:rPr>
            <w:rStyle w:val="Hyperlink"/>
            <w:rFonts w:asciiTheme="majorHAnsi" w:hAnsiTheme="majorHAnsi"/>
            <w:noProof/>
            <w:sz w:val="20"/>
            <w:szCs w:val="20"/>
          </w:rPr>
          <w:t>La implementación de las comisiones militares</w:t>
        </w:r>
        <w:r w:rsidR="00F906F0" w:rsidRPr="00603B61">
          <w:rPr>
            <w:rFonts w:asciiTheme="majorHAnsi" w:hAnsiTheme="majorHAnsi"/>
            <w:noProof/>
            <w:webHidden/>
            <w:sz w:val="20"/>
            <w:szCs w:val="20"/>
          </w:rPr>
          <w:tab/>
        </w:r>
        <w:r w:rsidR="00F906F0" w:rsidRPr="00603B61">
          <w:rPr>
            <w:rFonts w:asciiTheme="majorHAnsi" w:hAnsiTheme="majorHAnsi"/>
            <w:noProof/>
            <w:webHidden/>
            <w:sz w:val="20"/>
            <w:szCs w:val="20"/>
          </w:rPr>
          <w:fldChar w:fldCharType="begin"/>
        </w:r>
        <w:r w:rsidR="00F906F0" w:rsidRPr="00603B61">
          <w:rPr>
            <w:rFonts w:asciiTheme="majorHAnsi" w:hAnsiTheme="majorHAnsi"/>
            <w:noProof/>
            <w:webHidden/>
            <w:sz w:val="20"/>
            <w:szCs w:val="20"/>
          </w:rPr>
          <w:instrText xml:space="preserve"> PAGEREF _Toc423072849 \h </w:instrText>
        </w:r>
        <w:r w:rsidR="00F906F0" w:rsidRPr="00603B61">
          <w:rPr>
            <w:rFonts w:asciiTheme="majorHAnsi" w:hAnsiTheme="majorHAnsi"/>
            <w:noProof/>
            <w:webHidden/>
            <w:sz w:val="20"/>
            <w:szCs w:val="20"/>
          </w:rPr>
        </w:r>
        <w:r w:rsidR="00F906F0" w:rsidRPr="00603B61">
          <w:rPr>
            <w:rFonts w:asciiTheme="majorHAnsi" w:hAnsiTheme="majorHAnsi"/>
            <w:noProof/>
            <w:webHidden/>
            <w:sz w:val="20"/>
            <w:szCs w:val="20"/>
          </w:rPr>
          <w:fldChar w:fldCharType="separate"/>
        </w:r>
        <w:r w:rsidR="007F1660">
          <w:rPr>
            <w:rFonts w:asciiTheme="majorHAnsi" w:hAnsiTheme="majorHAnsi"/>
            <w:noProof/>
            <w:webHidden/>
            <w:sz w:val="20"/>
            <w:szCs w:val="20"/>
          </w:rPr>
          <w:t>90</w:t>
        </w:r>
        <w:r w:rsidR="00F906F0" w:rsidRPr="00603B61">
          <w:rPr>
            <w:rFonts w:asciiTheme="majorHAnsi" w:hAnsiTheme="majorHAnsi"/>
            <w:noProof/>
            <w:webHidden/>
            <w:sz w:val="20"/>
            <w:szCs w:val="20"/>
          </w:rPr>
          <w:fldChar w:fldCharType="end"/>
        </w:r>
      </w:hyperlink>
    </w:p>
    <w:p w:rsidR="00F906F0" w:rsidRPr="00603B61" w:rsidRDefault="00CD7021" w:rsidP="005A3F46">
      <w:pPr>
        <w:pStyle w:val="TOC4"/>
        <w:tabs>
          <w:tab w:val="left" w:pos="547"/>
          <w:tab w:val="left" w:pos="1080"/>
          <w:tab w:val="right" w:pos="7740"/>
        </w:tabs>
        <w:spacing w:after="60"/>
        <w:ind w:left="1080" w:hanging="360"/>
        <w:rPr>
          <w:rFonts w:asciiTheme="majorHAnsi" w:eastAsiaTheme="minorEastAsia" w:hAnsiTheme="majorHAnsi" w:cstheme="minorBidi"/>
          <w:noProof/>
          <w:sz w:val="20"/>
          <w:szCs w:val="20"/>
          <w:lang w:val="en-US" w:eastAsia="en-US" w:bidi="ar-SA"/>
        </w:rPr>
      </w:pPr>
      <w:hyperlink w:anchor="_Toc423072850" w:history="1">
        <w:r w:rsidR="00F906F0" w:rsidRPr="00603B61">
          <w:rPr>
            <w:rStyle w:val="Hyperlink"/>
            <w:rFonts w:asciiTheme="majorHAnsi" w:hAnsiTheme="majorHAnsi"/>
            <w:noProof/>
            <w:sz w:val="20"/>
            <w:szCs w:val="20"/>
          </w:rPr>
          <w:t>c.</w:t>
        </w:r>
        <w:r w:rsidR="00F906F0" w:rsidRPr="00603B61">
          <w:rPr>
            <w:rFonts w:asciiTheme="majorHAnsi" w:eastAsiaTheme="minorEastAsia" w:hAnsiTheme="majorHAnsi" w:cstheme="minorBidi"/>
            <w:noProof/>
            <w:sz w:val="20"/>
            <w:szCs w:val="20"/>
            <w:lang w:val="en-US" w:eastAsia="en-US" w:bidi="ar-SA"/>
          </w:rPr>
          <w:tab/>
        </w:r>
        <w:r w:rsidR="00F906F0" w:rsidRPr="00603B61">
          <w:rPr>
            <w:rStyle w:val="Hyperlink"/>
            <w:rFonts w:asciiTheme="majorHAnsi" w:hAnsiTheme="majorHAnsi"/>
            <w:noProof/>
            <w:sz w:val="20"/>
            <w:szCs w:val="20"/>
          </w:rPr>
          <w:t>Preocupaciones relativas al debido proceso</w:t>
        </w:r>
        <w:r w:rsidR="00F906F0" w:rsidRPr="00603B61">
          <w:rPr>
            <w:rFonts w:asciiTheme="majorHAnsi" w:hAnsiTheme="majorHAnsi"/>
            <w:noProof/>
            <w:webHidden/>
            <w:sz w:val="20"/>
            <w:szCs w:val="20"/>
          </w:rPr>
          <w:tab/>
        </w:r>
        <w:r w:rsidR="00F906F0" w:rsidRPr="00603B61">
          <w:rPr>
            <w:rFonts w:asciiTheme="majorHAnsi" w:hAnsiTheme="majorHAnsi"/>
            <w:noProof/>
            <w:webHidden/>
            <w:sz w:val="20"/>
            <w:szCs w:val="20"/>
          </w:rPr>
          <w:fldChar w:fldCharType="begin"/>
        </w:r>
        <w:r w:rsidR="00F906F0" w:rsidRPr="00603B61">
          <w:rPr>
            <w:rFonts w:asciiTheme="majorHAnsi" w:hAnsiTheme="majorHAnsi"/>
            <w:noProof/>
            <w:webHidden/>
            <w:sz w:val="20"/>
            <w:szCs w:val="20"/>
          </w:rPr>
          <w:instrText xml:space="preserve"> PAGEREF _Toc423072850 \h </w:instrText>
        </w:r>
        <w:r w:rsidR="00F906F0" w:rsidRPr="00603B61">
          <w:rPr>
            <w:rFonts w:asciiTheme="majorHAnsi" w:hAnsiTheme="majorHAnsi"/>
            <w:noProof/>
            <w:webHidden/>
            <w:sz w:val="20"/>
            <w:szCs w:val="20"/>
          </w:rPr>
        </w:r>
        <w:r w:rsidR="00F906F0" w:rsidRPr="00603B61">
          <w:rPr>
            <w:rFonts w:asciiTheme="majorHAnsi" w:hAnsiTheme="majorHAnsi"/>
            <w:noProof/>
            <w:webHidden/>
            <w:sz w:val="20"/>
            <w:szCs w:val="20"/>
          </w:rPr>
          <w:fldChar w:fldCharType="separate"/>
        </w:r>
        <w:r w:rsidR="007F1660">
          <w:rPr>
            <w:rFonts w:asciiTheme="majorHAnsi" w:hAnsiTheme="majorHAnsi"/>
            <w:noProof/>
            <w:webHidden/>
            <w:sz w:val="20"/>
            <w:szCs w:val="20"/>
          </w:rPr>
          <w:t>93</w:t>
        </w:r>
        <w:r w:rsidR="00F906F0" w:rsidRPr="00603B61">
          <w:rPr>
            <w:rFonts w:asciiTheme="majorHAnsi" w:hAnsiTheme="majorHAnsi"/>
            <w:noProof/>
            <w:webHidden/>
            <w:sz w:val="20"/>
            <w:szCs w:val="20"/>
          </w:rPr>
          <w:fldChar w:fldCharType="end"/>
        </w:r>
      </w:hyperlink>
    </w:p>
    <w:p w:rsidR="00603B61" w:rsidRPr="00603B61" w:rsidRDefault="00603B61" w:rsidP="00603B61">
      <w:pPr>
        <w:pStyle w:val="TOC3"/>
        <w:rPr>
          <w:rStyle w:val="Hyperlink"/>
          <w:rFonts w:asciiTheme="majorHAnsi" w:hAnsiTheme="majorHAnsi"/>
          <w:noProof/>
          <w:sz w:val="20"/>
          <w:szCs w:val="20"/>
        </w:rPr>
      </w:pPr>
    </w:p>
    <w:p w:rsidR="00F906F0" w:rsidRPr="00603B61" w:rsidRDefault="00CD7021" w:rsidP="00603B61">
      <w:pPr>
        <w:pStyle w:val="TOC3"/>
        <w:rPr>
          <w:rFonts w:asciiTheme="majorHAnsi" w:eastAsiaTheme="minorEastAsia" w:hAnsiTheme="majorHAnsi" w:cstheme="minorBidi"/>
          <w:noProof/>
          <w:sz w:val="20"/>
          <w:szCs w:val="20"/>
          <w:lang w:val="en-US" w:eastAsia="en-US" w:bidi="ar-SA"/>
        </w:rPr>
      </w:pPr>
      <w:hyperlink w:anchor="_Toc423072851" w:history="1">
        <w:r w:rsidR="00F906F0" w:rsidRPr="00603B61">
          <w:rPr>
            <w:rStyle w:val="Hyperlink"/>
            <w:rFonts w:asciiTheme="majorHAnsi" w:hAnsiTheme="majorHAnsi"/>
            <w:noProof/>
            <w:sz w:val="20"/>
            <w:szCs w:val="20"/>
          </w:rPr>
          <w:t>3.</w:t>
        </w:r>
        <w:r w:rsidR="00F906F0" w:rsidRPr="00603B61">
          <w:rPr>
            <w:rFonts w:asciiTheme="majorHAnsi" w:eastAsiaTheme="minorEastAsia" w:hAnsiTheme="majorHAnsi" w:cstheme="minorBidi"/>
            <w:noProof/>
            <w:sz w:val="20"/>
            <w:szCs w:val="20"/>
            <w:lang w:val="en-US" w:eastAsia="en-US" w:bidi="ar-SA"/>
          </w:rPr>
          <w:tab/>
        </w:r>
        <w:r w:rsidR="00F906F0" w:rsidRPr="00603B61">
          <w:rPr>
            <w:rStyle w:val="Hyperlink"/>
            <w:rFonts w:asciiTheme="majorHAnsi" w:hAnsiTheme="majorHAnsi"/>
            <w:noProof/>
            <w:sz w:val="20"/>
            <w:szCs w:val="20"/>
          </w:rPr>
          <w:t>Derecho a la representación legal</w:t>
        </w:r>
        <w:r w:rsidR="00F906F0" w:rsidRPr="00603B61">
          <w:rPr>
            <w:rFonts w:asciiTheme="majorHAnsi" w:hAnsiTheme="majorHAnsi"/>
            <w:noProof/>
            <w:webHidden/>
            <w:sz w:val="20"/>
            <w:szCs w:val="20"/>
          </w:rPr>
          <w:tab/>
        </w:r>
        <w:r w:rsidR="00F906F0" w:rsidRPr="00603B61">
          <w:rPr>
            <w:rFonts w:asciiTheme="majorHAnsi" w:hAnsiTheme="majorHAnsi"/>
            <w:noProof/>
            <w:webHidden/>
            <w:sz w:val="20"/>
            <w:szCs w:val="20"/>
          </w:rPr>
          <w:fldChar w:fldCharType="begin"/>
        </w:r>
        <w:r w:rsidR="00F906F0" w:rsidRPr="00603B61">
          <w:rPr>
            <w:rFonts w:asciiTheme="majorHAnsi" w:hAnsiTheme="majorHAnsi"/>
            <w:noProof/>
            <w:webHidden/>
            <w:sz w:val="20"/>
            <w:szCs w:val="20"/>
          </w:rPr>
          <w:instrText xml:space="preserve"> PAGEREF _Toc423072851 \h </w:instrText>
        </w:r>
        <w:r w:rsidR="00F906F0" w:rsidRPr="00603B61">
          <w:rPr>
            <w:rFonts w:asciiTheme="majorHAnsi" w:hAnsiTheme="majorHAnsi"/>
            <w:noProof/>
            <w:webHidden/>
            <w:sz w:val="20"/>
            <w:szCs w:val="20"/>
          </w:rPr>
        </w:r>
        <w:r w:rsidR="00F906F0" w:rsidRPr="00603B61">
          <w:rPr>
            <w:rFonts w:asciiTheme="majorHAnsi" w:hAnsiTheme="majorHAnsi"/>
            <w:noProof/>
            <w:webHidden/>
            <w:sz w:val="20"/>
            <w:szCs w:val="20"/>
          </w:rPr>
          <w:fldChar w:fldCharType="separate"/>
        </w:r>
        <w:r w:rsidR="007F1660">
          <w:rPr>
            <w:rFonts w:asciiTheme="majorHAnsi" w:hAnsiTheme="majorHAnsi"/>
            <w:noProof/>
            <w:webHidden/>
            <w:sz w:val="20"/>
            <w:szCs w:val="20"/>
          </w:rPr>
          <w:t>103</w:t>
        </w:r>
        <w:r w:rsidR="00F906F0" w:rsidRPr="00603B61">
          <w:rPr>
            <w:rFonts w:asciiTheme="majorHAnsi" w:hAnsiTheme="majorHAnsi"/>
            <w:noProof/>
            <w:webHidden/>
            <w:sz w:val="20"/>
            <w:szCs w:val="20"/>
          </w:rPr>
          <w:fldChar w:fldCharType="end"/>
        </w:r>
      </w:hyperlink>
    </w:p>
    <w:p w:rsidR="00603B61" w:rsidRPr="00603B61" w:rsidRDefault="00603B61" w:rsidP="005A3F46">
      <w:pPr>
        <w:pStyle w:val="TOC2"/>
        <w:rPr>
          <w:rStyle w:val="Hyperlink"/>
        </w:rPr>
      </w:pPr>
    </w:p>
    <w:p w:rsidR="00F906F0" w:rsidRPr="00603B61" w:rsidRDefault="00CD7021" w:rsidP="005A3F46">
      <w:pPr>
        <w:pStyle w:val="TOC2"/>
        <w:rPr>
          <w:rFonts w:eastAsiaTheme="minorEastAsia" w:cstheme="minorBidi"/>
          <w:lang w:val="en-US" w:eastAsia="en-US" w:bidi="ar-SA"/>
        </w:rPr>
      </w:pPr>
      <w:hyperlink w:anchor="_Toc423072852" w:history="1">
        <w:r w:rsidR="00F906F0" w:rsidRPr="00603B61">
          <w:rPr>
            <w:rStyle w:val="Hyperlink"/>
          </w:rPr>
          <w:t>B.</w:t>
        </w:r>
        <w:r w:rsidR="00F906F0" w:rsidRPr="00603B61">
          <w:rPr>
            <w:rFonts w:eastAsiaTheme="minorEastAsia" w:cstheme="minorBidi"/>
            <w:lang w:val="en-US" w:eastAsia="en-US" w:bidi="ar-SA"/>
          </w:rPr>
          <w:tab/>
        </w:r>
        <w:r w:rsidR="00F906F0" w:rsidRPr="00603B61">
          <w:rPr>
            <w:rStyle w:val="Hyperlink"/>
          </w:rPr>
          <w:t>Derecho a la revisión periódica de la detención</w:t>
        </w:r>
        <w:r w:rsidR="00F906F0" w:rsidRPr="00603B61">
          <w:rPr>
            <w:webHidden/>
          </w:rPr>
          <w:tab/>
        </w:r>
        <w:r w:rsidR="00F906F0" w:rsidRPr="00603B61">
          <w:rPr>
            <w:webHidden/>
          </w:rPr>
          <w:fldChar w:fldCharType="begin"/>
        </w:r>
        <w:r w:rsidR="00F906F0" w:rsidRPr="00603B61">
          <w:rPr>
            <w:webHidden/>
          </w:rPr>
          <w:instrText xml:space="preserve"> PAGEREF _Toc423072852 \h </w:instrText>
        </w:r>
        <w:r w:rsidR="00F906F0" w:rsidRPr="00603B61">
          <w:rPr>
            <w:webHidden/>
          </w:rPr>
        </w:r>
        <w:r w:rsidR="00F906F0" w:rsidRPr="00603B61">
          <w:rPr>
            <w:webHidden/>
          </w:rPr>
          <w:fldChar w:fldCharType="separate"/>
        </w:r>
        <w:r w:rsidR="007F1660">
          <w:rPr>
            <w:webHidden/>
          </w:rPr>
          <w:t>107</w:t>
        </w:r>
        <w:r w:rsidR="00F906F0" w:rsidRPr="00603B61">
          <w:rPr>
            <w:webHidden/>
          </w:rPr>
          <w:fldChar w:fldCharType="end"/>
        </w:r>
      </w:hyperlink>
    </w:p>
    <w:p w:rsidR="00F906F0" w:rsidRPr="00603B61" w:rsidRDefault="00CD7021" w:rsidP="005A3F46">
      <w:pPr>
        <w:pStyle w:val="TOC2"/>
        <w:rPr>
          <w:rFonts w:eastAsiaTheme="minorEastAsia" w:cstheme="minorBidi"/>
          <w:lang w:val="en-US" w:eastAsia="en-US" w:bidi="ar-SA"/>
        </w:rPr>
      </w:pPr>
      <w:hyperlink w:anchor="_Toc423072853" w:history="1">
        <w:r w:rsidR="00F906F0" w:rsidRPr="00603B61">
          <w:rPr>
            <w:rStyle w:val="Hyperlink"/>
          </w:rPr>
          <w:t>C.</w:t>
        </w:r>
        <w:r w:rsidR="00F906F0" w:rsidRPr="00603B61">
          <w:rPr>
            <w:rFonts w:eastAsiaTheme="minorEastAsia" w:cstheme="minorBidi"/>
            <w:lang w:val="en-US" w:eastAsia="en-US" w:bidi="ar-SA"/>
          </w:rPr>
          <w:tab/>
        </w:r>
        <w:r w:rsidR="00AF130B">
          <w:rPr>
            <w:rStyle w:val="Hyperlink"/>
          </w:rPr>
          <w:t>Condiciones de d</w:t>
        </w:r>
        <w:r w:rsidR="00F906F0" w:rsidRPr="00603B61">
          <w:rPr>
            <w:rStyle w:val="Hyperlink"/>
          </w:rPr>
          <w:t xml:space="preserve">etención y </w:t>
        </w:r>
        <w:r w:rsidR="00AF130B">
          <w:rPr>
            <w:rStyle w:val="Hyperlink"/>
          </w:rPr>
          <w:t>a</w:t>
        </w:r>
        <w:r w:rsidR="00F906F0" w:rsidRPr="00603B61">
          <w:rPr>
            <w:rStyle w:val="Hyperlink"/>
          </w:rPr>
          <w:t xml:space="preserve">cceso a la </w:t>
        </w:r>
        <w:r w:rsidR="00AF130B">
          <w:rPr>
            <w:rStyle w:val="Hyperlink"/>
          </w:rPr>
          <w:t>j</w:t>
        </w:r>
        <w:r w:rsidR="00F906F0" w:rsidRPr="00603B61">
          <w:rPr>
            <w:rStyle w:val="Hyperlink"/>
          </w:rPr>
          <w:t>usticia</w:t>
        </w:r>
        <w:r w:rsidR="00F906F0" w:rsidRPr="00603B61">
          <w:rPr>
            <w:webHidden/>
          </w:rPr>
          <w:tab/>
        </w:r>
        <w:r w:rsidR="00F906F0" w:rsidRPr="00603B61">
          <w:rPr>
            <w:webHidden/>
          </w:rPr>
          <w:fldChar w:fldCharType="begin"/>
        </w:r>
        <w:r w:rsidR="00F906F0" w:rsidRPr="00603B61">
          <w:rPr>
            <w:webHidden/>
          </w:rPr>
          <w:instrText xml:space="preserve"> PAGEREF _Toc423072853 \h </w:instrText>
        </w:r>
        <w:r w:rsidR="00F906F0" w:rsidRPr="00603B61">
          <w:rPr>
            <w:webHidden/>
          </w:rPr>
        </w:r>
        <w:r w:rsidR="00F906F0" w:rsidRPr="00603B61">
          <w:rPr>
            <w:webHidden/>
          </w:rPr>
          <w:fldChar w:fldCharType="separate"/>
        </w:r>
        <w:r w:rsidR="007F1660">
          <w:rPr>
            <w:webHidden/>
          </w:rPr>
          <w:t>112</w:t>
        </w:r>
        <w:r w:rsidR="00F906F0" w:rsidRPr="00603B61">
          <w:rPr>
            <w:webHidden/>
          </w:rPr>
          <w:fldChar w:fldCharType="end"/>
        </w:r>
      </w:hyperlink>
    </w:p>
    <w:p w:rsidR="00F906F0" w:rsidRDefault="00F906F0" w:rsidP="001F21A7">
      <w:pPr>
        <w:pStyle w:val="TOC1"/>
        <w:pBdr>
          <w:bottom w:val="none" w:sz="0" w:space="0" w:color="auto"/>
        </w:pBdr>
        <w:tabs>
          <w:tab w:val="clear" w:pos="360"/>
          <w:tab w:val="clear" w:pos="720"/>
          <w:tab w:val="clear" w:pos="1080"/>
          <w:tab w:val="clear" w:pos="7830"/>
          <w:tab w:val="left" w:pos="547"/>
          <w:tab w:val="right" w:pos="7740"/>
        </w:tabs>
        <w:rPr>
          <w:rStyle w:val="Hyperlink"/>
          <w:rFonts w:asciiTheme="majorHAnsi" w:hAnsiTheme="majorHAnsi"/>
          <w:noProof/>
          <w:sz w:val="20"/>
          <w:szCs w:val="20"/>
        </w:rPr>
      </w:pPr>
    </w:p>
    <w:p w:rsidR="00F906F0" w:rsidRPr="00F906F0" w:rsidRDefault="00CD7021" w:rsidP="001F21A7">
      <w:pPr>
        <w:pStyle w:val="TOC1"/>
        <w:pBdr>
          <w:bottom w:val="single" w:sz="4" w:space="1" w:color="808080" w:themeColor="background1" w:themeShade="80"/>
        </w:pBdr>
        <w:tabs>
          <w:tab w:val="clear" w:pos="360"/>
          <w:tab w:val="clear" w:pos="720"/>
          <w:tab w:val="clear" w:pos="1080"/>
          <w:tab w:val="clear" w:pos="7830"/>
          <w:tab w:val="left" w:pos="547"/>
          <w:tab w:val="right" w:pos="7740"/>
        </w:tabs>
        <w:rPr>
          <w:rFonts w:asciiTheme="majorHAnsi" w:eastAsiaTheme="minorEastAsia" w:hAnsiTheme="majorHAnsi" w:cstheme="minorBidi"/>
          <w:noProof/>
          <w:sz w:val="20"/>
          <w:szCs w:val="20"/>
          <w:lang w:val="en-US" w:eastAsia="en-US" w:bidi="ar-SA"/>
        </w:rPr>
      </w:pPr>
      <w:hyperlink w:anchor="_Toc423072854" w:history="1">
        <w:r w:rsidR="00F906F0" w:rsidRPr="00464BF5">
          <w:rPr>
            <w:rStyle w:val="Hyperlink"/>
            <w:rFonts w:asciiTheme="majorHAnsi" w:hAnsiTheme="majorHAnsi"/>
            <w:b/>
            <w:noProof/>
            <w:color w:val="808080" w:themeColor="background1" w:themeShade="80"/>
          </w:rPr>
          <w:t xml:space="preserve">CAPÍTULO 5  |  </w:t>
        </w:r>
        <w:r w:rsidR="00F906F0" w:rsidRPr="001F21A7">
          <w:rPr>
            <w:rStyle w:val="Hyperlink"/>
            <w:rFonts w:asciiTheme="majorHAnsi" w:hAnsiTheme="majorHAnsi"/>
            <w:b/>
            <w:noProof/>
            <w:color w:val="4A442A" w:themeColor="background2" w:themeShade="40"/>
          </w:rPr>
          <w:t xml:space="preserve">HACIA EL CIERRE DE GUANTÁNAMO: OBLIGACIONES </w:t>
        </w:r>
        <w:r w:rsidR="001F21A7" w:rsidRPr="001F21A7">
          <w:rPr>
            <w:rStyle w:val="Hyperlink"/>
            <w:rFonts w:asciiTheme="majorHAnsi" w:hAnsiTheme="majorHAnsi"/>
            <w:b/>
            <w:noProof/>
            <w:color w:val="4A442A" w:themeColor="background2" w:themeShade="40"/>
          </w:rPr>
          <w:br/>
          <w:t xml:space="preserve">                              </w:t>
        </w:r>
        <w:r w:rsidR="00F906F0" w:rsidRPr="001F21A7">
          <w:rPr>
            <w:rStyle w:val="Hyperlink"/>
            <w:rFonts w:asciiTheme="majorHAnsi" w:hAnsiTheme="majorHAnsi"/>
            <w:b/>
            <w:noProof/>
            <w:color w:val="4A442A" w:themeColor="background2" w:themeShade="40"/>
          </w:rPr>
          <w:t>JURÍDICAS INTERNACIONALES RELATIVAS AL</w:t>
        </w:r>
        <w:r w:rsidR="001F21A7" w:rsidRPr="001F21A7">
          <w:rPr>
            <w:rStyle w:val="Hyperlink"/>
            <w:rFonts w:asciiTheme="majorHAnsi" w:hAnsiTheme="majorHAnsi"/>
            <w:b/>
            <w:noProof/>
            <w:color w:val="4A442A" w:themeColor="background2" w:themeShade="40"/>
          </w:rPr>
          <w:br/>
          <w:t xml:space="preserve">                            </w:t>
        </w:r>
        <w:r w:rsidR="00F906F0" w:rsidRPr="001F21A7">
          <w:rPr>
            <w:rStyle w:val="Hyperlink"/>
            <w:rFonts w:asciiTheme="majorHAnsi" w:hAnsiTheme="majorHAnsi"/>
            <w:b/>
            <w:noProof/>
            <w:color w:val="4A442A" w:themeColor="background2" w:themeShade="40"/>
          </w:rPr>
          <w:t xml:space="preserve">  TRASLADO O LIBERACIÓN DE LOS DETENIDOS</w:t>
        </w:r>
        <w:r w:rsidR="00F906F0" w:rsidRPr="00F906F0">
          <w:rPr>
            <w:rFonts w:asciiTheme="majorHAnsi" w:hAnsiTheme="majorHAnsi"/>
            <w:noProof/>
            <w:webHidden/>
            <w:sz w:val="20"/>
            <w:szCs w:val="20"/>
          </w:rPr>
          <w:tab/>
        </w:r>
        <w:r w:rsidR="00F906F0" w:rsidRPr="00F906F0">
          <w:rPr>
            <w:rFonts w:asciiTheme="majorHAnsi" w:hAnsiTheme="majorHAnsi"/>
            <w:noProof/>
            <w:webHidden/>
            <w:sz w:val="20"/>
            <w:szCs w:val="20"/>
          </w:rPr>
          <w:fldChar w:fldCharType="begin"/>
        </w:r>
        <w:r w:rsidR="00F906F0" w:rsidRPr="00F906F0">
          <w:rPr>
            <w:rFonts w:asciiTheme="majorHAnsi" w:hAnsiTheme="majorHAnsi"/>
            <w:noProof/>
            <w:webHidden/>
            <w:sz w:val="20"/>
            <w:szCs w:val="20"/>
          </w:rPr>
          <w:instrText xml:space="preserve"> PAGEREF _Toc423072854 \h </w:instrText>
        </w:r>
        <w:r w:rsidR="00F906F0" w:rsidRPr="00F906F0">
          <w:rPr>
            <w:rFonts w:asciiTheme="majorHAnsi" w:hAnsiTheme="majorHAnsi"/>
            <w:noProof/>
            <w:webHidden/>
            <w:sz w:val="20"/>
            <w:szCs w:val="20"/>
          </w:rPr>
        </w:r>
        <w:r w:rsidR="00F906F0" w:rsidRPr="00F906F0">
          <w:rPr>
            <w:rFonts w:asciiTheme="majorHAnsi" w:hAnsiTheme="majorHAnsi"/>
            <w:noProof/>
            <w:webHidden/>
            <w:sz w:val="20"/>
            <w:szCs w:val="20"/>
          </w:rPr>
          <w:fldChar w:fldCharType="separate"/>
        </w:r>
        <w:r w:rsidR="007F1660">
          <w:rPr>
            <w:rFonts w:asciiTheme="majorHAnsi" w:hAnsiTheme="majorHAnsi"/>
            <w:noProof/>
            <w:webHidden/>
            <w:sz w:val="20"/>
            <w:szCs w:val="20"/>
          </w:rPr>
          <w:t>117</w:t>
        </w:r>
        <w:r w:rsidR="00F906F0" w:rsidRPr="00F906F0">
          <w:rPr>
            <w:rFonts w:asciiTheme="majorHAnsi" w:hAnsiTheme="majorHAnsi"/>
            <w:noProof/>
            <w:webHidden/>
            <w:sz w:val="20"/>
            <w:szCs w:val="20"/>
          </w:rPr>
          <w:fldChar w:fldCharType="end"/>
        </w:r>
      </w:hyperlink>
    </w:p>
    <w:p w:rsidR="00F906F0" w:rsidRDefault="00F906F0" w:rsidP="005A3F46">
      <w:pPr>
        <w:pStyle w:val="TOC2"/>
        <w:rPr>
          <w:rStyle w:val="Hyperlink"/>
        </w:rPr>
      </w:pPr>
    </w:p>
    <w:p w:rsidR="00F906F0" w:rsidRPr="00603B61" w:rsidRDefault="00CD7021" w:rsidP="005A3F46">
      <w:pPr>
        <w:pStyle w:val="TOC2"/>
        <w:rPr>
          <w:rFonts w:eastAsiaTheme="minorEastAsia" w:cstheme="minorBidi"/>
          <w:lang w:val="en-US" w:eastAsia="en-US" w:bidi="ar-SA"/>
        </w:rPr>
      </w:pPr>
      <w:hyperlink w:anchor="_Toc423072855" w:history="1">
        <w:r w:rsidR="00F906F0" w:rsidRPr="00603B61">
          <w:rPr>
            <w:rStyle w:val="Hyperlink"/>
          </w:rPr>
          <w:t>A.</w:t>
        </w:r>
        <w:r w:rsidR="00F906F0" w:rsidRPr="00603B61">
          <w:rPr>
            <w:rFonts w:eastAsiaTheme="minorEastAsia" w:cstheme="minorBidi"/>
            <w:lang w:val="en-US" w:eastAsia="en-US" w:bidi="ar-SA"/>
          </w:rPr>
          <w:tab/>
        </w:r>
        <w:r w:rsidR="00F906F0" w:rsidRPr="00603B61">
          <w:rPr>
            <w:rStyle w:val="Hyperlink"/>
          </w:rPr>
          <w:t>Detenidos autorizados para traslado</w:t>
        </w:r>
        <w:r w:rsidR="00F906F0" w:rsidRPr="00603B61">
          <w:rPr>
            <w:webHidden/>
          </w:rPr>
          <w:tab/>
        </w:r>
        <w:r w:rsidR="00F906F0" w:rsidRPr="00603B61">
          <w:rPr>
            <w:webHidden/>
          </w:rPr>
          <w:fldChar w:fldCharType="begin"/>
        </w:r>
        <w:r w:rsidR="00F906F0" w:rsidRPr="00603B61">
          <w:rPr>
            <w:webHidden/>
          </w:rPr>
          <w:instrText xml:space="preserve"> PAGEREF _Toc423072855 \h </w:instrText>
        </w:r>
        <w:r w:rsidR="00F906F0" w:rsidRPr="00603B61">
          <w:rPr>
            <w:webHidden/>
          </w:rPr>
        </w:r>
        <w:r w:rsidR="00F906F0" w:rsidRPr="00603B61">
          <w:rPr>
            <w:webHidden/>
          </w:rPr>
          <w:fldChar w:fldCharType="separate"/>
        </w:r>
        <w:r w:rsidR="007F1660">
          <w:rPr>
            <w:webHidden/>
          </w:rPr>
          <w:t>119</w:t>
        </w:r>
        <w:r w:rsidR="00F906F0" w:rsidRPr="00603B61">
          <w:rPr>
            <w:webHidden/>
          </w:rPr>
          <w:fldChar w:fldCharType="end"/>
        </w:r>
      </w:hyperlink>
    </w:p>
    <w:p w:rsidR="00603B61" w:rsidRPr="00603B61" w:rsidRDefault="00603B61" w:rsidP="00603B61">
      <w:pPr>
        <w:pStyle w:val="TOC3"/>
        <w:rPr>
          <w:rStyle w:val="Hyperlink"/>
          <w:rFonts w:asciiTheme="majorHAnsi" w:hAnsiTheme="majorHAnsi"/>
          <w:noProof/>
          <w:sz w:val="20"/>
          <w:szCs w:val="20"/>
        </w:rPr>
      </w:pPr>
    </w:p>
    <w:p w:rsidR="00F906F0" w:rsidRPr="00603B61" w:rsidRDefault="00CD7021" w:rsidP="005A3F46">
      <w:pPr>
        <w:pStyle w:val="TOC3"/>
        <w:spacing w:after="60"/>
        <w:rPr>
          <w:rFonts w:asciiTheme="majorHAnsi" w:eastAsiaTheme="minorEastAsia" w:hAnsiTheme="majorHAnsi" w:cstheme="minorBidi"/>
          <w:noProof/>
          <w:sz w:val="20"/>
          <w:szCs w:val="20"/>
          <w:lang w:val="en-US" w:eastAsia="en-US" w:bidi="ar-SA"/>
        </w:rPr>
      </w:pPr>
      <w:hyperlink w:anchor="_Toc423072856" w:history="1">
        <w:r w:rsidR="00F906F0" w:rsidRPr="00603B61">
          <w:rPr>
            <w:rStyle w:val="Hyperlink"/>
            <w:rFonts w:asciiTheme="majorHAnsi" w:hAnsiTheme="majorHAnsi"/>
            <w:noProof/>
            <w:sz w:val="20"/>
            <w:szCs w:val="20"/>
          </w:rPr>
          <w:t>1.</w:t>
        </w:r>
        <w:r w:rsidR="00F906F0" w:rsidRPr="00603B61">
          <w:rPr>
            <w:rFonts w:asciiTheme="majorHAnsi" w:eastAsiaTheme="minorEastAsia" w:hAnsiTheme="majorHAnsi" w:cstheme="minorBidi"/>
            <w:noProof/>
            <w:sz w:val="20"/>
            <w:szCs w:val="20"/>
            <w:lang w:val="en-US" w:eastAsia="en-US" w:bidi="ar-SA"/>
          </w:rPr>
          <w:tab/>
        </w:r>
        <w:r w:rsidR="00F906F0" w:rsidRPr="00603B61">
          <w:rPr>
            <w:rStyle w:val="Hyperlink"/>
            <w:rFonts w:asciiTheme="majorHAnsi" w:hAnsiTheme="majorHAnsi"/>
            <w:noProof/>
            <w:sz w:val="20"/>
            <w:szCs w:val="20"/>
          </w:rPr>
          <w:t>Desafíos en los traslados de detenidos</w:t>
        </w:r>
        <w:r w:rsidR="00F906F0" w:rsidRPr="00603B61">
          <w:rPr>
            <w:rFonts w:asciiTheme="majorHAnsi" w:hAnsiTheme="majorHAnsi"/>
            <w:noProof/>
            <w:webHidden/>
            <w:sz w:val="20"/>
            <w:szCs w:val="20"/>
          </w:rPr>
          <w:tab/>
        </w:r>
        <w:r w:rsidR="00F906F0" w:rsidRPr="00603B61">
          <w:rPr>
            <w:rFonts w:asciiTheme="majorHAnsi" w:hAnsiTheme="majorHAnsi"/>
            <w:noProof/>
            <w:webHidden/>
            <w:sz w:val="20"/>
            <w:szCs w:val="20"/>
          </w:rPr>
          <w:fldChar w:fldCharType="begin"/>
        </w:r>
        <w:r w:rsidR="00F906F0" w:rsidRPr="00603B61">
          <w:rPr>
            <w:rFonts w:asciiTheme="majorHAnsi" w:hAnsiTheme="majorHAnsi"/>
            <w:noProof/>
            <w:webHidden/>
            <w:sz w:val="20"/>
            <w:szCs w:val="20"/>
          </w:rPr>
          <w:instrText xml:space="preserve"> PAGEREF _Toc423072856 \h </w:instrText>
        </w:r>
        <w:r w:rsidR="00F906F0" w:rsidRPr="00603B61">
          <w:rPr>
            <w:rFonts w:asciiTheme="majorHAnsi" w:hAnsiTheme="majorHAnsi"/>
            <w:noProof/>
            <w:webHidden/>
            <w:sz w:val="20"/>
            <w:szCs w:val="20"/>
          </w:rPr>
        </w:r>
        <w:r w:rsidR="00F906F0" w:rsidRPr="00603B61">
          <w:rPr>
            <w:rFonts w:asciiTheme="majorHAnsi" w:hAnsiTheme="majorHAnsi"/>
            <w:noProof/>
            <w:webHidden/>
            <w:sz w:val="20"/>
            <w:szCs w:val="20"/>
          </w:rPr>
          <w:fldChar w:fldCharType="separate"/>
        </w:r>
        <w:r w:rsidR="007F1660">
          <w:rPr>
            <w:rFonts w:asciiTheme="majorHAnsi" w:hAnsiTheme="majorHAnsi"/>
            <w:noProof/>
            <w:webHidden/>
            <w:sz w:val="20"/>
            <w:szCs w:val="20"/>
          </w:rPr>
          <w:t>120</w:t>
        </w:r>
        <w:r w:rsidR="00F906F0" w:rsidRPr="00603B61">
          <w:rPr>
            <w:rFonts w:asciiTheme="majorHAnsi" w:hAnsiTheme="majorHAnsi"/>
            <w:noProof/>
            <w:webHidden/>
            <w:sz w:val="20"/>
            <w:szCs w:val="20"/>
          </w:rPr>
          <w:fldChar w:fldCharType="end"/>
        </w:r>
      </w:hyperlink>
    </w:p>
    <w:p w:rsidR="00F906F0" w:rsidRPr="00603B61" w:rsidRDefault="00CD7021" w:rsidP="005A3F46">
      <w:pPr>
        <w:pStyle w:val="TOC3"/>
        <w:spacing w:after="60"/>
        <w:rPr>
          <w:rFonts w:asciiTheme="majorHAnsi" w:eastAsiaTheme="minorEastAsia" w:hAnsiTheme="majorHAnsi" w:cstheme="minorBidi"/>
          <w:noProof/>
          <w:sz w:val="20"/>
          <w:szCs w:val="20"/>
          <w:lang w:val="en-US" w:eastAsia="en-US" w:bidi="ar-SA"/>
        </w:rPr>
      </w:pPr>
      <w:hyperlink w:anchor="_Toc423072857" w:history="1">
        <w:r w:rsidR="00F906F0" w:rsidRPr="00603B61">
          <w:rPr>
            <w:rStyle w:val="Hyperlink"/>
            <w:rFonts w:asciiTheme="majorHAnsi" w:hAnsiTheme="majorHAnsi"/>
            <w:noProof/>
            <w:sz w:val="20"/>
            <w:szCs w:val="20"/>
          </w:rPr>
          <w:t>2.</w:t>
        </w:r>
        <w:r w:rsidR="00F906F0" w:rsidRPr="00603B61">
          <w:rPr>
            <w:rFonts w:asciiTheme="majorHAnsi" w:eastAsiaTheme="minorEastAsia" w:hAnsiTheme="majorHAnsi" w:cstheme="minorBidi"/>
            <w:noProof/>
            <w:sz w:val="20"/>
            <w:szCs w:val="20"/>
            <w:lang w:val="en-US" w:eastAsia="en-US" w:bidi="ar-SA"/>
          </w:rPr>
          <w:tab/>
        </w:r>
        <w:r w:rsidR="00F906F0" w:rsidRPr="00603B61">
          <w:rPr>
            <w:rStyle w:val="Hyperlink"/>
            <w:rFonts w:asciiTheme="majorHAnsi" w:hAnsiTheme="majorHAnsi"/>
            <w:noProof/>
            <w:sz w:val="20"/>
            <w:szCs w:val="20"/>
          </w:rPr>
          <w:t>La situación de los detenidos de Yemen</w:t>
        </w:r>
        <w:r w:rsidR="00F906F0" w:rsidRPr="00603B61">
          <w:rPr>
            <w:rFonts w:asciiTheme="majorHAnsi" w:hAnsiTheme="majorHAnsi"/>
            <w:noProof/>
            <w:webHidden/>
            <w:sz w:val="20"/>
            <w:szCs w:val="20"/>
          </w:rPr>
          <w:tab/>
        </w:r>
        <w:r w:rsidR="00F906F0" w:rsidRPr="00603B61">
          <w:rPr>
            <w:rFonts w:asciiTheme="majorHAnsi" w:hAnsiTheme="majorHAnsi"/>
            <w:noProof/>
            <w:webHidden/>
            <w:sz w:val="20"/>
            <w:szCs w:val="20"/>
          </w:rPr>
          <w:fldChar w:fldCharType="begin"/>
        </w:r>
        <w:r w:rsidR="00F906F0" w:rsidRPr="00603B61">
          <w:rPr>
            <w:rFonts w:asciiTheme="majorHAnsi" w:hAnsiTheme="majorHAnsi"/>
            <w:noProof/>
            <w:webHidden/>
            <w:sz w:val="20"/>
            <w:szCs w:val="20"/>
          </w:rPr>
          <w:instrText xml:space="preserve"> PAGEREF _Toc423072857 \h </w:instrText>
        </w:r>
        <w:r w:rsidR="00F906F0" w:rsidRPr="00603B61">
          <w:rPr>
            <w:rFonts w:asciiTheme="majorHAnsi" w:hAnsiTheme="majorHAnsi"/>
            <w:noProof/>
            <w:webHidden/>
            <w:sz w:val="20"/>
            <w:szCs w:val="20"/>
          </w:rPr>
        </w:r>
        <w:r w:rsidR="00F906F0" w:rsidRPr="00603B61">
          <w:rPr>
            <w:rFonts w:asciiTheme="majorHAnsi" w:hAnsiTheme="majorHAnsi"/>
            <w:noProof/>
            <w:webHidden/>
            <w:sz w:val="20"/>
            <w:szCs w:val="20"/>
          </w:rPr>
          <w:fldChar w:fldCharType="separate"/>
        </w:r>
        <w:r w:rsidR="007F1660">
          <w:rPr>
            <w:rFonts w:asciiTheme="majorHAnsi" w:hAnsiTheme="majorHAnsi"/>
            <w:noProof/>
            <w:webHidden/>
            <w:sz w:val="20"/>
            <w:szCs w:val="20"/>
          </w:rPr>
          <w:t>123</w:t>
        </w:r>
        <w:r w:rsidR="00F906F0" w:rsidRPr="00603B61">
          <w:rPr>
            <w:rFonts w:asciiTheme="majorHAnsi" w:hAnsiTheme="majorHAnsi"/>
            <w:noProof/>
            <w:webHidden/>
            <w:sz w:val="20"/>
            <w:szCs w:val="20"/>
          </w:rPr>
          <w:fldChar w:fldCharType="end"/>
        </w:r>
      </w:hyperlink>
    </w:p>
    <w:p w:rsidR="00F906F0" w:rsidRPr="00603B61" w:rsidRDefault="00CD7021" w:rsidP="005A3F46">
      <w:pPr>
        <w:pStyle w:val="TOC3"/>
        <w:spacing w:after="60"/>
        <w:rPr>
          <w:rFonts w:asciiTheme="majorHAnsi" w:eastAsiaTheme="minorEastAsia" w:hAnsiTheme="majorHAnsi" w:cstheme="minorBidi"/>
          <w:noProof/>
          <w:sz w:val="20"/>
          <w:szCs w:val="20"/>
          <w:lang w:val="en-US" w:eastAsia="en-US" w:bidi="ar-SA"/>
        </w:rPr>
      </w:pPr>
      <w:hyperlink w:anchor="_Toc423072858" w:history="1">
        <w:r w:rsidR="00F906F0" w:rsidRPr="00603B61">
          <w:rPr>
            <w:rStyle w:val="Hyperlink"/>
            <w:rFonts w:asciiTheme="majorHAnsi" w:hAnsiTheme="majorHAnsi"/>
            <w:noProof/>
            <w:sz w:val="20"/>
            <w:szCs w:val="20"/>
          </w:rPr>
          <w:t>3.</w:t>
        </w:r>
        <w:r w:rsidR="00F906F0" w:rsidRPr="00603B61">
          <w:rPr>
            <w:rFonts w:asciiTheme="majorHAnsi" w:eastAsiaTheme="minorEastAsia" w:hAnsiTheme="majorHAnsi" w:cstheme="minorBidi"/>
            <w:noProof/>
            <w:sz w:val="20"/>
            <w:szCs w:val="20"/>
            <w:lang w:val="en-US" w:eastAsia="en-US" w:bidi="ar-SA"/>
          </w:rPr>
          <w:tab/>
        </w:r>
        <w:r w:rsidR="00F906F0" w:rsidRPr="00603B61">
          <w:rPr>
            <w:rStyle w:val="Hyperlink"/>
            <w:rFonts w:asciiTheme="majorHAnsi" w:hAnsiTheme="majorHAnsi"/>
            <w:noProof/>
            <w:sz w:val="20"/>
            <w:szCs w:val="20"/>
          </w:rPr>
          <w:t xml:space="preserve">El principio de </w:t>
        </w:r>
        <w:r w:rsidR="00F906F0" w:rsidRPr="00603B61">
          <w:rPr>
            <w:rStyle w:val="Hyperlink"/>
            <w:rFonts w:asciiTheme="majorHAnsi" w:hAnsiTheme="majorHAnsi"/>
            <w:i/>
            <w:noProof/>
            <w:sz w:val="20"/>
            <w:szCs w:val="20"/>
          </w:rPr>
          <w:t>non-refoulement</w:t>
        </w:r>
        <w:r w:rsidR="00F906F0" w:rsidRPr="00603B61">
          <w:rPr>
            <w:rFonts w:asciiTheme="majorHAnsi" w:hAnsiTheme="majorHAnsi"/>
            <w:noProof/>
            <w:webHidden/>
            <w:sz w:val="20"/>
            <w:szCs w:val="20"/>
          </w:rPr>
          <w:tab/>
        </w:r>
        <w:r w:rsidR="00F906F0" w:rsidRPr="00603B61">
          <w:rPr>
            <w:rFonts w:asciiTheme="majorHAnsi" w:hAnsiTheme="majorHAnsi"/>
            <w:noProof/>
            <w:webHidden/>
            <w:sz w:val="20"/>
            <w:szCs w:val="20"/>
          </w:rPr>
          <w:fldChar w:fldCharType="begin"/>
        </w:r>
        <w:r w:rsidR="00F906F0" w:rsidRPr="00603B61">
          <w:rPr>
            <w:rFonts w:asciiTheme="majorHAnsi" w:hAnsiTheme="majorHAnsi"/>
            <w:noProof/>
            <w:webHidden/>
            <w:sz w:val="20"/>
            <w:szCs w:val="20"/>
          </w:rPr>
          <w:instrText xml:space="preserve"> PAGEREF _Toc423072858 \h </w:instrText>
        </w:r>
        <w:r w:rsidR="00F906F0" w:rsidRPr="00603B61">
          <w:rPr>
            <w:rFonts w:asciiTheme="majorHAnsi" w:hAnsiTheme="majorHAnsi"/>
            <w:noProof/>
            <w:webHidden/>
            <w:sz w:val="20"/>
            <w:szCs w:val="20"/>
          </w:rPr>
        </w:r>
        <w:r w:rsidR="00F906F0" w:rsidRPr="00603B61">
          <w:rPr>
            <w:rFonts w:asciiTheme="majorHAnsi" w:hAnsiTheme="majorHAnsi"/>
            <w:noProof/>
            <w:webHidden/>
            <w:sz w:val="20"/>
            <w:szCs w:val="20"/>
          </w:rPr>
          <w:fldChar w:fldCharType="separate"/>
        </w:r>
        <w:r w:rsidR="007F1660">
          <w:rPr>
            <w:rFonts w:asciiTheme="majorHAnsi" w:hAnsiTheme="majorHAnsi"/>
            <w:noProof/>
            <w:webHidden/>
            <w:sz w:val="20"/>
            <w:szCs w:val="20"/>
          </w:rPr>
          <w:t>125</w:t>
        </w:r>
        <w:r w:rsidR="00F906F0" w:rsidRPr="00603B61">
          <w:rPr>
            <w:rFonts w:asciiTheme="majorHAnsi" w:hAnsiTheme="majorHAnsi"/>
            <w:noProof/>
            <w:webHidden/>
            <w:sz w:val="20"/>
            <w:szCs w:val="20"/>
          </w:rPr>
          <w:fldChar w:fldCharType="end"/>
        </w:r>
      </w:hyperlink>
    </w:p>
    <w:p w:rsidR="00F906F0" w:rsidRPr="00603B61" w:rsidRDefault="00CD7021" w:rsidP="005A3F46">
      <w:pPr>
        <w:pStyle w:val="TOC3"/>
        <w:spacing w:after="60"/>
        <w:rPr>
          <w:rFonts w:asciiTheme="majorHAnsi" w:eastAsiaTheme="minorEastAsia" w:hAnsiTheme="majorHAnsi" w:cstheme="minorBidi"/>
          <w:noProof/>
          <w:sz w:val="20"/>
          <w:szCs w:val="20"/>
          <w:lang w:val="en-US" w:eastAsia="en-US" w:bidi="ar-SA"/>
        </w:rPr>
      </w:pPr>
      <w:hyperlink w:anchor="_Toc423072859" w:history="1">
        <w:r w:rsidR="00F906F0" w:rsidRPr="00603B61">
          <w:rPr>
            <w:rStyle w:val="Hyperlink"/>
            <w:rFonts w:asciiTheme="majorHAnsi" w:hAnsiTheme="majorHAnsi"/>
            <w:noProof/>
            <w:sz w:val="20"/>
            <w:szCs w:val="20"/>
          </w:rPr>
          <w:t>4.</w:t>
        </w:r>
        <w:r w:rsidR="00F906F0" w:rsidRPr="00603B61">
          <w:rPr>
            <w:rFonts w:asciiTheme="majorHAnsi" w:eastAsiaTheme="minorEastAsia" w:hAnsiTheme="majorHAnsi" w:cstheme="minorBidi"/>
            <w:noProof/>
            <w:sz w:val="20"/>
            <w:szCs w:val="20"/>
            <w:lang w:val="en-US" w:eastAsia="en-US" w:bidi="ar-SA"/>
          </w:rPr>
          <w:tab/>
        </w:r>
        <w:r w:rsidR="00F906F0" w:rsidRPr="00603B61">
          <w:rPr>
            <w:rStyle w:val="Hyperlink"/>
            <w:rFonts w:asciiTheme="majorHAnsi" w:hAnsiTheme="majorHAnsi"/>
            <w:noProof/>
            <w:sz w:val="20"/>
            <w:szCs w:val="20"/>
          </w:rPr>
          <w:t>Prerrogativas del Ejecutivo</w:t>
        </w:r>
        <w:r w:rsidR="00F906F0" w:rsidRPr="00603B61">
          <w:rPr>
            <w:rFonts w:asciiTheme="majorHAnsi" w:hAnsiTheme="majorHAnsi"/>
            <w:noProof/>
            <w:webHidden/>
            <w:sz w:val="20"/>
            <w:szCs w:val="20"/>
          </w:rPr>
          <w:tab/>
        </w:r>
        <w:r w:rsidR="00F906F0" w:rsidRPr="00603B61">
          <w:rPr>
            <w:rFonts w:asciiTheme="majorHAnsi" w:hAnsiTheme="majorHAnsi"/>
            <w:noProof/>
            <w:webHidden/>
            <w:sz w:val="20"/>
            <w:szCs w:val="20"/>
          </w:rPr>
          <w:fldChar w:fldCharType="begin"/>
        </w:r>
        <w:r w:rsidR="00F906F0" w:rsidRPr="00603B61">
          <w:rPr>
            <w:rFonts w:asciiTheme="majorHAnsi" w:hAnsiTheme="majorHAnsi"/>
            <w:noProof/>
            <w:webHidden/>
            <w:sz w:val="20"/>
            <w:szCs w:val="20"/>
          </w:rPr>
          <w:instrText xml:space="preserve"> PAGEREF _Toc423072859 \h </w:instrText>
        </w:r>
        <w:r w:rsidR="00F906F0" w:rsidRPr="00603B61">
          <w:rPr>
            <w:rFonts w:asciiTheme="majorHAnsi" w:hAnsiTheme="majorHAnsi"/>
            <w:noProof/>
            <w:webHidden/>
            <w:sz w:val="20"/>
            <w:szCs w:val="20"/>
          </w:rPr>
        </w:r>
        <w:r w:rsidR="00F906F0" w:rsidRPr="00603B61">
          <w:rPr>
            <w:rFonts w:asciiTheme="majorHAnsi" w:hAnsiTheme="majorHAnsi"/>
            <w:noProof/>
            <w:webHidden/>
            <w:sz w:val="20"/>
            <w:szCs w:val="20"/>
          </w:rPr>
          <w:fldChar w:fldCharType="separate"/>
        </w:r>
        <w:r w:rsidR="007F1660">
          <w:rPr>
            <w:rFonts w:asciiTheme="majorHAnsi" w:hAnsiTheme="majorHAnsi"/>
            <w:noProof/>
            <w:webHidden/>
            <w:sz w:val="20"/>
            <w:szCs w:val="20"/>
          </w:rPr>
          <w:t>127</w:t>
        </w:r>
        <w:r w:rsidR="00F906F0" w:rsidRPr="00603B61">
          <w:rPr>
            <w:rFonts w:asciiTheme="majorHAnsi" w:hAnsiTheme="majorHAnsi"/>
            <w:noProof/>
            <w:webHidden/>
            <w:sz w:val="20"/>
            <w:szCs w:val="20"/>
          </w:rPr>
          <w:fldChar w:fldCharType="end"/>
        </w:r>
      </w:hyperlink>
    </w:p>
    <w:p w:rsidR="00603B61" w:rsidRPr="00603B61" w:rsidRDefault="00603B61" w:rsidP="005A3F46">
      <w:pPr>
        <w:pStyle w:val="TOC2"/>
        <w:rPr>
          <w:rStyle w:val="Hyperlink"/>
        </w:rPr>
      </w:pPr>
    </w:p>
    <w:p w:rsidR="00F906F0" w:rsidRPr="00603B61" w:rsidRDefault="00CD7021" w:rsidP="005A3F46">
      <w:pPr>
        <w:pStyle w:val="TOC2"/>
        <w:rPr>
          <w:rFonts w:eastAsiaTheme="minorEastAsia" w:cstheme="minorBidi"/>
          <w:lang w:val="en-US" w:eastAsia="en-US" w:bidi="ar-SA"/>
        </w:rPr>
      </w:pPr>
      <w:hyperlink w:anchor="_Toc423072860" w:history="1">
        <w:r w:rsidR="00F906F0" w:rsidRPr="00603B61">
          <w:rPr>
            <w:rStyle w:val="Hyperlink"/>
          </w:rPr>
          <w:t>B.</w:t>
        </w:r>
        <w:r w:rsidR="00F906F0" w:rsidRPr="00603B61">
          <w:rPr>
            <w:rFonts w:eastAsiaTheme="minorEastAsia" w:cstheme="minorBidi"/>
            <w:lang w:val="en-US" w:eastAsia="en-US" w:bidi="ar-SA"/>
          </w:rPr>
          <w:tab/>
        </w:r>
        <w:r w:rsidR="00F906F0" w:rsidRPr="00603B61">
          <w:rPr>
            <w:rStyle w:val="Hyperlink"/>
          </w:rPr>
          <w:t>Detenidos cuyo traslado no ha sido autorizado</w:t>
        </w:r>
        <w:r w:rsidR="00F906F0" w:rsidRPr="00603B61">
          <w:rPr>
            <w:webHidden/>
          </w:rPr>
          <w:tab/>
        </w:r>
        <w:r w:rsidR="00F906F0" w:rsidRPr="00603B61">
          <w:rPr>
            <w:webHidden/>
          </w:rPr>
          <w:fldChar w:fldCharType="begin"/>
        </w:r>
        <w:r w:rsidR="00F906F0" w:rsidRPr="00603B61">
          <w:rPr>
            <w:webHidden/>
          </w:rPr>
          <w:instrText xml:space="preserve"> PAGEREF _Toc423072860 \h </w:instrText>
        </w:r>
        <w:r w:rsidR="00F906F0" w:rsidRPr="00603B61">
          <w:rPr>
            <w:webHidden/>
          </w:rPr>
        </w:r>
        <w:r w:rsidR="00F906F0" w:rsidRPr="00603B61">
          <w:rPr>
            <w:webHidden/>
          </w:rPr>
          <w:fldChar w:fldCharType="separate"/>
        </w:r>
        <w:r w:rsidR="007F1660">
          <w:rPr>
            <w:webHidden/>
          </w:rPr>
          <w:t>128</w:t>
        </w:r>
        <w:r w:rsidR="00F906F0" w:rsidRPr="00603B61">
          <w:rPr>
            <w:webHidden/>
          </w:rPr>
          <w:fldChar w:fldCharType="end"/>
        </w:r>
      </w:hyperlink>
    </w:p>
    <w:p w:rsidR="00F906F0" w:rsidRPr="00603B61" w:rsidRDefault="00CD7021" w:rsidP="005A3F46">
      <w:pPr>
        <w:pStyle w:val="TOC3"/>
        <w:spacing w:after="60"/>
        <w:rPr>
          <w:rFonts w:asciiTheme="majorHAnsi" w:eastAsiaTheme="minorEastAsia" w:hAnsiTheme="majorHAnsi" w:cstheme="minorBidi"/>
          <w:noProof/>
          <w:sz w:val="20"/>
          <w:szCs w:val="20"/>
          <w:lang w:val="en-US" w:eastAsia="en-US" w:bidi="ar-SA"/>
        </w:rPr>
      </w:pPr>
      <w:hyperlink w:anchor="_Toc423072861" w:history="1">
        <w:r w:rsidR="00F906F0" w:rsidRPr="00603B61">
          <w:rPr>
            <w:rStyle w:val="Hyperlink"/>
            <w:rFonts w:asciiTheme="majorHAnsi" w:hAnsiTheme="majorHAnsi"/>
            <w:noProof/>
            <w:sz w:val="20"/>
            <w:szCs w:val="20"/>
          </w:rPr>
          <w:t>1.</w:t>
        </w:r>
        <w:r w:rsidR="00F906F0" w:rsidRPr="00603B61">
          <w:rPr>
            <w:rFonts w:asciiTheme="majorHAnsi" w:eastAsiaTheme="minorEastAsia" w:hAnsiTheme="majorHAnsi" w:cstheme="minorBidi"/>
            <w:noProof/>
            <w:sz w:val="20"/>
            <w:szCs w:val="20"/>
            <w:lang w:val="en-US" w:eastAsia="en-US" w:bidi="ar-SA"/>
          </w:rPr>
          <w:tab/>
        </w:r>
        <w:r w:rsidR="00F906F0" w:rsidRPr="00603B61">
          <w:rPr>
            <w:rStyle w:val="Hyperlink"/>
            <w:rFonts w:asciiTheme="majorHAnsi" w:hAnsiTheme="majorHAnsi"/>
            <w:noProof/>
            <w:sz w:val="20"/>
            <w:szCs w:val="20"/>
          </w:rPr>
          <w:t>Detenidos que enfrentan cargos penales</w:t>
        </w:r>
        <w:r w:rsidR="00F906F0" w:rsidRPr="00603B61">
          <w:rPr>
            <w:rFonts w:asciiTheme="majorHAnsi" w:hAnsiTheme="majorHAnsi"/>
            <w:noProof/>
            <w:webHidden/>
            <w:sz w:val="20"/>
            <w:szCs w:val="20"/>
          </w:rPr>
          <w:tab/>
        </w:r>
        <w:r w:rsidR="00F906F0" w:rsidRPr="00603B61">
          <w:rPr>
            <w:rFonts w:asciiTheme="majorHAnsi" w:hAnsiTheme="majorHAnsi"/>
            <w:noProof/>
            <w:webHidden/>
            <w:sz w:val="20"/>
            <w:szCs w:val="20"/>
          </w:rPr>
          <w:fldChar w:fldCharType="begin"/>
        </w:r>
        <w:r w:rsidR="00F906F0" w:rsidRPr="00603B61">
          <w:rPr>
            <w:rFonts w:asciiTheme="majorHAnsi" w:hAnsiTheme="majorHAnsi"/>
            <w:noProof/>
            <w:webHidden/>
            <w:sz w:val="20"/>
            <w:szCs w:val="20"/>
          </w:rPr>
          <w:instrText xml:space="preserve"> PAGEREF _Toc423072861 \h </w:instrText>
        </w:r>
        <w:r w:rsidR="00F906F0" w:rsidRPr="00603B61">
          <w:rPr>
            <w:rFonts w:asciiTheme="majorHAnsi" w:hAnsiTheme="majorHAnsi"/>
            <w:noProof/>
            <w:webHidden/>
            <w:sz w:val="20"/>
            <w:szCs w:val="20"/>
          </w:rPr>
        </w:r>
        <w:r w:rsidR="00F906F0" w:rsidRPr="00603B61">
          <w:rPr>
            <w:rFonts w:asciiTheme="majorHAnsi" w:hAnsiTheme="majorHAnsi"/>
            <w:noProof/>
            <w:webHidden/>
            <w:sz w:val="20"/>
            <w:szCs w:val="20"/>
          </w:rPr>
          <w:fldChar w:fldCharType="separate"/>
        </w:r>
        <w:r w:rsidR="007F1660">
          <w:rPr>
            <w:rFonts w:asciiTheme="majorHAnsi" w:hAnsiTheme="majorHAnsi"/>
            <w:noProof/>
            <w:webHidden/>
            <w:sz w:val="20"/>
            <w:szCs w:val="20"/>
          </w:rPr>
          <w:t>128</w:t>
        </w:r>
        <w:r w:rsidR="00F906F0" w:rsidRPr="00603B61">
          <w:rPr>
            <w:rFonts w:asciiTheme="majorHAnsi" w:hAnsiTheme="majorHAnsi"/>
            <w:noProof/>
            <w:webHidden/>
            <w:sz w:val="20"/>
            <w:szCs w:val="20"/>
          </w:rPr>
          <w:fldChar w:fldCharType="end"/>
        </w:r>
      </w:hyperlink>
    </w:p>
    <w:p w:rsidR="00F906F0" w:rsidRPr="00603B61" w:rsidRDefault="00CD7021" w:rsidP="005A3F46">
      <w:pPr>
        <w:pStyle w:val="TOC3"/>
        <w:spacing w:after="60"/>
        <w:rPr>
          <w:rFonts w:asciiTheme="majorHAnsi" w:eastAsiaTheme="minorEastAsia" w:hAnsiTheme="majorHAnsi" w:cstheme="minorBidi"/>
          <w:noProof/>
          <w:sz w:val="20"/>
          <w:szCs w:val="20"/>
          <w:lang w:val="en-US" w:eastAsia="en-US" w:bidi="ar-SA"/>
        </w:rPr>
      </w:pPr>
      <w:hyperlink w:anchor="_Toc423072862" w:history="1">
        <w:r w:rsidR="00F906F0" w:rsidRPr="00603B61">
          <w:rPr>
            <w:rStyle w:val="Hyperlink"/>
            <w:rFonts w:asciiTheme="majorHAnsi" w:hAnsiTheme="majorHAnsi"/>
            <w:noProof/>
            <w:sz w:val="20"/>
            <w:szCs w:val="20"/>
          </w:rPr>
          <w:t>2.</w:t>
        </w:r>
        <w:r w:rsidR="00F906F0" w:rsidRPr="00603B61">
          <w:rPr>
            <w:rFonts w:asciiTheme="majorHAnsi" w:eastAsiaTheme="minorEastAsia" w:hAnsiTheme="majorHAnsi" w:cstheme="minorBidi"/>
            <w:noProof/>
            <w:sz w:val="20"/>
            <w:szCs w:val="20"/>
            <w:lang w:val="en-US" w:eastAsia="en-US" w:bidi="ar-SA"/>
          </w:rPr>
          <w:tab/>
        </w:r>
        <w:r w:rsidR="00F906F0" w:rsidRPr="00603B61">
          <w:rPr>
            <w:rStyle w:val="Hyperlink"/>
            <w:rFonts w:asciiTheme="majorHAnsi" w:hAnsiTheme="majorHAnsi"/>
            <w:noProof/>
            <w:sz w:val="20"/>
            <w:szCs w:val="20"/>
          </w:rPr>
          <w:t>Detenidos bajo detención continua</w:t>
        </w:r>
        <w:r w:rsidR="00F906F0" w:rsidRPr="00603B61">
          <w:rPr>
            <w:rFonts w:asciiTheme="majorHAnsi" w:hAnsiTheme="majorHAnsi"/>
            <w:noProof/>
            <w:webHidden/>
            <w:sz w:val="20"/>
            <w:szCs w:val="20"/>
          </w:rPr>
          <w:tab/>
        </w:r>
        <w:r w:rsidR="00F906F0" w:rsidRPr="00603B61">
          <w:rPr>
            <w:rFonts w:asciiTheme="majorHAnsi" w:hAnsiTheme="majorHAnsi"/>
            <w:noProof/>
            <w:webHidden/>
            <w:sz w:val="20"/>
            <w:szCs w:val="20"/>
          </w:rPr>
          <w:fldChar w:fldCharType="begin"/>
        </w:r>
        <w:r w:rsidR="00F906F0" w:rsidRPr="00603B61">
          <w:rPr>
            <w:rFonts w:asciiTheme="majorHAnsi" w:hAnsiTheme="majorHAnsi"/>
            <w:noProof/>
            <w:webHidden/>
            <w:sz w:val="20"/>
            <w:szCs w:val="20"/>
          </w:rPr>
          <w:instrText xml:space="preserve"> PAGEREF _Toc423072862 \h </w:instrText>
        </w:r>
        <w:r w:rsidR="00F906F0" w:rsidRPr="00603B61">
          <w:rPr>
            <w:rFonts w:asciiTheme="majorHAnsi" w:hAnsiTheme="majorHAnsi"/>
            <w:noProof/>
            <w:webHidden/>
            <w:sz w:val="20"/>
            <w:szCs w:val="20"/>
          </w:rPr>
        </w:r>
        <w:r w:rsidR="00F906F0" w:rsidRPr="00603B61">
          <w:rPr>
            <w:rFonts w:asciiTheme="majorHAnsi" w:hAnsiTheme="majorHAnsi"/>
            <w:noProof/>
            <w:webHidden/>
            <w:sz w:val="20"/>
            <w:szCs w:val="20"/>
          </w:rPr>
          <w:fldChar w:fldCharType="separate"/>
        </w:r>
        <w:r w:rsidR="007F1660">
          <w:rPr>
            <w:rFonts w:asciiTheme="majorHAnsi" w:hAnsiTheme="majorHAnsi"/>
            <w:noProof/>
            <w:webHidden/>
            <w:sz w:val="20"/>
            <w:szCs w:val="20"/>
          </w:rPr>
          <w:t>132</w:t>
        </w:r>
        <w:r w:rsidR="00F906F0" w:rsidRPr="00603B61">
          <w:rPr>
            <w:rFonts w:asciiTheme="majorHAnsi" w:hAnsiTheme="majorHAnsi"/>
            <w:noProof/>
            <w:webHidden/>
            <w:sz w:val="20"/>
            <w:szCs w:val="20"/>
          </w:rPr>
          <w:fldChar w:fldCharType="end"/>
        </w:r>
      </w:hyperlink>
    </w:p>
    <w:p w:rsidR="00F906F0" w:rsidRDefault="00F906F0" w:rsidP="005A3F46">
      <w:pPr>
        <w:pStyle w:val="TOC1"/>
        <w:pBdr>
          <w:bottom w:val="none" w:sz="0" w:space="0" w:color="auto"/>
        </w:pBdr>
        <w:tabs>
          <w:tab w:val="clear" w:pos="360"/>
          <w:tab w:val="clear" w:pos="720"/>
          <w:tab w:val="clear" w:pos="1080"/>
          <w:tab w:val="clear" w:pos="7830"/>
          <w:tab w:val="left" w:pos="547"/>
          <w:tab w:val="right" w:pos="7740"/>
        </w:tabs>
        <w:spacing w:after="60"/>
        <w:rPr>
          <w:rStyle w:val="Hyperlink"/>
          <w:rFonts w:asciiTheme="majorHAnsi" w:hAnsiTheme="majorHAnsi"/>
          <w:noProof/>
          <w:sz w:val="20"/>
          <w:szCs w:val="20"/>
        </w:rPr>
      </w:pPr>
    </w:p>
    <w:p w:rsidR="00237789" w:rsidRPr="00F315A7" w:rsidRDefault="00CD7021" w:rsidP="005A3F46">
      <w:pPr>
        <w:pStyle w:val="TOC1"/>
        <w:pBdr>
          <w:bottom w:val="single" w:sz="4" w:space="1" w:color="808080" w:themeColor="background1" w:themeShade="80"/>
        </w:pBdr>
        <w:tabs>
          <w:tab w:val="clear" w:pos="360"/>
          <w:tab w:val="clear" w:pos="720"/>
          <w:tab w:val="clear" w:pos="1080"/>
          <w:tab w:val="clear" w:pos="7830"/>
          <w:tab w:val="left" w:pos="547"/>
          <w:tab w:val="right" w:pos="7740"/>
        </w:tabs>
        <w:spacing w:after="60"/>
        <w:rPr>
          <w:rFonts w:asciiTheme="majorHAnsi" w:hAnsiTheme="majorHAnsi"/>
          <w:b/>
          <w:sz w:val="20"/>
          <w:szCs w:val="20"/>
        </w:rPr>
      </w:pPr>
      <w:hyperlink w:anchor="_Toc423072863" w:history="1">
        <w:r w:rsidR="00F906F0" w:rsidRPr="00464BF5">
          <w:rPr>
            <w:rStyle w:val="Hyperlink"/>
            <w:rFonts w:asciiTheme="majorHAnsi" w:hAnsiTheme="majorHAnsi"/>
            <w:b/>
            <w:noProof/>
            <w:color w:val="808080" w:themeColor="background1" w:themeShade="80"/>
          </w:rPr>
          <w:t xml:space="preserve">CAPÍTULO 6  | </w:t>
        </w:r>
        <w:r w:rsidR="00F906F0" w:rsidRPr="001F21A7">
          <w:rPr>
            <w:rStyle w:val="Hyperlink"/>
            <w:rFonts w:asciiTheme="majorHAnsi" w:hAnsiTheme="majorHAnsi"/>
            <w:b/>
            <w:noProof/>
          </w:rPr>
          <w:t xml:space="preserve"> </w:t>
        </w:r>
        <w:r w:rsidR="00F906F0" w:rsidRPr="001F21A7">
          <w:rPr>
            <w:rStyle w:val="Hyperlink"/>
            <w:rFonts w:asciiTheme="majorHAnsi" w:hAnsiTheme="majorHAnsi"/>
            <w:b/>
            <w:noProof/>
            <w:color w:val="4A442A" w:themeColor="background2" w:themeShade="40"/>
          </w:rPr>
          <w:t>CONCLUSIONES Y RECOMENDACIONE</w:t>
        </w:r>
        <w:r w:rsidR="00F906F0" w:rsidRPr="001F21A7">
          <w:rPr>
            <w:rStyle w:val="Hyperlink"/>
            <w:rFonts w:asciiTheme="majorHAnsi" w:hAnsiTheme="majorHAnsi"/>
            <w:b/>
            <w:noProof/>
          </w:rPr>
          <w:t>S</w:t>
        </w:r>
        <w:r w:rsidR="00F906F0" w:rsidRPr="00F906F0">
          <w:rPr>
            <w:rFonts w:asciiTheme="majorHAnsi" w:hAnsiTheme="majorHAnsi"/>
            <w:noProof/>
            <w:webHidden/>
            <w:sz w:val="20"/>
            <w:szCs w:val="20"/>
          </w:rPr>
          <w:tab/>
        </w:r>
        <w:r w:rsidR="00F906F0" w:rsidRPr="00F906F0">
          <w:rPr>
            <w:rFonts w:asciiTheme="majorHAnsi" w:hAnsiTheme="majorHAnsi"/>
            <w:noProof/>
            <w:webHidden/>
            <w:sz w:val="20"/>
            <w:szCs w:val="20"/>
          </w:rPr>
          <w:fldChar w:fldCharType="begin"/>
        </w:r>
        <w:r w:rsidR="00F906F0" w:rsidRPr="00F906F0">
          <w:rPr>
            <w:rFonts w:asciiTheme="majorHAnsi" w:hAnsiTheme="majorHAnsi"/>
            <w:noProof/>
            <w:webHidden/>
            <w:sz w:val="20"/>
            <w:szCs w:val="20"/>
          </w:rPr>
          <w:instrText xml:space="preserve"> PAGEREF _Toc423072863 \h </w:instrText>
        </w:r>
        <w:r w:rsidR="00F906F0" w:rsidRPr="00F906F0">
          <w:rPr>
            <w:rFonts w:asciiTheme="majorHAnsi" w:hAnsiTheme="majorHAnsi"/>
            <w:noProof/>
            <w:webHidden/>
            <w:sz w:val="20"/>
            <w:szCs w:val="20"/>
          </w:rPr>
        </w:r>
        <w:r w:rsidR="00F906F0" w:rsidRPr="00F906F0">
          <w:rPr>
            <w:rFonts w:asciiTheme="majorHAnsi" w:hAnsiTheme="majorHAnsi"/>
            <w:noProof/>
            <w:webHidden/>
            <w:sz w:val="20"/>
            <w:szCs w:val="20"/>
          </w:rPr>
          <w:fldChar w:fldCharType="separate"/>
        </w:r>
        <w:r w:rsidR="007F1660">
          <w:rPr>
            <w:rFonts w:asciiTheme="majorHAnsi" w:hAnsiTheme="majorHAnsi"/>
            <w:noProof/>
            <w:webHidden/>
            <w:sz w:val="20"/>
            <w:szCs w:val="20"/>
          </w:rPr>
          <w:t>139</w:t>
        </w:r>
        <w:r w:rsidR="00F906F0" w:rsidRPr="00F906F0">
          <w:rPr>
            <w:rFonts w:asciiTheme="majorHAnsi" w:hAnsiTheme="majorHAnsi"/>
            <w:noProof/>
            <w:webHidden/>
            <w:sz w:val="20"/>
            <w:szCs w:val="20"/>
          </w:rPr>
          <w:fldChar w:fldCharType="end"/>
        </w:r>
      </w:hyperlink>
      <w:r w:rsidR="00237789" w:rsidRPr="00F906F0">
        <w:rPr>
          <w:rFonts w:asciiTheme="majorHAnsi" w:hAnsiTheme="majorHAnsi"/>
          <w:b/>
          <w:sz w:val="20"/>
          <w:szCs w:val="20"/>
        </w:rPr>
        <w:fldChar w:fldCharType="end"/>
      </w:r>
    </w:p>
    <w:p w:rsidR="00EC0F19" w:rsidRPr="00FC2F1B" w:rsidRDefault="00EC0F19" w:rsidP="00BF3B5A">
      <w:pPr>
        <w:tabs>
          <w:tab w:val="left" w:pos="360"/>
          <w:tab w:val="left" w:pos="720"/>
          <w:tab w:val="right" w:pos="8640"/>
        </w:tabs>
        <w:jc w:val="both"/>
        <w:rPr>
          <w:rFonts w:ascii="Cambria" w:hAnsi="Cambria"/>
          <w:b/>
          <w:sz w:val="20"/>
          <w:szCs w:val="20"/>
        </w:rPr>
      </w:pPr>
    </w:p>
    <w:p w:rsidR="00C95A96" w:rsidRPr="00FC2F1B" w:rsidRDefault="00C95A96" w:rsidP="00BF3B5A">
      <w:pPr>
        <w:jc w:val="both"/>
        <w:rPr>
          <w:rFonts w:ascii="Cambria" w:hAnsi="Cambria"/>
          <w:sz w:val="20"/>
          <w:szCs w:val="20"/>
        </w:rPr>
        <w:sectPr w:rsidR="00C95A96" w:rsidRPr="00FC2F1B" w:rsidSect="009171F5">
          <w:type w:val="oddPage"/>
          <w:pgSz w:w="10325" w:h="14573" w:code="13"/>
          <w:pgMar w:top="1152" w:right="1152" w:bottom="1152" w:left="1440" w:header="288" w:footer="288" w:gutter="0"/>
          <w:cols w:space="720"/>
          <w:docGrid w:linePitch="326"/>
        </w:sectPr>
      </w:pPr>
    </w:p>
    <w:p w:rsidR="006B3828" w:rsidRPr="00E40A04" w:rsidRDefault="00E30113" w:rsidP="00225F6F">
      <w:pPr>
        <w:jc w:val="center"/>
        <w:rPr>
          <w:rFonts w:ascii="Cambria" w:hAnsi="Cambria"/>
          <w:color w:val="0D0D0D" w:themeColor="text1" w:themeTint="F2"/>
          <w:spacing w:val="-10"/>
          <w:w w:val="90"/>
          <w:sz w:val="52"/>
          <w:szCs w:val="52"/>
        </w:rPr>
        <w:sectPr w:rsidR="006B3828" w:rsidRPr="00E40A04" w:rsidSect="00AD56DA">
          <w:headerReference w:type="default" r:id="rId16"/>
          <w:type w:val="oddPage"/>
          <w:pgSz w:w="10325" w:h="14573" w:code="13"/>
          <w:pgMar w:top="1152" w:right="1152" w:bottom="1152" w:left="1296" w:header="288" w:footer="288" w:gutter="0"/>
          <w:cols w:space="720"/>
          <w:vAlign w:val="center"/>
          <w:docGrid w:linePitch="326"/>
        </w:sectPr>
      </w:pPr>
      <w:bookmarkStart w:id="0" w:name="_Toc392951570"/>
      <w:r w:rsidRPr="00034771">
        <w:rPr>
          <w:rFonts w:ascii="Cambria" w:hAnsi="Cambria"/>
          <w:color w:val="4A442A" w:themeColor="background2" w:themeShade="40"/>
          <w:spacing w:val="-10"/>
          <w:w w:val="90"/>
          <w:sz w:val="52"/>
        </w:rPr>
        <w:lastRenderedPageBreak/>
        <w:t>RESUMEN EJECUTIVO</w:t>
      </w:r>
    </w:p>
    <w:p w:rsidR="00AD56DA" w:rsidRDefault="00AD56DA" w:rsidP="00225F6F">
      <w:pPr>
        <w:pStyle w:val="Heading1"/>
        <w:rPr>
          <w:color w:val="4A442A"/>
        </w:rPr>
      </w:pPr>
      <w:bookmarkStart w:id="1" w:name="_Toc415750352"/>
      <w:bookmarkEnd w:id="0"/>
    </w:p>
    <w:p w:rsidR="00AD56DA" w:rsidRDefault="00AD56DA" w:rsidP="00225F6F">
      <w:pPr>
        <w:pStyle w:val="Heading1"/>
        <w:rPr>
          <w:color w:val="4A442A"/>
        </w:rPr>
      </w:pPr>
    </w:p>
    <w:p w:rsidR="00120933" w:rsidRPr="00FC2F1B" w:rsidRDefault="00835BEE" w:rsidP="00225F6F">
      <w:pPr>
        <w:pStyle w:val="Heading1"/>
        <w:rPr>
          <w:color w:val="4A442A"/>
        </w:rPr>
      </w:pPr>
      <w:bookmarkStart w:id="2" w:name="_Toc423072818"/>
      <w:r>
        <w:rPr>
          <w:color w:val="4A442A"/>
        </w:rPr>
        <w:t>RESUMEN EJECUTIVO</w:t>
      </w:r>
      <w:bookmarkEnd w:id="1"/>
      <w:bookmarkEnd w:id="2"/>
    </w:p>
    <w:p w:rsidR="00120933" w:rsidRDefault="00120933" w:rsidP="00225F6F">
      <w:pPr>
        <w:rPr>
          <w:rFonts w:ascii="Cambria" w:hAnsi="Cambria"/>
          <w:sz w:val="20"/>
          <w:szCs w:val="20"/>
          <w:u w:val="single"/>
        </w:rPr>
      </w:pPr>
    </w:p>
    <w:p w:rsidR="00524B87" w:rsidRPr="00FC2F1B" w:rsidRDefault="00524B87" w:rsidP="00225F6F">
      <w:pPr>
        <w:rPr>
          <w:rFonts w:ascii="Cambria" w:hAnsi="Cambria"/>
          <w:sz w:val="20"/>
          <w:szCs w:val="20"/>
          <w:u w:val="single"/>
        </w:rPr>
      </w:pPr>
    </w:p>
    <w:p w:rsidR="00FF743B" w:rsidRPr="00FC2F1B" w:rsidRDefault="00FF743B" w:rsidP="00225F6F">
      <w:pPr>
        <w:rPr>
          <w:rFonts w:ascii="Cambria" w:hAnsi="Cambria"/>
          <w:sz w:val="20"/>
          <w:szCs w:val="20"/>
          <w:u w:val="single"/>
        </w:rPr>
      </w:pPr>
    </w:p>
    <w:p w:rsidR="00FF743B" w:rsidRPr="00FC2F1B" w:rsidRDefault="00FF743B" w:rsidP="00225F6F">
      <w:pPr>
        <w:rPr>
          <w:rFonts w:ascii="Cambria" w:hAnsi="Cambria"/>
          <w:sz w:val="20"/>
          <w:szCs w:val="20"/>
          <w:u w:val="single"/>
        </w:rPr>
      </w:pPr>
    </w:p>
    <w:p w:rsidR="006054C3" w:rsidRPr="00FC2F1B" w:rsidRDefault="006054C3" w:rsidP="00724CD2">
      <w:pPr>
        <w:numPr>
          <w:ilvl w:val="0"/>
          <w:numId w:val="4"/>
        </w:numPr>
        <w:ind w:left="547" w:hanging="547"/>
        <w:jc w:val="both"/>
        <w:rPr>
          <w:rFonts w:ascii="Cambria" w:hAnsi="Cambria"/>
          <w:sz w:val="20"/>
          <w:szCs w:val="20"/>
        </w:rPr>
      </w:pPr>
      <w:r>
        <w:rPr>
          <w:rFonts w:ascii="Cambria" w:hAnsi="Cambria"/>
          <w:sz w:val="20"/>
        </w:rPr>
        <w:t xml:space="preserve">Este informe aborda la situación de derechos humanos de las personas detenidas en la Base Naval Estadounidense en la Bahía de Guantánamo, Cuba, centro de detención que se ha convertido en un símbolo de abuso en todo el mundo. La Comisión Interamericana de Derechos Humanos (“CIDH”) fue la primera instancia internacional en instar a Estados Unidos a adoptar medidas urgentes para respetar los derechos fundamentales de los detenidos. Dos meses luego de la llegada de los primeros prisioneros en enero de 2002, la CIDH exhortó al Estado a asegurarse que una autoridad competente determinara la situación jurídica de los detenidos, a fin de aclarar el régimen legal aplicable y los derechos correspondientes. </w:t>
      </w:r>
    </w:p>
    <w:p w:rsidR="006054C3" w:rsidRPr="00FC2F1B" w:rsidRDefault="006054C3" w:rsidP="006054C3">
      <w:pPr>
        <w:ind w:left="360" w:hanging="360"/>
        <w:jc w:val="both"/>
        <w:rPr>
          <w:rFonts w:ascii="Cambria" w:hAnsi="Cambria"/>
          <w:sz w:val="20"/>
          <w:szCs w:val="20"/>
        </w:rPr>
      </w:pPr>
    </w:p>
    <w:p w:rsidR="006054C3" w:rsidRPr="00FC2F1B" w:rsidRDefault="006054C3" w:rsidP="00724CD2">
      <w:pPr>
        <w:numPr>
          <w:ilvl w:val="0"/>
          <w:numId w:val="4"/>
        </w:numPr>
        <w:ind w:left="547" w:hanging="547"/>
        <w:jc w:val="both"/>
        <w:rPr>
          <w:rFonts w:ascii="Cambria" w:hAnsi="Cambria"/>
          <w:sz w:val="20"/>
          <w:szCs w:val="20"/>
        </w:rPr>
      </w:pPr>
      <w:r>
        <w:rPr>
          <w:rFonts w:ascii="Cambria" w:hAnsi="Cambria"/>
          <w:sz w:val="20"/>
        </w:rPr>
        <w:t xml:space="preserve">Desde entonces, la CIDH ha seguido de cerca la situación a través de distintos mecanismos y ha solicitado reiteradamente el cierre inmediato de este centro de detención. Como un paso adicional, y esperemos que final, en el monitoreo de la situación, la CIDH emite este informe en el que realiza una evaluación de la situación actual desde una perspectiva de derechos humanos como base para formular recomendaciones encaminadas a ayudar al Estado a adoptar las medidas necesarias para cerrar el centro de detención. </w:t>
      </w:r>
    </w:p>
    <w:p w:rsidR="006054C3" w:rsidRPr="00FC2F1B" w:rsidRDefault="006054C3" w:rsidP="006054C3">
      <w:pPr>
        <w:ind w:left="360" w:hanging="360"/>
        <w:jc w:val="both"/>
        <w:rPr>
          <w:rFonts w:ascii="Cambria" w:hAnsi="Cambria"/>
          <w:sz w:val="20"/>
          <w:szCs w:val="20"/>
        </w:rPr>
      </w:pPr>
    </w:p>
    <w:p w:rsidR="006054C3" w:rsidRPr="00FC2F1B" w:rsidRDefault="006054C3" w:rsidP="00DA5999">
      <w:pPr>
        <w:numPr>
          <w:ilvl w:val="0"/>
          <w:numId w:val="4"/>
        </w:numPr>
        <w:ind w:left="547" w:hanging="547"/>
        <w:jc w:val="both"/>
        <w:rPr>
          <w:rFonts w:ascii="Cambria" w:hAnsi="Cambria"/>
          <w:sz w:val="20"/>
          <w:szCs w:val="20"/>
        </w:rPr>
      </w:pPr>
      <w:r>
        <w:rPr>
          <w:rFonts w:ascii="Cambria" w:hAnsi="Cambria"/>
          <w:sz w:val="20"/>
        </w:rPr>
        <w:t>El informe se basa en un enfoque de derechos y se centra en tres áreas principales de interés. En primer lugar, aborda los asuntos más importantes relativos al derecho de los detenidos a la integridad personal, desde el uso autorizado de la tortura en los primeros años de las detenciones en Guantánamo hasta temas más actuales, como las condiciones de detención en el Campo 7 y la respuesta del Gobierno de Estados Unidos a las huelgas de hambre. La CIDH reitera su conclusión de que la detención continua e indefinida de los individuos en Guantánamo, sin derecho al debido proceso, es arbitraria y constituye una clara violación del derecho internacional; las razones de seguridad pública no pueden servir como pretexto para la detención indefinida de personas sin presentar cargos en su contra o someterlas a juicio.</w:t>
      </w:r>
    </w:p>
    <w:p w:rsidR="006054C3" w:rsidRPr="00FC2F1B" w:rsidRDefault="006054C3" w:rsidP="006054C3">
      <w:pPr>
        <w:ind w:left="360" w:hanging="360"/>
        <w:jc w:val="both"/>
        <w:rPr>
          <w:rFonts w:ascii="Cambria" w:hAnsi="Cambria"/>
          <w:sz w:val="20"/>
          <w:szCs w:val="20"/>
        </w:rPr>
      </w:pPr>
    </w:p>
    <w:p w:rsidR="006054C3" w:rsidRPr="00FC2F1B" w:rsidRDefault="006054C3" w:rsidP="00724CD2">
      <w:pPr>
        <w:numPr>
          <w:ilvl w:val="0"/>
          <w:numId w:val="4"/>
        </w:numPr>
        <w:ind w:left="547" w:hanging="547"/>
        <w:jc w:val="both"/>
        <w:rPr>
          <w:rFonts w:ascii="Cambria" w:hAnsi="Cambria"/>
          <w:sz w:val="20"/>
          <w:szCs w:val="20"/>
        </w:rPr>
      </w:pPr>
      <w:r>
        <w:rPr>
          <w:rFonts w:ascii="Cambria" w:hAnsi="Cambria"/>
          <w:sz w:val="20"/>
        </w:rPr>
        <w:t xml:space="preserve">A continuación, el informe examina el acceso a la justicia de los detenidos y si los recursos judiciales disponibles son adecuados y efectivos. Analiza importantes cuestiones que quedaron sin resolver por la histórica decisión de la Corte Suprema de Estados Unidos en el caso </w:t>
      </w:r>
      <w:proofErr w:type="spellStart"/>
      <w:r>
        <w:rPr>
          <w:rFonts w:ascii="Cambria" w:hAnsi="Cambria"/>
          <w:i/>
          <w:sz w:val="20"/>
        </w:rPr>
        <w:t>Boumediene</w:t>
      </w:r>
      <w:proofErr w:type="spellEnd"/>
      <w:r>
        <w:rPr>
          <w:rFonts w:ascii="Cambria" w:hAnsi="Cambria"/>
          <w:i/>
          <w:sz w:val="20"/>
        </w:rPr>
        <w:t xml:space="preserve"> vs. Bush,</w:t>
      </w:r>
      <w:r>
        <w:rPr>
          <w:rFonts w:ascii="Cambria" w:hAnsi="Cambria"/>
          <w:sz w:val="20"/>
        </w:rPr>
        <w:t xml:space="preserve"> como el alcance de la facultad del poder ejecutivo para detener a personas con base en la Autorización para el Uso de Fuerza Militar (AUMF), así como varios aspectos sustantivos y procesales. La Comisión expresa preocupación respecto de cómo se han utilizado las presunciones y la carga de la prueba y su impacto en el acceso a recursos efectivos. </w:t>
      </w:r>
    </w:p>
    <w:p w:rsidR="006054C3" w:rsidRDefault="006054C3" w:rsidP="006054C3">
      <w:pPr>
        <w:ind w:left="360" w:hanging="360"/>
        <w:jc w:val="both"/>
        <w:rPr>
          <w:rFonts w:ascii="Cambria" w:hAnsi="Cambria"/>
          <w:sz w:val="20"/>
          <w:szCs w:val="20"/>
        </w:rPr>
      </w:pPr>
    </w:p>
    <w:p w:rsidR="00034771" w:rsidRDefault="00034771" w:rsidP="006054C3">
      <w:pPr>
        <w:ind w:left="360" w:hanging="360"/>
        <w:jc w:val="both"/>
        <w:rPr>
          <w:rFonts w:ascii="Cambria" w:hAnsi="Cambria"/>
          <w:sz w:val="20"/>
          <w:szCs w:val="20"/>
        </w:rPr>
      </w:pPr>
    </w:p>
    <w:p w:rsidR="00034771" w:rsidRPr="00FC2F1B" w:rsidRDefault="00034771" w:rsidP="006054C3">
      <w:pPr>
        <w:ind w:left="360" w:hanging="360"/>
        <w:jc w:val="both"/>
        <w:rPr>
          <w:rFonts w:ascii="Cambria" w:hAnsi="Cambria"/>
          <w:sz w:val="20"/>
          <w:szCs w:val="20"/>
        </w:rPr>
      </w:pPr>
    </w:p>
    <w:p w:rsidR="006054C3" w:rsidRPr="00AD56DA" w:rsidRDefault="006054C3" w:rsidP="00724CD2">
      <w:pPr>
        <w:numPr>
          <w:ilvl w:val="0"/>
          <w:numId w:val="4"/>
        </w:numPr>
        <w:ind w:left="547" w:hanging="547"/>
        <w:jc w:val="both"/>
        <w:rPr>
          <w:rFonts w:ascii="Cambria" w:hAnsi="Cambria"/>
          <w:sz w:val="20"/>
          <w:szCs w:val="20"/>
        </w:rPr>
      </w:pPr>
      <w:r>
        <w:rPr>
          <w:rFonts w:ascii="Cambria" w:hAnsi="Cambria"/>
          <w:sz w:val="20"/>
        </w:rPr>
        <w:lastRenderedPageBreak/>
        <w:t>Este capítulo evalúa además cómo operan las comisiones militares en la práctica y los importantes desafíos que enfrentan los detenidos al ejercer su derecho a la representación legal. Aborda también la existencia de un régimen distinto aplicado exclusivamente a hombres musulmanes extranjeros, lo cual genera la apariencia de que está dirigido a ciertas personas en razón de su nacionalidad, etnia y religión. Asimismo, este capítulo analiza el funcionamiento del proceso de la Junta de Revisión Periódica establecida en 2011, así como la ausencia de revisión judicial de las denuncias relativas a las condiciones de detención en Guantánamo.</w:t>
      </w:r>
    </w:p>
    <w:p w:rsidR="00AD56DA" w:rsidRPr="00FC2F1B" w:rsidRDefault="00AD56DA" w:rsidP="00AD56DA">
      <w:pPr>
        <w:jc w:val="both"/>
        <w:rPr>
          <w:rFonts w:ascii="Cambria" w:hAnsi="Cambria"/>
          <w:sz w:val="20"/>
          <w:szCs w:val="20"/>
        </w:rPr>
      </w:pPr>
    </w:p>
    <w:p w:rsidR="006054C3" w:rsidRPr="00FC2F1B" w:rsidRDefault="006054C3" w:rsidP="00724CD2">
      <w:pPr>
        <w:numPr>
          <w:ilvl w:val="0"/>
          <w:numId w:val="4"/>
        </w:numPr>
        <w:ind w:left="547" w:hanging="547"/>
        <w:jc w:val="both"/>
        <w:rPr>
          <w:rFonts w:ascii="Cambria" w:hAnsi="Cambria"/>
          <w:sz w:val="20"/>
          <w:szCs w:val="20"/>
        </w:rPr>
      </w:pPr>
      <w:r>
        <w:rPr>
          <w:rFonts w:ascii="Cambria" w:hAnsi="Cambria"/>
          <w:sz w:val="20"/>
        </w:rPr>
        <w:t xml:space="preserve">Por último, el informe examina los diversos aspectos jurídicos y políticos involucrados en la adopción de medidas dirigidas al cierre del centro de detención y reconoce algunas acciones recientes adoptadas por el Poder Ejecutivo. Este capítulo evalúa la situación actual de las tres categorías de detenidos que actualmente están recluidos en Guantánamo: los detenidos autorizados para traslado, los detenidos que enfrentan cargos penales ante comisiones militares y los detenidos identificados para detención continua. La CIDH analiza por separado la situación de los detenidos de Yemen, un tema de fundamental importancia para el cierre del centro de detención. El informe aborda además la forma en la que deberían llevarse a cabo las transferencias a fin de cumplir con las obligaciones legales internacionales y el principio de </w:t>
      </w:r>
      <w:r>
        <w:rPr>
          <w:rFonts w:ascii="Cambria" w:hAnsi="Cambria"/>
          <w:i/>
          <w:sz w:val="20"/>
        </w:rPr>
        <w:t>non-</w:t>
      </w:r>
      <w:proofErr w:type="spellStart"/>
      <w:r>
        <w:rPr>
          <w:rFonts w:ascii="Cambria" w:hAnsi="Cambria"/>
          <w:i/>
          <w:sz w:val="20"/>
        </w:rPr>
        <w:t>refoulement</w:t>
      </w:r>
      <w:proofErr w:type="spellEnd"/>
      <w:r>
        <w:rPr>
          <w:rFonts w:ascii="Cambria" w:hAnsi="Cambria"/>
          <w:sz w:val="20"/>
        </w:rPr>
        <w:t xml:space="preserve">. Posteriormente, este capítulo analiza el estado actual de los procedimientos ante las comisiones militares, un sistema que ha demostrado ser lento, ineficiente e incongruente con las garantías del debido proceso. </w:t>
      </w:r>
    </w:p>
    <w:p w:rsidR="006054C3" w:rsidRPr="00FC2F1B" w:rsidRDefault="006054C3" w:rsidP="006054C3">
      <w:pPr>
        <w:ind w:left="360" w:hanging="360"/>
        <w:jc w:val="both"/>
        <w:rPr>
          <w:rFonts w:ascii="Cambria" w:hAnsi="Cambria"/>
          <w:sz w:val="20"/>
          <w:szCs w:val="20"/>
        </w:rPr>
      </w:pPr>
    </w:p>
    <w:p w:rsidR="006054C3" w:rsidRPr="00FC2F1B" w:rsidRDefault="006054C3" w:rsidP="00724CD2">
      <w:pPr>
        <w:numPr>
          <w:ilvl w:val="0"/>
          <w:numId w:val="4"/>
        </w:numPr>
        <w:ind w:left="547" w:hanging="547"/>
        <w:jc w:val="both"/>
        <w:rPr>
          <w:rFonts w:ascii="Cambria" w:hAnsi="Cambria"/>
          <w:sz w:val="20"/>
          <w:szCs w:val="20"/>
        </w:rPr>
      </w:pPr>
      <w:r>
        <w:rPr>
          <w:rFonts w:ascii="Cambria" w:hAnsi="Cambria"/>
          <w:sz w:val="20"/>
        </w:rPr>
        <w:t>El informe concluye con algunas cifras que hablan por sí mismas. De acuerdo a información oficial, solamente el 8% de los detenidos en Guantánamo fueron identificados como “combatientes” de Al-Qaeda o los Talibanes, el 93% no fueron capturados por fuerzas estadounidenses y la mayoría fueron entregados a la custodia estadounidense en un momento en que Estados Unidos ofrecía recompensas por la captura de supuestos terroristas. Hasta ahora, solamente el 1% de la totalidad de prisioneros que han estado recluidos en Guantánamo han sido condenados por una comisión militar; en dos de los ocho casos la condena por apoyo material fue anulada en apelación por las cortes federales. A enero de 2015, los pocos procesos en curso ante comisiones militares se encontraban estancados en etapa preliminar, en cuya etapa se han encontrado durante varios años.</w:t>
      </w:r>
    </w:p>
    <w:p w:rsidR="006054C3" w:rsidRPr="00FC2F1B" w:rsidRDefault="006054C3" w:rsidP="006054C3">
      <w:pPr>
        <w:ind w:left="360" w:hanging="360"/>
        <w:jc w:val="both"/>
        <w:rPr>
          <w:rFonts w:ascii="Cambria" w:hAnsi="Cambria"/>
          <w:sz w:val="20"/>
          <w:szCs w:val="20"/>
        </w:rPr>
      </w:pPr>
    </w:p>
    <w:p w:rsidR="006054C3" w:rsidRPr="00FC2F1B" w:rsidRDefault="006054C3" w:rsidP="00724CD2">
      <w:pPr>
        <w:numPr>
          <w:ilvl w:val="0"/>
          <w:numId w:val="4"/>
        </w:numPr>
        <w:ind w:left="547" w:hanging="547"/>
        <w:jc w:val="both"/>
        <w:rPr>
          <w:rFonts w:ascii="Cambria" w:hAnsi="Cambria"/>
          <w:sz w:val="20"/>
          <w:szCs w:val="20"/>
        </w:rPr>
      </w:pPr>
      <w:r>
        <w:rPr>
          <w:rFonts w:ascii="Cambria" w:hAnsi="Cambria"/>
          <w:sz w:val="20"/>
        </w:rPr>
        <w:t>Con base en un minucioso análisis de la situación de derechos humanos de los detenidos en l</w:t>
      </w:r>
      <w:r w:rsidR="00C92EA1">
        <w:rPr>
          <w:rFonts w:ascii="Cambria" w:hAnsi="Cambria"/>
          <w:sz w:val="20"/>
        </w:rPr>
        <w:t>a Bahía de Guantánamo, en este</w:t>
      </w:r>
      <w:r>
        <w:rPr>
          <w:rFonts w:ascii="Cambria" w:hAnsi="Cambria"/>
          <w:sz w:val="20"/>
        </w:rPr>
        <w:t xml:space="preserve"> informe la CIDH formula una serie de recomendaciones encaminadas a alentar a Estados Unidos a cumplir adecuadamente sus compromisos de derecho internacional de los derechos humanos adoptando las medidas necesarias para cerrar el centro de detención en Guantánamo. La Comisión Interamericana también reitera su llamado a los Estados Miembros de la OEA a considerar recibir a los detenidos de Guantánamo en un esfuerzo para lograr el objetivo de cerrar este centro de detención y reafirmar la larga tradición de asilo y protección de refugiados en la región. Las recomendaciones están agrupadas siguiendo el mismo enfoque de derechos que se emplea en el análisis del informe.</w:t>
      </w:r>
    </w:p>
    <w:p w:rsidR="006054C3" w:rsidRPr="00FC2F1B" w:rsidRDefault="006054C3" w:rsidP="006054C3">
      <w:pPr>
        <w:ind w:left="360" w:hanging="360"/>
        <w:jc w:val="both"/>
        <w:rPr>
          <w:rFonts w:ascii="Cambria" w:hAnsi="Cambria"/>
          <w:sz w:val="20"/>
          <w:szCs w:val="20"/>
        </w:rPr>
      </w:pPr>
    </w:p>
    <w:p w:rsidR="006054C3" w:rsidRPr="00FC2F1B" w:rsidRDefault="006054C3" w:rsidP="00724CD2">
      <w:pPr>
        <w:numPr>
          <w:ilvl w:val="0"/>
          <w:numId w:val="4"/>
        </w:numPr>
        <w:ind w:left="547" w:hanging="547"/>
        <w:jc w:val="both"/>
        <w:rPr>
          <w:rFonts w:ascii="Cambria" w:hAnsi="Cambria"/>
          <w:sz w:val="20"/>
          <w:szCs w:val="20"/>
        </w:rPr>
      </w:pPr>
      <w:r>
        <w:rPr>
          <w:rFonts w:ascii="Cambria" w:hAnsi="Cambria"/>
          <w:sz w:val="20"/>
        </w:rPr>
        <w:t xml:space="preserve">Con respecto a las </w:t>
      </w:r>
      <w:r>
        <w:rPr>
          <w:rFonts w:ascii="Cambria" w:hAnsi="Cambria"/>
          <w:b/>
          <w:sz w:val="20"/>
        </w:rPr>
        <w:t>condiciones de la detención</w:t>
      </w:r>
      <w:r>
        <w:rPr>
          <w:rFonts w:ascii="Cambria" w:hAnsi="Cambria"/>
          <w:sz w:val="20"/>
        </w:rPr>
        <w:t xml:space="preserve">, la Comisión Interamericana recomienda que Estados Unidos garantice que los detenidos sean mantenidos de </w:t>
      </w:r>
      <w:r>
        <w:rPr>
          <w:rFonts w:ascii="Cambria" w:hAnsi="Cambria"/>
          <w:sz w:val="20"/>
        </w:rPr>
        <w:lastRenderedPageBreak/>
        <w:t>conformidad con los estándares internacionales de derechos humanos; que las condiciones de detención sean sometidas a una revisión judicial accesible y efectiva; que se les proporcione a los detenidos atención médica, psiquiátrica y psicológica adecuada; y que se respeten sus derechos de libertad de conciencia y religión. La Comisión recomienda asimismo que Estados Unidos desclasifique toda prueba de tortura y malos tratos; que cumpla con las recomendaciones emitidas por el Comité contra la Tortura en relación con la investigación del abuso contra detenidos, reparaciones para las víctimas y el fin de la alimentación forzada de los detenidos; y que establezca un órgano independiente de monitoreo para investigar las condiciones de detención en Guantánamo.</w:t>
      </w:r>
    </w:p>
    <w:p w:rsidR="006054C3" w:rsidRPr="00FC2F1B" w:rsidRDefault="006054C3" w:rsidP="006054C3">
      <w:pPr>
        <w:ind w:left="360" w:hanging="360"/>
        <w:jc w:val="both"/>
        <w:rPr>
          <w:rFonts w:ascii="Cambria" w:hAnsi="Cambria"/>
          <w:sz w:val="20"/>
          <w:szCs w:val="20"/>
        </w:rPr>
      </w:pPr>
    </w:p>
    <w:p w:rsidR="006054C3" w:rsidRPr="00FC2F1B" w:rsidRDefault="006054C3" w:rsidP="00724CD2">
      <w:pPr>
        <w:numPr>
          <w:ilvl w:val="0"/>
          <w:numId w:val="4"/>
        </w:numPr>
        <w:ind w:left="547" w:hanging="547"/>
        <w:jc w:val="both"/>
        <w:rPr>
          <w:rFonts w:ascii="Cambria" w:hAnsi="Cambria"/>
          <w:sz w:val="20"/>
          <w:szCs w:val="20"/>
        </w:rPr>
      </w:pPr>
      <w:r>
        <w:rPr>
          <w:rFonts w:ascii="Cambria" w:hAnsi="Cambria"/>
          <w:sz w:val="20"/>
        </w:rPr>
        <w:t xml:space="preserve">En cuanto al </w:t>
      </w:r>
      <w:r>
        <w:rPr>
          <w:rFonts w:ascii="Cambria" w:hAnsi="Cambria"/>
          <w:b/>
          <w:sz w:val="20"/>
        </w:rPr>
        <w:t>acceso a la justicia</w:t>
      </w:r>
      <w:r>
        <w:rPr>
          <w:rFonts w:ascii="Cambria" w:hAnsi="Cambria"/>
          <w:sz w:val="20"/>
        </w:rPr>
        <w:t xml:space="preserve">, la CIDH solicita que Estados Unidos juzgue ante cortes federales a los detenidos que están siendo procesados por comisiones militares; que garantice a los detenidos acceso a una revisión judicial adecuada de la legalidad de su detención; que proporcione a los detenidos y a sus abogados toda la prueba utilizada para justificar la detención; y que asegure el respeto del secreto profesional entre abogado y cliente. La Comisión solicita además que las cortes que conozcan estos casos realicen una evaluación rigurosa del material probatorio del gobierno para garantizar que toda detención en este contexto esté basada en prueba clara y convincente. </w:t>
      </w:r>
    </w:p>
    <w:p w:rsidR="006054C3" w:rsidRPr="00FC2F1B" w:rsidRDefault="006054C3" w:rsidP="006054C3">
      <w:pPr>
        <w:ind w:left="360" w:hanging="360"/>
        <w:jc w:val="both"/>
        <w:rPr>
          <w:rFonts w:ascii="Cambria" w:hAnsi="Cambria"/>
          <w:sz w:val="20"/>
          <w:szCs w:val="20"/>
        </w:rPr>
      </w:pPr>
    </w:p>
    <w:p w:rsidR="00FF743B" w:rsidRPr="00FC2F1B" w:rsidRDefault="006054C3" w:rsidP="00724CD2">
      <w:pPr>
        <w:numPr>
          <w:ilvl w:val="0"/>
          <w:numId w:val="4"/>
        </w:numPr>
        <w:ind w:left="547" w:hanging="547"/>
        <w:jc w:val="both"/>
        <w:rPr>
          <w:rFonts w:ascii="Cambria" w:hAnsi="Cambria"/>
          <w:sz w:val="20"/>
          <w:szCs w:val="20"/>
          <w:u w:val="single"/>
        </w:rPr>
      </w:pPr>
      <w:r>
        <w:rPr>
          <w:rFonts w:ascii="Cambria" w:hAnsi="Cambria"/>
          <w:sz w:val="20"/>
        </w:rPr>
        <w:t xml:space="preserve">Por último, la Comisión Interamericana reitera su llamado por el </w:t>
      </w:r>
      <w:r>
        <w:rPr>
          <w:rFonts w:ascii="Cambria" w:hAnsi="Cambria"/>
          <w:b/>
          <w:sz w:val="20"/>
        </w:rPr>
        <w:t>cierre de Guantánamo</w:t>
      </w:r>
      <w:r>
        <w:rPr>
          <w:rFonts w:ascii="Cambria" w:hAnsi="Cambria"/>
          <w:sz w:val="20"/>
        </w:rPr>
        <w:t xml:space="preserve">. Para cumplir este fin, la Comisión recomienda derogar las disposiciones de la Ley de Autorización de la Defensa (NDAA) que prohíben el traslado de detenidos de Guantánamo hacia Estados Unidos para su enjuiciamiento, privación de libertad y tratamiento médico; que se acelere el proceso de la Junta de Revisión Periódica; y que se aceleren los traslados de detenidos a sus países de origen o a otros países de conformidad con el principio de </w:t>
      </w:r>
      <w:r>
        <w:rPr>
          <w:rFonts w:ascii="Cambria" w:hAnsi="Cambria"/>
          <w:i/>
          <w:sz w:val="20"/>
        </w:rPr>
        <w:t>non-</w:t>
      </w:r>
      <w:proofErr w:type="spellStart"/>
      <w:r>
        <w:rPr>
          <w:rFonts w:ascii="Cambria" w:hAnsi="Cambria"/>
          <w:i/>
          <w:sz w:val="20"/>
        </w:rPr>
        <w:t>refoulement</w:t>
      </w:r>
      <w:proofErr w:type="spellEnd"/>
      <w:r>
        <w:rPr>
          <w:rFonts w:ascii="Cambria" w:hAnsi="Cambria"/>
          <w:sz w:val="20"/>
        </w:rPr>
        <w:t>. La Comisión insta además al Gobierno de Estados Unidos a revisar la situación de los detenidos yemeníes sobre la base de una evaluación individual caso a caso; trasladar a Estados Unidos a los detenidos que están siendo procesados para que sean juzgados ante cortes federales; y trasladar a prisiones federales a los detenidos que han sido condenados para que cumplan el resto de sus condenas.</w:t>
      </w:r>
    </w:p>
    <w:p w:rsidR="00CB7C09" w:rsidRPr="00FC2F1B" w:rsidRDefault="00CB7C09" w:rsidP="00225F6F">
      <w:pPr>
        <w:jc w:val="both"/>
        <w:rPr>
          <w:rFonts w:ascii="Cambria" w:hAnsi="Cambria"/>
          <w:sz w:val="20"/>
          <w:szCs w:val="20"/>
        </w:rPr>
        <w:sectPr w:rsidR="00CB7C09" w:rsidRPr="00FC2F1B" w:rsidSect="00DF1C58">
          <w:headerReference w:type="even" r:id="rId17"/>
          <w:headerReference w:type="default" r:id="rId18"/>
          <w:footerReference w:type="even" r:id="rId19"/>
          <w:footerReference w:type="default" r:id="rId20"/>
          <w:type w:val="oddPage"/>
          <w:pgSz w:w="10325" w:h="14573" w:code="13"/>
          <w:pgMar w:top="1152" w:right="1152" w:bottom="1152" w:left="1440" w:header="720" w:footer="720" w:gutter="0"/>
          <w:cols w:space="720"/>
          <w:docGrid w:linePitch="326"/>
        </w:sectPr>
      </w:pPr>
    </w:p>
    <w:p w:rsidR="00E30113" w:rsidRPr="00E40A04" w:rsidRDefault="00EB1FC4" w:rsidP="00E30113">
      <w:pPr>
        <w:jc w:val="center"/>
        <w:rPr>
          <w:rFonts w:ascii="Cambria" w:hAnsi="Cambria"/>
          <w:color w:val="0D0D0D" w:themeColor="text1" w:themeTint="F2"/>
          <w:spacing w:val="-10"/>
          <w:w w:val="90"/>
          <w:sz w:val="52"/>
          <w:szCs w:val="52"/>
        </w:rPr>
        <w:sectPr w:rsidR="00E30113" w:rsidRPr="00E40A04" w:rsidSect="00AD56DA">
          <w:headerReference w:type="default" r:id="rId21"/>
          <w:footerReference w:type="default" r:id="rId22"/>
          <w:type w:val="oddPage"/>
          <w:pgSz w:w="10325" w:h="14573" w:code="13"/>
          <w:pgMar w:top="1152" w:right="1152" w:bottom="1152" w:left="1296" w:header="288" w:footer="288" w:gutter="0"/>
          <w:cols w:space="720"/>
          <w:vAlign w:val="center"/>
          <w:docGrid w:linePitch="326"/>
        </w:sectPr>
      </w:pPr>
      <w:r w:rsidRPr="009171F5">
        <w:rPr>
          <w:rFonts w:ascii="Cambria" w:hAnsi="Cambria"/>
          <w:color w:val="808080" w:themeColor="background1" w:themeShade="80"/>
          <w:spacing w:val="-10"/>
          <w:sz w:val="44"/>
          <w:szCs w:val="44"/>
        </w:rPr>
        <w:lastRenderedPageBreak/>
        <w:t>CAPÍTULO 1</w:t>
      </w:r>
      <w:r w:rsidRPr="009171F5">
        <w:rPr>
          <w:rFonts w:ascii="Cambria" w:hAnsi="Cambria"/>
          <w:color w:val="4A442A"/>
          <w:spacing w:val="-10"/>
          <w:sz w:val="44"/>
          <w:szCs w:val="44"/>
        </w:rPr>
        <w:br/>
      </w:r>
      <w:r w:rsidRPr="00034771">
        <w:rPr>
          <w:rFonts w:ascii="Cambria" w:hAnsi="Cambria"/>
          <w:color w:val="4A442A" w:themeColor="background2" w:themeShade="40"/>
          <w:spacing w:val="-10"/>
          <w:w w:val="90"/>
          <w:sz w:val="52"/>
        </w:rPr>
        <w:t>INTRODUCCIÓN</w:t>
      </w:r>
    </w:p>
    <w:p w:rsidR="00AD56DA" w:rsidRDefault="00AD56DA" w:rsidP="00225F6F">
      <w:pPr>
        <w:pStyle w:val="Heading1"/>
        <w:ind w:left="0" w:firstLine="0"/>
        <w:rPr>
          <w:color w:val="4A442A"/>
        </w:rPr>
      </w:pPr>
      <w:bookmarkStart w:id="3" w:name="_Toc415750353"/>
    </w:p>
    <w:p w:rsidR="00AD56DA" w:rsidRDefault="00AD56DA" w:rsidP="00225F6F">
      <w:pPr>
        <w:pStyle w:val="Heading1"/>
        <w:ind w:left="0" w:firstLine="0"/>
        <w:rPr>
          <w:color w:val="4A442A"/>
        </w:rPr>
      </w:pPr>
    </w:p>
    <w:p w:rsidR="00BC799A" w:rsidRPr="00FC2F1B" w:rsidRDefault="00E30113" w:rsidP="00225F6F">
      <w:pPr>
        <w:pStyle w:val="Heading1"/>
        <w:ind w:left="0" w:firstLine="0"/>
        <w:rPr>
          <w:i/>
          <w:color w:val="4A442A"/>
        </w:rPr>
      </w:pPr>
      <w:bookmarkStart w:id="4" w:name="_Toc423072819"/>
      <w:r>
        <w:rPr>
          <w:color w:val="4A442A"/>
        </w:rPr>
        <w:t>INTRODUCCIÓN</w:t>
      </w:r>
      <w:bookmarkEnd w:id="3"/>
      <w:bookmarkEnd w:id="4"/>
    </w:p>
    <w:p w:rsidR="00BC799A" w:rsidRPr="00FC2F1B" w:rsidRDefault="00BC799A" w:rsidP="00225F6F">
      <w:pPr>
        <w:jc w:val="both"/>
        <w:rPr>
          <w:rFonts w:ascii="Cambria" w:hAnsi="Cambria"/>
          <w:sz w:val="20"/>
          <w:szCs w:val="20"/>
        </w:rPr>
      </w:pPr>
    </w:p>
    <w:p w:rsidR="00CB7C09" w:rsidRDefault="00CB7C09" w:rsidP="00225F6F">
      <w:pPr>
        <w:jc w:val="both"/>
        <w:rPr>
          <w:rFonts w:ascii="Cambria" w:hAnsi="Cambria"/>
          <w:sz w:val="20"/>
          <w:szCs w:val="20"/>
        </w:rPr>
      </w:pPr>
    </w:p>
    <w:p w:rsidR="00524B87" w:rsidRDefault="00524B87" w:rsidP="00225F6F">
      <w:pPr>
        <w:jc w:val="both"/>
        <w:rPr>
          <w:rFonts w:ascii="Cambria" w:hAnsi="Cambria"/>
          <w:sz w:val="20"/>
          <w:szCs w:val="20"/>
        </w:rPr>
      </w:pPr>
    </w:p>
    <w:p w:rsidR="00524B87" w:rsidRPr="00FC2F1B" w:rsidRDefault="00524B87" w:rsidP="00225F6F">
      <w:pPr>
        <w:jc w:val="both"/>
        <w:rPr>
          <w:rFonts w:ascii="Cambria" w:hAnsi="Cambria"/>
          <w:sz w:val="20"/>
          <w:szCs w:val="20"/>
        </w:rPr>
      </w:pPr>
    </w:p>
    <w:p w:rsidR="006054C3" w:rsidRPr="00FC2F1B" w:rsidRDefault="006054C3" w:rsidP="00724CD2">
      <w:pPr>
        <w:numPr>
          <w:ilvl w:val="0"/>
          <w:numId w:val="5"/>
        </w:numPr>
        <w:ind w:left="547" w:hanging="547"/>
        <w:jc w:val="both"/>
        <w:rPr>
          <w:rFonts w:ascii="Cambria" w:hAnsi="Cambria"/>
          <w:sz w:val="20"/>
          <w:szCs w:val="20"/>
        </w:rPr>
      </w:pPr>
      <w:r>
        <w:rPr>
          <w:rFonts w:ascii="Cambria" w:hAnsi="Cambria"/>
          <w:sz w:val="20"/>
        </w:rPr>
        <w:t>Con posterioridad a los ataques terroristas del 11 de septiembre de 2001, el Gobierno de los Estados Unidos decidió abrir un centro de detención en la Base Naval Estadounidense en la Bahía de Guantánamo, Cuba, para mantener a los individuos capturados en Afganistán y otros países en el contexto de la “guerra contra el terrorismo”. La administración de los Estados Unidos consideró que mantener a los detenidos fuera del territorio estadounidense privaría a las cortes federales de jurisdicción respecto de las denuncias de los detenidos; premisa que fue declarada inconstitucional siete años después.</w:t>
      </w:r>
    </w:p>
    <w:p w:rsidR="006054C3" w:rsidRPr="00FC2F1B" w:rsidRDefault="006054C3" w:rsidP="004B328D">
      <w:pPr>
        <w:ind w:left="547" w:hanging="547"/>
        <w:jc w:val="both"/>
        <w:rPr>
          <w:rFonts w:ascii="Cambria" w:hAnsi="Cambria"/>
          <w:sz w:val="20"/>
          <w:szCs w:val="20"/>
        </w:rPr>
      </w:pPr>
    </w:p>
    <w:p w:rsidR="006054C3" w:rsidRPr="00FC2F1B" w:rsidRDefault="006054C3" w:rsidP="00724CD2">
      <w:pPr>
        <w:numPr>
          <w:ilvl w:val="0"/>
          <w:numId w:val="5"/>
        </w:numPr>
        <w:ind w:left="547" w:hanging="547"/>
        <w:jc w:val="both"/>
        <w:rPr>
          <w:rFonts w:ascii="Cambria" w:hAnsi="Cambria"/>
          <w:sz w:val="20"/>
          <w:szCs w:val="20"/>
        </w:rPr>
      </w:pPr>
      <w:r>
        <w:rPr>
          <w:rFonts w:ascii="Cambria" w:hAnsi="Cambria"/>
          <w:sz w:val="20"/>
        </w:rPr>
        <w:t xml:space="preserve">Los primeros prisioneros arribaron el 11 de enero de 2002. Desde ese día, la Comisión Interamericana de Derechos Humanos (CIDH) ha estado observando la situación de los detenidos de Guantánamo desde distintas perspectivas. La perspectiva inicial fue la emisión, dos meses después de la apertura de la prisión, de medidas cautelares de naturaleza general para requerir la definición del estatuto jurídico de los detenidos. Si bien las medidas cautelares han evolucionado en el tiempo y han abarcado varios asuntos específicos, tales como los alegatos de abusos y torturas contra los detenidos, al momento están orientadas hacia el objetivo de cerrar la prisión de forma definitiva.  </w:t>
      </w:r>
    </w:p>
    <w:p w:rsidR="006054C3" w:rsidRPr="00FC2F1B" w:rsidRDefault="006054C3" w:rsidP="004B328D">
      <w:pPr>
        <w:ind w:left="547" w:hanging="547"/>
        <w:jc w:val="both"/>
        <w:rPr>
          <w:rFonts w:ascii="Cambria" w:hAnsi="Cambria"/>
          <w:sz w:val="20"/>
          <w:szCs w:val="20"/>
        </w:rPr>
      </w:pPr>
      <w:r>
        <w:rPr>
          <w:rFonts w:ascii="Cambria" w:hAnsi="Cambria"/>
          <w:sz w:val="20"/>
        </w:rPr>
        <w:t xml:space="preserve"> </w:t>
      </w:r>
    </w:p>
    <w:p w:rsidR="006054C3" w:rsidRPr="00FC2F1B" w:rsidRDefault="006054C3" w:rsidP="00724CD2">
      <w:pPr>
        <w:numPr>
          <w:ilvl w:val="0"/>
          <w:numId w:val="5"/>
        </w:numPr>
        <w:ind w:left="547" w:hanging="547"/>
        <w:jc w:val="both"/>
        <w:rPr>
          <w:rFonts w:ascii="Cambria" w:hAnsi="Cambria"/>
          <w:sz w:val="20"/>
          <w:szCs w:val="20"/>
        </w:rPr>
      </w:pPr>
      <w:r>
        <w:rPr>
          <w:rFonts w:ascii="Cambria" w:hAnsi="Cambria"/>
          <w:sz w:val="20"/>
        </w:rPr>
        <w:t xml:space="preserve">El presente informe examina la situación de los detenidos en Guantánamo desde una perspectiva global. Se refiere a los principales puntos relativos al derecho a la integridad personal de los detenidos y examina cómo los recursos internos están funcionando en el sistema jurídico estadounidense. Evalúa además el tema del acceso a una defensa letrada; el funcionamiento de las comisiones militares y de las juntas de revisión periódica; y la forma en la que los traslados de detenidos se están llevando a cabo. Si bien la CIDH se refiere a estos y otros asuntos jurídicos desde una perspectiva de derechos humanos, también toma en consideración otros marcos de interpretación y aplicación del derecho, particularmente el del derecho internacional humanitario. </w:t>
      </w:r>
    </w:p>
    <w:p w:rsidR="006054C3" w:rsidRPr="00FC2F1B" w:rsidRDefault="006054C3" w:rsidP="006054C3">
      <w:pPr>
        <w:pStyle w:val="ListParagraph"/>
        <w:ind w:left="360" w:hanging="360"/>
        <w:rPr>
          <w:sz w:val="20"/>
          <w:szCs w:val="20"/>
        </w:rPr>
      </w:pPr>
    </w:p>
    <w:p w:rsidR="006054C3" w:rsidRPr="0043424D" w:rsidRDefault="006054C3" w:rsidP="0043424D">
      <w:pPr>
        <w:pStyle w:val="Heading2"/>
      </w:pPr>
      <w:bookmarkStart w:id="5" w:name="_Toc423072820"/>
      <w:r>
        <w:t>Antecedentes</w:t>
      </w:r>
      <w:bookmarkEnd w:id="5"/>
    </w:p>
    <w:p w:rsidR="006054C3" w:rsidRPr="00FC2F1B" w:rsidRDefault="006054C3" w:rsidP="006054C3">
      <w:pPr>
        <w:pStyle w:val="ListParagraph"/>
        <w:ind w:left="360" w:hanging="360"/>
        <w:rPr>
          <w:sz w:val="20"/>
          <w:szCs w:val="20"/>
        </w:rPr>
      </w:pPr>
    </w:p>
    <w:p w:rsidR="006054C3" w:rsidRPr="00FC2F1B" w:rsidRDefault="006054C3" w:rsidP="00724CD2">
      <w:pPr>
        <w:numPr>
          <w:ilvl w:val="0"/>
          <w:numId w:val="5"/>
        </w:numPr>
        <w:ind w:left="547" w:hanging="547"/>
        <w:jc w:val="both"/>
        <w:rPr>
          <w:rFonts w:ascii="Cambria" w:hAnsi="Cambria"/>
          <w:sz w:val="20"/>
          <w:szCs w:val="20"/>
        </w:rPr>
      </w:pPr>
      <w:r>
        <w:rPr>
          <w:rFonts w:ascii="Cambria" w:hAnsi="Cambria"/>
          <w:sz w:val="20"/>
        </w:rPr>
        <w:t>El 12 de diciembre de 2001, la Comisión Interamericana emitió una Resolución sobre terrorismo y derechos humanos condenando los ataques del 11 de septiembre de 2001</w:t>
      </w:r>
      <w:r>
        <w:rPr>
          <w:rStyle w:val="FootnoteReference"/>
          <w:rFonts w:ascii="Cambria" w:hAnsi="Cambria"/>
          <w:sz w:val="20"/>
        </w:rPr>
        <w:footnoteReference w:id="1"/>
      </w:r>
      <w:r>
        <w:rPr>
          <w:rFonts w:ascii="Cambria" w:hAnsi="Cambria"/>
          <w:sz w:val="20"/>
        </w:rPr>
        <w:t xml:space="preserve">. La resolución afirmó que “los Estados tienen el derecho y aún </w:t>
      </w:r>
      <w:r>
        <w:rPr>
          <w:rFonts w:ascii="Cambria" w:hAnsi="Cambria"/>
          <w:sz w:val="20"/>
        </w:rPr>
        <w:lastRenderedPageBreak/>
        <w:t>el deber de defenderse contra este crimen internacional [de terrorismo] en el marco de las normas internacionales que requieren la adecuación de sus normas internas a los compromisos internacionales”. La CIDH se refirió además al debate sobre la adopción de normas antiterroristas que incluyen, entre otros, comisiones militares y otras medidas.</w:t>
      </w:r>
    </w:p>
    <w:p w:rsidR="006054C3" w:rsidRPr="00FC2F1B" w:rsidRDefault="006054C3" w:rsidP="006054C3">
      <w:pPr>
        <w:ind w:left="360" w:hanging="360"/>
        <w:jc w:val="both"/>
        <w:rPr>
          <w:rFonts w:ascii="Cambria" w:hAnsi="Cambria"/>
          <w:sz w:val="20"/>
          <w:szCs w:val="20"/>
        </w:rPr>
      </w:pPr>
    </w:p>
    <w:p w:rsidR="006054C3" w:rsidRPr="00FC2F1B" w:rsidRDefault="006054C3" w:rsidP="00724CD2">
      <w:pPr>
        <w:numPr>
          <w:ilvl w:val="0"/>
          <w:numId w:val="5"/>
        </w:numPr>
        <w:ind w:left="547" w:hanging="547"/>
        <w:jc w:val="both"/>
        <w:rPr>
          <w:rFonts w:ascii="Cambria" w:hAnsi="Cambria"/>
          <w:sz w:val="20"/>
          <w:szCs w:val="20"/>
        </w:rPr>
      </w:pPr>
      <w:r>
        <w:rPr>
          <w:rFonts w:ascii="Cambria" w:hAnsi="Cambria"/>
          <w:sz w:val="20"/>
        </w:rPr>
        <w:t xml:space="preserve">También en respuesta a los ataques terroristas, el 3 de junio de 2002, la Asamblea General de la OEA adoptó la Convención Inter-Americana Contra el Terrorismo, en el marco de la cual los Estados Miembros de la OEA reafirmaron “la necesidad de adoptar en el sistema interamericano medidas eficaces para prevenir, sancionar y eliminar el terrorismo mediante la más amplia cooperación”. La Convención reconoció explícitamente que las iniciativas contra el terrorismo deben realizarse con pleno respeto de las obligaciones de los Estados de conformidad con el derecho internacional, incluido el derecho internacional de los derechos humanos. </w:t>
      </w:r>
    </w:p>
    <w:p w:rsidR="006054C3" w:rsidRPr="00FC2F1B" w:rsidRDefault="006054C3" w:rsidP="006054C3">
      <w:pPr>
        <w:ind w:left="360" w:hanging="360"/>
        <w:jc w:val="both"/>
        <w:rPr>
          <w:rFonts w:ascii="Cambria" w:hAnsi="Cambria"/>
          <w:sz w:val="20"/>
          <w:szCs w:val="20"/>
        </w:rPr>
      </w:pPr>
    </w:p>
    <w:p w:rsidR="006054C3" w:rsidRPr="00FC2F1B" w:rsidRDefault="006054C3" w:rsidP="00724CD2">
      <w:pPr>
        <w:numPr>
          <w:ilvl w:val="0"/>
          <w:numId w:val="5"/>
        </w:numPr>
        <w:ind w:left="547" w:hanging="547"/>
        <w:jc w:val="both"/>
        <w:rPr>
          <w:rFonts w:ascii="Cambria" w:hAnsi="Cambria"/>
          <w:sz w:val="20"/>
          <w:szCs w:val="20"/>
        </w:rPr>
      </w:pPr>
      <w:r>
        <w:rPr>
          <w:rFonts w:ascii="Cambria" w:hAnsi="Cambria"/>
          <w:sz w:val="20"/>
        </w:rPr>
        <w:t>En seguimiento a su resolución, en 2002 la CIDH publicó un Informe sobre Terrorismo y Derechos Humanos elaborando sobre la forma en que las obligaciones internacionales de derechos humanos regulan la conducta estatal en respuesta a amenazas terroristas</w:t>
      </w:r>
      <w:r>
        <w:rPr>
          <w:rStyle w:val="FootnoteReference"/>
          <w:rFonts w:ascii="Cambria" w:hAnsi="Cambria"/>
          <w:sz w:val="20"/>
        </w:rPr>
        <w:footnoteReference w:id="2"/>
      </w:r>
      <w:r>
        <w:rPr>
          <w:rFonts w:ascii="Cambria" w:hAnsi="Cambria"/>
          <w:sz w:val="20"/>
        </w:rPr>
        <w:t xml:space="preserve">. En dicho informe, la CIDH examinó las iniciativas contra el terrorismo en relación con varios derechos humanos fundamentales reconocidos por el derecho internacional. Se refirió a los requisitos mínimos establecidos por el derecho internacional de los derechos humanos y el derecho humanitario en relación con esos derechos fundamentales y evaluó la forma en que esas obligaciones pueden tener un impacto sobre una variedad de prácticas anti-terroristas.  </w:t>
      </w:r>
    </w:p>
    <w:p w:rsidR="006054C3" w:rsidRPr="00FC2F1B" w:rsidRDefault="006054C3" w:rsidP="006054C3">
      <w:pPr>
        <w:ind w:left="360" w:hanging="360"/>
        <w:jc w:val="both"/>
        <w:rPr>
          <w:rFonts w:ascii="Cambria" w:hAnsi="Cambria"/>
          <w:sz w:val="20"/>
          <w:szCs w:val="20"/>
        </w:rPr>
      </w:pPr>
    </w:p>
    <w:p w:rsidR="006054C3" w:rsidRPr="00F66705" w:rsidRDefault="006054C3" w:rsidP="0043424D">
      <w:pPr>
        <w:pStyle w:val="Heading2"/>
      </w:pPr>
      <w:bookmarkStart w:id="6" w:name="_Toc423072821"/>
      <w:r>
        <w:t>Metodología</w:t>
      </w:r>
      <w:bookmarkEnd w:id="6"/>
    </w:p>
    <w:p w:rsidR="006054C3" w:rsidRPr="00FC2F1B" w:rsidRDefault="006054C3" w:rsidP="006054C3">
      <w:pPr>
        <w:pStyle w:val="ListParagraph"/>
        <w:ind w:left="360" w:hanging="360"/>
        <w:rPr>
          <w:sz w:val="20"/>
          <w:szCs w:val="20"/>
        </w:rPr>
      </w:pPr>
    </w:p>
    <w:p w:rsidR="006054C3" w:rsidRPr="00FC2F1B" w:rsidRDefault="006054C3" w:rsidP="00724CD2">
      <w:pPr>
        <w:numPr>
          <w:ilvl w:val="0"/>
          <w:numId w:val="5"/>
        </w:numPr>
        <w:ind w:left="547" w:hanging="547"/>
        <w:jc w:val="both"/>
        <w:rPr>
          <w:rFonts w:ascii="Cambria" w:hAnsi="Cambria"/>
          <w:sz w:val="20"/>
          <w:szCs w:val="20"/>
        </w:rPr>
      </w:pPr>
      <w:r>
        <w:rPr>
          <w:rFonts w:ascii="Cambria" w:hAnsi="Cambria"/>
          <w:sz w:val="20"/>
        </w:rPr>
        <w:t xml:space="preserve">Como parte de la preparación de este informe, la Comisión Interamericana organizó una reunión de expertos sobre la situación de los detenidos en la Bahía de Guantánamo para recibir insumos especializados respecto de las distintas áreas cubiertas por el informe. La reunión contó con la participación de once expertos de diversas especialidades. Entre los participantes estuvieron </w:t>
      </w:r>
      <w:proofErr w:type="spellStart"/>
      <w:r>
        <w:rPr>
          <w:rFonts w:ascii="Cambria" w:hAnsi="Cambria"/>
          <w:sz w:val="20"/>
        </w:rPr>
        <w:t>Clifford</w:t>
      </w:r>
      <w:proofErr w:type="spellEnd"/>
      <w:r>
        <w:rPr>
          <w:rFonts w:ascii="Cambria" w:hAnsi="Cambria"/>
          <w:sz w:val="20"/>
        </w:rPr>
        <w:t xml:space="preserve"> M. </w:t>
      </w:r>
      <w:proofErr w:type="spellStart"/>
      <w:r>
        <w:rPr>
          <w:rFonts w:ascii="Cambria" w:hAnsi="Cambria"/>
          <w:sz w:val="20"/>
        </w:rPr>
        <w:t>Sloan</w:t>
      </w:r>
      <w:proofErr w:type="spellEnd"/>
      <w:r>
        <w:rPr>
          <w:rFonts w:ascii="Cambria" w:hAnsi="Cambria"/>
          <w:sz w:val="20"/>
        </w:rPr>
        <w:t>, en ese entonces Enviado Especial para el Cierre de Guantánamo en el Departamento de Estado de Estados Unidos, funcionarios de la Oficina del Fiscal en Jefe y de la Oficina del Jefe de la Defensa para las Comisiones Militares, representantes legales de detenidos de Guantánamo ante cortes federales, un perito médico y psiquiátrico que ha actuado en varios casos relacionados con detenidos en Guantánamo, organizaciones de la sociedad civil, académicos, así como miembros de la oficina del Relator Especial sobre la tortura y otros tratos o penas cueles, inhumanos o degradantes</w:t>
      </w:r>
      <w:r>
        <w:rPr>
          <w:rStyle w:val="FootnoteReference"/>
          <w:rFonts w:ascii="Cambria" w:hAnsi="Cambria"/>
          <w:sz w:val="20"/>
        </w:rPr>
        <w:footnoteReference w:id="3"/>
      </w:r>
      <w:r>
        <w:rPr>
          <w:rFonts w:ascii="Cambria" w:hAnsi="Cambria"/>
          <w:sz w:val="20"/>
        </w:rPr>
        <w:t xml:space="preserve">. La información recibida en esta reunión de alto perfil permitió a la </w:t>
      </w:r>
      <w:r>
        <w:rPr>
          <w:rFonts w:ascii="Cambria" w:hAnsi="Cambria"/>
          <w:sz w:val="20"/>
        </w:rPr>
        <w:lastRenderedPageBreak/>
        <w:t xml:space="preserve">Comisión examinar el asunto tomando en cuenta múltiples perspectivas. La Comisión desea expresar su gratitud por la generosa participación y las invaluables contribuciones por parte de los expertos que participaron en la reunión.  </w:t>
      </w:r>
    </w:p>
    <w:p w:rsidR="006054C3" w:rsidRPr="00FC2F1B" w:rsidRDefault="006054C3" w:rsidP="006054C3">
      <w:pPr>
        <w:ind w:left="360" w:hanging="360"/>
        <w:jc w:val="both"/>
        <w:rPr>
          <w:rFonts w:ascii="Cambria" w:hAnsi="Cambria"/>
          <w:sz w:val="20"/>
          <w:szCs w:val="20"/>
        </w:rPr>
      </w:pPr>
    </w:p>
    <w:p w:rsidR="006054C3" w:rsidRPr="00FC2F1B" w:rsidRDefault="006054C3" w:rsidP="00724CD2">
      <w:pPr>
        <w:numPr>
          <w:ilvl w:val="0"/>
          <w:numId w:val="5"/>
        </w:numPr>
        <w:ind w:left="547" w:hanging="547"/>
        <w:jc w:val="both"/>
        <w:rPr>
          <w:rFonts w:ascii="Cambria" w:hAnsi="Cambria"/>
          <w:sz w:val="20"/>
          <w:szCs w:val="20"/>
        </w:rPr>
      </w:pPr>
      <w:r>
        <w:rPr>
          <w:rFonts w:ascii="Cambria" w:hAnsi="Cambria"/>
          <w:sz w:val="20"/>
        </w:rPr>
        <w:t xml:space="preserve">En la elaboración de este informe, la CIDH tomó en cuenta información recibida en el contexto de audiencias públicas y reuniones de trabajo celebradas ante la Comisión, así como materiales presentados en el marco del procesamiento de medidas cautelares y peticiones individuales. El informe también se basa en información pública oficial obtenida de fuentes gubernamentales, informes emitidos por organismos de Naciones Unidas, estudios de investigación académicos e información publicada por organizaciones no gubernamentales y medios de comunicación. </w:t>
      </w:r>
    </w:p>
    <w:p w:rsidR="006054C3" w:rsidRPr="00FC2F1B" w:rsidRDefault="006054C3" w:rsidP="006054C3">
      <w:pPr>
        <w:ind w:left="360" w:hanging="360"/>
        <w:jc w:val="both"/>
        <w:rPr>
          <w:rFonts w:ascii="Cambria" w:hAnsi="Cambria"/>
          <w:sz w:val="20"/>
          <w:szCs w:val="20"/>
        </w:rPr>
      </w:pPr>
    </w:p>
    <w:p w:rsidR="006054C3" w:rsidRPr="00FC2F1B" w:rsidRDefault="006054C3" w:rsidP="00724CD2">
      <w:pPr>
        <w:numPr>
          <w:ilvl w:val="0"/>
          <w:numId w:val="5"/>
        </w:numPr>
        <w:ind w:left="547" w:hanging="547"/>
        <w:jc w:val="both"/>
        <w:rPr>
          <w:rFonts w:ascii="Cambria" w:hAnsi="Cambria"/>
          <w:sz w:val="20"/>
          <w:szCs w:val="20"/>
        </w:rPr>
      </w:pPr>
      <w:r>
        <w:rPr>
          <w:rFonts w:ascii="Cambria" w:hAnsi="Cambria"/>
          <w:sz w:val="20"/>
        </w:rPr>
        <w:t xml:space="preserve">La CIDH lamenta que no se le haya permitido visitar el centro de detención de la Bahía de Guantánamo, lo que le hubiese permitido recolectar información de primera mano para la preparación del informe. En cumplimiento del mandato que le han dado los Estados Miembros de la OEA, la CIDH lleva a cabo visitas de trabajo a prisiones y otros centros de detención a lo largo de la región, a través de la Relatoría sobre los Derechos de las Personas Privadas de Libertad. Estas visitas tienen el propósito de verificar la situación general de los sistemas de privación de libertad y realizar recomendaciones concretas a los Estados. La CIDH solicitó el consentimiento de los Estados Unidos para realizar una visita al centro de detención de Guantánamo. El Gobierno de Estados Unidos respondió que permitiría la visita bajo la condición de que la Comisión no se comunique con los detenidos, restricción incompatible con el Reglamento de la CIDH y con la necesidad de independencia y autonomía en el trabajo de la Comisión. </w:t>
      </w:r>
    </w:p>
    <w:p w:rsidR="006054C3" w:rsidRPr="00FC2F1B" w:rsidRDefault="006054C3" w:rsidP="006054C3">
      <w:pPr>
        <w:pStyle w:val="ListParagraph"/>
        <w:ind w:left="360" w:hanging="360"/>
        <w:rPr>
          <w:sz w:val="20"/>
          <w:szCs w:val="20"/>
        </w:rPr>
      </w:pPr>
    </w:p>
    <w:p w:rsidR="006054C3" w:rsidRPr="00FC2F1B" w:rsidRDefault="006054C3" w:rsidP="0043424D">
      <w:pPr>
        <w:pStyle w:val="Heading2"/>
      </w:pPr>
      <w:bookmarkStart w:id="7" w:name="_Toc423072822"/>
      <w:r>
        <w:t>Estructura del informe</w:t>
      </w:r>
      <w:bookmarkEnd w:id="7"/>
    </w:p>
    <w:p w:rsidR="006054C3" w:rsidRPr="00FC2F1B" w:rsidRDefault="006054C3" w:rsidP="006054C3">
      <w:pPr>
        <w:ind w:left="360" w:hanging="360"/>
        <w:jc w:val="both"/>
        <w:rPr>
          <w:rFonts w:ascii="Cambria" w:hAnsi="Cambria"/>
          <w:sz w:val="20"/>
          <w:szCs w:val="20"/>
        </w:rPr>
      </w:pPr>
    </w:p>
    <w:p w:rsidR="006054C3" w:rsidRPr="00FC2F1B" w:rsidRDefault="006054C3" w:rsidP="00724CD2">
      <w:pPr>
        <w:numPr>
          <w:ilvl w:val="0"/>
          <w:numId w:val="5"/>
        </w:numPr>
        <w:ind w:left="547" w:hanging="547"/>
        <w:jc w:val="both"/>
        <w:rPr>
          <w:rFonts w:ascii="Cambria" w:hAnsi="Cambria"/>
          <w:sz w:val="20"/>
          <w:szCs w:val="20"/>
        </w:rPr>
      </w:pPr>
      <w:r>
        <w:rPr>
          <w:rFonts w:ascii="Cambria" w:hAnsi="Cambria"/>
          <w:sz w:val="20"/>
        </w:rPr>
        <w:t xml:space="preserve">El presente informe sigue un enfoque basado en los derechos humanos a través del cual la CIDH analiza tres áreas de principal preocupación en el marco de varios derechos humanos fundamentales, en particular los derechos a la libertad y seguridad personales, al trato humano, al juicio justo y a la protección judicial. La Comisión comienza con un breve repaso de sus iniciativas relacionadas con la situación de los derechos humanos en Guantánamo y cómo ha abordado el asunto a través del uso de sus diferentes mecanismos. A continuación, la Comisión evalúa las </w:t>
      </w:r>
      <w:r>
        <w:rPr>
          <w:rFonts w:ascii="Cambria" w:hAnsi="Cambria"/>
          <w:sz w:val="20"/>
        </w:rPr>
        <w:lastRenderedPageBreak/>
        <w:t xml:space="preserve">condiciones de detención, el acceso a la justicia y las iniciativas encaminadas al cierre del centro de detención. </w:t>
      </w:r>
    </w:p>
    <w:p w:rsidR="006054C3" w:rsidRPr="00FC2F1B" w:rsidRDefault="006054C3" w:rsidP="006054C3">
      <w:pPr>
        <w:ind w:left="360" w:hanging="360"/>
        <w:jc w:val="both"/>
        <w:rPr>
          <w:rFonts w:ascii="Cambria" w:hAnsi="Cambria"/>
          <w:sz w:val="20"/>
          <w:szCs w:val="20"/>
        </w:rPr>
      </w:pPr>
    </w:p>
    <w:p w:rsidR="006054C3" w:rsidRPr="00FC2F1B" w:rsidRDefault="006054C3" w:rsidP="00724CD2">
      <w:pPr>
        <w:numPr>
          <w:ilvl w:val="0"/>
          <w:numId w:val="5"/>
        </w:numPr>
        <w:ind w:left="547" w:hanging="547"/>
        <w:jc w:val="both"/>
        <w:rPr>
          <w:rFonts w:ascii="Cambria" w:hAnsi="Cambria"/>
          <w:sz w:val="20"/>
          <w:szCs w:val="20"/>
        </w:rPr>
      </w:pPr>
      <w:r>
        <w:rPr>
          <w:rFonts w:ascii="Cambria" w:hAnsi="Cambria"/>
          <w:sz w:val="20"/>
        </w:rPr>
        <w:t xml:space="preserve">El Capítulo </w:t>
      </w:r>
      <w:r w:rsidR="007A62F2">
        <w:rPr>
          <w:rFonts w:ascii="Cambria" w:hAnsi="Cambria"/>
          <w:sz w:val="20"/>
        </w:rPr>
        <w:t>3</w:t>
      </w:r>
      <w:r>
        <w:rPr>
          <w:rFonts w:ascii="Cambria" w:hAnsi="Cambria"/>
          <w:sz w:val="20"/>
        </w:rPr>
        <w:t xml:space="preserve"> inicia con un enfoque sobre el estatuto jurídico de los prisioneros y la forma en la que el derecho de los derechos humanos y el derecho internacional humanitario deberían aplicarse para proporcionar a los individuos los estándares de protección más favorables disponibles de conformidad con el derecho aplicable. El informe elabora también sobre los requisitos que deben cumplirse para garantizar que la detención llevada a cabo en el contexto de un conflicto armado no sea injusta y no se convierta en arbitraria. Este capítulo también aborda los principales asuntos que rodean el derecho de los detenidos a la integridad personal, particularmente el uso autorizado de la tortura durante los interrogatorios llevados a cabo en los primeros años en el centro de detención de Guantánamo, así como el papel y la responsabilidad de los profesionales de la salud que participaron o consintieron dichos actos. La CIDH también examina cómo el Gobierno de los Estados Unidos ha manejado las huelgas de hambre, las cuales se han convertido en la principal forma de protesta en Guantánamo. </w:t>
      </w:r>
    </w:p>
    <w:p w:rsidR="006054C3" w:rsidRPr="00FC2F1B" w:rsidRDefault="006054C3" w:rsidP="006054C3">
      <w:pPr>
        <w:ind w:left="360" w:hanging="360"/>
        <w:jc w:val="both"/>
        <w:rPr>
          <w:rFonts w:ascii="Cambria" w:hAnsi="Cambria"/>
          <w:sz w:val="20"/>
          <w:szCs w:val="20"/>
        </w:rPr>
      </w:pPr>
    </w:p>
    <w:p w:rsidR="006054C3" w:rsidRPr="00FC2F1B" w:rsidRDefault="006054C3" w:rsidP="00724CD2">
      <w:pPr>
        <w:numPr>
          <w:ilvl w:val="0"/>
          <w:numId w:val="5"/>
        </w:numPr>
        <w:ind w:left="547" w:hanging="547"/>
        <w:jc w:val="both"/>
        <w:rPr>
          <w:rFonts w:ascii="Cambria" w:hAnsi="Cambria"/>
          <w:sz w:val="20"/>
          <w:szCs w:val="20"/>
        </w:rPr>
      </w:pPr>
      <w:r>
        <w:rPr>
          <w:rFonts w:ascii="Cambria" w:hAnsi="Cambria"/>
          <w:sz w:val="20"/>
        </w:rPr>
        <w:t xml:space="preserve">El acceso a la justicia de los detenidos de Guantánamo también constituye una de las principales áreas de preocupación de la CIDH. El Capítulo </w:t>
      </w:r>
      <w:r w:rsidR="007A62F2">
        <w:rPr>
          <w:rFonts w:ascii="Cambria" w:hAnsi="Cambria"/>
          <w:sz w:val="20"/>
        </w:rPr>
        <w:t>4</w:t>
      </w:r>
      <w:r>
        <w:rPr>
          <w:rFonts w:ascii="Cambria" w:hAnsi="Cambria"/>
          <w:sz w:val="20"/>
        </w:rPr>
        <w:t xml:space="preserve"> comienza por examinar algunos de los recursos que se han presentado ante las cortes en relación con los asuntos no resueltos en </w:t>
      </w:r>
      <w:proofErr w:type="spellStart"/>
      <w:r>
        <w:rPr>
          <w:rFonts w:ascii="Cambria" w:hAnsi="Cambria"/>
          <w:i/>
          <w:sz w:val="20"/>
        </w:rPr>
        <w:t>Boumediene</w:t>
      </w:r>
      <w:proofErr w:type="spellEnd"/>
      <w:r>
        <w:rPr>
          <w:rFonts w:ascii="Cambria" w:hAnsi="Cambria"/>
          <w:i/>
          <w:sz w:val="20"/>
        </w:rPr>
        <w:t xml:space="preserve"> v. Bush</w:t>
      </w:r>
      <w:r>
        <w:rPr>
          <w:rFonts w:ascii="Cambria" w:hAnsi="Cambria"/>
          <w:sz w:val="20"/>
        </w:rPr>
        <w:t xml:space="preserve">, tales como la legalidad de la detención y los aspectos probatorios. A continuación se analiza cómo los procedimientos ante las comisiones militares en Guantánamo han evolucionado en el transcurso del tiempo y, en particular, la reforma introducida por la Ley de Comisiones Militares (MCA, por sus siglas en inglés) de 2009. Se otorga especial atención a las mejoras significativas incluidas en la MCA de 2009, así como también a varios defectos estructurales y limitaciones prácticas en la implementación de las comisiones militares. La CIDH también expresa algunas preocupaciones relacionadas con los derechos a la igual protección ante la ley y la no discriminación. Este capítulo se refiere además al derecho a la representación jurídica y los importantes desafíos que enfrentan los detenidos de Guantánamo al intentar ejercer su derecho a la defensa. Adicionalmente, al evaluar el derecho a la revisión periódica de la detención, la CIDH se refiere al proceso de Junta de Revisión Periódica establecido en 2011 y analiza si este cumple los estándares de derechos humanos y derecho humanitario. Este capítulo explica asimismo las preocupaciones de la CIDH relacionadas con la falta de revisión judicial de las denuncias relativas a las condiciones de detención en Guantánamo.  </w:t>
      </w:r>
    </w:p>
    <w:p w:rsidR="006054C3" w:rsidRPr="00FC2F1B" w:rsidRDefault="006054C3" w:rsidP="006054C3">
      <w:pPr>
        <w:ind w:left="360" w:hanging="360"/>
        <w:jc w:val="both"/>
        <w:rPr>
          <w:rFonts w:ascii="Cambria" w:hAnsi="Cambria"/>
          <w:sz w:val="20"/>
          <w:szCs w:val="20"/>
        </w:rPr>
      </w:pPr>
    </w:p>
    <w:p w:rsidR="006054C3" w:rsidRPr="00FC2F1B" w:rsidRDefault="006054C3" w:rsidP="00724CD2">
      <w:pPr>
        <w:numPr>
          <w:ilvl w:val="0"/>
          <w:numId w:val="5"/>
        </w:numPr>
        <w:ind w:left="547" w:hanging="547"/>
        <w:jc w:val="both"/>
        <w:rPr>
          <w:rFonts w:ascii="Cambria" w:hAnsi="Cambria"/>
          <w:sz w:val="20"/>
          <w:szCs w:val="20"/>
        </w:rPr>
      </w:pPr>
      <w:r>
        <w:rPr>
          <w:rFonts w:ascii="Cambria" w:hAnsi="Cambria"/>
          <w:sz w:val="20"/>
        </w:rPr>
        <w:t>La Comisión Interamericana reiteradamente ha llamado al cierre inmediato del centro de detención en la Bahía de Guantánamo. Si bien existe un consenso nacional e internacional sobre la necesidad de cerrar la prisión, no existe claridad sobre cómo debe llevarse a</w:t>
      </w:r>
      <w:r w:rsidR="007A62F2">
        <w:rPr>
          <w:rFonts w:ascii="Cambria" w:hAnsi="Cambria"/>
          <w:sz w:val="20"/>
        </w:rPr>
        <w:t xml:space="preserve"> cabo este cierre. El capítulo 5</w:t>
      </w:r>
      <w:r>
        <w:rPr>
          <w:rFonts w:ascii="Cambria" w:hAnsi="Cambria"/>
          <w:sz w:val="20"/>
        </w:rPr>
        <w:t xml:space="preserve"> observa los pasos adoptados por el Ejecutivo en años recientes para cumplir su objetivo de cerrar Guantánamo, y evalúa la situación actual de las tres categorías de detenidos que se encuentran en Guantánamo: detenidos cuyo traslado ha sido autorizado; detenidos que enfrentan cargos penales ante comisiones militares; y detenidos designados para detención continua (o que han sido acusados pero al momento no están siendo procesados penalmente). La CIDH evalúa los desafíos relativos al traslado de los detenidos, particularmente las restricciones impuestas por el Congreso, y la necesidad de </w:t>
      </w:r>
      <w:r>
        <w:rPr>
          <w:rFonts w:ascii="Cambria" w:hAnsi="Cambria"/>
          <w:sz w:val="20"/>
        </w:rPr>
        <w:lastRenderedPageBreak/>
        <w:t xml:space="preserve">explorar todas las potenciales vías para acelerar los traslados. No obstante, cualquier vía debe respetar el principio de </w:t>
      </w:r>
      <w:r>
        <w:rPr>
          <w:rFonts w:ascii="Cambria" w:hAnsi="Cambria"/>
          <w:i/>
          <w:sz w:val="20"/>
        </w:rPr>
        <w:t>non-</w:t>
      </w:r>
      <w:proofErr w:type="spellStart"/>
      <w:r>
        <w:rPr>
          <w:rFonts w:ascii="Cambria" w:hAnsi="Cambria"/>
          <w:i/>
          <w:sz w:val="20"/>
        </w:rPr>
        <w:t>refoulement</w:t>
      </w:r>
      <w:proofErr w:type="spellEnd"/>
      <w:r>
        <w:rPr>
          <w:rFonts w:ascii="Cambria" w:hAnsi="Cambria"/>
          <w:sz w:val="20"/>
        </w:rPr>
        <w:t>, un desarrollado en este capítulo. La CIDH considera además la situación de los detenidos de Yemen, la cual, en caso de ser resuelta, podría ser la clave para el cierre de Guantánamo.</w:t>
      </w:r>
    </w:p>
    <w:p w:rsidR="006054C3" w:rsidRPr="00FC2F1B" w:rsidRDefault="006054C3" w:rsidP="006054C3">
      <w:pPr>
        <w:ind w:left="360" w:hanging="360"/>
        <w:jc w:val="both"/>
        <w:rPr>
          <w:rFonts w:ascii="Cambria" w:hAnsi="Cambria"/>
          <w:sz w:val="20"/>
          <w:szCs w:val="20"/>
        </w:rPr>
      </w:pPr>
    </w:p>
    <w:p w:rsidR="00CB7C09" w:rsidRDefault="006054C3" w:rsidP="00724CD2">
      <w:pPr>
        <w:numPr>
          <w:ilvl w:val="0"/>
          <w:numId w:val="5"/>
        </w:numPr>
        <w:ind w:left="547" w:hanging="547"/>
        <w:jc w:val="both"/>
        <w:rPr>
          <w:rFonts w:ascii="Cambria" w:hAnsi="Cambria"/>
          <w:sz w:val="20"/>
          <w:szCs w:val="20"/>
        </w:rPr>
      </w:pPr>
      <w:r>
        <w:rPr>
          <w:rFonts w:ascii="Cambria" w:hAnsi="Cambria"/>
          <w:sz w:val="20"/>
        </w:rPr>
        <w:t>Finalmente, el informe de la Comisión Interamericana concluye con una serie de recomendaciones específicas dirigidas a guiar a los Estados Unidos en el cierre del centro de detención de Guantánamo, en pleno cumplimiento con sus obligaciones internacionales de derechos humanos.</w:t>
      </w:r>
    </w:p>
    <w:p w:rsidR="0091084E" w:rsidRDefault="0091084E" w:rsidP="0091084E">
      <w:pPr>
        <w:pStyle w:val="ListParagraph"/>
        <w:rPr>
          <w:rFonts w:ascii="Cambria" w:hAnsi="Cambria"/>
          <w:sz w:val="20"/>
          <w:szCs w:val="20"/>
        </w:rPr>
      </w:pPr>
    </w:p>
    <w:p w:rsidR="0091084E" w:rsidRPr="006425BA" w:rsidRDefault="0091084E" w:rsidP="0043424D">
      <w:pPr>
        <w:pStyle w:val="Heading2"/>
      </w:pPr>
      <w:bookmarkStart w:id="8" w:name="_Toc416364236"/>
      <w:bookmarkStart w:id="9" w:name="_Toc416430547"/>
      <w:bookmarkStart w:id="10" w:name="_Toc423072823"/>
      <w:r w:rsidRPr="006425BA">
        <w:t>Preparación y aprobación del informe</w:t>
      </w:r>
      <w:bookmarkEnd w:id="8"/>
      <w:bookmarkEnd w:id="9"/>
      <w:bookmarkEnd w:id="10"/>
    </w:p>
    <w:p w:rsidR="0091084E" w:rsidRPr="006425BA" w:rsidRDefault="0091084E" w:rsidP="0091084E">
      <w:pPr>
        <w:pStyle w:val="ListParagraph"/>
        <w:rPr>
          <w:rFonts w:ascii="Cambria" w:hAnsi="Cambria"/>
          <w:sz w:val="20"/>
          <w:szCs w:val="20"/>
        </w:rPr>
      </w:pPr>
    </w:p>
    <w:p w:rsidR="0091084E" w:rsidRPr="006425BA" w:rsidRDefault="0091084E" w:rsidP="0091084E">
      <w:pPr>
        <w:numPr>
          <w:ilvl w:val="0"/>
          <w:numId w:val="5"/>
        </w:numPr>
        <w:ind w:left="547" w:hanging="547"/>
        <w:jc w:val="both"/>
        <w:rPr>
          <w:rFonts w:ascii="Cambria" w:hAnsi="Cambria"/>
          <w:sz w:val="20"/>
          <w:szCs w:val="20"/>
        </w:rPr>
      </w:pPr>
      <w:r w:rsidRPr="006425BA">
        <w:rPr>
          <w:rFonts w:ascii="Cambria" w:hAnsi="Cambria"/>
          <w:sz w:val="20"/>
        </w:rPr>
        <w:t>La</w:t>
      </w:r>
      <w:r w:rsidR="00CC6B7A" w:rsidRPr="006425BA">
        <w:rPr>
          <w:rFonts w:ascii="Cambria" w:hAnsi="Cambria"/>
          <w:sz w:val="20"/>
        </w:rPr>
        <w:t xml:space="preserve"> CIDH discuti</w:t>
      </w:r>
      <w:r w:rsidRPr="006425BA">
        <w:rPr>
          <w:rFonts w:ascii="Cambria" w:hAnsi="Cambria"/>
          <w:sz w:val="20"/>
        </w:rPr>
        <w:t xml:space="preserve">ó y aprobó el borrador de este informe el 30 de enero de 2015.  Según lo dispuesto en el artículo 60 (a) de su Reglamento, la Comisión remitió </w:t>
      </w:r>
      <w:r w:rsidR="002B26F9" w:rsidRPr="006425BA">
        <w:rPr>
          <w:rFonts w:ascii="Cambria" w:hAnsi="Cambria"/>
          <w:sz w:val="20"/>
        </w:rPr>
        <w:t xml:space="preserve">dicho </w:t>
      </w:r>
      <w:r w:rsidR="00CC6B7A" w:rsidRPr="006425BA">
        <w:rPr>
          <w:rFonts w:ascii="Cambria" w:hAnsi="Cambria"/>
          <w:sz w:val="20"/>
        </w:rPr>
        <w:t>informe preliminar</w:t>
      </w:r>
      <w:r w:rsidRPr="006425BA">
        <w:rPr>
          <w:rFonts w:ascii="Cambria" w:hAnsi="Cambria"/>
          <w:sz w:val="20"/>
        </w:rPr>
        <w:t xml:space="preserve"> al Gobierno de Estados Unidos el 9 de febrero de 2015, y </w:t>
      </w:r>
      <w:r w:rsidR="00CC6B7A" w:rsidRPr="006425BA">
        <w:rPr>
          <w:rFonts w:ascii="Cambria" w:hAnsi="Cambria"/>
          <w:sz w:val="20"/>
        </w:rPr>
        <w:t>solicitó</w:t>
      </w:r>
      <w:r w:rsidRPr="006425BA">
        <w:rPr>
          <w:rFonts w:ascii="Cambria" w:hAnsi="Cambria"/>
          <w:sz w:val="20"/>
        </w:rPr>
        <w:t xml:space="preserve"> que presentara sus observaciones en un plazo de 30 días.  El 19 de febrero de 2015 Estados Unidos solicitó una prórroga hasta el 27 de marzo de </w:t>
      </w:r>
      <w:r w:rsidR="00467C19" w:rsidRPr="006425BA">
        <w:rPr>
          <w:rFonts w:ascii="Cambria" w:hAnsi="Cambria"/>
          <w:sz w:val="20"/>
        </w:rPr>
        <w:t>2015.  Mediante carta de fecha</w:t>
      </w:r>
      <w:r w:rsidRPr="006425BA">
        <w:rPr>
          <w:rFonts w:ascii="Cambria" w:hAnsi="Cambria"/>
          <w:sz w:val="20"/>
        </w:rPr>
        <w:t xml:space="preserve"> 27 de febrero de 2015, la CIDH informó al Estado que la prórroga había sido concedida.  El Estado presentó sus observaciones el 30 de marzo de 2015.  De conformidad con el Reglamento, la Comisión ha analizado las observaciones del Estado y ha incluido aquellas que ha considerado pertinente</w:t>
      </w:r>
      <w:r w:rsidR="00C92EA1" w:rsidRPr="006425BA">
        <w:rPr>
          <w:rFonts w:ascii="Cambria" w:hAnsi="Cambria"/>
          <w:sz w:val="20"/>
        </w:rPr>
        <w:t>s</w:t>
      </w:r>
      <w:r w:rsidRPr="006425BA">
        <w:rPr>
          <w:rFonts w:ascii="Cambria" w:hAnsi="Cambria"/>
          <w:sz w:val="20"/>
        </w:rPr>
        <w:t xml:space="preserve"> en la presente versión final del informe.    </w:t>
      </w:r>
    </w:p>
    <w:p w:rsidR="0091084E" w:rsidRPr="0091084E" w:rsidRDefault="0091084E" w:rsidP="0091084E">
      <w:pPr>
        <w:ind w:left="547"/>
        <w:jc w:val="both"/>
        <w:rPr>
          <w:rFonts w:ascii="Cambria" w:hAnsi="Cambria"/>
          <w:sz w:val="20"/>
          <w:szCs w:val="20"/>
        </w:rPr>
      </w:pPr>
    </w:p>
    <w:p w:rsidR="006A0F4C" w:rsidRPr="0091084E" w:rsidRDefault="006A0F4C" w:rsidP="00225F6F">
      <w:pPr>
        <w:pStyle w:val="ListParagraph"/>
        <w:rPr>
          <w:rFonts w:ascii="Cambria" w:hAnsi="Cambria"/>
          <w:sz w:val="20"/>
          <w:szCs w:val="20"/>
        </w:rPr>
        <w:sectPr w:rsidR="006A0F4C" w:rsidRPr="0091084E" w:rsidSect="009171F5">
          <w:headerReference w:type="default" r:id="rId23"/>
          <w:footerReference w:type="default" r:id="rId24"/>
          <w:type w:val="oddPage"/>
          <w:pgSz w:w="10325" w:h="14573" w:code="13"/>
          <w:pgMar w:top="1152" w:right="1152" w:bottom="1152" w:left="1440" w:header="720" w:footer="720" w:gutter="0"/>
          <w:cols w:space="720"/>
          <w:docGrid w:linePitch="326"/>
        </w:sectPr>
      </w:pPr>
    </w:p>
    <w:p w:rsidR="00225F6F" w:rsidRPr="00F66705" w:rsidRDefault="006A0F4C" w:rsidP="008F7672">
      <w:pPr>
        <w:pStyle w:val="ListParagraph"/>
        <w:ind w:left="0"/>
        <w:jc w:val="center"/>
        <w:rPr>
          <w:rFonts w:ascii="Cambria" w:hAnsi="Cambria"/>
          <w:sz w:val="52"/>
          <w:szCs w:val="52"/>
        </w:rPr>
        <w:sectPr w:rsidR="00225F6F" w:rsidRPr="00F66705" w:rsidSect="00D5085F">
          <w:headerReference w:type="default" r:id="rId25"/>
          <w:footerReference w:type="default" r:id="rId26"/>
          <w:type w:val="oddPage"/>
          <w:pgSz w:w="10325" w:h="14573" w:code="13"/>
          <w:pgMar w:top="1152" w:right="1152" w:bottom="1152" w:left="1440" w:header="288" w:footer="288" w:gutter="0"/>
          <w:cols w:space="720"/>
          <w:vAlign w:val="center"/>
          <w:docGrid w:linePitch="326"/>
        </w:sectPr>
      </w:pPr>
      <w:r w:rsidRPr="009171F5">
        <w:rPr>
          <w:rFonts w:ascii="Cambria" w:hAnsi="Cambria"/>
          <w:color w:val="808080" w:themeColor="background1" w:themeShade="80"/>
          <w:spacing w:val="-10"/>
          <w:sz w:val="44"/>
          <w:szCs w:val="44"/>
        </w:rPr>
        <w:lastRenderedPageBreak/>
        <w:t>CAPÍTULO 2</w:t>
      </w:r>
      <w:r w:rsidRPr="009171F5">
        <w:rPr>
          <w:rFonts w:ascii="Cambria" w:hAnsi="Cambria"/>
          <w:color w:val="4A442A"/>
          <w:spacing w:val="-10"/>
          <w:sz w:val="44"/>
          <w:szCs w:val="44"/>
        </w:rPr>
        <w:br/>
      </w:r>
      <w:r w:rsidRPr="00DB24DC">
        <w:rPr>
          <w:rFonts w:ascii="Cambria" w:hAnsi="Cambria"/>
          <w:color w:val="4A442A" w:themeColor="background2" w:themeShade="40"/>
          <w:spacing w:val="-10"/>
          <w:w w:val="90"/>
          <w:sz w:val="52"/>
        </w:rPr>
        <w:t>EVOLUCIÓN DE LAS INICIATIVAS DE LA CIDH RELATIVAS A GUANTÁNAMO</w:t>
      </w:r>
    </w:p>
    <w:p w:rsidR="00AD56DA" w:rsidRDefault="00AD56DA" w:rsidP="009F61AC">
      <w:pPr>
        <w:pStyle w:val="Heading1"/>
        <w:ind w:left="0" w:firstLine="0"/>
        <w:rPr>
          <w:color w:val="4A442A"/>
        </w:rPr>
      </w:pPr>
      <w:bookmarkStart w:id="11" w:name="_Toc392951577"/>
      <w:bookmarkStart w:id="12" w:name="_Toc415750354"/>
    </w:p>
    <w:p w:rsidR="00AD56DA" w:rsidRDefault="00AD56DA" w:rsidP="009F61AC">
      <w:pPr>
        <w:pStyle w:val="Heading1"/>
        <w:ind w:left="0" w:firstLine="0"/>
        <w:rPr>
          <w:color w:val="4A442A"/>
        </w:rPr>
      </w:pPr>
    </w:p>
    <w:p w:rsidR="0017530B" w:rsidRPr="00FC2F1B" w:rsidRDefault="00613292" w:rsidP="009F61AC">
      <w:pPr>
        <w:pStyle w:val="Heading1"/>
        <w:ind w:left="0" w:firstLine="0"/>
        <w:rPr>
          <w:color w:val="4A442A"/>
        </w:rPr>
      </w:pPr>
      <w:bookmarkStart w:id="13" w:name="_Toc423072824"/>
      <w:r>
        <w:rPr>
          <w:color w:val="4A442A"/>
        </w:rPr>
        <w:t>E</w:t>
      </w:r>
      <w:bookmarkEnd w:id="11"/>
      <w:bookmarkEnd w:id="12"/>
      <w:r>
        <w:rPr>
          <w:color w:val="4A442A"/>
        </w:rPr>
        <w:t xml:space="preserve">VOLUCIÓN DE LAS INICIATIVAS DE LA CIDH </w:t>
      </w:r>
      <w:r>
        <w:rPr>
          <w:color w:val="4A442A"/>
        </w:rPr>
        <w:br/>
        <w:t>RELATIVAS A GUANTÁNAMO</w:t>
      </w:r>
      <w:bookmarkEnd w:id="13"/>
    </w:p>
    <w:p w:rsidR="0017530B" w:rsidRDefault="0017530B" w:rsidP="00225F6F">
      <w:pPr>
        <w:jc w:val="both"/>
        <w:rPr>
          <w:sz w:val="20"/>
          <w:szCs w:val="20"/>
        </w:rPr>
      </w:pPr>
    </w:p>
    <w:p w:rsidR="005D15C8" w:rsidRPr="00FC2F1B" w:rsidRDefault="005D15C8" w:rsidP="00225F6F">
      <w:pPr>
        <w:jc w:val="both"/>
        <w:rPr>
          <w:sz w:val="20"/>
          <w:szCs w:val="20"/>
        </w:rPr>
      </w:pPr>
    </w:p>
    <w:p w:rsidR="006A0F4C" w:rsidRPr="00FC2F1B" w:rsidRDefault="006A0F4C" w:rsidP="00225F6F">
      <w:pPr>
        <w:jc w:val="both"/>
        <w:rPr>
          <w:sz w:val="20"/>
          <w:szCs w:val="20"/>
        </w:rPr>
      </w:pPr>
    </w:p>
    <w:p w:rsidR="006A0F4C" w:rsidRPr="00FC2F1B" w:rsidRDefault="006A0F4C" w:rsidP="00225F6F">
      <w:pPr>
        <w:jc w:val="both"/>
        <w:rPr>
          <w:sz w:val="20"/>
          <w:szCs w:val="20"/>
        </w:rPr>
      </w:pPr>
    </w:p>
    <w:p w:rsidR="009F61AC" w:rsidRPr="00FC2F1B" w:rsidRDefault="009F61AC" w:rsidP="00D978EA">
      <w:pPr>
        <w:pStyle w:val="Heading2"/>
        <w:numPr>
          <w:ilvl w:val="0"/>
          <w:numId w:val="29"/>
        </w:numPr>
        <w:ind w:left="547" w:hanging="547"/>
        <w:jc w:val="left"/>
      </w:pPr>
      <w:bookmarkStart w:id="14" w:name="_Toc423072825"/>
      <w:r>
        <w:t>El mandato de la CIDH</w:t>
      </w:r>
      <w:bookmarkEnd w:id="14"/>
    </w:p>
    <w:p w:rsidR="009F61AC" w:rsidRPr="00FC2F1B" w:rsidRDefault="009F61AC" w:rsidP="009F61AC">
      <w:pPr>
        <w:pStyle w:val="ListParagraph"/>
        <w:rPr>
          <w:sz w:val="20"/>
          <w:szCs w:val="20"/>
        </w:rPr>
      </w:pPr>
    </w:p>
    <w:p w:rsidR="009F61AC" w:rsidRPr="00FC2F1B" w:rsidRDefault="009F61AC" w:rsidP="00724CD2">
      <w:pPr>
        <w:numPr>
          <w:ilvl w:val="0"/>
          <w:numId w:val="5"/>
        </w:numPr>
        <w:ind w:left="547" w:hanging="547"/>
        <w:jc w:val="both"/>
        <w:rPr>
          <w:rFonts w:ascii="Cambria" w:hAnsi="Cambria"/>
          <w:sz w:val="20"/>
          <w:szCs w:val="20"/>
        </w:rPr>
      </w:pPr>
      <w:r>
        <w:rPr>
          <w:rFonts w:ascii="Cambria" w:hAnsi="Cambria"/>
          <w:sz w:val="20"/>
        </w:rPr>
        <w:t>Estados Unidos ha sido miembro de la Organización de los Estados Americanos desde 1951, fecha de depósito de su instrumento de ratificación de la Carta de la OEA</w:t>
      </w:r>
      <w:r>
        <w:rPr>
          <w:rStyle w:val="FootnoteReference"/>
          <w:rFonts w:ascii="Cambria" w:hAnsi="Cambria"/>
          <w:sz w:val="20"/>
        </w:rPr>
        <w:footnoteReference w:id="4"/>
      </w:r>
      <w:r>
        <w:rPr>
          <w:rFonts w:ascii="Cambria" w:hAnsi="Cambria"/>
          <w:sz w:val="20"/>
        </w:rPr>
        <w:t xml:space="preserve">. Por lo tanto, Estados Unidos está sometido a las obligaciones derivadas de la Carta de la OEA, el artículo 20 del Estatuto de la CIDH, la Declaración Americana de Derechos y Deberes del Hombre, y el artículo 51 de su Reglamento. De </w:t>
      </w:r>
    </w:p>
    <w:p w:rsidR="009F61AC" w:rsidRPr="00FC2F1B" w:rsidRDefault="009F61AC" w:rsidP="009F61AC">
      <w:pPr>
        <w:ind w:left="720"/>
        <w:jc w:val="both"/>
        <w:rPr>
          <w:rFonts w:ascii="Cambria" w:hAnsi="Cambria"/>
          <w:sz w:val="20"/>
          <w:szCs w:val="20"/>
        </w:rPr>
      </w:pPr>
    </w:p>
    <w:p w:rsidR="009F61AC" w:rsidRPr="006425BA" w:rsidRDefault="009F61AC" w:rsidP="00724CD2">
      <w:pPr>
        <w:numPr>
          <w:ilvl w:val="0"/>
          <w:numId w:val="5"/>
        </w:numPr>
        <w:ind w:left="547" w:hanging="547"/>
        <w:jc w:val="both"/>
        <w:rPr>
          <w:rFonts w:ascii="Cambria" w:hAnsi="Cambria"/>
          <w:sz w:val="20"/>
          <w:szCs w:val="20"/>
        </w:rPr>
      </w:pPr>
      <w:r>
        <w:rPr>
          <w:rFonts w:ascii="Cambria" w:hAnsi="Cambria"/>
          <w:sz w:val="20"/>
        </w:rPr>
        <w:t xml:space="preserve">La Comisión ha tradicionalmente interpretado de forma amplia el alcance de las obligaciones establecidas en la Declaración Americana en el contexto de los sistemas universal e interamericano, a la luz de los desarrollos en el ámbito del derecho internacional de los derechos humanos desde que el instrumento se adoptó </w:t>
      </w:r>
      <w:r w:rsidRPr="006425BA">
        <w:rPr>
          <w:rFonts w:ascii="Cambria" w:hAnsi="Cambria"/>
          <w:sz w:val="20"/>
        </w:rPr>
        <w:t>inicialmente, y con debida consideración de otras normas del derecho internacional aplicables a los Estados Miembros</w:t>
      </w:r>
      <w:r w:rsidRPr="006425BA">
        <w:rPr>
          <w:rStyle w:val="FootnoteReference"/>
          <w:rFonts w:ascii="Cambria" w:hAnsi="Cambria"/>
          <w:sz w:val="20"/>
        </w:rPr>
        <w:footnoteReference w:id="5"/>
      </w:r>
      <w:r w:rsidRPr="006425BA">
        <w:rPr>
          <w:rFonts w:ascii="Cambria" w:hAnsi="Cambria"/>
          <w:sz w:val="20"/>
        </w:rPr>
        <w:t xml:space="preserve">.  </w:t>
      </w:r>
    </w:p>
    <w:p w:rsidR="009F61AC" w:rsidRPr="006425BA" w:rsidRDefault="009F61AC" w:rsidP="009F61AC">
      <w:pPr>
        <w:pStyle w:val="ListParagraph"/>
        <w:rPr>
          <w:sz w:val="20"/>
          <w:szCs w:val="20"/>
        </w:rPr>
      </w:pPr>
    </w:p>
    <w:p w:rsidR="009F61AC" w:rsidRPr="00FC2F1B" w:rsidRDefault="00A439A6" w:rsidP="00724CD2">
      <w:pPr>
        <w:numPr>
          <w:ilvl w:val="0"/>
          <w:numId w:val="5"/>
        </w:numPr>
        <w:ind w:left="547" w:hanging="547"/>
        <w:jc w:val="both"/>
        <w:rPr>
          <w:rFonts w:ascii="Cambria" w:hAnsi="Cambria"/>
          <w:sz w:val="20"/>
          <w:szCs w:val="20"/>
        </w:rPr>
      </w:pPr>
      <w:r w:rsidRPr="006425BA">
        <w:rPr>
          <w:rFonts w:ascii="Cambria" w:hAnsi="Cambria"/>
          <w:sz w:val="20"/>
        </w:rPr>
        <w:t xml:space="preserve">En su respuesta a este informe, el Gobierno de Estados Unidos sostiene que, </w:t>
      </w:r>
      <w:r w:rsidR="005D15C8" w:rsidRPr="006425BA">
        <w:rPr>
          <w:rFonts w:ascii="Cambria" w:hAnsi="Cambria"/>
          <w:sz w:val="20"/>
        </w:rPr>
        <w:t>si bien ha asumido</w:t>
      </w:r>
      <w:r w:rsidRPr="006425BA">
        <w:rPr>
          <w:rFonts w:ascii="Cambria" w:hAnsi="Cambria"/>
          <w:sz w:val="20"/>
        </w:rPr>
        <w:t xml:space="preserve"> el compromiso político de defender la Declaración Americana, este es un instrumento no vinculante que no crea derechos jurídicos ni impone obligaciones jurídicas a los Estados signatarios.</w:t>
      </w:r>
      <w:r w:rsidRPr="006425BA">
        <w:rPr>
          <w:rStyle w:val="FootnoteReference"/>
          <w:rFonts w:ascii="Cambria" w:hAnsi="Cambria"/>
          <w:sz w:val="20"/>
        </w:rPr>
        <w:footnoteReference w:id="6"/>
      </w:r>
      <w:r w:rsidRPr="006425BA">
        <w:rPr>
          <w:rFonts w:ascii="Cambria" w:hAnsi="Cambria"/>
          <w:sz w:val="20"/>
        </w:rPr>
        <w:t xml:space="preserve"> De conformidad con la jurisprudencia y práctica bien establecidas y de larga data del sistema interamericano, </w:t>
      </w:r>
      <w:r w:rsidR="002B26F9" w:rsidRPr="006425BA">
        <w:rPr>
          <w:rFonts w:ascii="Cambria" w:hAnsi="Cambria"/>
          <w:sz w:val="20"/>
        </w:rPr>
        <w:t>sin embargo</w:t>
      </w:r>
      <w:r w:rsidRPr="006425BA">
        <w:rPr>
          <w:rFonts w:ascii="Cambria" w:hAnsi="Cambria"/>
          <w:sz w:val="20"/>
        </w:rPr>
        <w:t>, la Declaración Americana es reconocida como fuente de obligaciones jurídicas para los Estados Miembros de la OEA, incluyendo particularmente aquellos Estados que no</w:t>
      </w:r>
      <w:r>
        <w:rPr>
          <w:rFonts w:ascii="Cambria" w:hAnsi="Cambria"/>
          <w:sz w:val="20"/>
        </w:rPr>
        <w:t xml:space="preserve"> son parte de la Convención Americana </w:t>
      </w:r>
      <w:r>
        <w:rPr>
          <w:rFonts w:ascii="Cambria" w:hAnsi="Cambria"/>
          <w:sz w:val="20"/>
        </w:rPr>
        <w:lastRenderedPageBreak/>
        <w:t>sobre Derechos Humanos</w:t>
      </w:r>
      <w:r>
        <w:rPr>
          <w:rStyle w:val="FootnoteReference"/>
          <w:rFonts w:ascii="Cambria" w:hAnsi="Cambria"/>
          <w:sz w:val="20"/>
        </w:rPr>
        <w:footnoteReference w:id="7"/>
      </w:r>
      <w:r>
        <w:rPr>
          <w:rFonts w:ascii="Cambria" w:hAnsi="Cambria"/>
          <w:sz w:val="20"/>
        </w:rPr>
        <w:t>. Se considera que estas obligaciones surgen de las obligaciones de derechos humanos de los Estados Miembros establecidas en la Carta de la OEA</w:t>
      </w:r>
      <w:r>
        <w:rPr>
          <w:rStyle w:val="FootnoteReference"/>
          <w:rFonts w:ascii="Cambria" w:hAnsi="Cambria"/>
          <w:sz w:val="20"/>
        </w:rPr>
        <w:footnoteReference w:id="8"/>
      </w:r>
      <w:r>
        <w:rPr>
          <w:rFonts w:ascii="Cambria" w:hAnsi="Cambria"/>
          <w:sz w:val="20"/>
        </w:rPr>
        <w:t>.  Los artículos 106 y 150 de la Carta autorizan a la Comisión Interamericana a proteger los derechos humanos enunciados y definidos en la Declaración Americana. Esta competencia se manifiesta de forma expresa en el artículo 1 del Estatuto de la Comisión, aprobado en 1979 por la Resolución No. 447</w:t>
      </w:r>
      <w:r>
        <w:rPr>
          <w:rStyle w:val="FootnoteReference"/>
          <w:rFonts w:ascii="Cambria" w:hAnsi="Cambria"/>
          <w:sz w:val="20"/>
        </w:rPr>
        <w:footnoteReference w:id="9"/>
      </w:r>
      <w:r>
        <w:rPr>
          <w:rFonts w:ascii="Cambria" w:hAnsi="Cambria"/>
          <w:sz w:val="20"/>
        </w:rPr>
        <w:t xml:space="preserve"> de la Asamblea General de la OEA. </w:t>
      </w:r>
    </w:p>
    <w:p w:rsidR="00F66705" w:rsidRPr="00FC2F1B" w:rsidRDefault="00F66705" w:rsidP="009F61AC">
      <w:pPr>
        <w:pStyle w:val="ListParagraph"/>
        <w:rPr>
          <w:sz w:val="20"/>
          <w:szCs w:val="20"/>
        </w:rPr>
      </w:pPr>
    </w:p>
    <w:p w:rsidR="009F61AC" w:rsidRPr="00FC2F1B" w:rsidRDefault="009F61AC" w:rsidP="00724CD2">
      <w:pPr>
        <w:numPr>
          <w:ilvl w:val="0"/>
          <w:numId w:val="5"/>
        </w:numPr>
        <w:ind w:left="547" w:hanging="547"/>
        <w:jc w:val="both"/>
        <w:rPr>
          <w:rFonts w:ascii="Cambria" w:hAnsi="Cambria"/>
          <w:sz w:val="20"/>
          <w:szCs w:val="20"/>
        </w:rPr>
      </w:pPr>
      <w:r>
        <w:rPr>
          <w:rFonts w:ascii="Cambria" w:hAnsi="Cambria"/>
          <w:sz w:val="20"/>
        </w:rPr>
        <w:t>Los Estados Miembros han acordado que el contenido de los principios generales de la Carta de la OEA se encuentra estipulado y definido por la Declaración Americana</w:t>
      </w:r>
      <w:r>
        <w:rPr>
          <w:rStyle w:val="FootnoteReference"/>
          <w:rFonts w:ascii="Cambria" w:hAnsi="Cambria"/>
          <w:sz w:val="20"/>
        </w:rPr>
        <w:footnoteReference w:id="10"/>
      </w:r>
      <w:r>
        <w:rPr>
          <w:rFonts w:ascii="Cambria" w:hAnsi="Cambria"/>
          <w:sz w:val="20"/>
        </w:rPr>
        <w:t>, así como también han convenido en el estatus de norma consuetudinaria de los derechos protegidos bajo muchas de las disposiciones básicas de la Declaración. De esta forma, en tanto fuente de derecho y de obligaciones legales, Estados Unidos debe hacer efectivos, dentro de su jurisdicción, los derechos establecidos en la Declaración Americana</w:t>
      </w:r>
      <w:r>
        <w:rPr>
          <w:rStyle w:val="FootnoteReference"/>
          <w:rFonts w:ascii="Cambria" w:hAnsi="Cambria"/>
          <w:sz w:val="20"/>
        </w:rPr>
        <w:footnoteReference w:id="11"/>
      </w:r>
      <w:r>
        <w:rPr>
          <w:rFonts w:ascii="Cambria" w:hAnsi="Cambria"/>
          <w:sz w:val="20"/>
        </w:rPr>
        <w:t xml:space="preserve">.  </w:t>
      </w:r>
    </w:p>
    <w:p w:rsidR="009F61AC" w:rsidRPr="00FC2F1B" w:rsidRDefault="009F61AC" w:rsidP="009F61AC">
      <w:pPr>
        <w:pStyle w:val="ListParagraph"/>
        <w:rPr>
          <w:sz w:val="20"/>
          <w:szCs w:val="20"/>
        </w:rPr>
      </w:pPr>
    </w:p>
    <w:p w:rsidR="009F61AC" w:rsidRPr="00FC2F1B" w:rsidRDefault="009F61AC" w:rsidP="00724CD2">
      <w:pPr>
        <w:numPr>
          <w:ilvl w:val="0"/>
          <w:numId w:val="5"/>
        </w:numPr>
        <w:ind w:left="547" w:hanging="547"/>
        <w:jc w:val="both"/>
        <w:rPr>
          <w:rFonts w:ascii="Cambria" w:hAnsi="Cambria"/>
          <w:sz w:val="20"/>
          <w:szCs w:val="20"/>
        </w:rPr>
      </w:pPr>
      <w:r>
        <w:rPr>
          <w:rFonts w:ascii="Cambria" w:hAnsi="Cambria"/>
          <w:sz w:val="20"/>
        </w:rPr>
        <w:t>Al respecto, de conformidad con el mandato otorgado por los Estados a la CIDH bajo el artículo 20 de su Estatuto, la Comisión tiene la facultad, en relación con los Estados Miembros que no son parte de la Convención Americana sobre Derechos Humanos, de examinar las peticiones que se le presenten, así como de realizar recomendaciones a los Estados para alcanzar la efectiva observancia de los derechos humanos fundamentales</w:t>
      </w:r>
      <w:r>
        <w:rPr>
          <w:rStyle w:val="FootnoteReference"/>
          <w:rFonts w:ascii="Cambria" w:hAnsi="Cambria"/>
          <w:sz w:val="20"/>
        </w:rPr>
        <w:footnoteReference w:id="12"/>
      </w:r>
      <w:r>
        <w:rPr>
          <w:rFonts w:ascii="Cambria" w:hAnsi="Cambria"/>
          <w:sz w:val="20"/>
        </w:rPr>
        <w:t>. Por tanto, en sus decisiones sobre casos individuales, la Comisión reiteradamente ha interpretado que la Declaración Americana requiere que los Estados adopten medidas para hacer efectivos los derechos establecidos en la Declaración Americana</w:t>
      </w:r>
      <w:r>
        <w:rPr>
          <w:rStyle w:val="FootnoteReference"/>
          <w:rFonts w:ascii="Cambria" w:hAnsi="Cambria"/>
          <w:sz w:val="20"/>
        </w:rPr>
        <w:footnoteReference w:id="13"/>
      </w:r>
      <w:r>
        <w:rPr>
          <w:rFonts w:ascii="Cambria" w:hAnsi="Cambria"/>
          <w:sz w:val="20"/>
        </w:rPr>
        <w:t>.</w:t>
      </w:r>
    </w:p>
    <w:p w:rsidR="009F61AC" w:rsidRPr="00FC2F1B" w:rsidRDefault="009F61AC" w:rsidP="009F61AC">
      <w:pPr>
        <w:pStyle w:val="ListParagraph"/>
        <w:rPr>
          <w:sz w:val="20"/>
          <w:szCs w:val="20"/>
        </w:rPr>
      </w:pPr>
    </w:p>
    <w:p w:rsidR="009F61AC" w:rsidRPr="00FC2F1B" w:rsidRDefault="009F61AC" w:rsidP="00724CD2">
      <w:pPr>
        <w:numPr>
          <w:ilvl w:val="0"/>
          <w:numId w:val="5"/>
        </w:numPr>
        <w:ind w:left="547" w:hanging="547"/>
        <w:jc w:val="both"/>
        <w:rPr>
          <w:rFonts w:ascii="Cambria" w:hAnsi="Cambria"/>
          <w:sz w:val="20"/>
          <w:szCs w:val="20"/>
        </w:rPr>
      </w:pPr>
      <w:r>
        <w:rPr>
          <w:rFonts w:ascii="Cambria" w:hAnsi="Cambria"/>
          <w:sz w:val="20"/>
        </w:rPr>
        <w:t xml:space="preserve">Más aún, dadas las obligaciones básicas de derechos humanos establecidas en la Carta de la OEA, así como el mandato de la Comisión de monitorear el cumplimiento de los Estados Miembros con las obligaciones relativas a derechos humanos establecidas también en la Carta, los Estados Miembros de la OEA deben cumplir de </w:t>
      </w:r>
      <w:r>
        <w:rPr>
          <w:rFonts w:ascii="Cambria" w:hAnsi="Cambria"/>
          <w:sz w:val="20"/>
        </w:rPr>
        <w:lastRenderedPageBreak/>
        <w:t xml:space="preserve">buena fe con las medidas cautelares de la Comisión y de manera general con sus recomendaciones. </w:t>
      </w:r>
    </w:p>
    <w:p w:rsidR="009F61AC" w:rsidRPr="00FC2F1B" w:rsidRDefault="009F61AC" w:rsidP="009F61AC">
      <w:pPr>
        <w:pStyle w:val="ListParagraph"/>
        <w:rPr>
          <w:sz w:val="20"/>
          <w:szCs w:val="20"/>
        </w:rPr>
      </w:pPr>
    </w:p>
    <w:p w:rsidR="009F61AC" w:rsidRPr="00FC2F1B" w:rsidRDefault="009F61AC" w:rsidP="00724CD2">
      <w:pPr>
        <w:numPr>
          <w:ilvl w:val="0"/>
          <w:numId w:val="5"/>
        </w:numPr>
        <w:ind w:left="547" w:hanging="547"/>
        <w:jc w:val="both"/>
        <w:rPr>
          <w:rFonts w:ascii="Cambria" w:hAnsi="Cambria"/>
          <w:sz w:val="20"/>
          <w:szCs w:val="20"/>
        </w:rPr>
      </w:pPr>
      <w:r>
        <w:rPr>
          <w:rFonts w:ascii="Cambria" w:hAnsi="Cambria"/>
          <w:sz w:val="20"/>
        </w:rPr>
        <w:t>En el marco de este mandato otorgado por los Estados, la Comisión Interamericana ha dado cercano monitoreo a la situación de derechos humanos de las personas detenidas en la Base Naval Estadounidense de la Bahía de Guantánamo desde la apertura del centro de detención el 11 de enero de 2002. De conformidad con los estándares interamericanos de derechos humanos, Estados Unidos no sólo tiene la obligación de respetar los derechos humanos de todas las personas en su territorio, sino también de todos aquellos que se encuentren en el territorio de otro Estado cuando estén sometidos al control y autoridad efectivos de sus agentes</w:t>
      </w:r>
      <w:r>
        <w:rPr>
          <w:rStyle w:val="FootnoteReference"/>
          <w:rFonts w:ascii="Cambria" w:hAnsi="Cambria"/>
          <w:sz w:val="20"/>
        </w:rPr>
        <w:footnoteReference w:id="14"/>
      </w:r>
      <w:r>
        <w:rPr>
          <w:rFonts w:ascii="Cambria" w:hAnsi="Cambria"/>
          <w:sz w:val="20"/>
        </w:rPr>
        <w:t xml:space="preserve">. Por lo tanto, la CIDH tiene la competencia de monitorear las obligaciones internacionales de derechos humanos de Estados Unidos respecto de las personas detenidas en Guantánamo. </w:t>
      </w:r>
    </w:p>
    <w:p w:rsidR="009F61AC" w:rsidRPr="00FC2F1B" w:rsidRDefault="009F61AC" w:rsidP="009F61AC">
      <w:pPr>
        <w:pStyle w:val="ListParagraph"/>
        <w:rPr>
          <w:sz w:val="20"/>
          <w:szCs w:val="20"/>
        </w:rPr>
      </w:pPr>
    </w:p>
    <w:p w:rsidR="009F61AC" w:rsidRPr="00FC2F1B" w:rsidRDefault="009F61AC" w:rsidP="00724CD2">
      <w:pPr>
        <w:numPr>
          <w:ilvl w:val="0"/>
          <w:numId w:val="5"/>
        </w:numPr>
        <w:ind w:left="547" w:hanging="547"/>
        <w:jc w:val="both"/>
        <w:rPr>
          <w:rFonts w:ascii="Cambria" w:hAnsi="Cambria"/>
          <w:sz w:val="20"/>
          <w:szCs w:val="20"/>
        </w:rPr>
      </w:pPr>
      <w:r>
        <w:rPr>
          <w:rFonts w:ascii="Cambria" w:hAnsi="Cambria"/>
          <w:sz w:val="20"/>
        </w:rPr>
        <w:t>La CIDH ha sido el único organismo internacional en hacer uso de todos sus mecanismos para abordar este asunto. Ha otorgado medidas cautelares, adoptado resoluciones, emitido un informe de admisibilidad en un caso individual, celebrado audiencias públicas y reuniones de trabajo, solicitado la anuencia del gobierno estadounidense para visitar el centro de detención y publicado comunicados de prensa</w:t>
      </w:r>
      <w:r>
        <w:rPr>
          <w:rStyle w:val="FootnoteReference"/>
          <w:rFonts w:ascii="Cambria" w:hAnsi="Cambria"/>
          <w:sz w:val="20"/>
        </w:rPr>
        <w:footnoteReference w:id="15"/>
      </w:r>
      <w:r>
        <w:rPr>
          <w:rFonts w:ascii="Cambria" w:hAnsi="Cambria"/>
          <w:sz w:val="20"/>
        </w:rPr>
        <w:t xml:space="preserve">. </w:t>
      </w:r>
      <w:bookmarkStart w:id="15" w:name="_Toc399929480"/>
      <w:bookmarkStart w:id="16" w:name="_Toc407981966"/>
    </w:p>
    <w:p w:rsidR="009F61AC" w:rsidRPr="002A4A9F" w:rsidRDefault="009F61AC" w:rsidP="0043424D">
      <w:pPr>
        <w:pStyle w:val="Heading2"/>
      </w:pPr>
      <w:bookmarkStart w:id="17" w:name="_Toc423072826"/>
      <w:r>
        <w:t>Medidas cautelares</w:t>
      </w:r>
      <w:bookmarkEnd w:id="17"/>
    </w:p>
    <w:bookmarkEnd w:id="15"/>
    <w:bookmarkEnd w:id="16"/>
    <w:p w:rsidR="009F61AC" w:rsidRPr="00FC2F1B" w:rsidRDefault="009F61AC" w:rsidP="009F61AC">
      <w:pPr>
        <w:pStyle w:val="ListParagraph"/>
        <w:rPr>
          <w:sz w:val="20"/>
          <w:szCs w:val="20"/>
        </w:rPr>
      </w:pPr>
    </w:p>
    <w:p w:rsidR="009F61AC" w:rsidRPr="006425BA" w:rsidRDefault="009F61AC" w:rsidP="00724CD2">
      <w:pPr>
        <w:numPr>
          <w:ilvl w:val="0"/>
          <w:numId w:val="5"/>
        </w:numPr>
        <w:ind w:left="547" w:hanging="547"/>
        <w:jc w:val="both"/>
        <w:rPr>
          <w:rFonts w:ascii="Cambria" w:hAnsi="Cambria"/>
          <w:sz w:val="20"/>
          <w:szCs w:val="20"/>
        </w:rPr>
      </w:pPr>
      <w:r>
        <w:rPr>
          <w:rFonts w:ascii="Cambria" w:hAnsi="Cambria"/>
          <w:sz w:val="20"/>
        </w:rPr>
        <w:t>En situaciones graves y urgentes, la Comisión Interamericana puede solicitar que un Estado adopte medidas cautelares para prevenir daños irreparables a las personas bajo su jurisdicción</w:t>
      </w:r>
      <w:r>
        <w:rPr>
          <w:rStyle w:val="FootnoteReference"/>
          <w:rFonts w:ascii="Cambria" w:hAnsi="Cambria"/>
          <w:sz w:val="20"/>
        </w:rPr>
        <w:footnoteReference w:id="16"/>
      </w:r>
      <w:r>
        <w:rPr>
          <w:rFonts w:ascii="Cambria" w:hAnsi="Cambria"/>
          <w:sz w:val="20"/>
        </w:rPr>
        <w:t xml:space="preserve">. Este ha sido uno de los principales mecanismos utilizados por la CIDH para responder a la situación de derechos humanos de las personas detenidas </w:t>
      </w:r>
      <w:r w:rsidRPr="006425BA">
        <w:rPr>
          <w:rFonts w:ascii="Cambria" w:hAnsi="Cambria"/>
          <w:sz w:val="20"/>
        </w:rPr>
        <w:t xml:space="preserve">en Guantánamo. </w:t>
      </w:r>
    </w:p>
    <w:p w:rsidR="009F61AC" w:rsidRPr="006425BA" w:rsidRDefault="009F61AC" w:rsidP="009F61AC">
      <w:pPr>
        <w:ind w:left="720"/>
        <w:jc w:val="both"/>
        <w:rPr>
          <w:rFonts w:ascii="Cambria" w:hAnsi="Cambria"/>
          <w:sz w:val="20"/>
          <w:szCs w:val="20"/>
        </w:rPr>
      </w:pPr>
    </w:p>
    <w:p w:rsidR="009F61AC" w:rsidRPr="006425BA" w:rsidRDefault="009F61AC" w:rsidP="00A439A6">
      <w:pPr>
        <w:numPr>
          <w:ilvl w:val="0"/>
          <w:numId w:val="5"/>
        </w:numPr>
        <w:ind w:left="547" w:hanging="547"/>
        <w:jc w:val="both"/>
        <w:rPr>
          <w:rFonts w:ascii="Cambria" w:hAnsi="Cambria"/>
          <w:sz w:val="20"/>
          <w:szCs w:val="20"/>
        </w:rPr>
      </w:pPr>
      <w:r w:rsidRPr="006425BA">
        <w:rPr>
          <w:rFonts w:ascii="Cambria" w:hAnsi="Cambria"/>
          <w:sz w:val="20"/>
        </w:rPr>
        <w:t xml:space="preserve">La Comisión Interamericana otorgó cuatro medidas cautelares a favor de personas detenidas en la Bahía de Guantánamo. La primera solicitud fue presentada en favor de todos los detenidos en Guantánamo en 2002 (MC 259-02). La Comisión más adelante recibió tres solicitudes adicionales de medidas cautelares presentadas a favor de tres detenidos, Omar </w:t>
      </w:r>
      <w:proofErr w:type="spellStart"/>
      <w:r w:rsidRPr="006425BA">
        <w:rPr>
          <w:rFonts w:ascii="Cambria" w:hAnsi="Cambria"/>
          <w:sz w:val="20"/>
        </w:rPr>
        <w:t>Khadr</w:t>
      </w:r>
      <w:proofErr w:type="spellEnd"/>
      <w:r w:rsidRPr="006425BA">
        <w:rPr>
          <w:rFonts w:ascii="Cambria" w:hAnsi="Cambria"/>
          <w:sz w:val="20"/>
        </w:rPr>
        <w:t xml:space="preserve"> en 2006 (MC 8-06), </w:t>
      </w:r>
      <w:proofErr w:type="spellStart"/>
      <w:r w:rsidRPr="006425BA">
        <w:rPr>
          <w:rFonts w:ascii="Cambria" w:hAnsi="Cambria"/>
          <w:sz w:val="20"/>
        </w:rPr>
        <w:t>Djamel</w:t>
      </w:r>
      <w:proofErr w:type="spellEnd"/>
      <w:r w:rsidRPr="006425BA">
        <w:rPr>
          <w:rFonts w:ascii="Cambria" w:hAnsi="Cambria"/>
          <w:sz w:val="20"/>
        </w:rPr>
        <w:t xml:space="preserve"> </w:t>
      </w:r>
      <w:proofErr w:type="spellStart"/>
      <w:r w:rsidRPr="006425BA">
        <w:rPr>
          <w:rFonts w:ascii="Cambria" w:hAnsi="Cambria"/>
          <w:sz w:val="20"/>
        </w:rPr>
        <w:t>Ameziane</w:t>
      </w:r>
      <w:proofErr w:type="spellEnd"/>
      <w:r w:rsidRPr="006425BA">
        <w:rPr>
          <w:rFonts w:ascii="Cambria" w:hAnsi="Cambria"/>
          <w:sz w:val="20"/>
        </w:rPr>
        <w:t xml:space="preserve"> en 2008 (MC 211-08) y </w:t>
      </w:r>
      <w:proofErr w:type="spellStart"/>
      <w:r w:rsidRPr="006425BA">
        <w:rPr>
          <w:rFonts w:ascii="Cambria" w:hAnsi="Cambria"/>
          <w:sz w:val="20"/>
        </w:rPr>
        <w:t>Moath</w:t>
      </w:r>
      <w:proofErr w:type="spellEnd"/>
      <w:r w:rsidRPr="006425BA">
        <w:rPr>
          <w:rFonts w:ascii="Cambria" w:hAnsi="Cambria"/>
          <w:sz w:val="20"/>
        </w:rPr>
        <w:t xml:space="preserve"> al-</w:t>
      </w:r>
      <w:proofErr w:type="spellStart"/>
      <w:r w:rsidRPr="006425BA">
        <w:rPr>
          <w:rFonts w:ascii="Cambria" w:hAnsi="Cambria"/>
          <w:sz w:val="20"/>
        </w:rPr>
        <w:t>Alwi</w:t>
      </w:r>
      <w:proofErr w:type="spellEnd"/>
      <w:r w:rsidRPr="006425BA">
        <w:rPr>
          <w:rFonts w:ascii="Cambria" w:hAnsi="Cambria"/>
          <w:sz w:val="20"/>
        </w:rPr>
        <w:t xml:space="preserve"> </w:t>
      </w:r>
      <w:r w:rsidR="009E5C8A" w:rsidRPr="006425BA">
        <w:rPr>
          <w:rFonts w:ascii="Cambria" w:hAnsi="Cambria"/>
          <w:sz w:val="20"/>
        </w:rPr>
        <w:t>en 2015</w:t>
      </w:r>
      <w:r w:rsidRPr="006425BA">
        <w:rPr>
          <w:rFonts w:ascii="Cambria" w:hAnsi="Cambria"/>
          <w:sz w:val="20"/>
        </w:rPr>
        <w:t>(MC 46-15).</w:t>
      </w:r>
    </w:p>
    <w:p w:rsidR="009F61AC" w:rsidRPr="00FC2F1B" w:rsidRDefault="009F61AC" w:rsidP="009F61AC">
      <w:pPr>
        <w:pStyle w:val="ListParagraph"/>
        <w:rPr>
          <w:b/>
          <w:sz w:val="20"/>
          <w:szCs w:val="20"/>
        </w:rPr>
      </w:pPr>
    </w:p>
    <w:p w:rsidR="009F61AC" w:rsidRPr="006E06AC" w:rsidRDefault="009F61AC" w:rsidP="006E06AC">
      <w:pPr>
        <w:rPr>
          <w:rFonts w:ascii="Cambria" w:hAnsi="Cambria"/>
          <w:i/>
          <w:sz w:val="22"/>
          <w:szCs w:val="22"/>
        </w:rPr>
      </w:pPr>
      <w:r w:rsidRPr="006E06AC">
        <w:rPr>
          <w:rFonts w:ascii="Cambria" w:hAnsi="Cambria"/>
          <w:i/>
          <w:sz w:val="22"/>
          <w:szCs w:val="22"/>
        </w:rPr>
        <w:lastRenderedPageBreak/>
        <w:t xml:space="preserve">Medida Cautelar 259/02 – Personas </w:t>
      </w:r>
      <w:proofErr w:type="gramStart"/>
      <w:r w:rsidRPr="006E06AC">
        <w:rPr>
          <w:rFonts w:ascii="Cambria" w:hAnsi="Cambria"/>
          <w:i/>
          <w:sz w:val="22"/>
          <w:szCs w:val="22"/>
        </w:rPr>
        <w:t>detenidas</w:t>
      </w:r>
      <w:proofErr w:type="gramEnd"/>
      <w:r w:rsidRPr="006E06AC">
        <w:rPr>
          <w:rFonts w:ascii="Cambria" w:hAnsi="Cambria"/>
          <w:i/>
          <w:sz w:val="22"/>
          <w:szCs w:val="22"/>
        </w:rPr>
        <w:t xml:space="preserve"> por los Estados Unidos en la Bahía de Guantánamo</w:t>
      </w:r>
    </w:p>
    <w:p w:rsidR="009F61AC" w:rsidRPr="00FC2F1B" w:rsidRDefault="009F61AC" w:rsidP="009F61AC">
      <w:pPr>
        <w:pStyle w:val="ListParagraph"/>
        <w:ind w:left="0"/>
        <w:rPr>
          <w:sz w:val="20"/>
          <w:szCs w:val="20"/>
        </w:rPr>
      </w:pPr>
    </w:p>
    <w:p w:rsidR="009F61AC" w:rsidRPr="00FC2F1B" w:rsidRDefault="009F61AC" w:rsidP="00724CD2">
      <w:pPr>
        <w:numPr>
          <w:ilvl w:val="0"/>
          <w:numId w:val="5"/>
        </w:numPr>
        <w:ind w:left="547" w:hanging="547"/>
        <w:jc w:val="both"/>
        <w:rPr>
          <w:rFonts w:ascii="Cambria" w:hAnsi="Cambria"/>
          <w:sz w:val="20"/>
          <w:szCs w:val="20"/>
        </w:rPr>
      </w:pPr>
      <w:r>
        <w:rPr>
          <w:rFonts w:ascii="Cambria" w:hAnsi="Cambria"/>
          <w:sz w:val="20"/>
        </w:rPr>
        <w:t>El ámbito de esta medida cautelar ha evolucionado a través de tres etapas distintas. Inicialmente, la CIDH se enfocó exclusivamente en la situación jurídica de los detenidos, requiriendo que el gobierno proporcione una definición del estatus de cada persona detenida. En una segunda etapa, la Comisión solicitó que Estados Unidos investigue y sancione todos los casos de tortura y otros malos tratos. Finalmente, dado el incumplimiento del Estado con las medidas cautelares, la CIDH solicitó, entre otras medidas, que el centro de detención sea inmediatamente cerrado.</w:t>
      </w:r>
    </w:p>
    <w:p w:rsidR="009F61AC" w:rsidRPr="00FC2F1B" w:rsidRDefault="009F61AC" w:rsidP="009F61AC">
      <w:pPr>
        <w:ind w:left="720"/>
        <w:jc w:val="both"/>
        <w:rPr>
          <w:rFonts w:ascii="Cambria" w:hAnsi="Cambria"/>
          <w:sz w:val="20"/>
          <w:szCs w:val="20"/>
        </w:rPr>
      </w:pPr>
    </w:p>
    <w:p w:rsidR="009F61AC" w:rsidRPr="00FC2F1B" w:rsidRDefault="009F61AC" w:rsidP="00724CD2">
      <w:pPr>
        <w:numPr>
          <w:ilvl w:val="0"/>
          <w:numId w:val="5"/>
        </w:numPr>
        <w:ind w:left="547" w:hanging="547"/>
        <w:jc w:val="both"/>
        <w:rPr>
          <w:rFonts w:ascii="Cambria" w:hAnsi="Cambria"/>
          <w:sz w:val="20"/>
          <w:szCs w:val="20"/>
        </w:rPr>
      </w:pPr>
      <w:r>
        <w:rPr>
          <w:rFonts w:ascii="Cambria" w:hAnsi="Cambria"/>
          <w:sz w:val="20"/>
        </w:rPr>
        <w:t>El 25 de febrero de 2002, la CIDH recibió una solicitud de medidas cautelares a favor de los 254 detenidos que se encontraban en ese momento en Guantánamo. La solicitud señalaba que dichos detenidos fueron trasportados por Estados Unidos a la Bahía de Guantánamo el 11 de enero de 2002 o a partir de esa fecha, con posterioridad a su captura en Afganistán relacionada con la operación militar liderada por Estados Unidos contra el entonces régimen Talibán en ese país, así como en contra de Al Qaeda. La solicitud señalaba que los detenidos de la Bahía de Guantánamo se encontraban en riesgo de daño irreparable puesto que Estados Unidos se negaba a tratarlos como prisioneros de guerra hasta que un tribunal competente determinara lo contrario en virtud del Terce</w:t>
      </w:r>
      <w:r w:rsidR="00D5085F">
        <w:rPr>
          <w:rFonts w:ascii="Cambria" w:hAnsi="Cambria"/>
          <w:sz w:val="20"/>
        </w:rPr>
        <w:t xml:space="preserve">r Convenio de Ginebra de 1949. </w:t>
      </w:r>
      <w:r>
        <w:rPr>
          <w:rFonts w:ascii="Cambria" w:hAnsi="Cambria"/>
          <w:sz w:val="20"/>
        </w:rPr>
        <w:t xml:space="preserve"> La solicitud alegaba también que los detenidos se encontraban privados de su libertad de forma arbitraria, incomunicados y por un período prolongado, y que además habían sido interrogados sin acceso a un abogado. Asimismo, de conformidad con la solicitud, ciertos detenidos se encontraban en riesgo de ser procesados y condenados a pena de muerte ante comisiones militares que incumplían los principios establecidos en el derecho internacional. </w:t>
      </w:r>
    </w:p>
    <w:p w:rsidR="009F61AC" w:rsidRPr="00FC2F1B" w:rsidRDefault="009F61AC" w:rsidP="009F61AC">
      <w:pPr>
        <w:ind w:left="720"/>
        <w:jc w:val="both"/>
        <w:rPr>
          <w:rFonts w:ascii="Cambria" w:hAnsi="Cambria"/>
          <w:sz w:val="20"/>
          <w:szCs w:val="20"/>
        </w:rPr>
      </w:pPr>
    </w:p>
    <w:p w:rsidR="009F61AC" w:rsidRPr="00FC2F1B" w:rsidRDefault="009F61AC" w:rsidP="00724CD2">
      <w:pPr>
        <w:numPr>
          <w:ilvl w:val="0"/>
          <w:numId w:val="5"/>
        </w:numPr>
        <w:ind w:left="547" w:hanging="547"/>
        <w:jc w:val="both"/>
        <w:rPr>
          <w:rFonts w:ascii="Cambria" w:hAnsi="Cambria"/>
          <w:sz w:val="20"/>
          <w:szCs w:val="20"/>
        </w:rPr>
      </w:pPr>
      <w:r>
        <w:rPr>
          <w:rFonts w:ascii="Cambria" w:hAnsi="Cambria"/>
          <w:sz w:val="20"/>
        </w:rPr>
        <w:t>El 12 de marzo de 2002, la CIDH otorgó medidas cautelares solicitando que Estados Unidos adopte “las medidas urgentes necesarias para que un tribunal competente determinara la situación jurídica de los detenidos de la Bahía de Guantánamo”</w:t>
      </w:r>
      <w:r>
        <w:rPr>
          <w:rStyle w:val="FootnoteReference"/>
          <w:rFonts w:ascii="Cambria" w:hAnsi="Cambria"/>
          <w:sz w:val="20"/>
        </w:rPr>
        <w:footnoteReference w:id="17"/>
      </w:r>
      <w:r>
        <w:rPr>
          <w:rFonts w:ascii="Cambria" w:hAnsi="Cambria"/>
          <w:sz w:val="20"/>
        </w:rPr>
        <w:t xml:space="preserve">. La Comisión consideró que, en ausencia de esta determinación, los derechos fundamentales e inderogables de los detenidos podían no ser reconocidos y garantizados por Estados Unidos. Como se señaló anteriormente, en el curso del monitoreo de estas medidas, la Comisión Interamericana amplió el alcance de las medidas cautelares en dos ocasiones posteriores. </w:t>
      </w:r>
    </w:p>
    <w:p w:rsidR="009F61AC" w:rsidRPr="00FC2F1B" w:rsidRDefault="009F61AC" w:rsidP="009F61AC">
      <w:pPr>
        <w:pStyle w:val="ListParagraph"/>
        <w:rPr>
          <w:sz w:val="20"/>
          <w:szCs w:val="20"/>
        </w:rPr>
      </w:pPr>
    </w:p>
    <w:p w:rsidR="009F61AC" w:rsidRPr="00FC2F1B" w:rsidRDefault="009F61AC" w:rsidP="00724CD2">
      <w:pPr>
        <w:numPr>
          <w:ilvl w:val="0"/>
          <w:numId w:val="5"/>
        </w:numPr>
        <w:ind w:left="547" w:hanging="547"/>
        <w:jc w:val="both"/>
        <w:rPr>
          <w:rFonts w:ascii="Cambria" w:hAnsi="Cambria"/>
          <w:sz w:val="20"/>
          <w:szCs w:val="20"/>
        </w:rPr>
      </w:pPr>
      <w:r>
        <w:rPr>
          <w:rFonts w:ascii="Cambria" w:hAnsi="Cambria"/>
          <w:sz w:val="20"/>
        </w:rPr>
        <w:t xml:space="preserve">El 28 de octubre de 2005, la CIDH requirió que Estados Unidos investigue de manera exhaustiva e imparcial, procese y sancione todas las instancias de tortura y otros malos tratos que hubieran sido perpetrados contra los detenidos en la Bahía de Guantánamo. Asimismo, solicitó que Estados Unidos respete plenamente el principio de </w:t>
      </w:r>
      <w:r>
        <w:rPr>
          <w:rFonts w:ascii="Cambria" w:hAnsi="Cambria"/>
          <w:i/>
          <w:sz w:val="20"/>
        </w:rPr>
        <w:t>non-</w:t>
      </w:r>
      <w:proofErr w:type="spellStart"/>
      <w:r>
        <w:rPr>
          <w:rFonts w:ascii="Cambria" w:hAnsi="Cambria"/>
          <w:i/>
          <w:sz w:val="20"/>
        </w:rPr>
        <w:t>refoulement</w:t>
      </w:r>
      <w:proofErr w:type="spellEnd"/>
      <w:r>
        <w:rPr>
          <w:rFonts w:ascii="Cambria" w:hAnsi="Cambria"/>
          <w:i/>
          <w:sz w:val="20"/>
        </w:rPr>
        <w:t xml:space="preserve">, </w:t>
      </w:r>
      <w:r>
        <w:rPr>
          <w:rFonts w:ascii="Cambria" w:hAnsi="Cambria"/>
          <w:sz w:val="20"/>
        </w:rPr>
        <w:t xml:space="preserve">que prohíbe el traslado y la deportación de individuos a países en los que puedan correr el riesgo de ser torturados, señalando que las garantías diplomáticas no podían ser utilizadas para evadir esta obligación. </w:t>
      </w:r>
    </w:p>
    <w:p w:rsidR="009F61AC" w:rsidRPr="00FC2F1B" w:rsidRDefault="009F61AC" w:rsidP="009F61AC">
      <w:pPr>
        <w:pStyle w:val="ListParagraph"/>
        <w:rPr>
          <w:sz w:val="20"/>
          <w:szCs w:val="20"/>
        </w:rPr>
      </w:pPr>
    </w:p>
    <w:p w:rsidR="009F61AC" w:rsidRPr="00FC2F1B" w:rsidRDefault="009F61AC" w:rsidP="00724CD2">
      <w:pPr>
        <w:numPr>
          <w:ilvl w:val="0"/>
          <w:numId w:val="5"/>
        </w:numPr>
        <w:ind w:left="547" w:hanging="547"/>
        <w:jc w:val="both"/>
        <w:rPr>
          <w:rFonts w:ascii="Cambria" w:hAnsi="Cambria"/>
          <w:sz w:val="20"/>
          <w:szCs w:val="20"/>
        </w:rPr>
      </w:pPr>
      <w:r>
        <w:rPr>
          <w:rFonts w:ascii="Cambria" w:hAnsi="Cambria"/>
          <w:sz w:val="20"/>
        </w:rPr>
        <w:lastRenderedPageBreak/>
        <w:t xml:space="preserve">Con posterioridad a la huelga de hambre iniciada en febrero de 2012 por varios detenidos para protestar por su situación de detención indefinida, y tomando en cuenta las alegaciones de abusos y malos tratos generalizados así como la falta de implementación por parte de Estados Unidos de las medidas cautelares, el 23 de julio de 2013 la Comisión Interamericana decidió ampliar nuevamente, esta vez de oficio, el alcance de las medidas. La CIDH solicitó que el gobierno de Estados Unidos proceda con el cierre inmediato del centro de detención; transfiera a los detenidos a sus países de origen o a un tercer país respetando el principio de </w:t>
      </w:r>
      <w:r>
        <w:rPr>
          <w:rFonts w:ascii="Cambria" w:hAnsi="Cambria"/>
          <w:i/>
          <w:sz w:val="20"/>
        </w:rPr>
        <w:t>non-</w:t>
      </w:r>
      <w:proofErr w:type="spellStart"/>
      <w:r>
        <w:rPr>
          <w:rFonts w:ascii="Cambria" w:hAnsi="Cambria"/>
          <w:i/>
          <w:sz w:val="20"/>
        </w:rPr>
        <w:t>refoulement</w:t>
      </w:r>
      <w:proofErr w:type="spellEnd"/>
      <w:r>
        <w:rPr>
          <w:rFonts w:ascii="Cambria" w:hAnsi="Cambria"/>
          <w:sz w:val="20"/>
        </w:rPr>
        <w:t xml:space="preserve">; expedite la liberación de los detenidos cuyo traslado ya había sido autorizado; aloje a los detenidos sometidos a juicio bajo condiciones adecuadas y les garantice los derechos al debido proceso aplicables. </w:t>
      </w:r>
    </w:p>
    <w:p w:rsidR="00AD56DA" w:rsidRPr="005E6786" w:rsidRDefault="00AD56DA">
      <w:pPr>
        <w:rPr>
          <w:rFonts w:ascii="Cambria" w:hAnsi="Cambria"/>
          <w:i/>
          <w:sz w:val="20"/>
        </w:rPr>
      </w:pPr>
    </w:p>
    <w:p w:rsidR="009F61AC" w:rsidRPr="00DB24DC" w:rsidRDefault="009F61AC" w:rsidP="006E06AC">
      <w:pPr>
        <w:ind w:left="547" w:hanging="547"/>
        <w:jc w:val="both"/>
        <w:rPr>
          <w:rFonts w:ascii="Cambria" w:hAnsi="Cambria"/>
          <w:i/>
          <w:sz w:val="22"/>
          <w:szCs w:val="22"/>
          <w:lang w:val="pt-BR"/>
        </w:rPr>
      </w:pPr>
      <w:r w:rsidRPr="00DB24DC">
        <w:rPr>
          <w:rFonts w:ascii="Cambria" w:hAnsi="Cambria"/>
          <w:i/>
          <w:sz w:val="22"/>
          <w:szCs w:val="22"/>
          <w:lang w:val="pt-BR"/>
        </w:rPr>
        <w:t>Medida Cautelar 8/06 – Omar Khadr, Estados Unidos</w:t>
      </w:r>
    </w:p>
    <w:p w:rsidR="009F61AC" w:rsidRPr="00237789" w:rsidRDefault="009F61AC" w:rsidP="009F61AC">
      <w:pPr>
        <w:pStyle w:val="ListParagraph"/>
        <w:rPr>
          <w:sz w:val="20"/>
          <w:szCs w:val="20"/>
          <w:lang w:val="pt-BR"/>
        </w:rPr>
      </w:pPr>
    </w:p>
    <w:p w:rsidR="009F61AC" w:rsidRPr="00FC2F1B" w:rsidRDefault="009F61AC" w:rsidP="00724CD2">
      <w:pPr>
        <w:numPr>
          <w:ilvl w:val="0"/>
          <w:numId w:val="5"/>
        </w:numPr>
        <w:ind w:left="547" w:hanging="547"/>
        <w:jc w:val="both"/>
        <w:rPr>
          <w:rFonts w:ascii="Cambria" w:hAnsi="Cambria"/>
          <w:sz w:val="20"/>
          <w:szCs w:val="20"/>
        </w:rPr>
      </w:pPr>
      <w:r>
        <w:rPr>
          <w:rFonts w:ascii="Cambria" w:hAnsi="Cambria"/>
          <w:sz w:val="20"/>
        </w:rPr>
        <w:t xml:space="preserve">El 17 de enero de 2006, la CIDH recibió una solicitud de medidas cautelares a favor de Omar </w:t>
      </w:r>
      <w:proofErr w:type="spellStart"/>
      <w:r>
        <w:rPr>
          <w:rFonts w:ascii="Cambria" w:hAnsi="Cambria"/>
          <w:sz w:val="20"/>
        </w:rPr>
        <w:t>Khadr</w:t>
      </w:r>
      <w:proofErr w:type="spellEnd"/>
      <w:r>
        <w:rPr>
          <w:rFonts w:ascii="Cambria" w:hAnsi="Cambria"/>
          <w:sz w:val="20"/>
        </w:rPr>
        <w:t>, ciudadano canadiense de 19 años detenido en Guantánamo</w:t>
      </w:r>
      <w:r>
        <w:rPr>
          <w:rStyle w:val="FootnoteReference"/>
          <w:rFonts w:ascii="Cambria" w:hAnsi="Cambria"/>
          <w:sz w:val="20"/>
        </w:rPr>
        <w:footnoteReference w:id="18"/>
      </w:r>
      <w:r>
        <w:rPr>
          <w:rFonts w:ascii="Cambria" w:hAnsi="Cambria"/>
          <w:sz w:val="20"/>
        </w:rPr>
        <w:t xml:space="preserve">. Según la información recibida en el marco de una audiencia celebrada el 13 de marzo de 2006, durante el 124° período ordinario de sesiones de la CIDH, </w:t>
      </w:r>
      <w:proofErr w:type="spellStart"/>
      <w:r>
        <w:rPr>
          <w:rFonts w:ascii="Cambria" w:hAnsi="Cambria"/>
          <w:sz w:val="20"/>
        </w:rPr>
        <w:t>Khadr</w:t>
      </w:r>
      <w:proofErr w:type="spellEnd"/>
      <w:r>
        <w:rPr>
          <w:rFonts w:ascii="Cambria" w:hAnsi="Cambria"/>
          <w:sz w:val="20"/>
        </w:rPr>
        <w:t xml:space="preserve"> estaba siendo procesado por una comisión militar en Guantánamo por un crimen presuntamente cometido en Afganistán, cuando tenía 15 años de edad. Durante su detención e interrogatorio por personal militar se le habría negado atención médica; habría permanecido esposado de pies y manos por períodos prolongados y mantenido en una celda con perros feroces; habría recibido amenazas de abuso sexual; y su cabeza habría sido cubierta con una bolsa de plástico. Los peticionarios alegaron que las declaraciones obtenidas bajo esas circunstancias podrían llegar a ser admitidas como prueba y utilizadas en su contra. Durante la audiencia, el Estado señaló que el tribunal militar puede admitir toda evidencia razonable sin clarificar si las declaraciones obtenidas bajo tortura o tratos crueles, inhumanos o degradantes pueden ser utilizadas en el proceso. </w:t>
      </w:r>
    </w:p>
    <w:p w:rsidR="009F61AC" w:rsidRPr="00FC2F1B" w:rsidRDefault="009F61AC" w:rsidP="009F61AC">
      <w:pPr>
        <w:ind w:left="720"/>
        <w:jc w:val="both"/>
        <w:rPr>
          <w:rFonts w:ascii="Cambria" w:hAnsi="Cambria"/>
          <w:sz w:val="20"/>
          <w:szCs w:val="20"/>
        </w:rPr>
      </w:pPr>
    </w:p>
    <w:p w:rsidR="009F61AC" w:rsidRPr="00FC2F1B" w:rsidRDefault="009F61AC" w:rsidP="00724CD2">
      <w:pPr>
        <w:numPr>
          <w:ilvl w:val="0"/>
          <w:numId w:val="5"/>
        </w:numPr>
        <w:ind w:left="547" w:hanging="547"/>
        <w:jc w:val="both"/>
        <w:rPr>
          <w:rFonts w:ascii="Cambria" w:hAnsi="Cambria"/>
          <w:sz w:val="20"/>
          <w:szCs w:val="20"/>
        </w:rPr>
      </w:pPr>
      <w:r>
        <w:rPr>
          <w:rFonts w:ascii="Cambria" w:hAnsi="Cambria"/>
          <w:sz w:val="20"/>
        </w:rPr>
        <w:t xml:space="preserve">El 21 de marzo de 2006, la CIDH otorgó medidas cautelares a favor de Omar </w:t>
      </w:r>
      <w:proofErr w:type="spellStart"/>
      <w:r>
        <w:rPr>
          <w:rFonts w:ascii="Cambria" w:hAnsi="Cambria"/>
          <w:sz w:val="20"/>
        </w:rPr>
        <w:t>Khadr</w:t>
      </w:r>
      <w:proofErr w:type="spellEnd"/>
      <w:r>
        <w:rPr>
          <w:rFonts w:ascii="Cambria" w:hAnsi="Cambria"/>
          <w:sz w:val="20"/>
        </w:rPr>
        <w:t>. La Comisión solicitó al Estado,</w:t>
      </w:r>
      <w:r>
        <w:rPr>
          <w:rFonts w:ascii="Cambria" w:hAnsi="Cambria"/>
          <w:i/>
          <w:sz w:val="20"/>
        </w:rPr>
        <w:t xml:space="preserve"> inter </w:t>
      </w:r>
      <w:proofErr w:type="spellStart"/>
      <w:r>
        <w:rPr>
          <w:rFonts w:ascii="Cambria" w:hAnsi="Cambria"/>
          <w:i/>
          <w:sz w:val="20"/>
        </w:rPr>
        <w:t>alia</w:t>
      </w:r>
      <w:proofErr w:type="spellEnd"/>
      <w:r>
        <w:rPr>
          <w:rFonts w:ascii="Cambria" w:hAnsi="Cambria"/>
          <w:sz w:val="20"/>
        </w:rPr>
        <w:t>, que adopte las medidas necesarias para garantizar que el beneficiario no sea sometido a torturas o tratos crueles inhumanos o degradantes y proteger su derecho a la integridad física, mental y moral, incluyendo medidas para prevenir que permanezca incomunicado de manera prolongada o sea sometido a formas de interrogación que violen los estándares internacionales de trato humano. La CIDH también solicitó al Estado respetar la prohibición de utilización de cualquier declaración obtenida bajo tortura o trato cruel inhumano o degradante contra el declarante, e investigar y juzgar a los responsables de los hechos, incluyendo aquellos implicados en virtud de la doctrina de la “responsabilidad de mando”.</w:t>
      </w:r>
    </w:p>
    <w:p w:rsidR="009F61AC" w:rsidRPr="00FC2F1B" w:rsidRDefault="009F61AC" w:rsidP="009F61AC">
      <w:pPr>
        <w:pStyle w:val="ListParagraph"/>
        <w:rPr>
          <w:sz w:val="20"/>
          <w:szCs w:val="20"/>
        </w:rPr>
      </w:pPr>
    </w:p>
    <w:p w:rsidR="009F61AC" w:rsidRPr="00FC2F1B" w:rsidRDefault="009F61AC" w:rsidP="00724CD2">
      <w:pPr>
        <w:numPr>
          <w:ilvl w:val="0"/>
          <w:numId w:val="5"/>
        </w:numPr>
        <w:ind w:left="547" w:hanging="547"/>
        <w:jc w:val="both"/>
        <w:rPr>
          <w:rFonts w:ascii="Cambria" w:hAnsi="Cambria"/>
          <w:sz w:val="20"/>
          <w:szCs w:val="20"/>
        </w:rPr>
      </w:pPr>
      <w:r>
        <w:rPr>
          <w:rFonts w:ascii="Cambria" w:hAnsi="Cambria"/>
          <w:sz w:val="20"/>
        </w:rPr>
        <w:t xml:space="preserve">En octubre de 2010, el señor </w:t>
      </w:r>
      <w:proofErr w:type="spellStart"/>
      <w:r>
        <w:rPr>
          <w:rFonts w:ascii="Cambria" w:hAnsi="Cambria"/>
          <w:sz w:val="20"/>
        </w:rPr>
        <w:t>Khadr</w:t>
      </w:r>
      <w:proofErr w:type="spellEnd"/>
      <w:r>
        <w:rPr>
          <w:rFonts w:ascii="Cambria" w:hAnsi="Cambria"/>
          <w:sz w:val="20"/>
        </w:rPr>
        <w:t xml:space="preserve"> se declaró culpable de cinco crímenes de guerra y acordó una pena de ocho años, sin crédito por el tiempo ya cumplido, con el primer año bajo custodia de Estados Unidos. A cambio de este acuerdo, se le prometió que sería transferido a Canadá para cumplir el resto de su condena. El </w:t>
      </w:r>
      <w:r>
        <w:rPr>
          <w:rFonts w:ascii="Cambria" w:hAnsi="Cambria"/>
          <w:sz w:val="20"/>
        </w:rPr>
        <w:lastRenderedPageBreak/>
        <w:t xml:space="preserve">señor </w:t>
      </w:r>
      <w:proofErr w:type="spellStart"/>
      <w:r>
        <w:rPr>
          <w:rFonts w:ascii="Cambria" w:hAnsi="Cambria"/>
          <w:sz w:val="20"/>
        </w:rPr>
        <w:t>Khadr</w:t>
      </w:r>
      <w:proofErr w:type="spellEnd"/>
      <w:r>
        <w:rPr>
          <w:rFonts w:ascii="Cambria" w:hAnsi="Cambria"/>
          <w:sz w:val="20"/>
        </w:rPr>
        <w:t xml:space="preserve"> fue finalmente transferido a un centro de máxima seguridad en Edmonton, Alberta, Canadá, en septiembre de 2012</w:t>
      </w:r>
      <w:r>
        <w:rPr>
          <w:rStyle w:val="FootnoteReference"/>
          <w:rFonts w:ascii="Cambria" w:hAnsi="Cambria"/>
          <w:sz w:val="20"/>
        </w:rPr>
        <w:footnoteReference w:id="19"/>
      </w:r>
      <w:r>
        <w:rPr>
          <w:rFonts w:ascii="Cambria" w:hAnsi="Cambria"/>
          <w:sz w:val="20"/>
        </w:rPr>
        <w:t>. En febrero de 2014 se lo trasladó a una prisión de seguridad media en la misma provincia</w:t>
      </w:r>
      <w:r>
        <w:rPr>
          <w:rStyle w:val="FootnoteReference"/>
          <w:rFonts w:ascii="Cambria" w:hAnsi="Cambria"/>
          <w:sz w:val="20"/>
        </w:rPr>
        <w:footnoteReference w:id="20"/>
      </w:r>
      <w:r>
        <w:rPr>
          <w:rFonts w:ascii="Cambria" w:hAnsi="Cambria"/>
          <w:sz w:val="20"/>
        </w:rPr>
        <w:t xml:space="preserve">. A la luz de estas circunstancias, el 30 de julio de 2013, la Comisión Interamericana levantó las medidas cautelares otorgadas a favor de Omar </w:t>
      </w:r>
      <w:proofErr w:type="spellStart"/>
      <w:r>
        <w:rPr>
          <w:rFonts w:ascii="Cambria" w:hAnsi="Cambria"/>
          <w:sz w:val="20"/>
        </w:rPr>
        <w:t>Khadr</w:t>
      </w:r>
      <w:proofErr w:type="spellEnd"/>
      <w:r>
        <w:rPr>
          <w:rFonts w:ascii="Cambria" w:hAnsi="Cambria"/>
          <w:sz w:val="20"/>
        </w:rPr>
        <w:t>, de conformidad con el artículo 25(6) del Reglamento vigente en ese momento</w:t>
      </w:r>
      <w:r>
        <w:rPr>
          <w:rStyle w:val="FootnoteReference"/>
          <w:rFonts w:ascii="Cambria" w:hAnsi="Cambria"/>
          <w:sz w:val="20"/>
        </w:rPr>
        <w:footnoteReference w:id="21"/>
      </w:r>
      <w:r>
        <w:rPr>
          <w:rFonts w:ascii="Cambria" w:hAnsi="Cambria"/>
          <w:sz w:val="20"/>
        </w:rPr>
        <w:t xml:space="preserve">.   </w:t>
      </w:r>
    </w:p>
    <w:p w:rsidR="009F61AC" w:rsidRDefault="009F61AC" w:rsidP="009F61AC">
      <w:pPr>
        <w:pStyle w:val="ListParagraph"/>
        <w:rPr>
          <w:b/>
          <w:sz w:val="20"/>
          <w:szCs w:val="20"/>
        </w:rPr>
      </w:pPr>
    </w:p>
    <w:p w:rsidR="009F61AC" w:rsidRPr="00DB24DC" w:rsidRDefault="009F61AC" w:rsidP="006E06AC">
      <w:pPr>
        <w:ind w:left="547" w:hanging="547"/>
        <w:jc w:val="both"/>
        <w:rPr>
          <w:rFonts w:ascii="Cambria" w:hAnsi="Cambria"/>
          <w:i/>
          <w:sz w:val="22"/>
          <w:szCs w:val="22"/>
        </w:rPr>
      </w:pPr>
      <w:r w:rsidRPr="00DB24DC">
        <w:rPr>
          <w:rFonts w:ascii="Cambria" w:hAnsi="Cambria"/>
          <w:i/>
          <w:sz w:val="22"/>
          <w:szCs w:val="22"/>
        </w:rPr>
        <w:t xml:space="preserve">Medida Cautelar 211/08 – </w:t>
      </w:r>
      <w:proofErr w:type="spellStart"/>
      <w:r w:rsidRPr="00DB24DC">
        <w:rPr>
          <w:rFonts w:ascii="Cambria" w:hAnsi="Cambria"/>
          <w:i/>
          <w:sz w:val="22"/>
          <w:szCs w:val="22"/>
        </w:rPr>
        <w:t>Djamel</w:t>
      </w:r>
      <w:proofErr w:type="spellEnd"/>
      <w:r w:rsidRPr="00DB24DC">
        <w:rPr>
          <w:rFonts w:ascii="Cambria" w:hAnsi="Cambria"/>
          <w:i/>
          <w:sz w:val="22"/>
          <w:szCs w:val="22"/>
        </w:rPr>
        <w:t xml:space="preserve"> </w:t>
      </w:r>
      <w:proofErr w:type="spellStart"/>
      <w:r w:rsidRPr="00DB24DC">
        <w:rPr>
          <w:rFonts w:ascii="Cambria" w:hAnsi="Cambria"/>
          <w:i/>
          <w:sz w:val="22"/>
          <w:szCs w:val="22"/>
        </w:rPr>
        <w:t>Ameziane</w:t>
      </w:r>
      <w:proofErr w:type="spellEnd"/>
      <w:r w:rsidRPr="00DB24DC">
        <w:rPr>
          <w:rFonts w:ascii="Cambria" w:hAnsi="Cambria"/>
          <w:i/>
          <w:sz w:val="22"/>
          <w:szCs w:val="22"/>
        </w:rPr>
        <w:t>, Estados Unidos</w:t>
      </w:r>
    </w:p>
    <w:p w:rsidR="009F61AC" w:rsidRPr="00FC2F1B" w:rsidRDefault="009F61AC" w:rsidP="009F61AC">
      <w:pPr>
        <w:pStyle w:val="ListParagraph"/>
        <w:rPr>
          <w:sz w:val="20"/>
          <w:szCs w:val="20"/>
        </w:rPr>
      </w:pPr>
    </w:p>
    <w:p w:rsidR="009F61AC" w:rsidRPr="00FC2F1B" w:rsidRDefault="009F61AC" w:rsidP="00724CD2">
      <w:pPr>
        <w:numPr>
          <w:ilvl w:val="0"/>
          <w:numId w:val="5"/>
        </w:numPr>
        <w:ind w:left="547" w:hanging="547"/>
        <w:jc w:val="both"/>
        <w:rPr>
          <w:rFonts w:ascii="Cambria" w:hAnsi="Cambria"/>
          <w:sz w:val="20"/>
          <w:szCs w:val="20"/>
        </w:rPr>
      </w:pPr>
      <w:r>
        <w:rPr>
          <w:rFonts w:ascii="Cambria" w:hAnsi="Cambria"/>
          <w:sz w:val="20"/>
        </w:rPr>
        <w:t xml:space="preserve">El 20 de agosto de 2008, la CIDH otorgó medidas cautelares a favor de </w:t>
      </w:r>
      <w:proofErr w:type="spellStart"/>
      <w:r>
        <w:rPr>
          <w:rFonts w:ascii="Cambria" w:hAnsi="Cambria"/>
          <w:sz w:val="20"/>
        </w:rPr>
        <w:t>Djamel</w:t>
      </w:r>
      <w:proofErr w:type="spellEnd"/>
      <w:r>
        <w:rPr>
          <w:rFonts w:ascii="Cambria" w:hAnsi="Cambria"/>
          <w:sz w:val="20"/>
        </w:rPr>
        <w:t xml:space="preserve"> </w:t>
      </w:r>
      <w:proofErr w:type="spellStart"/>
      <w:r>
        <w:rPr>
          <w:rFonts w:ascii="Cambria" w:hAnsi="Cambria"/>
          <w:sz w:val="20"/>
        </w:rPr>
        <w:t>Ameziane</w:t>
      </w:r>
      <w:proofErr w:type="spellEnd"/>
      <w:r>
        <w:rPr>
          <w:rStyle w:val="FootnoteReference"/>
          <w:rFonts w:ascii="Cambria" w:hAnsi="Cambria"/>
          <w:sz w:val="20"/>
        </w:rPr>
        <w:footnoteReference w:id="22"/>
      </w:r>
      <w:r>
        <w:rPr>
          <w:rFonts w:ascii="Cambria" w:hAnsi="Cambria"/>
          <w:sz w:val="20"/>
        </w:rPr>
        <w:t xml:space="preserve">. La solicitud alegaba que </w:t>
      </w:r>
      <w:proofErr w:type="spellStart"/>
      <w:r>
        <w:rPr>
          <w:rFonts w:ascii="Cambria" w:hAnsi="Cambria"/>
          <w:sz w:val="20"/>
        </w:rPr>
        <w:t>Ameziane</w:t>
      </w:r>
      <w:proofErr w:type="spellEnd"/>
      <w:r>
        <w:rPr>
          <w:rFonts w:ascii="Cambria" w:hAnsi="Cambria"/>
          <w:sz w:val="20"/>
        </w:rPr>
        <w:t xml:space="preserve"> fue detenido por agentes de Estados Unidos en enero de 2001 en Kandahar, Afganistán, y trasladado a Guantánamo, donde fue sometido a torturas. Según la información recibida en ese momento, </w:t>
      </w:r>
      <w:proofErr w:type="spellStart"/>
      <w:r>
        <w:rPr>
          <w:rFonts w:ascii="Cambria" w:hAnsi="Cambria"/>
          <w:sz w:val="20"/>
        </w:rPr>
        <w:t>Ameziane</w:t>
      </w:r>
      <w:proofErr w:type="spellEnd"/>
      <w:r>
        <w:rPr>
          <w:rFonts w:ascii="Cambria" w:hAnsi="Cambria"/>
          <w:sz w:val="20"/>
        </w:rPr>
        <w:t xml:space="preserve"> corría peligro de ser deportado a su país de origen, Argelia, donde podía ser sometido a tratos crueles, inhumanos y degradantes. La Comisión solicitó a Estados Unidos adoptar de manera inmediata todas las medidas necesarias para garantizar que, bajo su custodia, </w:t>
      </w:r>
      <w:proofErr w:type="spellStart"/>
      <w:r>
        <w:rPr>
          <w:rFonts w:ascii="Cambria" w:hAnsi="Cambria"/>
          <w:sz w:val="20"/>
        </w:rPr>
        <w:t>Ameziane</w:t>
      </w:r>
      <w:proofErr w:type="spellEnd"/>
      <w:r>
        <w:rPr>
          <w:rFonts w:ascii="Cambria" w:hAnsi="Cambria"/>
          <w:sz w:val="20"/>
        </w:rPr>
        <w:t xml:space="preserve"> no sea sometido a torturas o tratos crueles, inhumanos o degradantes y asegurar que no fuera deportado a un país en el cual pudiera ser sometido a torturas u otros maltratos. </w:t>
      </w:r>
    </w:p>
    <w:p w:rsidR="009F61AC" w:rsidRPr="00FC2F1B" w:rsidRDefault="009F61AC" w:rsidP="009F61AC">
      <w:pPr>
        <w:ind w:left="720"/>
        <w:jc w:val="both"/>
        <w:rPr>
          <w:rFonts w:ascii="Cambria" w:hAnsi="Cambria"/>
          <w:sz w:val="20"/>
          <w:szCs w:val="20"/>
        </w:rPr>
      </w:pPr>
    </w:p>
    <w:p w:rsidR="009F61AC" w:rsidRPr="006425BA" w:rsidRDefault="009F61AC" w:rsidP="00724CD2">
      <w:pPr>
        <w:numPr>
          <w:ilvl w:val="0"/>
          <w:numId w:val="5"/>
        </w:numPr>
        <w:ind w:left="547" w:hanging="547"/>
        <w:jc w:val="both"/>
        <w:rPr>
          <w:rFonts w:ascii="Cambria" w:hAnsi="Cambria"/>
          <w:sz w:val="20"/>
          <w:szCs w:val="20"/>
        </w:rPr>
      </w:pPr>
      <w:proofErr w:type="spellStart"/>
      <w:r>
        <w:rPr>
          <w:rFonts w:ascii="Cambria" w:hAnsi="Cambria"/>
          <w:sz w:val="20"/>
        </w:rPr>
        <w:t>Djamel</w:t>
      </w:r>
      <w:proofErr w:type="spellEnd"/>
      <w:r>
        <w:rPr>
          <w:rFonts w:ascii="Cambria" w:hAnsi="Cambria"/>
          <w:sz w:val="20"/>
        </w:rPr>
        <w:t xml:space="preserve"> </w:t>
      </w:r>
      <w:proofErr w:type="spellStart"/>
      <w:r>
        <w:rPr>
          <w:rFonts w:ascii="Cambria" w:hAnsi="Cambria"/>
          <w:sz w:val="20"/>
        </w:rPr>
        <w:t>Ameziane</w:t>
      </w:r>
      <w:proofErr w:type="spellEnd"/>
      <w:r>
        <w:rPr>
          <w:rFonts w:ascii="Cambria" w:hAnsi="Cambria"/>
          <w:sz w:val="20"/>
        </w:rPr>
        <w:t xml:space="preserve"> fue trasladado de Guantánamo a Argelia el 5 de diciembre de 2013 y </w:t>
      </w:r>
      <w:proofErr w:type="spellStart"/>
      <w:r>
        <w:rPr>
          <w:rFonts w:ascii="Cambria" w:hAnsi="Cambria"/>
          <w:sz w:val="20"/>
        </w:rPr>
        <w:t>alegadamente</w:t>
      </w:r>
      <w:proofErr w:type="spellEnd"/>
      <w:r>
        <w:rPr>
          <w:rFonts w:ascii="Cambria" w:hAnsi="Cambria"/>
          <w:sz w:val="20"/>
        </w:rPr>
        <w:t xml:space="preserve"> detenido de manera secreta por las autoridades argelinas desde su llegada al país hasta el 16 de diciembre de 2013. Según la información enviada a la CIDH por sus representantes, </w:t>
      </w:r>
      <w:proofErr w:type="spellStart"/>
      <w:r>
        <w:rPr>
          <w:rFonts w:ascii="Cambria" w:hAnsi="Cambria"/>
          <w:sz w:val="20"/>
        </w:rPr>
        <w:t>Djamel</w:t>
      </w:r>
      <w:proofErr w:type="spellEnd"/>
      <w:r>
        <w:rPr>
          <w:rFonts w:ascii="Cambria" w:hAnsi="Cambria"/>
          <w:sz w:val="20"/>
        </w:rPr>
        <w:t xml:space="preserve"> </w:t>
      </w:r>
      <w:proofErr w:type="spellStart"/>
      <w:r>
        <w:rPr>
          <w:rFonts w:ascii="Cambria" w:hAnsi="Cambria"/>
          <w:sz w:val="20"/>
        </w:rPr>
        <w:t>Ameziane</w:t>
      </w:r>
      <w:proofErr w:type="spellEnd"/>
      <w:r>
        <w:rPr>
          <w:rFonts w:ascii="Cambria" w:hAnsi="Cambria"/>
          <w:sz w:val="20"/>
        </w:rPr>
        <w:t xml:space="preserve"> se encontraba a la espera de una respuesta del gobierno de Canadá a su solicitud de ser reasentado en ese país. También señalaron que en 2010 Luxemburgo había ofrecido recibirlo, y que más recientemente otros países también habían extendido ofertas para que </w:t>
      </w:r>
      <w:proofErr w:type="spellStart"/>
      <w:r>
        <w:rPr>
          <w:rFonts w:ascii="Cambria" w:hAnsi="Cambria"/>
          <w:sz w:val="20"/>
        </w:rPr>
        <w:t>Djamel</w:t>
      </w:r>
      <w:proofErr w:type="spellEnd"/>
      <w:r>
        <w:rPr>
          <w:rFonts w:ascii="Cambria" w:hAnsi="Cambria"/>
          <w:sz w:val="20"/>
        </w:rPr>
        <w:t xml:space="preserve"> </w:t>
      </w:r>
      <w:proofErr w:type="spellStart"/>
      <w:r>
        <w:rPr>
          <w:rFonts w:ascii="Cambria" w:hAnsi="Cambria"/>
          <w:sz w:val="20"/>
        </w:rPr>
        <w:t>Ameziane</w:t>
      </w:r>
      <w:proofErr w:type="spellEnd"/>
      <w:r>
        <w:rPr>
          <w:rFonts w:ascii="Cambria" w:hAnsi="Cambria"/>
          <w:sz w:val="20"/>
        </w:rPr>
        <w:t xml:space="preserve"> resida en sus respectivos territorios. La Comisión Interamericana emitió un comunicado de prensa condenando el traslado forzoso de </w:t>
      </w:r>
      <w:proofErr w:type="spellStart"/>
      <w:r>
        <w:rPr>
          <w:rFonts w:ascii="Cambria" w:hAnsi="Cambria"/>
          <w:sz w:val="20"/>
        </w:rPr>
        <w:t>Djamel</w:t>
      </w:r>
      <w:proofErr w:type="spellEnd"/>
      <w:r>
        <w:rPr>
          <w:rFonts w:ascii="Cambria" w:hAnsi="Cambria"/>
          <w:sz w:val="20"/>
        </w:rPr>
        <w:t xml:space="preserve"> </w:t>
      </w:r>
      <w:proofErr w:type="spellStart"/>
      <w:r>
        <w:rPr>
          <w:rFonts w:ascii="Cambria" w:hAnsi="Cambria"/>
          <w:sz w:val="20"/>
        </w:rPr>
        <w:t>Ameziane</w:t>
      </w:r>
      <w:proofErr w:type="spellEnd"/>
      <w:r>
        <w:rPr>
          <w:rFonts w:ascii="Cambria" w:hAnsi="Cambria"/>
          <w:sz w:val="20"/>
        </w:rPr>
        <w:t xml:space="preserve"> hacia Argelia, en violación del principio de </w:t>
      </w:r>
      <w:r>
        <w:rPr>
          <w:rFonts w:ascii="Cambria" w:hAnsi="Cambria"/>
          <w:i/>
          <w:sz w:val="20"/>
        </w:rPr>
        <w:t>non-</w:t>
      </w:r>
      <w:proofErr w:type="spellStart"/>
      <w:r>
        <w:rPr>
          <w:rFonts w:ascii="Cambria" w:hAnsi="Cambria"/>
          <w:i/>
          <w:sz w:val="20"/>
        </w:rPr>
        <w:t>refoulement</w:t>
      </w:r>
      <w:proofErr w:type="spellEnd"/>
      <w:r>
        <w:rPr>
          <w:rFonts w:ascii="Cambria" w:hAnsi="Cambria"/>
          <w:sz w:val="20"/>
        </w:rPr>
        <w:t xml:space="preserve">, que prohíbe el traslado y </w:t>
      </w:r>
      <w:r w:rsidRPr="006425BA">
        <w:rPr>
          <w:rFonts w:ascii="Cambria" w:hAnsi="Cambria"/>
          <w:sz w:val="20"/>
        </w:rPr>
        <w:t>deportación de individuos a países en los que corran el riesgo de ser torturados</w:t>
      </w:r>
      <w:r w:rsidRPr="006425BA">
        <w:rPr>
          <w:rStyle w:val="FootnoteReference"/>
          <w:rFonts w:ascii="Cambria" w:hAnsi="Cambria"/>
          <w:sz w:val="20"/>
        </w:rPr>
        <w:footnoteReference w:id="23"/>
      </w:r>
      <w:r w:rsidRPr="006425BA">
        <w:rPr>
          <w:rFonts w:ascii="Cambria" w:hAnsi="Cambria"/>
          <w:sz w:val="20"/>
        </w:rPr>
        <w:t xml:space="preserve">.  </w:t>
      </w:r>
      <w:bookmarkStart w:id="18" w:name="_Toc399929481"/>
      <w:bookmarkStart w:id="19" w:name="_Toc407981967"/>
    </w:p>
    <w:p w:rsidR="00992128" w:rsidRPr="006425BA" w:rsidRDefault="00992128" w:rsidP="00992128">
      <w:pPr>
        <w:jc w:val="both"/>
        <w:rPr>
          <w:rFonts w:ascii="Cambria" w:hAnsi="Cambria"/>
          <w:i/>
        </w:rPr>
      </w:pPr>
    </w:p>
    <w:p w:rsidR="00992128" w:rsidRPr="00DB24DC" w:rsidRDefault="002B26F9" w:rsidP="006E06AC">
      <w:pPr>
        <w:ind w:left="547" w:hanging="547"/>
        <w:jc w:val="both"/>
        <w:rPr>
          <w:rFonts w:ascii="Cambria" w:hAnsi="Cambria"/>
          <w:i/>
          <w:sz w:val="22"/>
          <w:szCs w:val="22"/>
        </w:rPr>
      </w:pPr>
      <w:r w:rsidRPr="00DB24DC">
        <w:rPr>
          <w:rFonts w:ascii="Cambria" w:hAnsi="Cambria"/>
          <w:i/>
          <w:sz w:val="22"/>
          <w:szCs w:val="22"/>
        </w:rPr>
        <w:t xml:space="preserve">Medida Cautelar </w:t>
      </w:r>
      <w:r w:rsidR="00992128" w:rsidRPr="00DB24DC">
        <w:rPr>
          <w:rFonts w:ascii="Cambria" w:hAnsi="Cambria"/>
          <w:i/>
          <w:sz w:val="22"/>
          <w:szCs w:val="22"/>
        </w:rPr>
        <w:t xml:space="preserve">46/15 – </w:t>
      </w:r>
      <w:proofErr w:type="spellStart"/>
      <w:r w:rsidR="00992128" w:rsidRPr="00DB24DC">
        <w:rPr>
          <w:rFonts w:ascii="Cambria" w:hAnsi="Cambria"/>
          <w:i/>
          <w:sz w:val="22"/>
          <w:szCs w:val="22"/>
        </w:rPr>
        <w:t>Moath</w:t>
      </w:r>
      <w:proofErr w:type="spellEnd"/>
      <w:r w:rsidR="00992128" w:rsidRPr="00DB24DC">
        <w:rPr>
          <w:rFonts w:ascii="Cambria" w:hAnsi="Cambria"/>
          <w:i/>
          <w:sz w:val="22"/>
          <w:szCs w:val="22"/>
        </w:rPr>
        <w:t xml:space="preserve"> al-</w:t>
      </w:r>
      <w:proofErr w:type="spellStart"/>
      <w:r w:rsidR="00992128" w:rsidRPr="00DB24DC">
        <w:rPr>
          <w:rFonts w:ascii="Cambria" w:hAnsi="Cambria"/>
          <w:i/>
          <w:sz w:val="22"/>
          <w:szCs w:val="22"/>
        </w:rPr>
        <w:t>Alwi</w:t>
      </w:r>
      <w:proofErr w:type="spellEnd"/>
      <w:r w:rsidR="00992128" w:rsidRPr="00DB24DC">
        <w:rPr>
          <w:rFonts w:ascii="Cambria" w:hAnsi="Cambria"/>
          <w:i/>
          <w:sz w:val="22"/>
          <w:szCs w:val="22"/>
        </w:rPr>
        <w:t xml:space="preserve">, </w:t>
      </w:r>
      <w:r w:rsidRPr="00DB24DC">
        <w:rPr>
          <w:rFonts w:ascii="Cambria" w:hAnsi="Cambria"/>
          <w:i/>
          <w:sz w:val="22"/>
          <w:szCs w:val="22"/>
        </w:rPr>
        <w:t>Estados Unidos</w:t>
      </w:r>
    </w:p>
    <w:p w:rsidR="00992128" w:rsidRPr="006425BA" w:rsidRDefault="00992128" w:rsidP="00992128">
      <w:pPr>
        <w:pStyle w:val="ListParagraph"/>
        <w:rPr>
          <w:rFonts w:ascii="Cambria" w:hAnsi="Cambria"/>
          <w:sz w:val="20"/>
          <w:szCs w:val="20"/>
        </w:rPr>
      </w:pPr>
    </w:p>
    <w:p w:rsidR="00992128" w:rsidRPr="006425BA" w:rsidRDefault="00992128" w:rsidP="00992128">
      <w:pPr>
        <w:numPr>
          <w:ilvl w:val="0"/>
          <w:numId w:val="5"/>
        </w:numPr>
        <w:ind w:left="547" w:hanging="547"/>
        <w:jc w:val="both"/>
        <w:rPr>
          <w:rFonts w:ascii="Cambria" w:hAnsi="Cambria"/>
          <w:sz w:val="20"/>
          <w:szCs w:val="20"/>
        </w:rPr>
      </w:pPr>
      <w:r w:rsidRPr="006425BA">
        <w:rPr>
          <w:rFonts w:ascii="Cambria" w:hAnsi="Cambria"/>
          <w:sz w:val="20"/>
        </w:rPr>
        <w:t>El 31 de marzo de 2015, la CIDH aprobó la resolución 10/2015 en la que solicita al Gobierno de Estados Unidos que adopte medidas cautelares en favor de</w:t>
      </w:r>
      <w:r w:rsidR="002B26F9" w:rsidRPr="006425BA">
        <w:rPr>
          <w:rFonts w:ascii="Cambria" w:hAnsi="Cambria"/>
          <w:sz w:val="20"/>
        </w:rPr>
        <w:t>l señor</w:t>
      </w:r>
      <w:r w:rsidRPr="006425BA">
        <w:rPr>
          <w:rFonts w:ascii="Cambria" w:hAnsi="Cambria"/>
          <w:sz w:val="20"/>
        </w:rPr>
        <w:t xml:space="preserve"> </w:t>
      </w:r>
      <w:proofErr w:type="spellStart"/>
      <w:r w:rsidRPr="006425BA">
        <w:rPr>
          <w:rFonts w:ascii="Cambria" w:hAnsi="Cambria"/>
          <w:sz w:val="20"/>
        </w:rPr>
        <w:lastRenderedPageBreak/>
        <w:t>Moath</w:t>
      </w:r>
      <w:proofErr w:type="spellEnd"/>
      <w:r w:rsidRPr="006425BA">
        <w:rPr>
          <w:rFonts w:ascii="Cambria" w:hAnsi="Cambria"/>
          <w:sz w:val="20"/>
        </w:rPr>
        <w:t xml:space="preserve"> al-</w:t>
      </w:r>
      <w:proofErr w:type="spellStart"/>
      <w:r w:rsidRPr="006425BA">
        <w:rPr>
          <w:rFonts w:ascii="Cambria" w:hAnsi="Cambria"/>
          <w:sz w:val="20"/>
        </w:rPr>
        <w:t>Alwi</w:t>
      </w:r>
      <w:proofErr w:type="spellEnd"/>
      <w:r w:rsidRPr="006425BA">
        <w:rPr>
          <w:rFonts w:ascii="Cambria" w:hAnsi="Cambria"/>
          <w:sz w:val="20"/>
        </w:rPr>
        <w:t>.</w:t>
      </w:r>
      <w:r w:rsidRPr="006425BA">
        <w:rPr>
          <w:rStyle w:val="FootnoteReference"/>
          <w:rFonts w:ascii="Cambria" w:hAnsi="Cambria"/>
          <w:sz w:val="20"/>
        </w:rPr>
        <w:footnoteReference w:id="24"/>
      </w:r>
      <w:r w:rsidRPr="006425BA">
        <w:rPr>
          <w:rFonts w:ascii="Cambria" w:hAnsi="Cambria"/>
          <w:sz w:val="20"/>
        </w:rPr>
        <w:t xml:space="preserve">  La </w:t>
      </w:r>
      <w:r w:rsidR="00A05768" w:rsidRPr="006425BA">
        <w:rPr>
          <w:rFonts w:ascii="Cambria" w:hAnsi="Cambria"/>
          <w:sz w:val="20"/>
        </w:rPr>
        <w:t>solicitud alegaba</w:t>
      </w:r>
      <w:r w:rsidRPr="006425BA">
        <w:rPr>
          <w:rFonts w:ascii="Cambria" w:hAnsi="Cambria"/>
          <w:sz w:val="20"/>
        </w:rPr>
        <w:t xml:space="preserve"> que el beneficiario, un yemenita de 35 años de edad, ha sido víctima de amenazas y actos de violencia contra su persona desde su ingreso a Guantánamo hace más de 12 años.  La información presentada por los </w:t>
      </w:r>
      <w:r w:rsidR="00A05768" w:rsidRPr="006425BA">
        <w:rPr>
          <w:rFonts w:ascii="Cambria" w:hAnsi="Cambria"/>
          <w:sz w:val="20"/>
        </w:rPr>
        <w:t>solicitantes</w:t>
      </w:r>
      <w:r w:rsidRPr="006425BA">
        <w:rPr>
          <w:rFonts w:ascii="Cambria" w:hAnsi="Cambria"/>
          <w:sz w:val="20"/>
        </w:rPr>
        <w:t xml:space="preserve"> </w:t>
      </w:r>
      <w:r w:rsidR="006D2283" w:rsidRPr="006425BA">
        <w:rPr>
          <w:rFonts w:ascii="Cambria" w:hAnsi="Cambria"/>
          <w:sz w:val="20"/>
        </w:rPr>
        <w:t>sugiere que el beneficiario está detenido en condiciones severas las cuales incluyen p</w:t>
      </w:r>
      <w:r w:rsidRPr="006425BA">
        <w:rPr>
          <w:rFonts w:ascii="Cambria" w:hAnsi="Cambria"/>
          <w:sz w:val="20"/>
        </w:rPr>
        <w:t xml:space="preserve">resuntas amenazas, humillaciones, abuso sexual, agresiones físicas y psicológicas, </w:t>
      </w:r>
      <w:r w:rsidR="006D2283" w:rsidRPr="006425BA">
        <w:rPr>
          <w:rFonts w:ascii="Cambria" w:hAnsi="Cambria"/>
          <w:sz w:val="20"/>
        </w:rPr>
        <w:t>así como falta</w:t>
      </w:r>
      <w:r w:rsidRPr="006425BA">
        <w:rPr>
          <w:rFonts w:ascii="Cambria" w:hAnsi="Cambria"/>
          <w:sz w:val="20"/>
        </w:rPr>
        <w:t xml:space="preserve"> de asistencia médica adecuada.</w:t>
      </w:r>
    </w:p>
    <w:p w:rsidR="00992128" w:rsidRPr="006425BA" w:rsidRDefault="00992128" w:rsidP="00992128">
      <w:pPr>
        <w:ind w:left="720"/>
        <w:jc w:val="both"/>
        <w:rPr>
          <w:rFonts w:ascii="Cambria" w:hAnsi="Cambria"/>
          <w:sz w:val="20"/>
          <w:szCs w:val="20"/>
        </w:rPr>
      </w:pPr>
    </w:p>
    <w:p w:rsidR="00992128" w:rsidRPr="006425BA" w:rsidRDefault="00992128" w:rsidP="00992128">
      <w:pPr>
        <w:numPr>
          <w:ilvl w:val="0"/>
          <w:numId w:val="5"/>
        </w:numPr>
        <w:ind w:left="547" w:hanging="547"/>
        <w:jc w:val="both"/>
        <w:rPr>
          <w:rFonts w:ascii="Cambria" w:hAnsi="Cambria"/>
          <w:sz w:val="20"/>
          <w:szCs w:val="20"/>
        </w:rPr>
      </w:pPr>
      <w:r w:rsidRPr="006425BA">
        <w:rPr>
          <w:rFonts w:ascii="Cambria" w:hAnsi="Cambria"/>
          <w:sz w:val="20"/>
        </w:rPr>
        <w:t>La Comisión solicitó a Estados Unidos que adoptara las medidas necesarias para proteger la vida e integridad p</w:t>
      </w:r>
      <w:r w:rsidR="00E56836" w:rsidRPr="006425BA">
        <w:rPr>
          <w:rFonts w:ascii="Cambria" w:hAnsi="Cambria"/>
          <w:sz w:val="20"/>
        </w:rPr>
        <w:t>ersonal del señor al-</w:t>
      </w:r>
      <w:proofErr w:type="spellStart"/>
      <w:r w:rsidR="00E56836" w:rsidRPr="006425BA">
        <w:rPr>
          <w:rFonts w:ascii="Cambria" w:hAnsi="Cambria"/>
          <w:sz w:val="20"/>
        </w:rPr>
        <w:t>Alwi</w:t>
      </w:r>
      <w:proofErr w:type="spellEnd"/>
      <w:r w:rsidR="00E56836" w:rsidRPr="006425BA">
        <w:rPr>
          <w:rFonts w:ascii="Cambria" w:hAnsi="Cambria"/>
          <w:sz w:val="20"/>
        </w:rPr>
        <w:t xml:space="preserve">; </w:t>
      </w:r>
      <w:r w:rsidRPr="006425BA">
        <w:rPr>
          <w:rFonts w:ascii="Cambria" w:hAnsi="Cambria"/>
          <w:sz w:val="20"/>
        </w:rPr>
        <w:t>garantizar que las condiciones de detención sean las adecuadas conforme a l</w:t>
      </w:r>
      <w:r w:rsidR="00E56836" w:rsidRPr="006425BA">
        <w:rPr>
          <w:rFonts w:ascii="Cambria" w:hAnsi="Cambria"/>
          <w:sz w:val="20"/>
        </w:rPr>
        <w:t>os estándares</w:t>
      </w:r>
      <w:r w:rsidRPr="006425BA">
        <w:rPr>
          <w:rFonts w:ascii="Cambria" w:hAnsi="Cambria"/>
          <w:sz w:val="20"/>
        </w:rPr>
        <w:t xml:space="preserve"> internacionales </w:t>
      </w:r>
      <w:r w:rsidR="00E56836" w:rsidRPr="006425BA">
        <w:rPr>
          <w:rFonts w:ascii="Cambria" w:hAnsi="Cambria"/>
          <w:sz w:val="20"/>
        </w:rPr>
        <w:t>aplicables</w:t>
      </w:r>
      <w:r w:rsidRPr="006425BA">
        <w:rPr>
          <w:rFonts w:ascii="Cambria" w:hAnsi="Cambria"/>
          <w:sz w:val="20"/>
        </w:rPr>
        <w:t xml:space="preserve">; garantizar el acceso a atención y tratamiento médicos, </w:t>
      </w:r>
      <w:r w:rsidR="00E56836" w:rsidRPr="006425BA">
        <w:rPr>
          <w:rFonts w:ascii="Cambria" w:hAnsi="Cambria"/>
          <w:sz w:val="20"/>
        </w:rPr>
        <w:t>e</w:t>
      </w:r>
      <w:r w:rsidRPr="006425BA">
        <w:rPr>
          <w:rFonts w:ascii="Cambria" w:hAnsi="Cambria"/>
          <w:sz w:val="20"/>
        </w:rPr>
        <w:t xml:space="preserve"> informar sobre las acciones adoptadas a fin de investigar los presuntos hechos que dieron lugar a la adopción de esta medida cautelar para evitar la repetición de estas supuestas circunstancias.</w:t>
      </w:r>
      <w:r w:rsidRPr="006425BA">
        <w:rPr>
          <w:rFonts w:ascii="Cambria" w:hAnsi="Cambria"/>
          <w:color w:val="000000"/>
          <w:sz w:val="20"/>
        </w:rPr>
        <w:t xml:space="preserve"> </w:t>
      </w:r>
    </w:p>
    <w:p w:rsidR="002A4A9F" w:rsidRPr="006425BA" w:rsidRDefault="002A4A9F" w:rsidP="00D01C73">
      <w:pPr>
        <w:rPr>
          <w:rFonts w:asciiTheme="majorHAnsi" w:hAnsiTheme="majorHAnsi"/>
          <w:sz w:val="20"/>
          <w:szCs w:val="20"/>
        </w:rPr>
      </w:pPr>
    </w:p>
    <w:p w:rsidR="009F61AC" w:rsidRPr="006425BA" w:rsidRDefault="009F61AC" w:rsidP="0043424D">
      <w:pPr>
        <w:pStyle w:val="Heading2"/>
      </w:pPr>
      <w:bookmarkStart w:id="20" w:name="_Toc423072827"/>
      <w:r w:rsidRPr="006425BA">
        <w:t>Resoluciones</w:t>
      </w:r>
      <w:bookmarkEnd w:id="20"/>
    </w:p>
    <w:bookmarkEnd w:id="18"/>
    <w:bookmarkEnd w:id="19"/>
    <w:p w:rsidR="009F61AC" w:rsidRPr="00FC2F1B" w:rsidRDefault="009F61AC" w:rsidP="009F61AC">
      <w:pPr>
        <w:pStyle w:val="ListParagraph"/>
        <w:rPr>
          <w:sz w:val="20"/>
          <w:szCs w:val="20"/>
        </w:rPr>
      </w:pPr>
    </w:p>
    <w:p w:rsidR="009F61AC" w:rsidRPr="00FC2F1B" w:rsidRDefault="009F61AC" w:rsidP="00724CD2">
      <w:pPr>
        <w:numPr>
          <w:ilvl w:val="0"/>
          <w:numId w:val="5"/>
        </w:numPr>
        <w:ind w:left="547" w:hanging="547"/>
        <w:jc w:val="both"/>
        <w:rPr>
          <w:rFonts w:ascii="Cambria" w:hAnsi="Cambria"/>
          <w:sz w:val="20"/>
          <w:szCs w:val="20"/>
        </w:rPr>
      </w:pPr>
      <w:r>
        <w:rPr>
          <w:rFonts w:ascii="Cambria" w:hAnsi="Cambria"/>
          <w:sz w:val="20"/>
        </w:rPr>
        <w:t xml:space="preserve">En virtud de su mandato de monitoreo de la situación de derechos humanos en el hemisferio, la Comisión Interamericana ha publicado dos resoluciones relativas a la situación de los detenidos en la Bahía de Guantánamo. </w:t>
      </w:r>
    </w:p>
    <w:p w:rsidR="009F61AC" w:rsidRPr="00FC2F1B" w:rsidRDefault="009F61AC" w:rsidP="009F61AC">
      <w:pPr>
        <w:ind w:left="720"/>
        <w:jc w:val="both"/>
        <w:rPr>
          <w:rFonts w:ascii="Cambria" w:hAnsi="Cambria"/>
          <w:sz w:val="20"/>
          <w:szCs w:val="20"/>
        </w:rPr>
      </w:pPr>
    </w:p>
    <w:p w:rsidR="009F61AC" w:rsidRPr="00FC2F1B" w:rsidRDefault="009F61AC" w:rsidP="00724CD2">
      <w:pPr>
        <w:numPr>
          <w:ilvl w:val="0"/>
          <w:numId w:val="5"/>
        </w:numPr>
        <w:ind w:left="547" w:hanging="547"/>
        <w:jc w:val="both"/>
        <w:rPr>
          <w:rFonts w:ascii="Cambria" w:hAnsi="Cambria"/>
          <w:sz w:val="20"/>
          <w:szCs w:val="20"/>
        </w:rPr>
      </w:pPr>
      <w:r>
        <w:rPr>
          <w:rFonts w:ascii="Cambria" w:hAnsi="Cambria"/>
          <w:sz w:val="20"/>
        </w:rPr>
        <w:t>El 28 de julio de 2006, la Comisión emitió la Resolución 2/06 sobre las Medidas Cautelares para los detenidos en Guantánamo, señalando que la falta de implementación de las medidas cautelares por parte de Estados Unidos había tenido como resultado el daño irreparable a los derechos fundamentales de los detenidos, y urgiendo al Estado, por primera vez, a cerrar el centro de detención y remover a los detenidos a través de un proceso que cumpla con sus obligaciones en virtud del derecho internacional</w:t>
      </w:r>
      <w:r>
        <w:rPr>
          <w:rStyle w:val="FootnoteReference"/>
          <w:rFonts w:ascii="Cambria" w:hAnsi="Cambria"/>
          <w:sz w:val="20"/>
        </w:rPr>
        <w:footnoteReference w:id="25"/>
      </w:r>
      <w:r>
        <w:rPr>
          <w:rFonts w:ascii="Cambria" w:hAnsi="Cambria"/>
          <w:sz w:val="20"/>
        </w:rPr>
        <w:t xml:space="preserve">. </w:t>
      </w:r>
    </w:p>
    <w:p w:rsidR="009F61AC" w:rsidRPr="00FC2F1B" w:rsidRDefault="009F61AC" w:rsidP="009F61AC">
      <w:pPr>
        <w:pStyle w:val="ListParagraph"/>
        <w:rPr>
          <w:sz w:val="20"/>
          <w:szCs w:val="20"/>
        </w:rPr>
      </w:pPr>
    </w:p>
    <w:p w:rsidR="009F61AC" w:rsidRPr="00FC2F1B" w:rsidRDefault="009F61AC" w:rsidP="00724CD2">
      <w:pPr>
        <w:numPr>
          <w:ilvl w:val="0"/>
          <w:numId w:val="5"/>
        </w:numPr>
        <w:ind w:left="547" w:hanging="547"/>
        <w:jc w:val="both"/>
        <w:rPr>
          <w:rFonts w:ascii="Cambria" w:hAnsi="Cambria"/>
          <w:sz w:val="20"/>
          <w:szCs w:val="20"/>
        </w:rPr>
      </w:pPr>
      <w:r>
        <w:rPr>
          <w:rFonts w:ascii="Cambria" w:hAnsi="Cambria"/>
          <w:sz w:val="20"/>
        </w:rPr>
        <w:t xml:space="preserve">La CIDH afirmó que “transcurridos cuatro años desde que la Comisión otorgó estas medidas cautelares, el status legal de los detenidos [seguía] siendo desconocido y </w:t>
      </w:r>
      <w:proofErr w:type="spellStart"/>
      <w:r>
        <w:rPr>
          <w:rFonts w:ascii="Cambria" w:hAnsi="Cambria"/>
          <w:sz w:val="20"/>
        </w:rPr>
        <w:t>contin</w:t>
      </w:r>
      <w:proofErr w:type="spellEnd"/>
      <w:r>
        <w:rPr>
          <w:rFonts w:ascii="Cambria" w:hAnsi="Cambria"/>
          <w:sz w:val="20"/>
        </w:rPr>
        <w:t>[</w:t>
      </w:r>
      <w:proofErr w:type="spellStart"/>
      <w:r>
        <w:rPr>
          <w:rFonts w:ascii="Cambria" w:hAnsi="Cambria"/>
          <w:sz w:val="20"/>
        </w:rPr>
        <w:t>uaba</w:t>
      </w:r>
      <w:proofErr w:type="spellEnd"/>
      <w:r>
        <w:rPr>
          <w:rFonts w:ascii="Cambria" w:hAnsi="Cambria"/>
          <w:sz w:val="20"/>
        </w:rPr>
        <w:t>] incierto si se ha[</w:t>
      </w:r>
      <w:proofErr w:type="spellStart"/>
      <w:r>
        <w:rPr>
          <w:rFonts w:ascii="Cambria" w:hAnsi="Cambria"/>
          <w:sz w:val="20"/>
        </w:rPr>
        <w:t>bían</w:t>
      </w:r>
      <w:proofErr w:type="spellEnd"/>
      <w:r>
        <w:rPr>
          <w:rFonts w:ascii="Cambria" w:hAnsi="Cambria"/>
          <w:sz w:val="20"/>
        </w:rPr>
        <w:t>] llevado a cabo investigaciones independientes respecto de las alegaciones de tortura u otro trato cruel, inhumano o degradante a los detenidos en la Bahía de Guantánamo, o qué medidas se ha[</w:t>
      </w:r>
      <w:proofErr w:type="spellStart"/>
      <w:r>
        <w:rPr>
          <w:rFonts w:ascii="Cambria" w:hAnsi="Cambria"/>
          <w:sz w:val="20"/>
        </w:rPr>
        <w:t>bían</w:t>
      </w:r>
      <w:proofErr w:type="spellEnd"/>
      <w:r>
        <w:rPr>
          <w:rFonts w:ascii="Cambria" w:hAnsi="Cambria"/>
          <w:sz w:val="20"/>
        </w:rPr>
        <w:t>] adoptado para garantizar que los detenidos no sean transferidos a jurisdicciones donde podrían ser víctimas de tortura u otro trato cruel, inhumano o degradante”</w:t>
      </w:r>
      <w:r>
        <w:rPr>
          <w:rStyle w:val="FootnoteReference"/>
          <w:rFonts w:ascii="Cambria" w:hAnsi="Cambria"/>
          <w:sz w:val="20"/>
        </w:rPr>
        <w:footnoteReference w:id="26"/>
      </w:r>
      <w:r>
        <w:rPr>
          <w:rFonts w:ascii="Cambria" w:hAnsi="Cambria"/>
          <w:sz w:val="20"/>
        </w:rPr>
        <w:t>.</w:t>
      </w:r>
    </w:p>
    <w:p w:rsidR="009F61AC" w:rsidRPr="00FC2F1B" w:rsidRDefault="009F61AC" w:rsidP="009F61AC">
      <w:pPr>
        <w:pStyle w:val="ListParagraph"/>
        <w:rPr>
          <w:sz w:val="20"/>
          <w:szCs w:val="20"/>
        </w:rPr>
      </w:pPr>
    </w:p>
    <w:p w:rsidR="009F61AC" w:rsidRPr="00FC2F1B" w:rsidRDefault="009F61AC" w:rsidP="00724CD2">
      <w:pPr>
        <w:numPr>
          <w:ilvl w:val="0"/>
          <w:numId w:val="5"/>
        </w:numPr>
        <w:ind w:left="547" w:hanging="547"/>
        <w:jc w:val="both"/>
        <w:rPr>
          <w:rFonts w:ascii="Cambria" w:hAnsi="Cambria"/>
          <w:sz w:val="20"/>
          <w:szCs w:val="20"/>
        </w:rPr>
      </w:pPr>
      <w:r>
        <w:rPr>
          <w:rFonts w:ascii="Cambria" w:hAnsi="Cambria"/>
          <w:sz w:val="20"/>
        </w:rPr>
        <w:t>La Comisión Interamericana tomó nota de la decisión de la Corte Suprema de Justicia de los Estados Unidos de 29 de junio de 2006 en el caso </w:t>
      </w:r>
      <w:proofErr w:type="spellStart"/>
      <w:r>
        <w:rPr>
          <w:rFonts w:ascii="Cambria" w:hAnsi="Cambria"/>
          <w:i/>
          <w:sz w:val="20"/>
        </w:rPr>
        <w:t>Hamdan</w:t>
      </w:r>
      <w:proofErr w:type="spellEnd"/>
      <w:r>
        <w:rPr>
          <w:rFonts w:ascii="Cambria" w:hAnsi="Cambria"/>
          <w:i/>
          <w:sz w:val="20"/>
        </w:rPr>
        <w:t xml:space="preserve"> v. Rumsfeld</w:t>
      </w:r>
      <w:r>
        <w:rPr>
          <w:rFonts w:ascii="Cambria" w:hAnsi="Cambria"/>
          <w:sz w:val="20"/>
        </w:rPr>
        <w:t xml:space="preserve"> en la cual la Corte rechaza las comisiones militares propuestas por Estados Unidos para juzgar a los detenidos en Guantánamo, con base en que dichas </w:t>
      </w:r>
      <w:r>
        <w:rPr>
          <w:rFonts w:ascii="Cambria" w:hAnsi="Cambria"/>
          <w:sz w:val="20"/>
        </w:rPr>
        <w:lastRenderedPageBreak/>
        <w:t xml:space="preserve">comisiones no satisfacen las protecciones mínimas establecidas en el artículo 3 común de las Convenciones de Ginebra. </w:t>
      </w:r>
    </w:p>
    <w:p w:rsidR="009F61AC" w:rsidRPr="00FC2F1B" w:rsidRDefault="009F61AC" w:rsidP="009F61AC">
      <w:pPr>
        <w:pStyle w:val="ListParagraph"/>
        <w:rPr>
          <w:sz w:val="20"/>
          <w:szCs w:val="20"/>
        </w:rPr>
      </w:pPr>
    </w:p>
    <w:p w:rsidR="009F61AC" w:rsidRPr="00FC2F1B" w:rsidRDefault="009F61AC" w:rsidP="00724CD2">
      <w:pPr>
        <w:numPr>
          <w:ilvl w:val="0"/>
          <w:numId w:val="5"/>
        </w:numPr>
        <w:ind w:left="547" w:hanging="547"/>
        <w:jc w:val="both"/>
        <w:rPr>
          <w:rFonts w:ascii="Cambria" w:hAnsi="Cambria"/>
          <w:sz w:val="20"/>
          <w:szCs w:val="20"/>
        </w:rPr>
      </w:pPr>
      <w:r>
        <w:rPr>
          <w:rFonts w:ascii="Cambria" w:hAnsi="Cambria"/>
          <w:sz w:val="20"/>
        </w:rPr>
        <w:t xml:space="preserve">En su recomendación, la CIDH resolvió: </w:t>
      </w:r>
    </w:p>
    <w:p w:rsidR="009F61AC" w:rsidRPr="00FC2F1B" w:rsidRDefault="009F61AC" w:rsidP="009F61AC">
      <w:pPr>
        <w:jc w:val="both"/>
        <w:rPr>
          <w:rFonts w:ascii="Cambria" w:hAnsi="Cambria"/>
          <w:sz w:val="20"/>
          <w:szCs w:val="20"/>
        </w:rPr>
      </w:pPr>
    </w:p>
    <w:p w:rsidR="009F61AC" w:rsidRPr="00FC2F1B" w:rsidRDefault="009F61AC" w:rsidP="00354EC8">
      <w:pPr>
        <w:pStyle w:val="NormalWeb"/>
        <w:numPr>
          <w:ilvl w:val="0"/>
          <w:numId w:val="6"/>
        </w:numPr>
        <w:tabs>
          <w:tab w:val="left" w:pos="1080"/>
        </w:tabs>
        <w:spacing w:before="0" w:beforeAutospacing="0" w:after="0" w:afterAutospacing="0"/>
        <w:ind w:left="979" w:firstLine="0"/>
        <w:jc w:val="both"/>
        <w:rPr>
          <w:rFonts w:ascii="Cambria" w:hAnsi="Cambria"/>
          <w:sz w:val="20"/>
          <w:szCs w:val="20"/>
        </w:rPr>
      </w:pPr>
      <w:r>
        <w:rPr>
          <w:rFonts w:ascii="Cambria" w:hAnsi="Cambria"/>
          <w:sz w:val="20"/>
        </w:rPr>
        <w:t>DETERMINAR que la negativa de los Estados Unidos a dar efecto a las medidas cautelares de la Comisión ha provocado un daño irreparable a los derechos fundamentales de los detenidos en Guantánamo, incluyendo su derecho a la libertad y su derecho a la integridad personal.</w:t>
      </w:r>
    </w:p>
    <w:p w:rsidR="009F61AC" w:rsidRPr="00FC2F1B" w:rsidRDefault="009F61AC" w:rsidP="00354EC8">
      <w:pPr>
        <w:pStyle w:val="NormalWeb"/>
        <w:tabs>
          <w:tab w:val="left" w:pos="1080"/>
        </w:tabs>
        <w:spacing w:before="0" w:beforeAutospacing="0" w:after="0" w:afterAutospacing="0"/>
        <w:ind w:left="979"/>
        <w:jc w:val="both"/>
        <w:rPr>
          <w:rFonts w:ascii="Cambria" w:hAnsi="Cambria"/>
          <w:sz w:val="20"/>
          <w:szCs w:val="20"/>
        </w:rPr>
      </w:pPr>
    </w:p>
    <w:p w:rsidR="009F61AC" w:rsidRPr="00FC2F1B" w:rsidRDefault="009F61AC" w:rsidP="00354EC8">
      <w:pPr>
        <w:pStyle w:val="NormalWeb"/>
        <w:numPr>
          <w:ilvl w:val="0"/>
          <w:numId w:val="6"/>
        </w:numPr>
        <w:tabs>
          <w:tab w:val="left" w:pos="1080"/>
        </w:tabs>
        <w:spacing w:before="0" w:beforeAutospacing="0" w:after="0" w:afterAutospacing="0"/>
        <w:ind w:left="979" w:firstLine="0"/>
        <w:jc w:val="both"/>
        <w:rPr>
          <w:rFonts w:ascii="Cambria" w:hAnsi="Cambria"/>
          <w:sz w:val="20"/>
          <w:szCs w:val="20"/>
        </w:rPr>
      </w:pPr>
      <w:r>
        <w:rPr>
          <w:rFonts w:ascii="Cambria" w:hAnsi="Cambria"/>
          <w:sz w:val="20"/>
        </w:rPr>
        <w:t xml:space="preserve">EXHORTAR a Estados Unidos al cierre inmediato del centro de detención en Guantánamo. </w:t>
      </w:r>
    </w:p>
    <w:p w:rsidR="009F61AC" w:rsidRPr="00FC2F1B" w:rsidRDefault="009F61AC" w:rsidP="00354EC8">
      <w:pPr>
        <w:pStyle w:val="NormalWeb"/>
        <w:numPr>
          <w:ilvl w:val="0"/>
          <w:numId w:val="6"/>
        </w:numPr>
        <w:tabs>
          <w:tab w:val="left" w:pos="1080"/>
        </w:tabs>
        <w:spacing w:before="0" w:beforeAutospacing="0" w:after="0" w:afterAutospacing="0"/>
        <w:ind w:left="979" w:firstLine="0"/>
        <w:jc w:val="both"/>
        <w:rPr>
          <w:rFonts w:ascii="Cambria" w:hAnsi="Cambria"/>
          <w:sz w:val="20"/>
          <w:szCs w:val="20"/>
        </w:rPr>
      </w:pPr>
      <w:r>
        <w:rPr>
          <w:rFonts w:ascii="Cambria" w:hAnsi="Cambria"/>
          <w:sz w:val="20"/>
        </w:rPr>
        <w:t xml:space="preserve">EXHORTAR a Estados Unidos a transferir a los detenidos de Guantánamo mediante un proceso plenamente acorde con las normas de derecho internacional de los derechos humanos y de derecho internacional humanitario.  </w:t>
      </w:r>
    </w:p>
    <w:p w:rsidR="009F61AC" w:rsidRPr="00FC2F1B" w:rsidRDefault="009F61AC" w:rsidP="00354EC8">
      <w:pPr>
        <w:pStyle w:val="NormalWeb"/>
        <w:tabs>
          <w:tab w:val="left" w:pos="1080"/>
        </w:tabs>
        <w:spacing w:before="0" w:beforeAutospacing="0" w:after="0" w:afterAutospacing="0"/>
        <w:ind w:left="979"/>
        <w:jc w:val="both"/>
        <w:rPr>
          <w:rFonts w:ascii="Cambria" w:hAnsi="Cambria"/>
          <w:sz w:val="20"/>
          <w:szCs w:val="20"/>
        </w:rPr>
      </w:pPr>
    </w:p>
    <w:p w:rsidR="009F61AC" w:rsidRPr="00FC2F1B" w:rsidRDefault="009F61AC" w:rsidP="00354EC8">
      <w:pPr>
        <w:pStyle w:val="NormalWeb"/>
        <w:numPr>
          <w:ilvl w:val="0"/>
          <w:numId w:val="6"/>
        </w:numPr>
        <w:tabs>
          <w:tab w:val="left" w:pos="1080"/>
        </w:tabs>
        <w:spacing w:before="0" w:beforeAutospacing="0" w:after="0" w:afterAutospacing="0"/>
        <w:ind w:left="979" w:firstLine="0"/>
        <w:jc w:val="both"/>
        <w:rPr>
          <w:rFonts w:ascii="Cambria" w:hAnsi="Cambria"/>
          <w:sz w:val="20"/>
          <w:szCs w:val="20"/>
        </w:rPr>
      </w:pPr>
      <w:r>
        <w:rPr>
          <w:rFonts w:ascii="Cambria" w:hAnsi="Cambria"/>
          <w:sz w:val="20"/>
        </w:rPr>
        <w:t xml:space="preserve">EXHORTAR a Estados Unidos a tomar las medidas necesarias para asegurar que cualquier detenido que corra el riesgo de ser víctima de cualquier tipo de tortura u otro trato cruel, inhumano o degradante, tenga acceso a un examen adecuado e individualizado de sus circunstancias a través de un proceso justo y transparente ante una autoridad imparcial e independiente. Asimismo, en caso de que existan razones suficientes para considerar que un detenido puede ser víctima de tortura u otro trato cruel, inhumano o degradante, el Estado debe asegurar que el detenido no será transferido y no invocarán garantías diplomáticas con el fin de soslayar las obligaciones del Estado conforme al principio de no devolución.  </w:t>
      </w:r>
    </w:p>
    <w:p w:rsidR="002A4A9F" w:rsidRDefault="002A4A9F" w:rsidP="00354EC8">
      <w:pPr>
        <w:pStyle w:val="NormalWeb"/>
        <w:tabs>
          <w:tab w:val="left" w:pos="1080"/>
        </w:tabs>
        <w:spacing w:before="0" w:beforeAutospacing="0" w:after="0" w:afterAutospacing="0"/>
        <w:ind w:left="979"/>
        <w:jc w:val="both"/>
        <w:rPr>
          <w:rFonts w:ascii="Cambria" w:hAnsi="Cambria"/>
          <w:sz w:val="20"/>
          <w:szCs w:val="20"/>
        </w:rPr>
      </w:pPr>
    </w:p>
    <w:p w:rsidR="009F61AC" w:rsidRPr="00FC2F1B" w:rsidRDefault="009F61AC" w:rsidP="00524B87">
      <w:pPr>
        <w:pStyle w:val="NormalWeb"/>
        <w:numPr>
          <w:ilvl w:val="0"/>
          <w:numId w:val="6"/>
        </w:numPr>
        <w:tabs>
          <w:tab w:val="left" w:pos="1080"/>
        </w:tabs>
        <w:spacing w:before="0" w:beforeAutospacing="0" w:after="0" w:afterAutospacing="0"/>
        <w:ind w:left="979" w:firstLine="0"/>
        <w:jc w:val="both"/>
        <w:rPr>
          <w:rFonts w:ascii="Cambria" w:hAnsi="Cambria"/>
          <w:sz w:val="20"/>
          <w:szCs w:val="20"/>
        </w:rPr>
      </w:pPr>
      <w:r>
        <w:rPr>
          <w:rFonts w:ascii="Cambria" w:hAnsi="Cambria"/>
          <w:sz w:val="20"/>
        </w:rPr>
        <w:t xml:space="preserve">EXHORTAR a Estados Unidos a cumplir su obligación de investigar, juzgar y castigar toda instancia de tortura u otro trato cruel, inhumano o degradante que pueda haber ocurrido en el centro de detención de Guantánamo, incluso en caso de que dicho centro de detención sea cerrado.  </w:t>
      </w:r>
    </w:p>
    <w:p w:rsidR="009F61AC" w:rsidRPr="00FC2F1B" w:rsidRDefault="009F61AC" w:rsidP="009F61AC">
      <w:pPr>
        <w:jc w:val="both"/>
        <w:rPr>
          <w:rFonts w:ascii="Cambria" w:hAnsi="Cambria"/>
          <w:sz w:val="20"/>
          <w:szCs w:val="20"/>
        </w:rPr>
      </w:pPr>
    </w:p>
    <w:p w:rsidR="009F61AC" w:rsidRPr="00FC2F1B" w:rsidRDefault="009F61AC" w:rsidP="00724CD2">
      <w:pPr>
        <w:numPr>
          <w:ilvl w:val="0"/>
          <w:numId w:val="5"/>
        </w:numPr>
        <w:ind w:left="547" w:hanging="547"/>
        <w:jc w:val="both"/>
        <w:rPr>
          <w:rFonts w:ascii="Cambria" w:hAnsi="Cambria"/>
          <w:sz w:val="20"/>
          <w:szCs w:val="20"/>
        </w:rPr>
      </w:pPr>
      <w:r>
        <w:rPr>
          <w:rFonts w:ascii="Cambria" w:hAnsi="Cambria"/>
          <w:sz w:val="20"/>
        </w:rPr>
        <w:t>El 22 de Julio de 2011, la Comisión Interamericana emitió la Resolución No. 2/11 Sobre la Situación de los Detenidos en la Bahía de Guantánamo, Estados Unidos, MC 259-02</w:t>
      </w:r>
      <w:r>
        <w:rPr>
          <w:rStyle w:val="FootnoteReference"/>
          <w:rFonts w:ascii="Cambria" w:hAnsi="Cambria"/>
          <w:sz w:val="20"/>
        </w:rPr>
        <w:footnoteReference w:id="27"/>
      </w:r>
      <w:r>
        <w:rPr>
          <w:rFonts w:ascii="Cambria" w:hAnsi="Cambria"/>
          <w:sz w:val="20"/>
        </w:rPr>
        <w:t>. En esta segunda resolución, la CIDH se refirió a la posición de Estados Unidos relativa al derecho de los detenidos a la revisión judicial de los motivos para la detención continua. Al respecto, la Comisión señaló que el hecho de que las cortes estadounidenses otorguen continuamente deferencia al Poder Ejecutivo convertía este derecho en ilusorio.</w:t>
      </w:r>
    </w:p>
    <w:p w:rsidR="009F61AC" w:rsidRPr="00FC2F1B" w:rsidRDefault="009F61AC" w:rsidP="009F61AC">
      <w:pPr>
        <w:ind w:left="720"/>
        <w:jc w:val="both"/>
        <w:rPr>
          <w:rFonts w:ascii="Cambria" w:hAnsi="Cambria"/>
          <w:sz w:val="20"/>
          <w:szCs w:val="20"/>
        </w:rPr>
      </w:pPr>
    </w:p>
    <w:p w:rsidR="009F61AC" w:rsidRPr="00FC2F1B" w:rsidRDefault="009F61AC" w:rsidP="00724CD2">
      <w:pPr>
        <w:numPr>
          <w:ilvl w:val="0"/>
          <w:numId w:val="5"/>
        </w:numPr>
        <w:ind w:left="547" w:hanging="547"/>
        <w:jc w:val="both"/>
        <w:rPr>
          <w:rFonts w:ascii="Cambria" w:hAnsi="Cambria"/>
          <w:sz w:val="20"/>
          <w:szCs w:val="20"/>
        </w:rPr>
      </w:pPr>
      <w:r>
        <w:rPr>
          <w:rFonts w:ascii="Cambria" w:hAnsi="Cambria"/>
          <w:sz w:val="20"/>
        </w:rPr>
        <w:t xml:space="preserve">La Comisión Interamericana también se refirió a los 78 detenidos que, según el Ejecutivo, podían permanecer indefinidamente sin cargos penales con base en la supuesta amenaza que constituyen para la seguridad nacional de EE.UU., a pesar de que no existía suficiente prueba en su contra para asegurar una condena en las </w:t>
      </w:r>
      <w:r>
        <w:rPr>
          <w:rFonts w:ascii="Cambria" w:hAnsi="Cambria"/>
          <w:sz w:val="20"/>
        </w:rPr>
        <w:lastRenderedPageBreak/>
        <w:t xml:space="preserve">cortes de justicia. La Comisión consideró que, bajo estas circunstancias, la detención de estos individuos constituía una violación de sus derechos fundamentales. </w:t>
      </w:r>
    </w:p>
    <w:p w:rsidR="009F61AC" w:rsidRPr="00FC2F1B" w:rsidRDefault="009F61AC" w:rsidP="009F61AC">
      <w:pPr>
        <w:pStyle w:val="ListParagraph"/>
        <w:rPr>
          <w:sz w:val="20"/>
          <w:szCs w:val="20"/>
        </w:rPr>
      </w:pPr>
    </w:p>
    <w:p w:rsidR="009F61AC" w:rsidRPr="00FC2F1B" w:rsidRDefault="009F61AC" w:rsidP="00724CD2">
      <w:pPr>
        <w:numPr>
          <w:ilvl w:val="0"/>
          <w:numId w:val="5"/>
        </w:numPr>
        <w:ind w:left="547" w:hanging="547"/>
        <w:jc w:val="both"/>
        <w:rPr>
          <w:rFonts w:ascii="Cambria" w:hAnsi="Cambria"/>
          <w:sz w:val="20"/>
          <w:szCs w:val="20"/>
        </w:rPr>
      </w:pPr>
      <w:r>
        <w:rPr>
          <w:rFonts w:ascii="Cambria" w:hAnsi="Cambria"/>
          <w:sz w:val="20"/>
        </w:rPr>
        <w:t xml:space="preserve">La CIDH reiteró además su profunda preocupación respecto a la detención de niños en la Bahía de Guantánamo y el traslado de detenidos en desconocimiento del principio de </w:t>
      </w:r>
      <w:r>
        <w:rPr>
          <w:rFonts w:ascii="Cambria" w:hAnsi="Cambria"/>
          <w:i/>
          <w:sz w:val="20"/>
        </w:rPr>
        <w:t>non-</w:t>
      </w:r>
      <w:proofErr w:type="spellStart"/>
      <w:r>
        <w:rPr>
          <w:rFonts w:ascii="Cambria" w:hAnsi="Cambria"/>
          <w:i/>
          <w:sz w:val="20"/>
        </w:rPr>
        <w:t>refoulement</w:t>
      </w:r>
      <w:proofErr w:type="spellEnd"/>
      <w:r>
        <w:rPr>
          <w:rFonts w:ascii="Cambria" w:hAnsi="Cambria"/>
          <w:i/>
          <w:sz w:val="20"/>
        </w:rPr>
        <w:t xml:space="preserve">. </w:t>
      </w:r>
      <w:r>
        <w:rPr>
          <w:rFonts w:ascii="Cambria" w:hAnsi="Cambria"/>
          <w:sz w:val="20"/>
        </w:rPr>
        <w:t xml:space="preserve">La Comisión también recordó a Estados Unidos que, en situaciones de conflicto armado, tanto el derecho internacional de los derechos humanos como el derecho internacional humanitario son aplicables, y que en virtud de las obligaciones internacionales es necesario realizar investigaciones independientes e imparciales en relación con los actos de tortura. </w:t>
      </w:r>
    </w:p>
    <w:p w:rsidR="00D90F9D" w:rsidRPr="00FC2F1B" w:rsidRDefault="00D90F9D" w:rsidP="009F61AC">
      <w:pPr>
        <w:pStyle w:val="ListParagraph"/>
        <w:rPr>
          <w:sz w:val="20"/>
          <w:szCs w:val="20"/>
        </w:rPr>
      </w:pPr>
    </w:p>
    <w:p w:rsidR="009F61AC" w:rsidRPr="00FC2F1B" w:rsidRDefault="009F61AC" w:rsidP="00724CD2">
      <w:pPr>
        <w:numPr>
          <w:ilvl w:val="0"/>
          <w:numId w:val="5"/>
        </w:numPr>
        <w:ind w:left="547" w:hanging="547"/>
        <w:jc w:val="both"/>
        <w:rPr>
          <w:rFonts w:ascii="Cambria" w:hAnsi="Cambria"/>
          <w:sz w:val="20"/>
          <w:szCs w:val="20"/>
        </w:rPr>
      </w:pPr>
      <w:r>
        <w:rPr>
          <w:rFonts w:ascii="Cambria" w:hAnsi="Cambria"/>
          <w:sz w:val="20"/>
        </w:rPr>
        <w:t xml:space="preserve">La Comisión finalizó instando a Estados Unidos a: </w:t>
      </w:r>
    </w:p>
    <w:p w:rsidR="009F61AC" w:rsidRPr="00FC2F1B" w:rsidRDefault="009F61AC" w:rsidP="009F61AC">
      <w:pPr>
        <w:jc w:val="both"/>
        <w:rPr>
          <w:rFonts w:ascii="Cambria" w:hAnsi="Cambria"/>
          <w:sz w:val="20"/>
          <w:szCs w:val="20"/>
        </w:rPr>
      </w:pPr>
    </w:p>
    <w:p w:rsidR="009F61AC" w:rsidRPr="00354EC8" w:rsidRDefault="009F61AC" w:rsidP="00524B87">
      <w:pPr>
        <w:pStyle w:val="ListParagraph"/>
        <w:ind w:left="979"/>
        <w:jc w:val="both"/>
        <w:rPr>
          <w:rFonts w:asciiTheme="majorHAnsi" w:eastAsia="Calibri" w:hAnsiTheme="majorHAnsi"/>
          <w:sz w:val="20"/>
          <w:szCs w:val="20"/>
        </w:rPr>
      </w:pPr>
      <w:r>
        <w:rPr>
          <w:rFonts w:asciiTheme="majorHAnsi" w:hAnsiTheme="majorHAnsi"/>
          <w:sz w:val="20"/>
        </w:rPr>
        <w:t xml:space="preserve">[…] cerrar las instalaciones de la Bahía de Guantánamo sin demora y disponer el procesamiento o la liberación de los detenidos. Los juicios deberían llevarse a cabo de manera expedita, respetando los derechos de los procesados </w:t>
      </w:r>
      <w:proofErr w:type="spellStart"/>
      <w:r>
        <w:rPr>
          <w:rFonts w:asciiTheme="majorHAnsi" w:hAnsiTheme="majorHAnsi"/>
          <w:sz w:val="20"/>
        </w:rPr>
        <w:t>a</w:t>
      </w:r>
      <w:proofErr w:type="spellEnd"/>
      <w:r>
        <w:rPr>
          <w:rFonts w:asciiTheme="majorHAnsi" w:hAnsiTheme="majorHAnsi"/>
          <w:sz w:val="20"/>
        </w:rPr>
        <w:t xml:space="preserve"> debido proceso y a las garantías judiciales. La Comisión además insta a Estados Unidos revelar la identidad de los detenidos cuyos traslados se han aprobado y asegurar que éstos y todos los detenidos en la misma situación tengan acceso a una revisión adecuada e individualizada de los hechos que fundamenten su traslado a un país específico por parte de un órgano independiente e imparcial. </w:t>
      </w:r>
    </w:p>
    <w:p w:rsidR="009F61AC" w:rsidRPr="00FC2F1B" w:rsidRDefault="009F61AC" w:rsidP="009F61AC">
      <w:pPr>
        <w:rPr>
          <w:rFonts w:eastAsia="Calibri"/>
          <w:sz w:val="20"/>
          <w:szCs w:val="20"/>
        </w:rPr>
      </w:pPr>
    </w:p>
    <w:p w:rsidR="009F61AC" w:rsidRPr="002A4A9F" w:rsidRDefault="009F61AC" w:rsidP="0043424D">
      <w:pPr>
        <w:pStyle w:val="Heading2"/>
      </w:pPr>
      <w:bookmarkStart w:id="21" w:name="_Toc423072828"/>
      <w:r>
        <w:t>Audiencias públicas</w:t>
      </w:r>
      <w:bookmarkEnd w:id="21"/>
    </w:p>
    <w:p w:rsidR="009F61AC" w:rsidRPr="00FC2F1B" w:rsidRDefault="009F61AC" w:rsidP="009F61AC">
      <w:pPr>
        <w:ind w:left="720"/>
        <w:jc w:val="both"/>
        <w:rPr>
          <w:rFonts w:ascii="Cambria" w:hAnsi="Cambria"/>
          <w:sz w:val="20"/>
          <w:szCs w:val="20"/>
        </w:rPr>
      </w:pPr>
    </w:p>
    <w:p w:rsidR="009F61AC" w:rsidRPr="00FC2F1B" w:rsidRDefault="009F61AC" w:rsidP="00724CD2">
      <w:pPr>
        <w:numPr>
          <w:ilvl w:val="0"/>
          <w:numId w:val="5"/>
        </w:numPr>
        <w:ind w:left="547" w:hanging="547"/>
        <w:jc w:val="both"/>
        <w:rPr>
          <w:rFonts w:ascii="Cambria" w:hAnsi="Cambria"/>
          <w:sz w:val="20"/>
          <w:szCs w:val="20"/>
        </w:rPr>
      </w:pPr>
      <w:r>
        <w:rPr>
          <w:rFonts w:ascii="Cambria" w:hAnsi="Cambria"/>
          <w:sz w:val="20"/>
        </w:rPr>
        <w:t xml:space="preserve">En el marco de los períodos ordinarios de sesiones llevados a cabo en marzo y octubre de cada año, la Comisión Interamericana celebra audiencias públicas en su sede en Washington, D.C. Estas audiencias constituyen uno de los mecanismos utilizados por la CIDH para monitorear la situación actual de derechos humanos en las Américas y ofrecen una oportunidad para que las víctimas, la sociedad civil y los Estados mantengan un intercambio significativo sobre asuntos críticos. </w:t>
      </w:r>
    </w:p>
    <w:p w:rsidR="009F61AC" w:rsidRPr="00FC2F1B" w:rsidRDefault="009F61AC" w:rsidP="009F61AC">
      <w:pPr>
        <w:pStyle w:val="ListParagraph"/>
        <w:rPr>
          <w:rFonts w:cs="Calibri"/>
          <w:sz w:val="20"/>
          <w:szCs w:val="20"/>
        </w:rPr>
      </w:pPr>
    </w:p>
    <w:p w:rsidR="009F61AC" w:rsidRPr="006425BA" w:rsidRDefault="009F61AC" w:rsidP="00724CD2">
      <w:pPr>
        <w:numPr>
          <w:ilvl w:val="0"/>
          <w:numId w:val="5"/>
        </w:numPr>
        <w:ind w:left="547" w:hanging="547"/>
        <w:jc w:val="both"/>
        <w:rPr>
          <w:rFonts w:ascii="Cambria" w:hAnsi="Cambria" w:cs="Calibri"/>
          <w:sz w:val="20"/>
          <w:szCs w:val="20"/>
        </w:rPr>
      </w:pPr>
      <w:r w:rsidRPr="006425BA">
        <w:rPr>
          <w:rFonts w:ascii="Cambria" w:hAnsi="Cambria"/>
          <w:sz w:val="20"/>
        </w:rPr>
        <w:t>Como parte de sus esfuerzos constantes por monitorear la situación de derechos humanos en la Bahía de Guantánamo, la Comisión ha celebrado once audiencias entre 2002 y marzo de 2015 para abordar distintos aspectos relacionados con la situación de derechos humanos de los detenidos. Seis de esas audiencias se celebraron para dar seguimiento a las medidas cautelares otorgadas a favor de personas detenidas en Guantánamo (MC 259-02)</w:t>
      </w:r>
      <w:r w:rsidRPr="006425BA">
        <w:rPr>
          <w:rStyle w:val="FootnoteReference"/>
          <w:rFonts w:ascii="Cambria" w:hAnsi="Cambria"/>
          <w:sz w:val="20"/>
        </w:rPr>
        <w:footnoteReference w:id="28"/>
      </w:r>
      <w:r w:rsidRPr="006425BA">
        <w:rPr>
          <w:rFonts w:ascii="Cambria" w:hAnsi="Cambria"/>
          <w:sz w:val="20"/>
        </w:rPr>
        <w:t xml:space="preserve">. En una de esas seis audiencias se dio además seguimiento a la medida cautelar otorgada por la CIDH a favor de </w:t>
      </w:r>
      <w:proofErr w:type="spellStart"/>
      <w:r w:rsidRPr="006425BA">
        <w:rPr>
          <w:rFonts w:ascii="Cambria" w:hAnsi="Cambria"/>
          <w:sz w:val="20"/>
        </w:rPr>
        <w:t>Djamel</w:t>
      </w:r>
      <w:proofErr w:type="spellEnd"/>
      <w:r w:rsidRPr="006425BA">
        <w:rPr>
          <w:rFonts w:ascii="Cambria" w:hAnsi="Cambria"/>
          <w:sz w:val="20"/>
        </w:rPr>
        <w:t xml:space="preserve"> </w:t>
      </w:r>
      <w:proofErr w:type="spellStart"/>
      <w:r w:rsidRPr="006425BA">
        <w:rPr>
          <w:rFonts w:ascii="Cambria" w:hAnsi="Cambria"/>
          <w:sz w:val="20"/>
        </w:rPr>
        <w:t>Ameziane</w:t>
      </w:r>
      <w:proofErr w:type="spellEnd"/>
      <w:r w:rsidRPr="006425BA">
        <w:rPr>
          <w:rFonts w:ascii="Cambria" w:hAnsi="Cambria"/>
          <w:sz w:val="20"/>
        </w:rPr>
        <w:t xml:space="preserve"> (MC 211/08)</w:t>
      </w:r>
      <w:r w:rsidRPr="006425BA">
        <w:rPr>
          <w:rStyle w:val="FootnoteReference"/>
          <w:rFonts w:ascii="Cambria" w:hAnsi="Cambria"/>
          <w:sz w:val="20"/>
        </w:rPr>
        <w:footnoteReference w:id="29"/>
      </w:r>
      <w:r w:rsidRPr="006425BA">
        <w:rPr>
          <w:rFonts w:ascii="Cambria" w:hAnsi="Cambria"/>
          <w:sz w:val="20"/>
        </w:rPr>
        <w:t xml:space="preserve">.  </w:t>
      </w:r>
    </w:p>
    <w:p w:rsidR="009F61AC" w:rsidRPr="006425BA" w:rsidRDefault="009F61AC" w:rsidP="009F61AC">
      <w:pPr>
        <w:pStyle w:val="ListParagraph"/>
        <w:rPr>
          <w:rFonts w:cs="Calibri"/>
          <w:sz w:val="20"/>
          <w:szCs w:val="20"/>
        </w:rPr>
      </w:pPr>
    </w:p>
    <w:p w:rsidR="009F61AC" w:rsidRPr="006425BA" w:rsidRDefault="009F61AC" w:rsidP="00724CD2">
      <w:pPr>
        <w:numPr>
          <w:ilvl w:val="0"/>
          <w:numId w:val="5"/>
        </w:numPr>
        <w:ind w:left="547" w:hanging="547"/>
        <w:jc w:val="both"/>
        <w:rPr>
          <w:rFonts w:ascii="Cambria" w:hAnsi="Cambria"/>
          <w:sz w:val="20"/>
          <w:szCs w:val="20"/>
        </w:rPr>
      </w:pPr>
      <w:r w:rsidRPr="006425BA">
        <w:rPr>
          <w:rFonts w:ascii="Cambria" w:hAnsi="Cambria"/>
          <w:sz w:val="20"/>
        </w:rPr>
        <w:t xml:space="preserve">Asimismo, el 29 de octubre de 2010, la Comisión celebró una audiencia sobre la admisibilidad de la Petición 900-08 presentada a favor de </w:t>
      </w:r>
      <w:proofErr w:type="spellStart"/>
      <w:r w:rsidRPr="006425BA">
        <w:rPr>
          <w:rFonts w:ascii="Cambria" w:hAnsi="Cambria"/>
          <w:sz w:val="20"/>
        </w:rPr>
        <w:t>Ameziane</w:t>
      </w:r>
      <w:proofErr w:type="spellEnd"/>
      <w:r w:rsidRPr="006425BA">
        <w:rPr>
          <w:rFonts w:ascii="Cambria" w:hAnsi="Cambria"/>
          <w:sz w:val="20"/>
        </w:rPr>
        <w:t>, en el marco de la cual recibió alegatos de los peticionarios y del Estado</w:t>
      </w:r>
      <w:r w:rsidRPr="006425BA">
        <w:rPr>
          <w:rStyle w:val="FootnoteReference"/>
          <w:rFonts w:ascii="Cambria" w:hAnsi="Cambria"/>
          <w:sz w:val="20"/>
        </w:rPr>
        <w:footnoteReference w:id="30"/>
      </w:r>
      <w:r w:rsidRPr="006425BA">
        <w:rPr>
          <w:rFonts w:ascii="Cambria" w:hAnsi="Cambria"/>
          <w:sz w:val="20"/>
        </w:rPr>
        <w:t xml:space="preserve">. El 13 de marzo de 2013, la CIDH celebró una audiencia sobre la solicitud de medidas cautelares presentada a favor de Omar </w:t>
      </w:r>
      <w:proofErr w:type="spellStart"/>
      <w:r w:rsidRPr="006425BA">
        <w:rPr>
          <w:rFonts w:ascii="Cambria" w:hAnsi="Cambria"/>
          <w:sz w:val="20"/>
        </w:rPr>
        <w:t>Khadr</w:t>
      </w:r>
      <w:proofErr w:type="spellEnd"/>
      <w:r w:rsidRPr="006425BA">
        <w:rPr>
          <w:rFonts w:ascii="Cambria" w:hAnsi="Cambria"/>
          <w:sz w:val="20"/>
        </w:rPr>
        <w:t xml:space="preserve">, que más adelante fueron otorgadas (ver MC 8-06 </w:t>
      </w:r>
      <w:r w:rsidRPr="006425BA">
        <w:rPr>
          <w:rFonts w:ascii="Cambria" w:hAnsi="Cambria"/>
          <w:i/>
          <w:sz w:val="20"/>
        </w:rPr>
        <w:t>supra</w:t>
      </w:r>
      <w:r w:rsidRPr="006425BA">
        <w:rPr>
          <w:rFonts w:ascii="Cambria" w:hAnsi="Cambria"/>
          <w:sz w:val="20"/>
        </w:rPr>
        <w:t>)</w:t>
      </w:r>
      <w:r w:rsidRPr="006425BA">
        <w:rPr>
          <w:rStyle w:val="FootnoteReference"/>
          <w:rFonts w:ascii="Cambria" w:hAnsi="Cambria"/>
          <w:sz w:val="20"/>
        </w:rPr>
        <w:footnoteReference w:id="31"/>
      </w:r>
      <w:r w:rsidRPr="006425BA">
        <w:rPr>
          <w:rFonts w:ascii="Cambria" w:hAnsi="Cambria"/>
          <w:sz w:val="20"/>
        </w:rPr>
        <w:t xml:space="preserve">.  </w:t>
      </w:r>
    </w:p>
    <w:p w:rsidR="009F61AC" w:rsidRPr="006425BA" w:rsidRDefault="009F61AC" w:rsidP="009F61AC">
      <w:pPr>
        <w:pStyle w:val="ListParagraph"/>
        <w:rPr>
          <w:sz w:val="20"/>
          <w:szCs w:val="20"/>
        </w:rPr>
      </w:pPr>
    </w:p>
    <w:p w:rsidR="009F61AC" w:rsidRPr="006425BA" w:rsidRDefault="009F61AC" w:rsidP="0040296B">
      <w:pPr>
        <w:numPr>
          <w:ilvl w:val="0"/>
          <w:numId w:val="5"/>
        </w:numPr>
        <w:ind w:left="547" w:hanging="547"/>
        <w:jc w:val="both"/>
        <w:rPr>
          <w:rFonts w:ascii="Cambria" w:hAnsi="Cambria"/>
          <w:sz w:val="20"/>
          <w:szCs w:val="20"/>
        </w:rPr>
      </w:pPr>
      <w:r w:rsidRPr="006425BA">
        <w:rPr>
          <w:rFonts w:ascii="Cambria" w:hAnsi="Cambria"/>
          <w:sz w:val="20"/>
        </w:rPr>
        <w:t>Las tres audiencias más recientes sobre Guantánamo tuvieron lugar el 12 de marzo de 2013, 28 de octubre de 2013 y 16 de marzo de 2015</w:t>
      </w:r>
      <w:r w:rsidRPr="006425BA">
        <w:rPr>
          <w:rStyle w:val="FootnoteReference"/>
          <w:rFonts w:ascii="Cambria" w:hAnsi="Cambria"/>
          <w:sz w:val="20"/>
        </w:rPr>
        <w:footnoteReference w:id="32"/>
      </w:r>
      <w:r w:rsidRPr="006425BA">
        <w:rPr>
          <w:rFonts w:ascii="Cambria" w:hAnsi="Cambria"/>
          <w:sz w:val="20"/>
        </w:rPr>
        <w:t xml:space="preserve">. La Comisión Interamericana recibió información sobre los últimos desarrollos relativos a la situación de los detenidos en Guantánamo, en particular en relación con los obstáculos para el traslado de detenidos, la huelga de hambre iniciada en febrero de 2013 como medida de protesta contra la detención indefinida, la alimentación forzada, la segregación y aislamiento crecientes de los detenidos, </w:t>
      </w:r>
      <w:r w:rsidR="002B26F9" w:rsidRPr="006425BA">
        <w:rPr>
          <w:rFonts w:ascii="Cambria" w:hAnsi="Cambria"/>
          <w:sz w:val="20"/>
        </w:rPr>
        <w:t xml:space="preserve">y el uso de leyes de clasificación por parte del Gobierno de Estados Unidos para restringir la investigación </w:t>
      </w:r>
      <w:r w:rsidR="00653683" w:rsidRPr="006425BA">
        <w:rPr>
          <w:rFonts w:ascii="Cambria" w:hAnsi="Cambria"/>
          <w:sz w:val="20"/>
        </w:rPr>
        <w:t xml:space="preserve">y </w:t>
      </w:r>
      <w:r w:rsidR="005373B0" w:rsidRPr="006425BA">
        <w:rPr>
          <w:rFonts w:ascii="Cambria" w:hAnsi="Cambria"/>
          <w:sz w:val="20"/>
        </w:rPr>
        <w:t>reparación</w:t>
      </w:r>
      <w:r w:rsidR="00653683" w:rsidRPr="006425BA">
        <w:rPr>
          <w:rFonts w:ascii="Cambria" w:hAnsi="Cambria"/>
          <w:sz w:val="20"/>
        </w:rPr>
        <w:t xml:space="preserve"> por actos de tortura y otros tratos crueles, inhumanos y degradantes</w:t>
      </w:r>
      <w:r w:rsidRPr="006425BA">
        <w:rPr>
          <w:rFonts w:ascii="Cambria" w:hAnsi="Cambria"/>
          <w:sz w:val="20"/>
        </w:rPr>
        <w:t xml:space="preserve">. </w:t>
      </w:r>
    </w:p>
    <w:p w:rsidR="00D90F9D" w:rsidRPr="00FC2F1B" w:rsidRDefault="00D90F9D" w:rsidP="009F61AC">
      <w:pPr>
        <w:pStyle w:val="ListParagraph"/>
        <w:ind w:left="0"/>
        <w:rPr>
          <w:sz w:val="20"/>
          <w:szCs w:val="20"/>
        </w:rPr>
      </w:pPr>
      <w:bookmarkStart w:id="22" w:name="_Toc399929483"/>
      <w:bookmarkStart w:id="23" w:name="_Toc407981969"/>
    </w:p>
    <w:p w:rsidR="009F61AC" w:rsidRPr="00D01C73" w:rsidRDefault="009F61AC" w:rsidP="0043424D">
      <w:pPr>
        <w:pStyle w:val="Heading2"/>
        <w:rPr>
          <w:rFonts w:eastAsia="Arial Unicode MS"/>
        </w:rPr>
      </w:pPr>
      <w:bookmarkStart w:id="24" w:name="_Toc423072829"/>
      <w:r>
        <w:t>Sistema de peticiones individuales</w:t>
      </w:r>
      <w:bookmarkEnd w:id="24"/>
    </w:p>
    <w:bookmarkEnd w:id="22"/>
    <w:bookmarkEnd w:id="23"/>
    <w:p w:rsidR="009F61AC" w:rsidRPr="00FC2F1B" w:rsidRDefault="009F61AC" w:rsidP="00724CD2">
      <w:pPr>
        <w:numPr>
          <w:ilvl w:val="0"/>
          <w:numId w:val="5"/>
        </w:numPr>
        <w:ind w:left="547" w:hanging="547"/>
        <w:jc w:val="both"/>
        <w:rPr>
          <w:rFonts w:ascii="Cambria" w:hAnsi="Cambria"/>
          <w:sz w:val="20"/>
          <w:szCs w:val="20"/>
        </w:rPr>
      </w:pPr>
      <w:r>
        <w:rPr>
          <w:rFonts w:ascii="Cambria" w:hAnsi="Cambria"/>
          <w:sz w:val="20"/>
        </w:rPr>
        <w:t xml:space="preserve">La Comisión Interamericana también ha abordado la situación de derechos humanos en Guantánamo a través del sistema de casos individuales, utilizado por víctimas y sociedad civil de las Américas con miras a determinar la responsabilidad de los gobiernos por las violaciones de derechos humanos. </w:t>
      </w:r>
    </w:p>
    <w:p w:rsidR="009F61AC" w:rsidRPr="00FC2F1B" w:rsidRDefault="009F61AC" w:rsidP="009F61AC">
      <w:pPr>
        <w:ind w:left="720"/>
        <w:jc w:val="both"/>
        <w:rPr>
          <w:rFonts w:ascii="Cambria" w:hAnsi="Cambria"/>
          <w:sz w:val="20"/>
          <w:szCs w:val="20"/>
        </w:rPr>
      </w:pPr>
    </w:p>
    <w:p w:rsidR="009F61AC" w:rsidRPr="00FC2F1B" w:rsidRDefault="009F61AC" w:rsidP="00724CD2">
      <w:pPr>
        <w:numPr>
          <w:ilvl w:val="0"/>
          <w:numId w:val="5"/>
        </w:numPr>
        <w:ind w:left="547" w:hanging="547"/>
        <w:jc w:val="both"/>
        <w:rPr>
          <w:rFonts w:ascii="Cambria" w:hAnsi="Cambria"/>
          <w:sz w:val="20"/>
          <w:szCs w:val="20"/>
        </w:rPr>
      </w:pPr>
      <w:r>
        <w:rPr>
          <w:rFonts w:ascii="Cambria" w:hAnsi="Cambria"/>
          <w:sz w:val="20"/>
        </w:rPr>
        <w:t xml:space="preserve">En 2012, la CIDH declaró admisible el caso de </w:t>
      </w:r>
      <w:proofErr w:type="spellStart"/>
      <w:r>
        <w:rPr>
          <w:rFonts w:ascii="Cambria" w:hAnsi="Cambria"/>
          <w:sz w:val="20"/>
        </w:rPr>
        <w:t>Djamel</w:t>
      </w:r>
      <w:proofErr w:type="spellEnd"/>
      <w:r>
        <w:rPr>
          <w:rFonts w:ascii="Cambria" w:hAnsi="Cambria"/>
          <w:sz w:val="20"/>
        </w:rPr>
        <w:t xml:space="preserve"> </w:t>
      </w:r>
      <w:proofErr w:type="spellStart"/>
      <w:r>
        <w:rPr>
          <w:rFonts w:ascii="Cambria" w:hAnsi="Cambria"/>
          <w:sz w:val="20"/>
        </w:rPr>
        <w:t>Ameziane</w:t>
      </w:r>
      <w:proofErr w:type="spellEnd"/>
      <w:r>
        <w:rPr>
          <w:rFonts w:ascii="Cambria" w:hAnsi="Cambria"/>
          <w:sz w:val="20"/>
        </w:rPr>
        <w:t xml:space="preserve">, un ciudadano argelino detenido en Guantánamo sin cargos en su contra desde 2002 y cuya liberación había sido autorizada en 2008. Los peticionarios alegaron que </w:t>
      </w:r>
      <w:proofErr w:type="spellStart"/>
      <w:r>
        <w:rPr>
          <w:rFonts w:ascii="Cambria" w:hAnsi="Cambria"/>
          <w:sz w:val="20"/>
        </w:rPr>
        <w:t>Ameziane</w:t>
      </w:r>
      <w:proofErr w:type="spellEnd"/>
      <w:r>
        <w:rPr>
          <w:rFonts w:ascii="Cambria" w:hAnsi="Cambria"/>
          <w:sz w:val="20"/>
        </w:rPr>
        <w:t xml:space="preserve"> fue torturado en Guantánamo y que la legalidad de su detención no había sido determinada por un tribunal competente. Alegaron asimismo que </w:t>
      </w:r>
      <w:proofErr w:type="spellStart"/>
      <w:r>
        <w:rPr>
          <w:rFonts w:ascii="Cambria" w:hAnsi="Cambria"/>
          <w:sz w:val="20"/>
        </w:rPr>
        <w:t>Ameziane</w:t>
      </w:r>
      <w:proofErr w:type="spellEnd"/>
      <w:r>
        <w:rPr>
          <w:rFonts w:ascii="Cambria" w:hAnsi="Cambria"/>
          <w:sz w:val="20"/>
        </w:rPr>
        <w:t xml:space="preserve"> corría el riesgo de ser trasladado a Argelia, donde temía ser perseguido. </w:t>
      </w:r>
    </w:p>
    <w:p w:rsidR="009F61AC" w:rsidRPr="00FC2F1B" w:rsidRDefault="009F61AC" w:rsidP="009F61AC">
      <w:pPr>
        <w:pStyle w:val="ListParagraph"/>
        <w:rPr>
          <w:sz w:val="20"/>
          <w:szCs w:val="20"/>
        </w:rPr>
      </w:pPr>
    </w:p>
    <w:p w:rsidR="009F61AC" w:rsidRPr="00FC2F1B" w:rsidRDefault="009F61AC" w:rsidP="00724CD2">
      <w:pPr>
        <w:numPr>
          <w:ilvl w:val="0"/>
          <w:numId w:val="5"/>
        </w:numPr>
        <w:ind w:left="547" w:hanging="547"/>
        <w:jc w:val="both"/>
        <w:rPr>
          <w:rFonts w:ascii="Cambria" w:hAnsi="Cambria"/>
          <w:sz w:val="20"/>
          <w:szCs w:val="20"/>
        </w:rPr>
      </w:pPr>
      <w:r>
        <w:rPr>
          <w:rFonts w:ascii="Cambria" w:hAnsi="Cambria"/>
          <w:sz w:val="20"/>
        </w:rPr>
        <w:t xml:space="preserve">A pesar de las preocupaciones de los peticionarios y la solicitud de la CIDH al Estado, </w:t>
      </w:r>
      <w:proofErr w:type="spellStart"/>
      <w:r>
        <w:rPr>
          <w:rFonts w:ascii="Cambria" w:hAnsi="Cambria"/>
          <w:sz w:val="20"/>
        </w:rPr>
        <w:t>Ameziane</w:t>
      </w:r>
      <w:proofErr w:type="spellEnd"/>
      <w:r>
        <w:rPr>
          <w:rFonts w:ascii="Cambria" w:hAnsi="Cambria"/>
          <w:sz w:val="20"/>
        </w:rPr>
        <w:t xml:space="preserve"> fue repatriado forzosamente a Argelia el 5 de diciembre de 2013, en violación del principio de </w:t>
      </w:r>
      <w:r>
        <w:rPr>
          <w:rFonts w:ascii="Cambria" w:hAnsi="Cambria"/>
          <w:i/>
          <w:sz w:val="20"/>
        </w:rPr>
        <w:t>non-</w:t>
      </w:r>
      <w:proofErr w:type="spellStart"/>
      <w:r>
        <w:rPr>
          <w:rFonts w:ascii="Cambria" w:hAnsi="Cambria"/>
          <w:sz w:val="20"/>
        </w:rPr>
        <w:t>refoulement</w:t>
      </w:r>
      <w:proofErr w:type="spellEnd"/>
      <w:r>
        <w:rPr>
          <w:rFonts w:ascii="Cambria" w:hAnsi="Cambria"/>
          <w:i/>
          <w:sz w:val="20"/>
        </w:rPr>
        <w:t>.</w:t>
      </w:r>
      <w:r>
        <w:rPr>
          <w:rFonts w:ascii="Cambria" w:hAnsi="Cambria"/>
          <w:sz w:val="20"/>
        </w:rPr>
        <w:t xml:space="preserve"> Como se indicó más arriba, la Comisión Interamericana condenó públicamente esta repatriación forzada</w:t>
      </w:r>
      <w:r>
        <w:rPr>
          <w:rStyle w:val="FootnoteReference"/>
          <w:rFonts w:ascii="Cambria" w:hAnsi="Cambria"/>
          <w:sz w:val="20"/>
        </w:rPr>
        <w:footnoteReference w:id="33"/>
      </w:r>
      <w:r>
        <w:rPr>
          <w:rFonts w:ascii="Cambria" w:hAnsi="Cambria"/>
          <w:sz w:val="20"/>
        </w:rPr>
        <w:t xml:space="preserve">. </w:t>
      </w:r>
    </w:p>
    <w:p w:rsidR="009F61AC" w:rsidRPr="00FC2F1B" w:rsidRDefault="009F61AC" w:rsidP="009F61AC">
      <w:pPr>
        <w:pStyle w:val="ListParagraph"/>
        <w:rPr>
          <w:sz w:val="20"/>
          <w:szCs w:val="20"/>
        </w:rPr>
      </w:pPr>
    </w:p>
    <w:p w:rsidR="009F61AC" w:rsidRPr="00FC2F1B" w:rsidRDefault="009F61AC" w:rsidP="00724CD2">
      <w:pPr>
        <w:numPr>
          <w:ilvl w:val="0"/>
          <w:numId w:val="5"/>
        </w:numPr>
        <w:ind w:left="547" w:hanging="547"/>
        <w:jc w:val="both"/>
        <w:rPr>
          <w:rFonts w:ascii="Cambria" w:hAnsi="Cambria"/>
          <w:sz w:val="20"/>
          <w:szCs w:val="20"/>
        </w:rPr>
      </w:pPr>
      <w:r>
        <w:rPr>
          <w:rFonts w:ascii="Cambria" w:hAnsi="Cambria"/>
          <w:sz w:val="20"/>
        </w:rPr>
        <w:lastRenderedPageBreak/>
        <w:t>La CIDH concluyó que el caso es admisible en relación con las denuncias relativas a la supuesta violación de los artículos I, II, III, V, VI, XI, XVIII, XXV y XXVI de la Declaración Americana</w:t>
      </w:r>
      <w:r>
        <w:rPr>
          <w:rStyle w:val="FootnoteReference"/>
          <w:rFonts w:ascii="Cambria" w:hAnsi="Cambria"/>
          <w:sz w:val="20"/>
        </w:rPr>
        <w:footnoteReference w:id="34"/>
      </w:r>
      <w:r>
        <w:rPr>
          <w:rFonts w:ascii="Cambria" w:hAnsi="Cambria"/>
          <w:sz w:val="20"/>
        </w:rPr>
        <w:t xml:space="preserve">. Esta decisión de admisibilidad constituye la primera ocasión en que la Comisión Interamericana admitió tener jurisdicción sobre el caso de un individuo detenido en Guantánamo. En esta etapa inicial, la CIDH declaró que Estados Unidos estaba ejerciendo su jurisdicción durante la detención en la base aérea estadounidense en Kandahar, Afganistán, así como durante su detención en Guantánamo por más de una década. Si bien estos hechos tuvieron lugar fuera del territorio de Estados Unidos, con base en su jurisprudencia previa, la CIDH concluyó que las acciones extraterritoriales pueden caer bajo su competencia cuando la víctima se encuentre bajo la autoridad y control efectivos de los agentes del Estado denunciado. El caso se encuentra pendiente de una decisión sobre el fondo. </w:t>
      </w:r>
      <w:bookmarkStart w:id="25" w:name="_Toc399929484"/>
      <w:bookmarkStart w:id="26" w:name="_Toc407981970"/>
    </w:p>
    <w:p w:rsidR="009F61AC" w:rsidRPr="00FC2F1B" w:rsidRDefault="009F61AC" w:rsidP="009F61AC">
      <w:pPr>
        <w:rPr>
          <w:sz w:val="20"/>
          <w:szCs w:val="20"/>
        </w:rPr>
      </w:pPr>
    </w:p>
    <w:p w:rsidR="009F61AC" w:rsidRPr="002A4A9F" w:rsidRDefault="009F61AC" w:rsidP="0043424D">
      <w:pPr>
        <w:pStyle w:val="Heading2"/>
      </w:pPr>
      <w:bookmarkStart w:id="27" w:name="_Toc423072830"/>
      <w:r>
        <w:t>Solicitudes de visita al centro de detención</w:t>
      </w:r>
      <w:bookmarkEnd w:id="27"/>
    </w:p>
    <w:bookmarkEnd w:id="25"/>
    <w:bookmarkEnd w:id="26"/>
    <w:p w:rsidR="009F61AC" w:rsidRPr="00FC2F1B" w:rsidRDefault="009F61AC" w:rsidP="00724CD2">
      <w:pPr>
        <w:numPr>
          <w:ilvl w:val="0"/>
          <w:numId w:val="5"/>
        </w:numPr>
        <w:ind w:left="547" w:hanging="547"/>
        <w:jc w:val="both"/>
        <w:rPr>
          <w:rFonts w:ascii="Cambria" w:hAnsi="Cambria"/>
          <w:sz w:val="20"/>
          <w:szCs w:val="20"/>
        </w:rPr>
      </w:pPr>
      <w:r>
        <w:rPr>
          <w:rFonts w:ascii="Cambria" w:hAnsi="Cambria"/>
          <w:sz w:val="20"/>
        </w:rPr>
        <w:t>En cumplimiento de su mandato, la CIDH, a través de su Relatoría sobre los Derechos de las Personas Privadas de Libertad, lleva a cabo visitas de trabajo a cárceles y otros lugares de privación de libertad en toda la región. Estas visitas tienen el propósito de verificar la situación general de los sistemas de privación de libertad y emitir recomendaciones concretas para los Estados. En la última década, la Relatoría ha visitado centros de detención en 16 Estados Miembros</w:t>
      </w:r>
      <w:r>
        <w:rPr>
          <w:rStyle w:val="FootnoteReference"/>
          <w:rFonts w:ascii="Cambria" w:hAnsi="Cambria"/>
          <w:sz w:val="20"/>
        </w:rPr>
        <w:footnoteReference w:id="35"/>
      </w:r>
      <w:r>
        <w:rPr>
          <w:rFonts w:ascii="Cambria" w:hAnsi="Cambria"/>
          <w:sz w:val="20"/>
        </w:rPr>
        <w:t>.</w:t>
      </w:r>
    </w:p>
    <w:p w:rsidR="009F61AC" w:rsidRPr="00FC2F1B" w:rsidRDefault="009F61AC" w:rsidP="009F61AC">
      <w:pPr>
        <w:ind w:left="720"/>
        <w:jc w:val="both"/>
        <w:rPr>
          <w:rFonts w:ascii="Cambria" w:hAnsi="Cambria"/>
          <w:sz w:val="20"/>
          <w:szCs w:val="20"/>
        </w:rPr>
      </w:pPr>
    </w:p>
    <w:p w:rsidR="009F61AC" w:rsidRPr="00FC2F1B" w:rsidRDefault="009F61AC" w:rsidP="00724CD2">
      <w:pPr>
        <w:numPr>
          <w:ilvl w:val="0"/>
          <w:numId w:val="5"/>
        </w:numPr>
        <w:ind w:left="547" w:hanging="547"/>
        <w:jc w:val="both"/>
        <w:rPr>
          <w:rFonts w:ascii="Cambria" w:hAnsi="Cambria"/>
          <w:sz w:val="20"/>
          <w:szCs w:val="20"/>
        </w:rPr>
      </w:pPr>
      <w:r>
        <w:rPr>
          <w:rFonts w:ascii="Cambria" w:hAnsi="Cambria"/>
          <w:sz w:val="20"/>
        </w:rPr>
        <w:t>La Comisión Interamericana lleva a cabo visitas a centros de detención bajo la condición de que se le permita tener un acceso directo y privado a las personas detenidas. De conformidad con el artículo 57 de su Reglamento, “[…] las observaciones</w:t>
      </w:r>
      <w:r>
        <w:rPr>
          <w:rFonts w:ascii="Cambria" w:hAnsi="Cambria"/>
          <w:i/>
          <w:sz w:val="20"/>
        </w:rPr>
        <w:t xml:space="preserve"> in loco</w:t>
      </w:r>
      <w:r>
        <w:rPr>
          <w:rFonts w:ascii="Cambria" w:hAnsi="Cambria"/>
          <w:sz w:val="20"/>
        </w:rPr>
        <w:t xml:space="preserve"> que acuerde la Comisión Interamericana se realizarán de conformidad con las siguientes normas:</w:t>
      </w:r>
    </w:p>
    <w:p w:rsidR="009F61AC" w:rsidRPr="00FC2F1B" w:rsidRDefault="009F61AC" w:rsidP="009F61AC">
      <w:pPr>
        <w:ind w:left="720"/>
        <w:jc w:val="both"/>
        <w:rPr>
          <w:rFonts w:ascii="Cambria" w:hAnsi="Cambria"/>
          <w:sz w:val="20"/>
          <w:szCs w:val="20"/>
        </w:rPr>
      </w:pPr>
    </w:p>
    <w:p w:rsidR="009F61AC" w:rsidRPr="00FC2F1B" w:rsidRDefault="009F61AC" w:rsidP="00524B87">
      <w:pPr>
        <w:numPr>
          <w:ilvl w:val="0"/>
          <w:numId w:val="7"/>
        </w:numPr>
        <w:tabs>
          <w:tab w:val="left" w:pos="1080"/>
        </w:tabs>
        <w:ind w:left="979" w:firstLine="0"/>
        <w:jc w:val="both"/>
        <w:rPr>
          <w:rFonts w:ascii="Cambria" w:hAnsi="Cambria"/>
          <w:sz w:val="20"/>
          <w:szCs w:val="20"/>
        </w:rPr>
      </w:pPr>
      <w:r>
        <w:rPr>
          <w:rFonts w:ascii="Cambria" w:hAnsi="Cambria"/>
          <w:sz w:val="20"/>
        </w:rPr>
        <w:t>la Comisión Especial o cualquiera de sus miembros podrá entrevistar, libre y privadamente, a personas, grupos, entidades o instituciones;</w:t>
      </w:r>
    </w:p>
    <w:p w:rsidR="009F61AC" w:rsidRPr="00FC2F1B" w:rsidRDefault="009F61AC" w:rsidP="00524B87">
      <w:pPr>
        <w:tabs>
          <w:tab w:val="left" w:pos="1080"/>
        </w:tabs>
        <w:ind w:left="979"/>
        <w:jc w:val="both"/>
        <w:rPr>
          <w:rFonts w:ascii="Cambria" w:hAnsi="Cambria"/>
          <w:sz w:val="20"/>
          <w:szCs w:val="20"/>
        </w:rPr>
      </w:pPr>
    </w:p>
    <w:p w:rsidR="009F61AC" w:rsidRPr="00FC2F1B" w:rsidRDefault="009F61AC" w:rsidP="00524B87">
      <w:pPr>
        <w:numPr>
          <w:ilvl w:val="0"/>
          <w:numId w:val="7"/>
        </w:numPr>
        <w:tabs>
          <w:tab w:val="left" w:pos="1080"/>
        </w:tabs>
        <w:ind w:left="979" w:firstLine="0"/>
        <w:jc w:val="both"/>
        <w:rPr>
          <w:rFonts w:ascii="Cambria" w:hAnsi="Cambria"/>
          <w:sz w:val="20"/>
          <w:szCs w:val="20"/>
        </w:rPr>
      </w:pPr>
      <w:r>
        <w:rPr>
          <w:rFonts w:ascii="Cambria" w:hAnsi="Cambria"/>
          <w:sz w:val="20"/>
        </w:rPr>
        <w:t>el Estado deberá otorgar las garantías necesarias a quienes suministren a la Comisión Especial informaciones, testimonios o pruebas de cualquier carácter;</w:t>
      </w:r>
    </w:p>
    <w:p w:rsidR="009F61AC" w:rsidRPr="00FC2F1B" w:rsidRDefault="009F61AC" w:rsidP="00524B87">
      <w:pPr>
        <w:pStyle w:val="ListParagraph"/>
        <w:tabs>
          <w:tab w:val="left" w:pos="1080"/>
        </w:tabs>
        <w:ind w:left="979"/>
        <w:rPr>
          <w:sz w:val="20"/>
          <w:szCs w:val="20"/>
        </w:rPr>
      </w:pPr>
    </w:p>
    <w:p w:rsidR="009F61AC" w:rsidRPr="00FC2F1B" w:rsidRDefault="009F61AC" w:rsidP="00524B87">
      <w:pPr>
        <w:tabs>
          <w:tab w:val="left" w:pos="1080"/>
        </w:tabs>
        <w:ind w:left="979"/>
        <w:jc w:val="both"/>
        <w:rPr>
          <w:rFonts w:ascii="Cambria" w:hAnsi="Cambria"/>
          <w:sz w:val="20"/>
          <w:szCs w:val="20"/>
        </w:rPr>
      </w:pPr>
      <w:r>
        <w:rPr>
          <w:rFonts w:ascii="Cambria" w:hAnsi="Cambria"/>
          <w:sz w:val="20"/>
        </w:rPr>
        <w:t>[…]</w:t>
      </w:r>
    </w:p>
    <w:p w:rsidR="009F61AC" w:rsidRPr="00FC2F1B" w:rsidRDefault="009F61AC" w:rsidP="00524B87">
      <w:pPr>
        <w:pStyle w:val="ListParagraph"/>
        <w:tabs>
          <w:tab w:val="left" w:pos="1080"/>
        </w:tabs>
        <w:ind w:left="979"/>
        <w:rPr>
          <w:sz w:val="20"/>
          <w:szCs w:val="20"/>
        </w:rPr>
      </w:pPr>
    </w:p>
    <w:p w:rsidR="009F61AC" w:rsidRPr="00FC2F1B" w:rsidRDefault="009F61AC" w:rsidP="00524B87">
      <w:pPr>
        <w:numPr>
          <w:ilvl w:val="0"/>
          <w:numId w:val="8"/>
        </w:numPr>
        <w:tabs>
          <w:tab w:val="left" w:pos="1080"/>
        </w:tabs>
        <w:ind w:left="979" w:firstLine="0"/>
        <w:jc w:val="both"/>
        <w:rPr>
          <w:rFonts w:ascii="Cambria" w:hAnsi="Cambria"/>
          <w:sz w:val="20"/>
          <w:szCs w:val="20"/>
        </w:rPr>
      </w:pPr>
      <w:r>
        <w:rPr>
          <w:rFonts w:ascii="Cambria" w:hAnsi="Cambria"/>
          <w:sz w:val="20"/>
        </w:rPr>
        <w:t>los miembros de la Comisión Especial tendrán acceso a las cárceles y todos los otros sitios de detención e interrogación y podrán entrevistar privadamente a las personas recluidas o detenidas;”</w:t>
      </w:r>
    </w:p>
    <w:p w:rsidR="009F61AC" w:rsidRPr="00FC2F1B" w:rsidRDefault="009F61AC" w:rsidP="009F61AC">
      <w:pPr>
        <w:pStyle w:val="ListParagraph"/>
        <w:ind w:left="0"/>
        <w:rPr>
          <w:sz w:val="20"/>
          <w:szCs w:val="20"/>
        </w:rPr>
      </w:pPr>
    </w:p>
    <w:p w:rsidR="009F61AC" w:rsidRPr="00FC2F1B" w:rsidRDefault="009F61AC" w:rsidP="00724CD2">
      <w:pPr>
        <w:numPr>
          <w:ilvl w:val="0"/>
          <w:numId w:val="5"/>
        </w:numPr>
        <w:ind w:left="547" w:hanging="547"/>
        <w:jc w:val="both"/>
        <w:rPr>
          <w:rFonts w:ascii="Cambria" w:hAnsi="Cambria"/>
          <w:sz w:val="20"/>
          <w:szCs w:val="20"/>
        </w:rPr>
      </w:pPr>
      <w:r>
        <w:rPr>
          <w:rFonts w:ascii="Cambria" w:hAnsi="Cambria"/>
          <w:sz w:val="20"/>
        </w:rPr>
        <w:lastRenderedPageBreak/>
        <w:t>En 2007, la CIDH solicitó la anuencia de Estados Unidos para realizar una visita al centro de detención de la Base Naval Estadounidense en Guantánamo. Representantes del gobierno de Estados Unidos comunicaron a la Comisión que la visita podía llevarse a cabo, pero que no se permitiría a la delegación comunicarse libremente con los detenidos, limitación que la CIDH consideró inaceptable. El 4 de marzo de 2008, el Presidente de la CIDH informó lo siguiente al Comité de Asuntos Jurídicos y Políticos del Consejo Permanente de la OEA</w:t>
      </w:r>
      <w:r>
        <w:rPr>
          <w:rStyle w:val="FootnoteReference"/>
          <w:rFonts w:ascii="Cambria" w:hAnsi="Cambria"/>
          <w:sz w:val="20"/>
        </w:rPr>
        <w:footnoteReference w:id="36"/>
      </w:r>
      <w:r>
        <w:rPr>
          <w:rFonts w:ascii="Cambria" w:hAnsi="Cambria"/>
          <w:sz w:val="20"/>
        </w:rPr>
        <w:t>:</w:t>
      </w:r>
    </w:p>
    <w:p w:rsidR="009F61AC" w:rsidRPr="00FC2F1B" w:rsidRDefault="009F61AC" w:rsidP="009F61AC">
      <w:pPr>
        <w:jc w:val="both"/>
        <w:rPr>
          <w:rFonts w:ascii="Cambria" w:hAnsi="Cambria"/>
          <w:sz w:val="20"/>
          <w:szCs w:val="20"/>
        </w:rPr>
      </w:pPr>
    </w:p>
    <w:p w:rsidR="009F61AC" w:rsidRPr="00FC2F1B" w:rsidRDefault="009F61AC" w:rsidP="00354EC8">
      <w:pPr>
        <w:ind w:left="979"/>
        <w:jc w:val="both"/>
        <w:rPr>
          <w:rFonts w:ascii="Cambria" w:hAnsi="Cambria"/>
          <w:sz w:val="20"/>
          <w:szCs w:val="20"/>
        </w:rPr>
      </w:pPr>
      <w:r>
        <w:rPr>
          <w:rFonts w:ascii="Cambria" w:hAnsi="Cambria"/>
          <w:sz w:val="20"/>
        </w:rPr>
        <w:t>La Comisión también procuró autorización en 2007 para realizar una visita a la bahía de Guantánamo, Cuba, para supervisar las condiciones de detención allí de los cientos de ciudadanos de varios países que han sido detenidos por períodos prolongados. Aunque representantes del gobierno de Estados Unidos indicaron, que la Comisión sí podía visitar la base de Guantánamo, comunicaron que no se permitiría que la Comisión se comunicara libremente con los detenidos. La Comisión declinó realizar la visita con tales limitaciones.</w:t>
      </w:r>
    </w:p>
    <w:p w:rsidR="009F61AC" w:rsidRPr="00FC2F1B" w:rsidRDefault="009F61AC" w:rsidP="009F61AC">
      <w:pPr>
        <w:jc w:val="both"/>
        <w:rPr>
          <w:rFonts w:ascii="Cambria" w:hAnsi="Cambria"/>
          <w:sz w:val="20"/>
          <w:szCs w:val="20"/>
        </w:rPr>
      </w:pPr>
    </w:p>
    <w:p w:rsidR="009F61AC" w:rsidRPr="00FC2F1B" w:rsidRDefault="009F61AC" w:rsidP="00724CD2">
      <w:pPr>
        <w:numPr>
          <w:ilvl w:val="0"/>
          <w:numId w:val="5"/>
        </w:numPr>
        <w:ind w:left="547" w:hanging="547"/>
        <w:jc w:val="both"/>
        <w:rPr>
          <w:rFonts w:ascii="Cambria" w:hAnsi="Cambria"/>
          <w:sz w:val="20"/>
          <w:szCs w:val="20"/>
        </w:rPr>
      </w:pPr>
      <w:r>
        <w:rPr>
          <w:rFonts w:ascii="Cambria" w:hAnsi="Cambria"/>
          <w:sz w:val="20"/>
        </w:rPr>
        <w:t xml:space="preserve">En 2011, la CIDH reiteró su solicitud de anuencia para realizar la visita. La Comisión recibió una respuesta de Estados Unidos el 26 de agosto de 2011, señalando que la anuencia se otorga bajo los mismos "términos y condiciones" comunicados a la Comisión en 2007. Una de dichas condiciones establece que Estados Unidos reconoce únicamente al Comité Internacional de la Cruz Roja (CICR) como órgano de protección en relación con las personas detenidas en Guantánamo, y que por lo tanto sólo permite acceso directo a los detenidos a miembros de dicho Comité. </w:t>
      </w:r>
    </w:p>
    <w:p w:rsidR="009F61AC" w:rsidRPr="00FC2F1B" w:rsidRDefault="009F61AC" w:rsidP="009F61AC">
      <w:pPr>
        <w:ind w:left="720"/>
        <w:jc w:val="both"/>
        <w:rPr>
          <w:rFonts w:ascii="Cambria" w:hAnsi="Cambria"/>
          <w:sz w:val="20"/>
          <w:szCs w:val="20"/>
        </w:rPr>
      </w:pPr>
    </w:p>
    <w:p w:rsidR="009F61AC" w:rsidRPr="00FC2F1B" w:rsidRDefault="009F61AC" w:rsidP="00724CD2">
      <w:pPr>
        <w:numPr>
          <w:ilvl w:val="0"/>
          <w:numId w:val="5"/>
        </w:numPr>
        <w:ind w:left="547" w:hanging="547"/>
        <w:jc w:val="both"/>
        <w:rPr>
          <w:rFonts w:ascii="Cambria" w:hAnsi="Cambria"/>
          <w:sz w:val="20"/>
          <w:szCs w:val="20"/>
        </w:rPr>
      </w:pPr>
      <w:r>
        <w:rPr>
          <w:rFonts w:ascii="Cambria" w:hAnsi="Cambria"/>
          <w:sz w:val="20"/>
        </w:rPr>
        <w:t>El 24 de julio de 2013, la Comisión Interamericana reiteró su solicitud para realizar una visita al centro de detención estadounidense en Guantánamo, visita que debe incluir acceso directo y privado a los detenidos y que no admite otras condiciones previas. La CIDH recibió la misma respuesta del gobierno de EE.UU.</w:t>
      </w:r>
    </w:p>
    <w:p w:rsidR="009F61AC" w:rsidRPr="00FC2F1B" w:rsidRDefault="009F61AC" w:rsidP="009F61AC">
      <w:pPr>
        <w:pStyle w:val="ListParagraph"/>
        <w:ind w:left="0"/>
        <w:rPr>
          <w:sz w:val="20"/>
          <w:szCs w:val="20"/>
        </w:rPr>
      </w:pPr>
      <w:bookmarkStart w:id="28" w:name="_Toc399929485"/>
      <w:bookmarkStart w:id="29" w:name="_Toc407981971"/>
    </w:p>
    <w:p w:rsidR="009F61AC" w:rsidRPr="00D01C73" w:rsidRDefault="009F61AC" w:rsidP="0043424D">
      <w:pPr>
        <w:pStyle w:val="Heading2"/>
        <w:rPr>
          <w:rFonts w:eastAsia="Arial Unicode MS"/>
        </w:rPr>
      </w:pPr>
      <w:bookmarkStart w:id="30" w:name="_Toc423072831"/>
      <w:r>
        <w:t>Comunicados de prensa</w:t>
      </w:r>
      <w:bookmarkEnd w:id="30"/>
    </w:p>
    <w:bookmarkEnd w:id="28"/>
    <w:bookmarkEnd w:id="29"/>
    <w:p w:rsidR="009F61AC" w:rsidRPr="00FC2F1B" w:rsidRDefault="009F61AC" w:rsidP="00724CD2">
      <w:pPr>
        <w:numPr>
          <w:ilvl w:val="0"/>
          <w:numId w:val="5"/>
        </w:numPr>
        <w:ind w:left="547" w:hanging="547"/>
        <w:jc w:val="both"/>
        <w:rPr>
          <w:rFonts w:ascii="Cambria" w:hAnsi="Cambria"/>
          <w:sz w:val="20"/>
          <w:szCs w:val="20"/>
        </w:rPr>
      </w:pPr>
      <w:r>
        <w:rPr>
          <w:rFonts w:ascii="Cambria" w:hAnsi="Cambria"/>
          <w:sz w:val="20"/>
        </w:rPr>
        <w:t>Desde 2006, la Comisión Interamericana ha emitido nueve comunicados de prensa relacionados con la situación de derechos humanos de las personas detenidas en Guantánamo, a través de los cuales la CIDH ha enfocado su atención en tres áreas de especial preocupación: la necesidad de cerrar inmediatamente el centro de detención, las condiciones de detención, y el traslado forzado de los detenidos de Guantánamo</w:t>
      </w:r>
      <w:r>
        <w:rPr>
          <w:rStyle w:val="FootnoteReference"/>
          <w:rFonts w:ascii="Cambria" w:hAnsi="Cambria"/>
          <w:sz w:val="20"/>
        </w:rPr>
        <w:footnoteReference w:id="37"/>
      </w:r>
      <w:r>
        <w:rPr>
          <w:rFonts w:ascii="Cambria" w:hAnsi="Cambria"/>
          <w:sz w:val="20"/>
        </w:rPr>
        <w:t xml:space="preserve">. </w:t>
      </w:r>
    </w:p>
    <w:p w:rsidR="009F61AC" w:rsidRPr="00FC2F1B" w:rsidRDefault="009F61AC" w:rsidP="009F61AC">
      <w:pPr>
        <w:ind w:left="720"/>
        <w:jc w:val="both"/>
        <w:rPr>
          <w:rFonts w:ascii="Cambria" w:hAnsi="Cambria"/>
          <w:sz w:val="20"/>
          <w:szCs w:val="20"/>
        </w:rPr>
      </w:pPr>
    </w:p>
    <w:p w:rsidR="009F61AC" w:rsidRPr="00FC2F1B" w:rsidRDefault="009F61AC" w:rsidP="00724CD2">
      <w:pPr>
        <w:numPr>
          <w:ilvl w:val="0"/>
          <w:numId w:val="5"/>
        </w:numPr>
        <w:ind w:left="547" w:hanging="547"/>
        <w:jc w:val="both"/>
        <w:rPr>
          <w:rFonts w:ascii="Cambria" w:hAnsi="Cambria"/>
          <w:sz w:val="20"/>
          <w:szCs w:val="20"/>
        </w:rPr>
      </w:pPr>
      <w:r>
        <w:rPr>
          <w:rFonts w:ascii="Cambria" w:hAnsi="Cambria"/>
          <w:sz w:val="20"/>
        </w:rPr>
        <w:t xml:space="preserve">El comunicado de prensa 29/13 sobre la detención indefinida de personas en Guantánamo fue la primera declaración realizada por la CIDH en conjunto con cuatro titulares de mandato bajo procedimientos especiales de Naciones Unidas. Este llamado urgente al gobierno de Estados Unidos a respetar y garantizar la vida, salud e integridad personal de los detenidos fue formulado ante la crisis de </w:t>
      </w:r>
      <w:r>
        <w:rPr>
          <w:rFonts w:ascii="Cambria" w:hAnsi="Cambria"/>
          <w:sz w:val="20"/>
        </w:rPr>
        <w:lastRenderedPageBreak/>
        <w:t>derechos humanos causada por la huelga de hambre iniciada en febrero de 2013 por un grupo de detenidos</w:t>
      </w:r>
      <w:r>
        <w:rPr>
          <w:rStyle w:val="FootnoteReference"/>
          <w:rFonts w:ascii="Cambria" w:hAnsi="Cambria"/>
          <w:sz w:val="20"/>
        </w:rPr>
        <w:footnoteReference w:id="38"/>
      </w:r>
      <w:r>
        <w:rPr>
          <w:rFonts w:ascii="Cambria" w:hAnsi="Cambria"/>
          <w:sz w:val="20"/>
        </w:rPr>
        <w:t>.</w:t>
      </w:r>
    </w:p>
    <w:p w:rsidR="00DB24DC" w:rsidRDefault="00DB24DC" w:rsidP="009F61AC">
      <w:pPr>
        <w:pStyle w:val="ListParagraph"/>
        <w:rPr>
          <w:sz w:val="20"/>
          <w:szCs w:val="20"/>
        </w:rPr>
      </w:pPr>
    </w:p>
    <w:p w:rsidR="009F61AC" w:rsidRPr="00D01C73" w:rsidRDefault="009F61AC" w:rsidP="0043424D">
      <w:pPr>
        <w:pStyle w:val="Heading2"/>
        <w:rPr>
          <w:rFonts w:eastAsia="Arial Unicode MS"/>
        </w:rPr>
      </w:pPr>
      <w:bookmarkStart w:id="31" w:name="_Toc423072832"/>
      <w:r>
        <w:t>Reunión de expertos</w:t>
      </w:r>
      <w:bookmarkEnd w:id="31"/>
    </w:p>
    <w:p w:rsidR="009F61AC" w:rsidRPr="00FC2F1B" w:rsidRDefault="009F61AC" w:rsidP="00724CD2">
      <w:pPr>
        <w:numPr>
          <w:ilvl w:val="0"/>
          <w:numId w:val="5"/>
        </w:numPr>
        <w:ind w:left="547" w:hanging="547"/>
        <w:jc w:val="both"/>
        <w:rPr>
          <w:rFonts w:ascii="Cambria" w:hAnsi="Cambria"/>
          <w:sz w:val="20"/>
          <w:szCs w:val="20"/>
        </w:rPr>
      </w:pPr>
      <w:r>
        <w:rPr>
          <w:rFonts w:ascii="Cambria" w:hAnsi="Cambria"/>
          <w:sz w:val="20"/>
        </w:rPr>
        <w:t xml:space="preserve">Como indicado en el párrafo 7, el 3 de octubre de 2013 la Comisión Interamericana organizó una reunión de expertos sobre la situación de los detenidos en la Bahía de Guantánamo, con el objetivo de recabar insumos especializados para la preparación del presente informe. A esta reunión de alto nivel, celebrada en la sede de la Comisión en Washington D.C., asistieron once expertos y expertas de diferentes ámbitos, entre ellos </w:t>
      </w:r>
      <w:proofErr w:type="spellStart"/>
      <w:r>
        <w:rPr>
          <w:rFonts w:ascii="Cambria" w:hAnsi="Cambria"/>
          <w:sz w:val="20"/>
        </w:rPr>
        <w:t>Clifford</w:t>
      </w:r>
      <w:proofErr w:type="spellEnd"/>
      <w:r>
        <w:rPr>
          <w:rFonts w:ascii="Cambria" w:hAnsi="Cambria"/>
          <w:sz w:val="20"/>
        </w:rPr>
        <w:t xml:space="preserve"> M. </w:t>
      </w:r>
      <w:proofErr w:type="spellStart"/>
      <w:r>
        <w:rPr>
          <w:rFonts w:ascii="Cambria" w:hAnsi="Cambria"/>
          <w:sz w:val="20"/>
        </w:rPr>
        <w:t>Sloan</w:t>
      </w:r>
      <w:proofErr w:type="spellEnd"/>
      <w:r>
        <w:rPr>
          <w:rFonts w:ascii="Cambria" w:hAnsi="Cambria"/>
          <w:sz w:val="20"/>
        </w:rPr>
        <w:t>, entonces Enviado Especial para el Cierre de Guantánamo en el Departamento de Estado de Estados Unidos. La reunión proporcionó a la Comisión valiosa información y le permitió ver el asunto en consideración desde múltiples perspectivas.</w:t>
      </w:r>
    </w:p>
    <w:p w:rsidR="00564245" w:rsidRPr="00FC2F1B" w:rsidRDefault="00564245" w:rsidP="00564245">
      <w:pPr>
        <w:rPr>
          <w:rFonts w:ascii="Cambria" w:hAnsi="Cambria" w:cs="Calibri"/>
          <w:sz w:val="20"/>
          <w:szCs w:val="20"/>
        </w:rPr>
      </w:pPr>
    </w:p>
    <w:p w:rsidR="00564245" w:rsidRPr="00FC2F1B" w:rsidRDefault="00564245" w:rsidP="00564245">
      <w:pPr>
        <w:tabs>
          <w:tab w:val="center" w:pos="4680"/>
          <w:tab w:val="left" w:pos="6511"/>
        </w:tabs>
        <w:rPr>
          <w:rFonts w:ascii="Cambria" w:hAnsi="Cambria" w:cs="Calibri"/>
          <w:color w:val="808080"/>
          <w:sz w:val="20"/>
          <w:szCs w:val="20"/>
        </w:rPr>
      </w:pPr>
    </w:p>
    <w:p w:rsidR="00564245" w:rsidRPr="00FC2F1B" w:rsidRDefault="00564245" w:rsidP="00564245">
      <w:pPr>
        <w:tabs>
          <w:tab w:val="center" w:pos="4680"/>
          <w:tab w:val="left" w:pos="6511"/>
        </w:tabs>
        <w:rPr>
          <w:rFonts w:cs="Calibri"/>
          <w:color w:val="808080"/>
          <w:sz w:val="20"/>
          <w:szCs w:val="20"/>
        </w:rPr>
      </w:pPr>
    </w:p>
    <w:p w:rsidR="006A0F4C" w:rsidRPr="00FC2F1B" w:rsidRDefault="006A0F4C" w:rsidP="00225F6F">
      <w:pPr>
        <w:jc w:val="both"/>
        <w:rPr>
          <w:sz w:val="20"/>
          <w:szCs w:val="20"/>
        </w:rPr>
      </w:pPr>
    </w:p>
    <w:p w:rsidR="00747F82" w:rsidRPr="00FC2F1B" w:rsidRDefault="00747F82" w:rsidP="00225F6F">
      <w:pPr>
        <w:jc w:val="both"/>
        <w:sectPr w:rsidR="00747F82" w:rsidRPr="00FC2F1B" w:rsidSect="009171F5">
          <w:headerReference w:type="default" r:id="rId27"/>
          <w:footerReference w:type="default" r:id="rId28"/>
          <w:type w:val="oddPage"/>
          <w:pgSz w:w="10325" w:h="14573" w:code="13"/>
          <w:pgMar w:top="1152" w:right="1152" w:bottom="1152" w:left="1440" w:header="720" w:footer="720" w:gutter="0"/>
          <w:cols w:space="720"/>
          <w:docGrid w:linePitch="326"/>
        </w:sectPr>
      </w:pPr>
    </w:p>
    <w:p w:rsidR="00747F82" w:rsidRPr="00E40A04" w:rsidRDefault="00747F82" w:rsidP="008F7672">
      <w:pPr>
        <w:jc w:val="center"/>
        <w:rPr>
          <w:rFonts w:ascii="Cambria" w:hAnsi="Cambria"/>
          <w:color w:val="0D0D0D" w:themeColor="text1" w:themeTint="F2"/>
          <w:spacing w:val="-10"/>
          <w:w w:val="90"/>
          <w:sz w:val="52"/>
          <w:szCs w:val="52"/>
        </w:rPr>
        <w:sectPr w:rsidR="00747F82" w:rsidRPr="00E40A04" w:rsidSect="00D5085F">
          <w:headerReference w:type="default" r:id="rId29"/>
          <w:footerReference w:type="default" r:id="rId30"/>
          <w:type w:val="oddPage"/>
          <w:pgSz w:w="10325" w:h="14573" w:code="13"/>
          <w:pgMar w:top="1152" w:right="1152" w:bottom="1152" w:left="1440" w:header="288" w:footer="288" w:gutter="0"/>
          <w:cols w:space="720"/>
          <w:vAlign w:val="center"/>
          <w:docGrid w:linePitch="326"/>
        </w:sectPr>
      </w:pPr>
      <w:r>
        <w:rPr>
          <w:rFonts w:ascii="Cambria" w:hAnsi="Cambria"/>
          <w:color w:val="808080" w:themeColor="background1" w:themeShade="80"/>
          <w:spacing w:val="-10"/>
          <w:sz w:val="48"/>
        </w:rPr>
        <w:lastRenderedPageBreak/>
        <w:t>CAPÍTULO 3</w:t>
      </w:r>
      <w:r>
        <w:rPr>
          <w:rFonts w:ascii="Cambria" w:hAnsi="Cambria"/>
          <w:color w:val="808080" w:themeColor="background1" w:themeShade="80"/>
          <w:spacing w:val="-10"/>
          <w:sz w:val="48"/>
          <w:szCs w:val="48"/>
        </w:rPr>
        <w:br/>
      </w:r>
      <w:r w:rsidRPr="00D5085F">
        <w:rPr>
          <w:rFonts w:ascii="Cambria" w:hAnsi="Cambria"/>
          <w:color w:val="4A442A" w:themeColor="background2" w:themeShade="40"/>
          <w:spacing w:val="-10"/>
          <w:w w:val="90"/>
          <w:sz w:val="52"/>
        </w:rPr>
        <w:t>CONDICIONES DE DETENCIÓN</w:t>
      </w:r>
    </w:p>
    <w:p w:rsidR="00AD56DA" w:rsidRDefault="00AD56DA" w:rsidP="00747F82">
      <w:pPr>
        <w:pStyle w:val="Heading1"/>
        <w:rPr>
          <w:color w:val="4A442A"/>
        </w:rPr>
      </w:pPr>
    </w:p>
    <w:p w:rsidR="00AD56DA" w:rsidRDefault="00AD56DA" w:rsidP="00747F82">
      <w:pPr>
        <w:pStyle w:val="Heading1"/>
        <w:rPr>
          <w:color w:val="4A442A"/>
        </w:rPr>
      </w:pPr>
    </w:p>
    <w:p w:rsidR="00410A88" w:rsidRPr="00FC2F1B" w:rsidRDefault="00C8425A" w:rsidP="00747F82">
      <w:pPr>
        <w:pStyle w:val="Heading1"/>
        <w:rPr>
          <w:color w:val="4A442A"/>
        </w:rPr>
      </w:pPr>
      <w:bookmarkStart w:id="32" w:name="_Toc423072833"/>
      <w:r>
        <w:rPr>
          <w:color w:val="4A442A"/>
        </w:rPr>
        <w:t>CONDICIONES DE DETENCIÓN</w:t>
      </w:r>
      <w:bookmarkEnd w:id="32"/>
    </w:p>
    <w:p w:rsidR="00410A88" w:rsidRPr="00FC2F1B" w:rsidRDefault="00410A88" w:rsidP="00225F6F">
      <w:pPr>
        <w:ind w:left="360"/>
        <w:jc w:val="both"/>
        <w:rPr>
          <w:sz w:val="20"/>
          <w:szCs w:val="20"/>
        </w:rPr>
      </w:pPr>
    </w:p>
    <w:p w:rsidR="00747F82" w:rsidRPr="00FC2F1B" w:rsidRDefault="00747F82" w:rsidP="00225F6F">
      <w:pPr>
        <w:ind w:left="360"/>
        <w:jc w:val="both"/>
        <w:rPr>
          <w:sz w:val="20"/>
          <w:szCs w:val="20"/>
        </w:rPr>
      </w:pPr>
    </w:p>
    <w:p w:rsidR="00747F82" w:rsidRPr="00FC2F1B" w:rsidRDefault="00747F82" w:rsidP="00225F6F">
      <w:pPr>
        <w:ind w:left="360"/>
        <w:jc w:val="both"/>
        <w:rPr>
          <w:sz w:val="20"/>
          <w:szCs w:val="20"/>
        </w:rPr>
      </w:pPr>
    </w:p>
    <w:p w:rsidR="00747F82" w:rsidRPr="00FC2F1B" w:rsidRDefault="00747F82" w:rsidP="00225F6F">
      <w:pPr>
        <w:ind w:left="360"/>
        <w:jc w:val="both"/>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Uno de los mandatos de la Comisión Interamericana de Derechos Humanos, al que se da cumplimiento con el apoyo de su Relatoría sobre los Derechos de las Personas Privadas de Libertad, es el de monitorear las condiciones de privación de libertad en los centros de detención de todo el hemisferio. Como parte de este mandato, la CIDH ha dado seguimiento cercano a las condiciones de detención en la Base Naval de EE.UU. en la Bahía de Guantánamo. En 2005, la Comisión amplió el ámbito de las medidas cautelares 259-02 para solicitar que Estados Unidos investigue, juzgue y sancione todos los casos de tortura y otros malos tratos que podrían haber sido perpetrados en Guantánamo. Desde entonces, la CIDH ha monitoreado la situación a través de las medidas cautelares, audiencias públicas y reuniones de trabajo.</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Este capítulo se enfocará primero en la evolución de la situación jurídica de los prisioneros en Guantánamo y los cambios en la posición del gobierno estadounidense desde 2009. También abordará cómo los estándares interamericanos deben aplicarse en tiempos de conflicto armado, específicamente cómo debe llevarse a cabo la privación de libertad en el contexto de conflictos armados. Este capítulo después se referirá a los principales asuntos que rodean el derecho a la integridad personal de los detenidos, en particular el uso autorizado de la tortura en los interrogatorios durante los primeros años de las detenciones en Guantánamo, así como el rol de los profesionales de la salud que participaron o consintieron dichos actos y su responsabilidad. Más adelante, la CIDH identificará algunas áreas de preocupación tales como las condiciones de detención en el Campo 7, los problemas en la provisión de cuidados de salud adaptados a las necesidades de los detenidos, así como los asuntos relacionados con la religión y la cultura. Finalmente, este capítulo evaluará cómo el gobierno de Estados Unidos ha enfrentado las huelgas de hambre, las cuales se han convertido en la principal forma de protesta en Guantánamo, a la luz de las obligaciones estatales respecto de las personas privadas de libertad. </w:t>
      </w:r>
    </w:p>
    <w:p w:rsidR="00C8425A" w:rsidRPr="00FC2F1B" w:rsidRDefault="00C8425A" w:rsidP="00C8425A">
      <w:pPr>
        <w:jc w:val="both"/>
        <w:rPr>
          <w:rFonts w:ascii="Cambria" w:hAnsi="Cambria"/>
          <w:sz w:val="20"/>
          <w:szCs w:val="20"/>
        </w:rPr>
      </w:pPr>
    </w:p>
    <w:p w:rsidR="00C8425A" w:rsidRPr="00952501" w:rsidRDefault="00C8425A" w:rsidP="00354EC8">
      <w:pPr>
        <w:pStyle w:val="Heading2"/>
        <w:numPr>
          <w:ilvl w:val="0"/>
          <w:numId w:val="30"/>
        </w:numPr>
        <w:ind w:left="547" w:hanging="547"/>
      </w:pPr>
      <w:bookmarkStart w:id="33" w:name="_Toc423072834"/>
      <w:r>
        <w:t>Derecho a la libertad personal y detención indefinida</w:t>
      </w:r>
      <w:bookmarkEnd w:id="33"/>
    </w:p>
    <w:p w:rsidR="00C8425A" w:rsidRPr="00FC2F1B" w:rsidRDefault="00C8425A" w:rsidP="00C8425A">
      <w:pPr>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El derecho a la libertad y seguridad personales y a no ser detenido arbitrariamente está establecido en los artículos I y XXV de la Declaración Americana de la siguiente forma: </w:t>
      </w:r>
    </w:p>
    <w:p w:rsidR="00C8425A" w:rsidRPr="00FC2F1B" w:rsidRDefault="00C8425A" w:rsidP="00C8425A">
      <w:pPr>
        <w:pStyle w:val="ListParagraph"/>
        <w:jc w:val="both"/>
        <w:rPr>
          <w:rFonts w:ascii="Cambria" w:hAnsi="Cambria"/>
          <w:sz w:val="20"/>
          <w:szCs w:val="20"/>
        </w:rPr>
      </w:pPr>
    </w:p>
    <w:p w:rsidR="00C8425A" w:rsidRPr="00FC2F1B" w:rsidRDefault="00C8425A" w:rsidP="00354EC8">
      <w:pPr>
        <w:pStyle w:val="NormalWeb"/>
        <w:spacing w:before="0" w:beforeAutospacing="0" w:after="0" w:afterAutospacing="0"/>
        <w:ind w:left="979"/>
        <w:jc w:val="both"/>
        <w:rPr>
          <w:rFonts w:ascii="Cambria" w:hAnsi="Cambria"/>
          <w:sz w:val="20"/>
          <w:szCs w:val="20"/>
        </w:rPr>
      </w:pPr>
      <w:r>
        <w:rPr>
          <w:rFonts w:ascii="Cambria" w:hAnsi="Cambria"/>
          <w:sz w:val="20"/>
        </w:rPr>
        <w:t xml:space="preserve">Artículo I.  Todo ser humano tiene derecho a la vida, a la libertad y a la seguridad de su persona. </w:t>
      </w:r>
    </w:p>
    <w:p w:rsidR="00C8425A" w:rsidRPr="00FC2F1B" w:rsidRDefault="00C8425A" w:rsidP="00354EC8">
      <w:pPr>
        <w:ind w:left="979"/>
        <w:jc w:val="both"/>
        <w:rPr>
          <w:rFonts w:ascii="Cambria" w:hAnsi="Cambria"/>
          <w:sz w:val="20"/>
          <w:szCs w:val="20"/>
        </w:rPr>
      </w:pPr>
    </w:p>
    <w:p w:rsidR="00C8425A" w:rsidRPr="00FC2F1B" w:rsidRDefault="00C8425A" w:rsidP="00354EC8">
      <w:pPr>
        <w:ind w:left="979"/>
        <w:jc w:val="both"/>
        <w:rPr>
          <w:rFonts w:ascii="Cambria" w:hAnsi="Cambria"/>
          <w:sz w:val="20"/>
          <w:szCs w:val="20"/>
        </w:rPr>
      </w:pPr>
      <w:r>
        <w:rPr>
          <w:rFonts w:ascii="Cambria" w:hAnsi="Cambria"/>
          <w:sz w:val="20"/>
        </w:rPr>
        <w:lastRenderedPageBreak/>
        <w:t>Artículo XXV.  Nadie puede ser privado de su libertad sino en los casos y según las formas establecidas por leyes preexistentes. Nadie puede ser detenido por incumplimiento de obligaciones de carácter netamente civil. Todo individuo que haya sido privado de su libertad tiene derecho a que el juez verifique sin demora la legalidad de la medida y a ser juzgado sin dilación injustificada, o, de lo contrario, a ser puesto en libertad.  Tiene derecho también a un tratamiento humano durante la privación de su libertad.</w:t>
      </w:r>
    </w:p>
    <w:p w:rsidR="00C8425A" w:rsidRPr="00FC2F1B" w:rsidRDefault="00C8425A" w:rsidP="00C8425A">
      <w:pPr>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La CIDH observa que la Declaración Americana debe ser interpretada de forma tal que sus normas tengan un efecto útil: en otras palabras, deben servir efectivamente el propósito de protección para el cual fueron creadas</w:t>
      </w:r>
      <w:r>
        <w:rPr>
          <w:rStyle w:val="FootnoteReference"/>
          <w:rFonts w:ascii="Cambria" w:hAnsi="Cambria"/>
          <w:sz w:val="20"/>
        </w:rPr>
        <w:footnoteReference w:id="39"/>
      </w:r>
      <w:r>
        <w:rPr>
          <w:rFonts w:ascii="Cambria" w:hAnsi="Cambria"/>
          <w:sz w:val="20"/>
        </w:rPr>
        <w:t xml:space="preserve">. Por tanto, los términos de la Declaración deben ser interpretados con el fin de garantizar que los derechos en ella establecidos sean prácticos y efectivos y no teóricos o ilusorios, y esto también aplica al derecho a la libertad personal (artículo I) y a no ser detenido arbitrariamente (artículo XXV). </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Entre las numerosas garantías encaminadas a la protección de las personas contra la interferencia ilegítima o arbitraria de su libertad por parte del Estado se encuentran “los requisitos de que toda privación de la libertad se realice de acuerdo con una ley preestablecida, que el detenido sea informado de las razones de su detención y notificado sin demora de las acusaciones que se le imputan; que toda persona privada de su libertad tiene derecho a un recurso jurídico, a obtener, sin demora, una determinación de la legalidad de su detención; y que la persona sea juzgada dentro de un plazo razonable o liberada mientras continúa el proceso”</w:t>
      </w:r>
      <w:r>
        <w:rPr>
          <w:rStyle w:val="FootnoteReference"/>
          <w:rFonts w:ascii="Cambria" w:hAnsi="Cambria"/>
          <w:sz w:val="20"/>
        </w:rPr>
        <w:footnoteReference w:id="40"/>
      </w:r>
      <w:r>
        <w:rPr>
          <w:rFonts w:ascii="Cambria" w:hAnsi="Cambria"/>
          <w:sz w:val="20"/>
        </w:rPr>
        <w:t>.</w:t>
      </w:r>
    </w:p>
    <w:p w:rsidR="00C8425A" w:rsidRPr="00FC2F1B" w:rsidRDefault="00C8425A" w:rsidP="00C8425A">
      <w:pPr>
        <w:pStyle w:val="ListParagrap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La Declaración Americana y otros instrumentos universales y regionales no fueron diseñados específicamente para regular situaciones de conflicto armado y, por ende, no contienen normas específicas que gobiernen el uso de la fuerza y los medios y métodos de combate. En consecuencia, la CIDH observa y aplica los estándares definitorios  y las reglas relevantes del derecho internacional humanitario como directrices de fuentes de autoridad al momento de evaluar supuestas violaciones a la Declaración Americana y a la Convención Americana en situaciones de combate</w:t>
      </w:r>
      <w:r>
        <w:rPr>
          <w:rStyle w:val="FootnoteReference"/>
          <w:rFonts w:ascii="Cambria" w:hAnsi="Cambria"/>
          <w:sz w:val="20"/>
        </w:rPr>
        <w:footnoteReference w:id="41"/>
      </w:r>
      <w:r>
        <w:rPr>
          <w:rFonts w:ascii="Cambria" w:hAnsi="Cambria"/>
          <w:sz w:val="20"/>
        </w:rPr>
        <w:t>.</w:t>
      </w:r>
    </w:p>
    <w:p w:rsidR="00C8425A" w:rsidRPr="00FC2F1B" w:rsidRDefault="00C8425A" w:rsidP="00C8425A">
      <w:pPr>
        <w:pStyle w:val="ListParagrap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Al analizar peticiones individuales que involucran supuestos abusos por parte de agentes del Estado y sus representantes en el contexto de conflictos armados, la Comisión invoca las disposiciones establecidas tanto en el derecho de los derechos humanos como en el derecho internacional humanitario. La Comisión procede de esta forma porque ambos cuerpos normativos se aplican durante los conflictos armados, aunque en algunas ocasiones el derecho internacional humanitario puede servir como </w:t>
      </w:r>
      <w:proofErr w:type="spellStart"/>
      <w:r>
        <w:rPr>
          <w:rFonts w:ascii="Cambria" w:hAnsi="Cambria"/>
          <w:i/>
          <w:sz w:val="20"/>
        </w:rPr>
        <w:t>lex</w:t>
      </w:r>
      <w:proofErr w:type="spellEnd"/>
      <w:r>
        <w:rPr>
          <w:rFonts w:ascii="Cambria" w:hAnsi="Cambria"/>
          <w:i/>
          <w:sz w:val="20"/>
        </w:rPr>
        <w:t xml:space="preserve"> </w:t>
      </w:r>
      <w:proofErr w:type="spellStart"/>
      <w:r>
        <w:rPr>
          <w:rFonts w:ascii="Cambria" w:hAnsi="Cambria"/>
          <w:i/>
          <w:sz w:val="20"/>
        </w:rPr>
        <w:t>specialis</w:t>
      </w:r>
      <w:proofErr w:type="spellEnd"/>
      <w:r>
        <w:rPr>
          <w:rFonts w:ascii="Cambria" w:hAnsi="Cambria"/>
          <w:i/>
          <w:sz w:val="20"/>
        </w:rPr>
        <w:t xml:space="preserve">, </w:t>
      </w:r>
      <w:r>
        <w:rPr>
          <w:rFonts w:ascii="Cambria" w:hAnsi="Cambria"/>
          <w:sz w:val="20"/>
        </w:rPr>
        <w:t xml:space="preserve">ofreciendo estándares más específicos para el análisis. Debe notarse, sin embargo, que en los casos que involucran supuestos abusos por </w:t>
      </w:r>
      <w:r>
        <w:rPr>
          <w:rFonts w:ascii="Cambria" w:hAnsi="Cambria"/>
          <w:sz w:val="20"/>
        </w:rPr>
        <w:lastRenderedPageBreak/>
        <w:t>agentes estatales que no ocurren en el contexto de hostilidades, la CIDH aplica únicamente las normas de derechos humanos</w:t>
      </w:r>
      <w:r>
        <w:rPr>
          <w:rStyle w:val="FootnoteReference"/>
          <w:rFonts w:ascii="Cambria" w:hAnsi="Cambria"/>
          <w:sz w:val="20"/>
        </w:rPr>
        <w:footnoteReference w:id="42"/>
      </w:r>
      <w:r>
        <w:rPr>
          <w:rFonts w:ascii="Cambria" w:hAnsi="Cambria"/>
          <w:sz w:val="20"/>
        </w:rPr>
        <w:t>.</w:t>
      </w:r>
    </w:p>
    <w:p w:rsidR="00C8425A" w:rsidRPr="00FC2F1B" w:rsidRDefault="00C8425A" w:rsidP="00C8425A">
      <w:pPr>
        <w:pStyle w:val="ListParagrap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Con base en las mismas razones que frecuentemente obligan a la Comisión a referirse al derecho internacional humanitario para resolver casos individuales “la Comisión también considera necesario utilizar el derecho humanitario conjuntamente con el derecho de los derechos humanos en informes generales […], con el propósito de analizar la responsabilidad internacional del Estado relacionada con la violencia, que en su mayoría se presenta en el contexto de un conflicto armado”</w:t>
      </w:r>
      <w:r>
        <w:rPr>
          <w:rStyle w:val="FootnoteReference"/>
          <w:rFonts w:ascii="Cambria" w:hAnsi="Cambria"/>
          <w:sz w:val="20"/>
        </w:rPr>
        <w:footnoteReference w:id="43"/>
      </w:r>
      <w:r>
        <w:rPr>
          <w:rFonts w:ascii="Cambria" w:hAnsi="Cambria"/>
          <w:sz w:val="20"/>
        </w:rPr>
        <w:t>.</w:t>
      </w:r>
    </w:p>
    <w:p w:rsidR="00C8425A" w:rsidRPr="00FC2F1B" w:rsidRDefault="00C8425A" w:rsidP="00C8425A">
      <w:pPr>
        <w:pStyle w:val="ListParagraph"/>
        <w:rPr>
          <w:rFonts w:ascii="Cambria" w:hAnsi="Cambria"/>
          <w:sz w:val="20"/>
          <w:szCs w:val="20"/>
        </w:rPr>
      </w:pPr>
    </w:p>
    <w:p w:rsidR="00C8425A" w:rsidRPr="00B0181B" w:rsidRDefault="00C8425A" w:rsidP="00B0181B">
      <w:pPr>
        <w:pStyle w:val="Style3"/>
      </w:pPr>
      <w:bookmarkStart w:id="34" w:name="_Toc423072835"/>
      <w:r>
        <w:t>El estatus jurídico de los detenidos en la Bahía de Guantánamo</w:t>
      </w:r>
      <w:bookmarkEnd w:id="34"/>
    </w:p>
    <w:p w:rsidR="00C8425A" w:rsidRPr="00FC2F1B" w:rsidRDefault="00C8425A" w:rsidP="00C8425A">
      <w:pPr>
        <w:pStyle w:val="ListParagraph"/>
        <w:rPr>
          <w:rFonts w:ascii="Cambria" w:hAnsi="Cambria"/>
          <w:sz w:val="20"/>
          <w:szCs w:val="20"/>
        </w:rPr>
      </w:pPr>
    </w:p>
    <w:p w:rsidR="008553EA" w:rsidRPr="006425BA" w:rsidRDefault="00354EC8" w:rsidP="00724CD2">
      <w:pPr>
        <w:numPr>
          <w:ilvl w:val="0"/>
          <w:numId w:val="5"/>
        </w:numPr>
        <w:ind w:left="547" w:hanging="547"/>
        <w:jc w:val="both"/>
        <w:rPr>
          <w:rFonts w:ascii="Cambria" w:hAnsi="Cambria"/>
          <w:sz w:val="20"/>
          <w:szCs w:val="20"/>
        </w:rPr>
      </w:pPr>
      <w:r>
        <w:rPr>
          <w:rFonts w:ascii="Cambria" w:hAnsi="Cambria"/>
          <w:sz w:val="20"/>
        </w:rPr>
        <w:t>El Gobierno de Estados Unidos mantiene la posición de que está facultado para detener de manera continuada a los prisioneros en el centro de detención de la Bahía de Guantánamo sin que existan cargos o procesos en su contra</w:t>
      </w:r>
      <w:r>
        <w:rPr>
          <w:rStyle w:val="FootnoteReference"/>
          <w:rFonts w:ascii="Cambria" w:hAnsi="Cambria"/>
          <w:sz w:val="20"/>
        </w:rPr>
        <w:footnoteReference w:id="44"/>
      </w:r>
      <w:r>
        <w:rPr>
          <w:rFonts w:ascii="Cambria" w:hAnsi="Cambria"/>
          <w:sz w:val="20"/>
        </w:rPr>
        <w:t xml:space="preserve">. Al respecto, ha indicado que “el derecho de la guerra permite a Estados Unidos –y a cualquier otro país involucrado en un combate- privar de libertad a enemigos combatientes sin cargos o acceso a abogados mientras duren las hostilidades. La detención no es una </w:t>
      </w:r>
      <w:r w:rsidRPr="006425BA">
        <w:rPr>
          <w:rFonts w:ascii="Cambria" w:hAnsi="Cambria"/>
          <w:sz w:val="20"/>
        </w:rPr>
        <w:t>sanción sino una necesidad militar y de seguridad. Sirve el propósito de prevenir que los combatientes continúen alzándose en armas contra los Estados Unidos”</w:t>
      </w:r>
      <w:r w:rsidRPr="006425BA">
        <w:rPr>
          <w:rStyle w:val="FootnoteReference"/>
          <w:rFonts w:ascii="Cambria" w:hAnsi="Cambria"/>
          <w:sz w:val="20"/>
        </w:rPr>
        <w:footnoteReference w:id="45"/>
      </w:r>
      <w:r w:rsidRPr="006425BA">
        <w:rPr>
          <w:rFonts w:ascii="Cambria" w:hAnsi="Cambria"/>
          <w:sz w:val="20"/>
        </w:rPr>
        <w:t>. En su respuesta a este info</w:t>
      </w:r>
      <w:r w:rsidR="00A83972" w:rsidRPr="006425BA">
        <w:rPr>
          <w:rFonts w:ascii="Cambria" w:hAnsi="Cambria"/>
          <w:sz w:val="20"/>
        </w:rPr>
        <w:t>rme, Estados Unidos indicó que “</w:t>
      </w:r>
      <w:r w:rsidRPr="006425BA">
        <w:rPr>
          <w:rFonts w:ascii="Cambria" w:hAnsi="Cambria"/>
          <w:sz w:val="20"/>
        </w:rPr>
        <w:t xml:space="preserve">[l]os detenidos que permanecen en el centro de detención de la Bahía de Guantánamo </w:t>
      </w:r>
      <w:r w:rsidR="00A83972" w:rsidRPr="006425BA">
        <w:rPr>
          <w:rFonts w:ascii="Cambria" w:hAnsi="Cambria"/>
          <w:sz w:val="20"/>
        </w:rPr>
        <w:t>continúan estando</w:t>
      </w:r>
      <w:r w:rsidRPr="006425BA">
        <w:rPr>
          <w:rFonts w:ascii="Cambria" w:hAnsi="Cambria"/>
          <w:sz w:val="20"/>
        </w:rPr>
        <w:t xml:space="preserve"> legalmente</w:t>
      </w:r>
      <w:r w:rsidR="00A83972" w:rsidRPr="006425BA">
        <w:rPr>
          <w:rFonts w:ascii="Cambria" w:hAnsi="Cambria"/>
          <w:sz w:val="20"/>
        </w:rPr>
        <w:t xml:space="preserve"> detenidos</w:t>
      </w:r>
      <w:r w:rsidRPr="006425BA">
        <w:rPr>
          <w:rFonts w:ascii="Cambria" w:hAnsi="Cambria"/>
          <w:sz w:val="20"/>
        </w:rPr>
        <w:t xml:space="preserve">, tanto conforme al derecho internacional como </w:t>
      </w:r>
      <w:r w:rsidR="006B58CA" w:rsidRPr="006425BA">
        <w:rPr>
          <w:rFonts w:ascii="Cambria" w:hAnsi="Cambria"/>
          <w:sz w:val="20"/>
        </w:rPr>
        <w:t xml:space="preserve">a </w:t>
      </w:r>
      <w:r w:rsidRPr="006425BA">
        <w:rPr>
          <w:rFonts w:ascii="Cambria" w:hAnsi="Cambria"/>
          <w:sz w:val="20"/>
        </w:rPr>
        <w:t>las propias leyes de Estados Unidos</w:t>
      </w:r>
      <w:r w:rsidR="00A83972" w:rsidRPr="006425BA">
        <w:rPr>
          <w:rFonts w:ascii="Cambria" w:hAnsi="Cambria"/>
          <w:sz w:val="20"/>
        </w:rPr>
        <w:t>”</w:t>
      </w:r>
      <w:r w:rsidRPr="006425BA">
        <w:rPr>
          <w:rStyle w:val="FootnoteReference"/>
          <w:rFonts w:ascii="Cambria" w:hAnsi="Cambria"/>
          <w:sz w:val="20"/>
        </w:rPr>
        <w:footnoteReference w:id="46"/>
      </w:r>
      <w:r w:rsidR="00A83972" w:rsidRPr="006425BA">
        <w:rPr>
          <w:rFonts w:ascii="Cambria" w:hAnsi="Cambria"/>
          <w:sz w:val="20"/>
        </w:rPr>
        <w:t>.</w:t>
      </w:r>
      <w:r w:rsidRPr="006425BA">
        <w:rPr>
          <w:rFonts w:ascii="Cambria" w:hAnsi="Cambria"/>
          <w:sz w:val="20"/>
        </w:rPr>
        <w:t xml:space="preserve">  En ese sentido, el Est</w:t>
      </w:r>
      <w:r w:rsidR="00A83972" w:rsidRPr="006425BA">
        <w:rPr>
          <w:rFonts w:ascii="Cambria" w:hAnsi="Cambria"/>
          <w:sz w:val="20"/>
        </w:rPr>
        <w:t>ado indicó que, como parte del “</w:t>
      </w:r>
      <w:r w:rsidRPr="006425BA">
        <w:rPr>
          <w:rFonts w:ascii="Cambria" w:hAnsi="Cambria"/>
          <w:sz w:val="20"/>
        </w:rPr>
        <w:t xml:space="preserve">conflicto armado </w:t>
      </w:r>
      <w:r w:rsidR="00A83972" w:rsidRPr="006425BA">
        <w:rPr>
          <w:rFonts w:ascii="Cambria" w:hAnsi="Cambria"/>
          <w:sz w:val="20"/>
        </w:rPr>
        <w:t>continuo</w:t>
      </w:r>
      <w:r w:rsidRPr="006425BA">
        <w:rPr>
          <w:rFonts w:ascii="Cambria" w:hAnsi="Cambria"/>
          <w:sz w:val="20"/>
        </w:rPr>
        <w:t xml:space="preserve"> con Al-Qaeda, el Talibán y otr</w:t>
      </w:r>
      <w:r w:rsidR="00830672" w:rsidRPr="006425BA">
        <w:rPr>
          <w:rFonts w:ascii="Cambria" w:hAnsi="Cambria"/>
          <w:sz w:val="20"/>
        </w:rPr>
        <w:t>as fuerzas asociadas</w:t>
      </w:r>
      <w:r w:rsidR="00A83972" w:rsidRPr="006425BA">
        <w:rPr>
          <w:rFonts w:ascii="Cambria" w:hAnsi="Cambria"/>
          <w:sz w:val="20"/>
        </w:rPr>
        <w:t>”</w:t>
      </w:r>
      <w:r w:rsidRPr="006425BA">
        <w:rPr>
          <w:rFonts w:ascii="Cambria" w:hAnsi="Cambria"/>
          <w:sz w:val="20"/>
        </w:rPr>
        <w:t>, Estados Unidos ha capturado y detenido a enemigos beligerantes, y puede retenerlos conforme al derecho de la guerra hasta que cesen las hostilidades.</w:t>
      </w:r>
    </w:p>
    <w:p w:rsidR="008553EA" w:rsidRPr="008553EA" w:rsidRDefault="008553EA" w:rsidP="008553EA">
      <w:pPr>
        <w:ind w:left="547"/>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Dos meses después de que Estados Unidos comenzó a transferir a personas a la Bahía de Guantánamo, la Comisión Interamericana otorgó medidas cautelares a favor de los detenidos que permanecen en esas instalaciones y solicitó que Estados Unidos adopte las medidas urgentes necesarias para que un tribunal competente determine el estatus jurídico de los detenidos. En su primera Resolución sobre este asunto, la Comisión afirmó que “a falta de determinación sobre el estatus jurídico, </w:t>
      </w:r>
      <w:r>
        <w:rPr>
          <w:rFonts w:ascii="Cambria" w:hAnsi="Cambria"/>
          <w:sz w:val="20"/>
        </w:rPr>
        <w:lastRenderedPageBreak/>
        <w:t>los derechos fundamentales y no derogables de los detenidos no están siendo reconocidos ni garantizados por Estados Unidos”</w:t>
      </w:r>
      <w:r>
        <w:rPr>
          <w:rStyle w:val="FootnoteReference"/>
          <w:rFonts w:ascii="Cambria" w:hAnsi="Cambria"/>
          <w:sz w:val="20"/>
        </w:rPr>
        <w:t xml:space="preserve"> </w:t>
      </w:r>
      <w:r>
        <w:rPr>
          <w:rStyle w:val="FootnoteReference"/>
          <w:rFonts w:ascii="Cambria" w:hAnsi="Cambria"/>
          <w:sz w:val="20"/>
        </w:rPr>
        <w:footnoteReference w:id="47"/>
      </w:r>
      <w:r>
        <w:rPr>
          <w:rFonts w:ascii="Cambria" w:hAnsi="Cambria"/>
          <w:sz w:val="20"/>
        </w:rPr>
        <w:t>.</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Para comprender la cuestión de la detención indefinida de personas en la Bahía de Guantánamo, es importante contar con una breve visión general de la evolución del estatus jurídico de los detenidos. Con posterioridad a los ataques del 11 de septiembre de 2001, el Congreso de Estados Unidos emitió una resolución conjunta denominada Autorización para el Uso de la Fuerza Militar (</w:t>
      </w:r>
      <w:proofErr w:type="spellStart"/>
      <w:r>
        <w:rPr>
          <w:rFonts w:ascii="Cambria" w:hAnsi="Cambria"/>
          <w:i/>
          <w:sz w:val="20"/>
        </w:rPr>
        <w:t>Authorization</w:t>
      </w:r>
      <w:proofErr w:type="spellEnd"/>
      <w:r>
        <w:rPr>
          <w:rFonts w:ascii="Cambria" w:hAnsi="Cambria"/>
          <w:i/>
          <w:sz w:val="20"/>
        </w:rPr>
        <w:t xml:space="preserve"> </w:t>
      </w:r>
      <w:proofErr w:type="spellStart"/>
      <w:r>
        <w:rPr>
          <w:rFonts w:ascii="Cambria" w:hAnsi="Cambria"/>
          <w:i/>
          <w:sz w:val="20"/>
        </w:rPr>
        <w:t>for</w:t>
      </w:r>
      <w:proofErr w:type="spellEnd"/>
      <w:r>
        <w:rPr>
          <w:rFonts w:ascii="Cambria" w:hAnsi="Cambria"/>
          <w:i/>
          <w:sz w:val="20"/>
        </w:rPr>
        <w:t xml:space="preserve"> </w:t>
      </w:r>
      <w:proofErr w:type="spellStart"/>
      <w:r>
        <w:rPr>
          <w:rFonts w:ascii="Cambria" w:hAnsi="Cambria"/>
          <w:i/>
          <w:sz w:val="20"/>
        </w:rPr>
        <w:t>the</w:t>
      </w:r>
      <w:proofErr w:type="spellEnd"/>
      <w:r>
        <w:rPr>
          <w:rFonts w:ascii="Cambria" w:hAnsi="Cambria"/>
          <w:i/>
          <w:sz w:val="20"/>
        </w:rPr>
        <w:t xml:space="preserve"> Use of </w:t>
      </w:r>
      <w:proofErr w:type="spellStart"/>
      <w:r>
        <w:rPr>
          <w:rFonts w:ascii="Cambria" w:hAnsi="Cambria"/>
          <w:i/>
          <w:sz w:val="20"/>
        </w:rPr>
        <w:t>Military</w:t>
      </w:r>
      <w:proofErr w:type="spellEnd"/>
      <w:r>
        <w:rPr>
          <w:rFonts w:ascii="Cambria" w:hAnsi="Cambria"/>
          <w:i/>
          <w:sz w:val="20"/>
        </w:rPr>
        <w:t xml:space="preserve"> </w:t>
      </w:r>
      <w:proofErr w:type="spellStart"/>
      <w:r>
        <w:rPr>
          <w:rFonts w:ascii="Cambria" w:hAnsi="Cambria"/>
          <w:i/>
          <w:sz w:val="20"/>
        </w:rPr>
        <w:t>Force</w:t>
      </w:r>
      <w:proofErr w:type="spellEnd"/>
      <w:r>
        <w:rPr>
          <w:rFonts w:ascii="Cambria" w:hAnsi="Cambria"/>
          <w:sz w:val="20"/>
        </w:rPr>
        <w:t xml:space="preserve"> o “AUMF” por sus siglas en ingles) que, en términos generales, autorizó al Presidente a “utilizar toda la fuerza necesaria y apropiada contra las naciones, organizaciones o personas que se determine que planificaron, autorizaron, cometieron o apoyaron los ataques terroristas […] con la finalidad de prevenir cualquier acto de terrorismo internacional futuro contra Estados Unidos por parte de dichas naciones, organizaciones o personas</w:t>
      </w:r>
      <w:r>
        <w:rPr>
          <w:rStyle w:val="FootnoteReference"/>
          <w:rFonts w:ascii="Cambria" w:hAnsi="Cambria"/>
          <w:sz w:val="20"/>
        </w:rPr>
        <w:footnoteReference w:id="48"/>
      </w:r>
      <w:r>
        <w:rPr>
          <w:rFonts w:ascii="Cambria" w:hAnsi="Cambria"/>
          <w:sz w:val="20"/>
        </w:rPr>
        <w:t xml:space="preserve">. De esta forma, la detención y juicio de estos supuestos terroristas se lleva a cabo de conformidad con las facultades del Presidente como Comandante en Jefe y respecto de los asuntos internacionales. </w:t>
      </w:r>
    </w:p>
    <w:p w:rsidR="00C8425A" w:rsidRPr="00FC2F1B" w:rsidRDefault="00C8425A" w:rsidP="00C8425A">
      <w:pPr>
        <w:pStyle w:val="ListParagrap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El 13 de noviembre de 2001, el Presidente George W. Bush firmó el Decreto Ejecutivo No. 66 autorizando la “detención, tratamiento y juicio de ciertos no ciudadanos en la guerra contra el terrorismo”</w:t>
      </w:r>
      <w:r>
        <w:rPr>
          <w:rStyle w:val="FootnoteReference"/>
          <w:rFonts w:ascii="Cambria" w:hAnsi="Cambria"/>
          <w:sz w:val="20"/>
        </w:rPr>
        <w:footnoteReference w:id="49"/>
      </w:r>
      <w:r>
        <w:rPr>
          <w:rFonts w:ascii="Cambria" w:hAnsi="Cambria"/>
          <w:sz w:val="20"/>
        </w:rPr>
        <w:t>. Las personas sometidas al decreto están definidas por el mismo como miembros de la organización conocida como Al-Qaeda, individuos que han participado, apoyado o instigado actos de terrorismo internacional o individuos que conscientemente han albergado a dichos terroristas internacionales. El decreto incluso establece que el Presidente por sí solo determinará qué individuos están cubiertos por esa definición. Además establece que estos individuos deberán ser juzgados por comisiones militares y que “no tendrán el privilegio de presentar ningún recurso o adelantar ningún procedimiento, de manera directa o indirecta, así como tampoco podrá presentarse ese recurso o procedimiento en representación del individuo, en ninguna (i) corte de Estados Unidos o de uno de sus estados, (ii) corte de una nación extranjera, o (iii) corte internacional”</w:t>
      </w:r>
      <w:r>
        <w:rPr>
          <w:rStyle w:val="FootnoteReference"/>
          <w:rFonts w:ascii="Cambria" w:hAnsi="Cambria"/>
          <w:sz w:val="20"/>
        </w:rPr>
        <w:footnoteReference w:id="50"/>
      </w:r>
      <w:r>
        <w:rPr>
          <w:rFonts w:ascii="Cambria" w:hAnsi="Cambria"/>
          <w:sz w:val="20"/>
        </w:rPr>
        <w:t>.</w:t>
      </w:r>
    </w:p>
    <w:p w:rsidR="00C8425A" w:rsidRPr="00FC2F1B" w:rsidRDefault="00C8425A" w:rsidP="00C8425A">
      <w:pPr>
        <w:pStyle w:val="ListParagrap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De conformidad con la AUMF y el decreto ejecutivo mencionado anteriormente, cientos de individuos fueron capturados en Afganistán y otros países durante los meses posteriores a los ataques del 11 de septiembre de 2001. El gobierno de Estados Unidos escogió detener a estos prisioneros en la Bahía de Guantánamo considerando que probablemente las cortes federales no ejercerían su jurisdicción para tomar conocimiento de los recursos judiciales presentados por detenidos que permanezcan sin cargos o sin juicio. El 28 de diciembre de 2001, con posterioridad a las propuestas de detener a Al-Qaeda y a los miembros Talibanes en la Bahía de Guantánamo, los Fiscales Generales Auxiliares Adjuntos Patrick </w:t>
      </w:r>
      <w:proofErr w:type="spellStart"/>
      <w:r>
        <w:rPr>
          <w:rFonts w:ascii="Cambria" w:hAnsi="Cambria"/>
          <w:sz w:val="20"/>
        </w:rPr>
        <w:t>Philbin</w:t>
      </w:r>
      <w:proofErr w:type="spellEnd"/>
      <w:r>
        <w:rPr>
          <w:rFonts w:ascii="Cambria" w:hAnsi="Cambria"/>
          <w:sz w:val="20"/>
        </w:rPr>
        <w:t xml:space="preserve"> y John </w:t>
      </w:r>
      <w:proofErr w:type="spellStart"/>
      <w:r>
        <w:rPr>
          <w:rFonts w:ascii="Cambria" w:hAnsi="Cambria"/>
          <w:sz w:val="20"/>
        </w:rPr>
        <w:t>Yoo</w:t>
      </w:r>
      <w:proofErr w:type="spellEnd"/>
      <w:r>
        <w:rPr>
          <w:rFonts w:ascii="Cambria" w:hAnsi="Cambria"/>
          <w:sz w:val="20"/>
        </w:rPr>
        <w:t xml:space="preserve"> </w:t>
      </w:r>
      <w:r>
        <w:rPr>
          <w:rFonts w:ascii="Cambria" w:hAnsi="Cambria"/>
          <w:sz w:val="20"/>
        </w:rPr>
        <w:lastRenderedPageBreak/>
        <w:t>enviaron un memorando al Departamento de Defensa relativo a la cuestión de si las cortes federales tendrían jurisdicción para conocer un recurso de hábeas corpus presentado por un extranjero detenido en Guantánamo</w:t>
      </w:r>
      <w:r>
        <w:rPr>
          <w:rStyle w:val="FootnoteReference"/>
          <w:rFonts w:ascii="Cambria" w:hAnsi="Cambria"/>
          <w:sz w:val="20"/>
        </w:rPr>
        <w:footnoteReference w:id="51"/>
      </w:r>
      <w:r>
        <w:rPr>
          <w:rFonts w:ascii="Cambria" w:hAnsi="Cambria"/>
          <w:sz w:val="20"/>
        </w:rPr>
        <w:t>. El memorando concluye que “el gran peso de la autoridad legal indica que una corte federal distrital no podría ejercer adecuadamente su jurisdicción sobre un recurso de hábeas corpus presentado a favor de un extranjero detenido en [Guantánamo]”. Incluso observa que el acuerdo entre Estados Unidos y Cuba para el uso de la Bahía de Guantánamo expresamente establece que “Estados Unidos reconoce la continuidad de la soberanía máxima de la República de Cuba respecto del territorio y las aguas sometidas a este acuerdo”</w:t>
      </w:r>
      <w:r>
        <w:rPr>
          <w:rStyle w:val="FootnoteReference"/>
          <w:rFonts w:ascii="Cambria" w:hAnsi="Cambria"/>
          <w:sz w:val="20"/>
        </w:rPr>
        <w:footnoteReference w:id="52"/>
      </w:r>
      <w:r>
        <w:rPr>
          <w:rFonts w:ascii="Cambria" w:hAnsi="Cambria"/>
          <w:sz w:val="20"/>
        </w:rPr>
        <w:t xml:space="preserve">. Por lo tanto, de conformidad con este acuerdo, la Bahía de Guantánamo fue considerada como una zona libre de leyes donde los agentes podían detener a no ciudadanos fuera del territorio soberano de Estados Unidos y sin interferencia de las cortes federales. </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Con respecto al estatus jurídico de los prisioneros en Guantánamo, el 9 de enero de 2002, el Fiscal General Auxiliar Adjunto John </w:t>
      </w:r>
      <w:proofErr w:type="spellStart"/>
      <w:r>
        <w:rPr>
          <w:rFonts w:ascii="Cambria" w:hAnsi="Cambria"/>
          <w:sz w:val="20"/>
        </w:rPr>
        <w:t>Yoo</w:t>
      </w:r>
      <w:proofErr w:type="spellEnd"/>
      <w:r>
        <w:rPr>
          <w:rFonts w:ascii="Cambria" w:hAnsi="Cambria"/>
          <w:sz w:val="20"/>
        </w:rPr>
        <w:t xml:space="preserve"> dirigió un memorando al Departamento de Defensa sobre “la  aplicabilidad de los tratados y leyes a los Detenidos Talibanes y de Al Qaeda”</w:t>
      </w:r>
      <w:r>
        <w:rPr>
          <w:rStyle w:val="FootnoteReference"/>
          <w:rFonts w:ascii="Cambria" w:hAnsi="Cambria"/>
          <w:sz w:val="20"/>
        </w:rPr>
        <w:footnoteReference w:id="53"/>
      </w:r>
      <w:r>
        <w:rPr>
          <w:rFonts w:ascii="Cambria" w:hAnsi="Cambria"/>
          <w:sz w:val="20"/>
        </w:rPr>
        <w:t>. El memorando concluye que el Tercer Convenio de Ginebra aplicable a los prisioneros de guerra “no protege a los miembros de la organización Al Qaeda, que como actor no estatal no puede ser parte de los convenios internacionales que gobiernan los conflictos” y que “estos tratados no son aplicables a la milicia Talibán”</w:t>
      </w:r>
      <w:r>
        <w:rPr>
          <w:rStyle w:val="FootnoteReference"/>
          <w:rFonts w:ascii="Cambria" w:hAnsi="Cambria"/>
          <w:sz w:val="20"/>
        </w:rPr>
        <w:footnoteReference w:id="54"/>
      </w:r>
      <w:r>
        <w:rPr>
          <w:rFonts w:ascii="Cambria" w:hAnsi="Cambria"/>
          <w:sz w:val="20"/>
        </w:rPr>
        <w:t>. Luego de la ratificación de esta opinión jurídica por el consejero de la Casa Blanca, el Presidente George W. Bush decidió que los detenidos Talibanes y de Al-Qaeda no eran prisioneros de guerra en virtud del Tercer Convenio de Ginebra</w:t>
      </w:r>
      <w:r>
        <w:rPr>
          <w:rStyle w:val="FootnoteReference"/>
          <w:rFonts w:ascii="Cambria" w:hAnsi="Cambria"/>
          <w:sz w:val="20"/>
        </w:rPr>
        <w:footnoteReference w:id="55"/>
      </w:r>
      <w:r>
        <w:rPr>
          <w:rFonts w:ascii="Cambria" w:hAnsi="Cambria"/>
          <w:sz w:val="20"/>
        </w:rPr>
        <w:t xml:space="preserve">. La CIDH observa que el Secretario de Estado </w:t>
      </w:r>
      <w:proofErr w:type="spellStart"/>
      <w:r>
        <w:rPr>
          <w:rFonts w:ascii="Cambria" w:hAnsi="Cambria"/>
          <w:sz w:val="20"/>
        </w:rPr>
        <w:t>Colin</w:t>
      </w:r>
      <w:proofErr w:type="spellEnd"/>
      <w:r>
        <w:rPr>
          <w:rFonts w:ascii="Cambria" w:hAnsi="Cambria"/>
          <w:sz w:val="20"/>
        </w:rPr>
        <w:t xml:space="preserve"> L. Powell solicitó que el Presidente reconsiderara esta decisión dado que podría “perjudicar el apoyo público entre aliados críticos” y “contradecir la política y práctica estadounidense de más de un siglo en apoyo de los Convenios de Ginebra </w:t>
      </w:r>
      <w:r>
        <w:rPr>
          <w:rFonts w:ascii="Cambria" w:hAnsi="Cambria"/>
          <w:sz w:val="20"/>
        </w:rPr>
        <w:lastRenderedPageBreak/>
        <w:t>así como disminuir la protección del derecho de guerra en perjuicio de nuestras tropas”</w:t>
      </w:r>
      <w:r>
        <w:rPr>
          <w:rStyle w:val="FootnoteReference"/>
          <w:rFonts w:ascii="Cambria" w:hAnsi="Cambria"/>
          <w:sz w:val="20"/>
        </w:rPr>
        <w:footnoteReference w:id="56"/>
      </w:r>
      <w:r>
        <w:rPr>
          <w:rFonts w:ascii="Cambria" w:hAnsi="Cambria"/>
          <w:sz w:val="20"/>
        </w:rPr>
        <w:t xml:space="preserve">. </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Fue en este contexto que los primeros prisioneros llegaron a la Bahía de Guantánamo el 11 de enero de 2002, donde se los mantuvo bajo detención indefinida. El gobierno de Estados Unidos justificó la detención indefinida y la falta de reconocimiento al derecho de los detenidos a cuestionar la legalidad de sus detenciones así como el desconocimiento de cualquier estatus internacional bajo el derecho de guerra con base en su clasificación como “enemigos combatientes”, una categoría distinta no reconocida bajo el derecho internacional. </w:t>
      </w:r>
    </w:p>
    <w:p w:rsidR="00C8425A" w:rsidRPr="00FC2F1B" w:rsidRDefault="00C8425A" w:rsidP="00C8425A">
      <w:pPr>
        <w:pStyle w:val="ListParagrap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La CIDH observa que desde que asumió el poder el Presidente Obama en 2009 han existido algunos cambios en la posición del gobierno estadounidense respecto del status jurídico de los detenidos en la Bahía de Guantánamo. Estados Unidos ha reconocido que las disposiciones del derecho de guerra son aplicables a la detención y tratamiento de los detenidos y ha abandonado la clasificación de “enemigos combatientes”. El 13 de marzo de 2009, ante el creciente litigio con posterioridad a la decisión de la Corte Suprema en el caso </w:t>
      </w:r>
      <w:proofErr w:type="spellStart"/>
      <w:r>
        <w:rPr>
          <w:rFonts w:ascii="Cambria" w:hAnsi="Cambria"/>
          <w:i/>
          <w:sz w:val="20"/>
        </w:rPr>
        <w:t>Boumediene</w:t>
      </w:r>
      <w:proofErr w:type="spellEnd"/>
      <w:r>
        <w:rPr>
          <w:rStyle w:val="FootnoteReference"/>
          <w:rFonts w:ascii="Cambria" w:hAnsi="Cambria"/>
          <w:sz w:val="20"/>
        </w:rPr>
        <w:footnoteReference w:id="57"/>
      </w:r>
      <w:r>
        <w:rPr>
          <w:rFonts w:ascii="Cambria" w:hAnsi="Cambria"/>
          <w:i/>
          <w:sz w:val="20"/>
        </w:rPr>
        <w:t xml:space="preserve">, </w:t>
      </w:r>
      <w:r>
        <w:rPr>
          <w:rFonts w:ascii="Cambria" w:hAnsi="Cambria"/>
          <w:sz w:val="20"/>
        </w:rPr>
        <w:t>el gobierno presentó un memorando en cada caso de hábeas corpus de los detenidos en la Bahía de Guantánamo con respecto a su facultad de privarlos de libertad</w:t>
      </w:r>
      <w:r>
        <w:rPr>
          <w:rStyle w:val="FootnoteReference"/>
          <w:rFonts w:ascii="Cambria" w:hAnsi="Cambria"/>
          <w:sz w:val="20"/>
        </w:rPr>
        <w:footnoteReference w:id="58"/>
      </w:r>
      <w:r>
        <w:rPr>
          <w:rFonts w:ascii="Cambria" w:hAnsi="Cambria"/>
          <w:sz w:val="20"/>
        </w:rPr>
        <w:t>. Este memorando incluyó un nuevo estándar para justificar la facultad del gobierno de mantener a los detenidos en Guantánamo.</w:t>
      </w:r>
    </w:p>
    <w:p w:rsidR="00C8425A" w:rsidRPr="00FC2F1B" w:rsidRDefault="00C8425A" w:rsidP="00C8425A">
      <w:pPr>
        <w:pStyle w:val="ListParagrap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En su escrito ante la Corte Federal Distrital del Distrito de Columbia, el Departamento de Justicia, haciendo referencia a las decisiones de la Corte Suprema en los casos </w:t>
      </w:r>
      <w:proofErr w:type="spellStart"/>
      <w:r>
        <w:rPr>
          <w:rFonts w:ascii="Cambria" w:hAnsi="Cambria"/>
          <w:i/>
          <w:sz w:val="20"/>
        </w:rPr>
        <w:t>Hamdi</w:t>
      </w:r>
      <w:proofErr w:type="spellEnd"/>
      <w:r>
        <w:rPr>
          <w:rFonts w:ascii="Cambria" w:hAnsi="Cambria"/>
          <w:sz w:val="20"/>
        </w:rPr>
        <w:t xml:space="preserve"> y </w:t>
      </w:r>
      <w:proofErr w:type="spellStart"/>
      <w:r>
        <w:rPr>
          <w:rFonts w:ascii="Cambria" w:hAnsi="Cambria"/>
          <w:i/>
          <w:sz w:val="20"/>
        </w:rPr>
        <w:t>Hamdan</w:t>
      </w:r>
      <w:proofErr w:type="spellEnd"/>
      <w:r>
        <w:rPr>
          <w:rStyle w:val="FootnoteReference"/>
          <w:rFonts w:ascii="Cambria" w:hAnsi="Cambria"/>
          <w:sz w:val="20"/>
        </w:rPr>
        <w:footnoteReference w:id="59"/>
      </w:r>
      <w:r>
        <w:rPr>
          <w:rFonts w:ascii="Cambria" w:hAnsi="Cambria"/>
          <w:i/>
          <w:sz w:val="20"/>
        </w:rPr>
        <w:t xml:space="preserve">, </w:t>
      </w:r>
      <w:r>
        <w:rPr>
          <w:rFonts w:ascii="Cambria" w:hAnsi="Cambria"/>
          <w:sz w:val="20"/>
        </w:rPr>
        <w:t xml:space="preserve">alegó que la facultad para detener a personas establecida en la AUMF no se basa en las facultades del Presidente como Comandante en Jefe y que el ámbito de la facultad establecida en dicha norma se basa en el derecho internacional de los conflictos armados (los Convenios de Ginebra y la costumbre internacional). Este memorando también estableció que los individuos que apoyaron a Al-Qaeda o a los Talibanes sólo podían ser detenidos si ese apoyo había sido “sustancial”. Por lo tanto, este nuevo estándar no mantuvo la existencia de la facultad de detener a personas con base en un apoyo insignificante o insustancial. </w:t>
      </w:r>
    </w:p>
    <w:p w:rsidR="00C8425A" w:rsidRPr="00FC2F1B" w:rsidRDefault="00C8425A" w:rsidP="00C8425A">
      <w:pPr>
        <w:pStyle w:val="ListParagrap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Adicionalmente, la nueva administración también llevó adelante un primer proceso de revisión en 2009 para determinar la situación jurídica de cada detenido en Guantánamo. La revisión concluyó que de las 240 personas detenidas en ese momento, respecto de 48 “se determinó que eran demasiado peligrosas para ser </w:t>
      </w:r>
      <w:r>
        <w:rPr>
          <w:rFonts w:ascii="Cambria" w:hAnsi="Cambria"/>
          <w:sz w:val="20"/>
        </w:rPr>
        <w:lastRenderedPageBreak/>
        <w:t>trasladadas pero no era posible enjuiciarlas”</w:t>
      </w:r>
      <w:r>
        <w:rPr>
          <w:rStyle w:val="FootnoteReference"/>
          <w:rFonts w:ascii="Cambria" w:hAnsi="Cambria"/>
          <w:sz w:val="20"/>
        </w:rPr>
        <w:footnoteReference w:id="60"/>
      </w:r>
      <w:r>
        <w:rPr>
          <w:rFonts w:ascii="Cambria" w:hAnsi="Cambria"/>
          <w:sz w:val="20"/>
        </w:rPr>
        <w:t xml:space="preserve">. De conformidad con lo anterior, estos detenidos permanecerían bajo detención indefinida sin cargos penales con base en la facultad del gobierno establecida en la AUMF. Como se desarrollará en la sección relativa al derecho a la revisión periódica de la detención, el gobierno de Estados Unidos inició un segundo proceso de revisión en 2013. </w:t>
      </w:r>
    </w:p>
    <w:p w:rsidR="00C8425A" w:rsidRPr="00FC2F1B" w:rsidRDefault="00C8425A" w:rsidP="00C8425A">
      <w:pPr>
        <w:pStyle w:val="ListParagrap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La Comisión Interamericana saluda los pasos adoptados por Estados Unidos desde 2009 para redefinir la posición del gobierno sobre sus facultades de detención así como sobe la situación jurídica de las personas detenidas en Guantánamo. Sin embargo, la CIDH observa que a pesar de estos cambios en la posición del gobierno, todavía se mantiene a personas privadas de libertad indefinidamente y sin cargos en Guantánamo, habiendo transcurrido 13 años desde la apertura de las instalaciones. La Ley de Autorización de Defensa Nacional (</w:t>
      </w:r>
      <w:proofErr w:type="spellStart"/>
      <w:r>
        <w:rPr>
          <w:rFonts w:ascii="Cambria" w:hAnsi="Cambria"/>
          <w:i/>
          <w:sz w:val="20"/>
        </w:rPr>
        <w:t>National</w:t>
      </w:r>
      <w:proofErr w:type="spellEnd"/>
      <w:r>
        <w:rPr>
          <w:rFonts w:ascii="Cambria" w:hAnsi="Cambria"/>
          <w:i/>
          <w:sz w:val="20"/>
        </w:rPr>
        <w:t xml:space="preserve"> </w:t>
      </w:r>
      <w:proofErr w:type="spellStart"/>
      <w:r>
        <w:rPr>
          <w:rFonts w:ascii="Cambria" w:hAnsi="Cambria"/>
          <w:i/>
          <w:sz w:val="20"/>
        </w:rPr>
        <w:t>Defense</w:t>
      </w:r>
      <w:proofErr w:type="spellEnd"/>
      <w:r>
        <w:rPr>
          <w:rFonts w:ascii="Cambria" w:hAnsi="Cambria"/>
          <w:i/>
          <w:sz w:val="20"/>
        </w:rPr>
        <w:t xml:space="preserve"> </w:t>
      </w:r>
      <w:proofErr w:type="spellStart"/>
      <w:r>
        <w:rPr>
          <w:rFonts w:ascii="Cambria" w:hAnsi="Cambria"/>
          <w:i/>
          <w:sz w:val="20"/>
        </w:rPr>
        <w:t>Authorization</w:t>
      </w:r>
      <w:proofErr w:type="spellEnd"/>
      <w:r>
        <w:rPr>
          <w:rFonts w:ascii="Cambria" w:hAnsi="Cambria"/>
          <w:i/>
          <w:sz w:val="20"/>
        </w:rPr>
        <w:t xml:space="preserve"> </w:t>
      </w:r>
      <w:proofErr w:type="spellStart"/>
      <w:r>
        <w:rPr>
          <w:rFonts w:ascii="Cambria" w:hAnsi="Cambria"/>
          <w:i/>
          <w:sz w:val="20"/>
        </w:rPr>
        <w:t>Act</w:t>
      </w:r>
      <w:proofErr w:type="spellEnd"/>
      <w:r>
        <w:rPr>
          <w:rFonts w:ascii="Cambria" w:hAnsi="Cambria"/>
          <w:sz w:val="20"/>
        </w:rPr>
        <w:t>, “NDAA” por sus siglas en inglés) ha reafirmado la autoridad de la AUMF para detener a personas de las que se sospeche que han participado en los ataques del 11 de septiembre, o que han apoyado sustancialmente a Al-Qaeda, los Talibanes, o fuerzas asociadas, sin que sean sometidas a juicio hasta el fin de las hostilidades</w:t>
      </w:r>
      <w:r>
        <w:rPr>
          <w:rStyle w:val="FootnoteReference"/>
          <w:rFonts w:ascii="Cambria" w:hAnsi="Cambria"/>
          <w:sz w:val="20"/>
        </w:rPr>
        <w:footnoteReference w:id="61"/>
      </w:r>
      <w:r>
        <w:rPr>
          <w:rFonts w:ascii="Cambria" w:hAnsi="Cambria"/>
          <w:sz w:val="20"/>
        </w:rPr>
        <w:t>. Como afirmó el  Relator Especial de la ONU sobre la tortura y otros tratos o penas crueles, inhumanos o degradantes, la NDAA autoriza “al gobierno de Estados Unidos a detener indefinidamente a personas de las que sospeche que han cometido actividades terroristas, sin establecer su responsabilidad individual en delito alguno o su real participación en hostilidades”</w:t>
      </w:r>
      <w:r>
        <w:rPr>
          <w:rStyle w:val="FootnoteReference"/>
          <w:rFonts w:ascii="Cambria" w:hAnsi="Cambria"/>
          <w:sz w:val="20"/>
        </w:rPr>
        <w:footnoteReference w:id="62"/>
      </w:r>
      <w:r>
        <w:rPr>
          <w:rFonts w:ascii="Cambria" w:hAnsi="Cambria"/>
          <w:sz w:val="20"/>
        </w:rPr>
        <w:t>.</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Si bien la NDAA para el año fiscal 2014 incluye algunos avances en términos del traslado de los detenidos de Guantánamo, la norma de 2012 que permite la detención indefinida de personas sin juicio permanece vigente. Adicionalmente, la preocupación expresada por la Comisión Interamericana en su Resolución de 2011 sobre la falta de claridad jurídica sobre las circunstancias que justificarían la liberación de los detenidos aún persiste</w:t>
      </w:r>
      <w:r>
        <w:rPr>
          <w:rStyle w:val="FootnoteReference"/>
          <w:rFonts w:ascii="Cambria" w:hAnsi="Cambria"/>
          <w:sz w:val="20"/>
        </w:rPr>
        <w:footnoteReference w:id="63"/>
      </w:r>
      <w:r>
        <w:rPr>
          <w:rFonts w:ascii="Cambria" w:hAnsi="Cambria"/>
          <w:sz w:val="20"/>
        </w:rPr>
        <w:t xml:space="preserve">. La AUMF autoriza a las Fuerzas Armadas de Estados Unidos a detener a sospechosos de terrorismo sin juicio “hasta el fin de las hostilidades”. No obstante, dada la naturaleza no convencional de este conflicto global continuo, no es claro cuándo se declararía el fin de las hostilidades. Finalmente, la CIDH observa con preocupación que, a pesar de los avances mencionados anteriormente, a lo largo de estos años ha existido una normalización del régimen ejecutivo de detención indefinida en Guantánamo. </w:t>
      </w:r>
    </w:p>
    <w:p w:rsidR="00C8425A" w:rsidRPr="00FC2F1B" w:rsidRDefault="00C8425A" w:rsidP="00C8425A">
      <w:pPr>
        <w:pStyle w:val="ListParagraph"/>
        <w:rPr>
          <w:rFonts w:ascii="Cambria" w:hAnsi="Cambria"/>
          <w:sz w:val="20"/>
          <w:szCs w:val="20"/>
        </w:rPr>
      </w:pPr>
    </w:p>
    <w:p w:rsidR="00D5085F" w:rsidRDefault="00D5085F">
      <w:pPr>
        <w:rPr>
          <w:rFonts w:ascii="Cambria" w:hAnsi="Cambria"/>
          <w:b/>
          <w:sz w:val="22"/>
          <w:szCs w:val="22"/>
        </w:rPr>
      </w:pPr>
      <w:r>
        <w:br w:type="page"/>
      </w:r>
    </w:p>
    <w:p w:rsidR="00C8425A" w:rsidRPr="00FC2F1B" w:rsidRDefault="00C8425A" w:rsidP="00B0181B">
      <w:pPr>
        <w:pStyle w:val="Style3"/>
      </w:pPr>
      <w:bookmarkStart w:id="35" w:name="_Toc423072836"/>
      <w:r>
        <w:lastRenderedPageBreak/>
        <w:t>El derecho a la libertad personal en el contexto de conflictos armados no internacionales</w:t>
      </w:r>
      <w:bookmarkEnd w:id="35"/>
    </w:p>
    <w:p w:rsidR="00C8425A" w:rsidRPr="00FC2F1B" w:rsidRDefault="00C8425A" w:rsidP="00C8425A">
      <w:pPr>
        <w:pStyle w:val="ListParagraph"/>
        <w:ind w:left="1440"/>
        <w:jc w:val="both"/>
        <w:rPr>
          <w:rFonts w:ascii="Cambria" w:hAnsi="Cambria"/>
          <w:b/>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No existe claridad sobre si el gobierno de Estados Unidos considera que la “guerra contra el terrorismo” es un conflicto armado internacional o no internacional; la distinción es importante para definir las garantías establecidas por el derecho internacional humanitario. Como se señaló </w:t>
      </w:r>
      <w:r>
        <w:rPr>
          <w:rFonts w:ascii="Cambria" w:hAnsi="Cambria"/>
          <w:i/>
          <w:sz w:val="20"/>
        </w:rPr>
        <w:t>supra</w:t>
      </w:r>
      <w:r>
        <w:rPr>
          <w:rFonts w:ascii="Cambria" w:hAnsi="Cambria"/>
          <w:sz w:val="20"/>
        </w:rPr>
        <w:t xml:space="preserve">, en 2009 el gobierno de Estados Unidos estableció que “los principios que se derivan de las reglas del derecho de guerra que gobiernan los conflictos armados internacionales […] </w:t>
      </w:r>
      <w:r>
        <w:rPr>
          <w:rFonts w:ascii="Cambria" w:hAnsi="Cambria"/>
          <w:i/>
          <w:sz w:val="20"/>
        </w:rPr>
        <w:t>deben informar la interpretación</w:t>
      </w:r>
      <w:r>
        <w:rPr>
          <w:rFonts w:ascii="Cambria" w:hAnsi="Cambria"/>
          <w:sz w:val="20"/>
        </w:rPr>
        <w:t xml:space="preserve"> respecto de la facultad de llevar a cabo detenciones” (énfasis añadido) de conformidad con la AUMF. No obstante, afirmó que este cuerpo normativo “no está tan bien codificado con respecto a este tipo actual e innovador de conflicto contra grupos armados” como lo está respecto de conflictos armados entre Estados</w:t>
      </w:r>
      <w:r>
        <w:rPr>
          <w:rStyle w:val="FootnoteReference"/>
          <w:rFonts w:ascii="Cambria" w:hAnsi="Cambria"/>
          <w:sz w:val="20"/>
        </w:rPr>
        <w:footnoteReference w:id="64"/>
      </w:r>
      <w:r>
        <w:rPr>
          <w:rFonts w:ascii="Cambria" w:hAnsi="Cambria"/>
          <w:sz w:val="20"/>
        </w:rPr>
        <w:t xml:space="preserve">. En consecuencia, según el gobierno de Estados Unidos, muchas de las características del conflicto armado internacional tradicional no son aplicables. </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Si bien los conflictos armados internacionales (conflictos armados entre dos o más Estados) están cubiertos por los Cuatro Convenios de Ginebra de 1949 y su Primer Protocolo Adicional de 1977, los conflictos armados no internacionales (conflictos armados entre un Estado y un grupo armado no estatal organizado o entre dos o más de esos grupos en el territorio de un Estado) están cubiertos por el artículo 3 común de los Convenios de Ginebra y el Segundo Protocolo Adicional en lo pertinente; bajo ciertas condiciones, los principios generales del derecho y la costumbre pueden ser aplicables. Desde el derrocamiento del gobierno talibán en diciembre de 2001 por la invasión estadounidense de Afganistán, la “guerra contra el terrorismo” ha sido un conflicto en el que se oponen uno o más Estados, de un lado, y grupos armados, del otro, en el territorio de diferentes Estados, principalmente Afganistán y Pakistán. Por tanto, al evaluar la situación de derechos humanos de los detenidos en la Bahía de Guantánamo, la Comisión Interamericana puede necesitar interpretar y aplicar el derecho internacional de los derechos humanos a la luz del derecho internacional humanitario que regula los conflictos armados internacionales, en tanto </w:t>
      </w:r>
      <w:proofErr w:type="spellStart"/>
      <w:r>
        <w:rPr>
          <w:rFonts w:ascii="Cambria" w:hAnsi="Cambria"/>
          <w:i/>
          <w:sz w:val="20"/>
        </w:rPr>
        <w:t>lex</w:t>
      </w:r>
      <w:proofErr w:type="spellEnd"/>
      <w:r>
        <w:rPr>
          <w:rFonts w:ascii="Cambria" w:hAnsi="Cambria"/>
          <w:i/>
          <w:sz w:val="20"/>
        </w:rPr>
        <w:t xml:space="preserve"> </w:t>
      </w:r>
      <w:proofErr w:type="spellStart"/>
      <w:r>
        <w:rPr>
          <w:rFonts w:ascii="Cambria" w:hAnsi="Cambria"/>
          <w:i/>
          <w:sz w:val="20"/>
        </w:rPr>
        <w:t>specialis</w:t>
      </w:r>
      <w:proofErr w:type="spellEnd"/>
      <w:r>
        <w:rPr>
          <w:rFonts w:ascii="Cambria" w:hAnsi="Cambria"/>
          <w:i/>
          <w:sz w:val="20"/>
        </w:rPr>
        <w:t xml:space="preserve">. </w:t>
      </w:r>
      <w:r>
        <w:rPr>
          <w:rFonts w:ascii="Cambria" w:hAnsi="Cambria"/>
          <w:sz w:val="20"/>
        </w:rPr>
        <w:t>Como ha señalado la CIDH, en este tipo de conflicto, las obligaciones internacionales de los Estados están reguladas tanto por las normas del derecho internacional de los derechos humanos como por las del DIH</w:t>
      </w:r>
      <w:r>
        <w:rPr>
          <w:rStyle w:val="FootnoteReference"/>
          <w:rFonts w:ascii="Cambria" w:hAnsi="Cambria"/>
          <w:sz w:val="20"/>
        </w:rPr>
        <w:footnoteReference w:id="65"/>
      </w:r>
      <w:r>
        <w:rPr>
          <w:rFonts w:ascii="Cambria" w:hAnsi="Cambria"/>
          <w:sz w:val="20"/>
        </w:rPr>
        <w:t>. Ambos marcos normativos de protección de derechos humanos deben ser interpretados y aplicados de manera integral en el marco de las normas aplicables del derecho internacional con miras a ofrecer a los individuos los estándares de protección más favorables de conformidad con la legislación aplicable</w:t>
      </w:r>
      <w:r>
        <w:rPr>
          <w:rStyle w:val="FootnoteReference"/>
          <w:rFonts w:ascii="Cambria" w:hAnsi="Cambria"/>
          <w:sz w:val="20"/>
        </w:rPr>
        <w:footnoteReference w:id="66"/>
      </w:r>
      <w:r>
        <w:rPr>
          <w:rFonts w:ascii="Cambria" w:hAnsi="Cambria"/>
          <w:sz w:val="20"/>
        </w:rPr>
        <w:t xml:space="preserve">. </w:t>
      </w:r>
    </w:p>
    <w:p w:rsidR="00C8425A" w:rsidRDefault="00C8425A" w:rsidP="00C8425A">
      <w:pPr>
        <w:ind w:left="720"/>
        <w:jc w:val="both"/>
        <w:rPr>
          <w:rFonts w:ascii="Cambria" w:hAnsi="Cambria"/>
          <w:sz w:val="20"/>
          <w:szCs w:val="20"/>
        </w:rPr>
      </w:pPr>
    </w:p>
    <w:p w:rsidR="00D5085F" w:rsidRDefault="00D5085F" w:rsidP="00C8425A">
      <w:pPr>
        <w:ind w:left="720"/>
        <w:jc w:val="both"/>
        <w:rPr>
          <w:rFonts w:ascii="Cambria" w:hAnsi="Cambria"/>
          <w:sz w:val="20"/>
          <w:szCs w:val="20"/>
        </w:rPr>
      </w:pPr>
    </w:p>
    <w:p w:rsidR="00D5085F" w:rsidRPr="00FC2F1B" w:rsidRDefault="00D5085F"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lastRenderedPageBreak/>
        <w:t xml:space="preserve">El Tercer Convenio de Ginebra de 1949 claramente define las garantías concedidas a los prisioneros de guerra en los conflictos armados internacionales. Aunque en los conflictos armados no internacionales los Estados y los grupos armados también detienen individuos por razones de seguridad, no existe una base legal explícita para este tipo de privación de libertad. El artículo 3 común y el Segundo Protocolo Adicional establecen ciertos estándares mínimos de tratamiento, pero no especifican garantías legales o procedimentales. El Comité Internacional de la Cruz Roja (CICR) se ha referido al asunto específico de la “detención por razones de seguridad” o “internamiento”, entendido como la privación de libertad en un conflicto armado no internacional ordenada por el ejecutivo por razones de seguridad, esto es, en ausencia de un procedimiento penal. </w:t>
      </w:r>
    </w:p>
    <w:p w:rsidR="00C8425A" w:rsidRPr="00FC2F1B" w:rsidRDefault="00C8425A" w:rsidP="00C8425A">
      <w:pPr>
        <w:pStyle w:val="ListParagrap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En el marco de una reunión de expertos organizada por Chatham </w:t>
      </w:r>
      <w:proofErr w:type="spellStart"/>
      <w:r>
        <w:rPr>
          <w:rFonts w:ascii="Cambria" w:hAnsi="Cambria"/>
          <w:sz w:val="20"/>
        </w:rPr>
        <w:t>House</w:t>
      </w:r>
      <w:proofErr w:type="spellEnd"/>
      <w:r>
        <w:rPr>
          <w:rFonts w:ascii="Cambria" w:hAnsi="Cambria"/>
          <w:sz w:val="20"/>
        </w:rPr>
        <w:t xml:space="preserve"> y el CICR sobre las garantías procesales aplicables a la detención por razones de seguridad en conflictos armados no internacionales</w:t>
      </w:r>
      <w:r>
        <w:rPr>
          <w:rStyle w:val="FootnoteReference"/>
          <w:rFonts w:ascii="Cambria" w:hAnsi="Cambria"/>
          <w:sz w:val="20"/>
        </w:rPr>
        <w:footnoteReference w:id="67"/>
      </w:r>
      <w:r>
        <w:rPr>
          <w:rFonts w:ascii="Cambria" w:hAnsi="Cambria"/>
          <w:sz w:val="20"/>
        </w:rPr>
        <w:t>, los expertos acordaron que, si bien el DIH no ofrece una base legal explícita para el internamiento en conflictos armados no internacionales, “surge de la práctica del conflicto armado y la lógica del DIH que las partes de un conflicto pueden capturar a personas que se considere que constituyen una amenaza seria a la seguridad, así como que esas personas pueden continuar en internamiento mientras continúen siendo una amenaza”</w:t>
      </w:r>
      <w:r>
        <w:rPr>
          <w:rStyle w:val="FootnoteReference"/>
          <w:rFonts w:ascii="Cambria" w:hAnsi="Cambria"/>
          <w:sz w:val="20"/>
        </w:rPr>
        <w:footnoteReference w:id="68"/>
      </w:r>
      <w:r>
        <w:rPr>
          <w:rFonts w:ascii="Cambria" w:hAnsi="Cambria"/>
          <w:sz w:val="20"/>
        </w:rPr>
        <w:t xml:space="preserve">. Así, dado que esta práctica no está prohibida </w:t>
      </w:r>
      <w:r>
        <w:rPr>
          <w:rFonts w:ascii="Cambria" w:hAnsi="Cambria"/>
          <w:i/>
          <w:sz w:val="20"/>
        </w:rPr>
        <w:t>per se</w:t>
      </w:r>
      <w:r>
        <w:rPr>
          <w:rFonts w:ascii="Cambria" w:hAnsi="Cambria"/>
          <w:sz w:val="20"/>
        </w:rPr>
        <w:t>, el análisis debe enfocarse en los requisitos que deben cumplirse para garantizar que la detención no sea ni se convierta en arbitraria.</w:t>
      </w:r>
    </w:p>
    <w:p w:rsidR="00C8425A" w:rsidRPr="00FC2F1B" w:rsidRDefault="00C8425A" w:rsidP="00C8425A">
      <w:pPr>
        <w:pStyle w:val="ListParagrap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Al respecto, los expertos coincidieron en que las detenciones por razones de seguridad deben ser “necesarias” por “razones imperativas de seguridad” (lo que significa que deben estar directamente relacionadas con el conflicto armado); ordenadas con base en “razones permitidas” bajo el derecho internacional; y sometidas a algún tipo de mecanismo de revisión para evaluar inicial y periódicamente la legalidad del internamiento (es decir, si es o si continúa siendo necesario por razones de seguridad, y si existe una base legal). Según las discusiones, “necesidad” expresa el hecho de que el internamiento debe ser visto como una medida excepcional. Debe ser “necesario por razones de seguridad y no sólo conveniente o útil para el que tiene la facultad de llevar a cabo el internamiento”, y por tanto “el internamiento  con el único propósito de obtener inteligencia es inadmisible”. </w:t>
      </w:r>
    </w:p>
    <w:p w:rsidR="00C8425A" w:rsidRPr="00FC2F1B" w:rsidRDefault="00C8425A" w:rsidP="00C8425A">
      <w:pPr>
        <w:pStyle w:val="ListParagrap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En tanto medida preventiva, la detención por razones de seguridad no puede, por ejemplo, ser utilizada como “alternativa (disfrazada) a un procedimiento penal”. Al respecto, el siguiente test bipartito puede evaluar si un individuo constituye una amenaza suficiente: (i) si, sobre la base de su actividad (que como tal no </w:t>
      </w:r>
      <w:r>
        <w:rPr>
          <w:rFonts w:ascii="Cambria" w:hAnsi="Cambria"/>
          <w:sz w:val="20"/>
        </w:rPr>
        <w:lastRenderedPageBreak/>
        <w:t>necesariamente está sometida a un proceso penal) es “altamente probable” o “cierto” que él o ella cometerá más acciones perjudiciales contra el que tiene la facultad de llevar a cabo el internamiento y/o contra aquellos respecto de quienes tiene el mandato de proteger o asistir; y (ii) si es necesario neutralizar la amenaza que presenta</w:t>
      </w:r>
      <w:r>
        <w:rPr>
          <w:rStyle w:val="FootnoteReference"/>
          <w:rFonts w:ascii="Cambria" w:hAnsi="Cambria"/>
          <w:sz w:val="20"/>
        </w:rPr>
        <w:footnoteReference w:id="69"/>
      </w:r>
      <w:r>
        <w:rPr>
          <w:rFonts w:ascii="Cambria" w:hAnsi="Cambria"/>
          <w:sz w:val="20"/>
        </w:rPr>
        <w:t xml:space="preserve">.   </w:t>
      </w:r>
    </w:p>
    <w:p w:rsidR="00C8425A" w:rsidRPr="00FC2F1B" w:rsidRDefault="00C8425A" w:rsidP="00C8425A">
      <w:pPr>
        <w:pStyle w:val="ListParagrap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Finalmente, los expertos subrayaron la importancia de la actualización y verificación continuas de la información utilizada en la evaluación de la amenaza que generó el internamiento. De conformidad con lo anterior, lo que debe evitarse es que la información inicial sobre la existencia de una amenaza continúe sirviendo como fundamento de la detención sin ser corroborada o actualizada posteriormente</w:t>
      </w:r>
      <w:r>
        <w:rPr>
          <w:rStyle w:val="FootnoteReference"/>
          <w:rFonts w:ascii="Cambria" w:hAnsi="Cambria"/>
          <w:sz w:val="20"/>
        </w:rPr>
        <w:footnoteReference w:id="70"/>
      </w:r>
      <w:r>
        <w:rPr>
          <w:rFonts w:ascii="Cambria" w:hAnsi="Cambria"/>
          <w:sz w:val="20"/>
        </w:rPr>
        <w:t xml:space="preserve">. Debe observarse que varios expertos argumentaron que una base convencional explícita para las detenciones por motivos de seguridad a la luz del DIH sería la respuesta más adecuada a las realidades en el terreno.  </w:t>
      </w:r>
    </w:p>
    <w:p w:rsidR="00C8425A" w:rsidRPr="00FC2F1B" w:rsidRDefault="00C8425A" w:rsidP="00C8425A">
      <w:pPr>
        <w:pStyle w:val="ListParagrap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Existen muchos puntos de convergencia entre el derecho internacional humanitario y las garantías que ofrece el derecho internacional de los derechos humanos con respecto al derecho a la libertad personal en el contexto de conflictos armados. Las garantías fundamentales de derechos humanos para las personas son aplicables en todo momento, en tiempos de paz, durante situaciones de emergencia y en la guerra. Sin embargo, al analizar la obligación de los Estados de proteger la seguridad de sus ciudadanos, la Comisión Interamericana ha reconocido que razones de seguridad pública pueden justificar restricciones a la libertad o la extensión de los períodos normales de detención preventiva o administrativa</w:t>
      </w:r>
      <w:r>
        <w:rPr>
          <w:rStyle w:val="FootnoteReference"/>
          <w:rFonts w:ascii="Cambria" w:hAnsi="Cambria"/>
          <w:sz w:val="20"/>
        </w:rPr>
        <w:footnoteReference w:id="71"/>
      </w:r>
      <w:r>
        <w:rPr>
          <w:rFonts w:ascii="Cambria" w:hAnsi="Cambria"/>
          <w:sz w:val="20"/>
        </w:rPr>
        <w:t xml:space="preserve">.  </w:t>
      </w:r>
    </w:p>
    <w:p w:rsidR="00C8425A" w:rsidRPr="00FC2F1B" w:rsidRDefault="00C8425A" w:rsidP="00C8425A">
      <w:pPr>
        <w:pStyle w:val="ListParagrap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El derecho a la libertad y seguridad personales puede potencialmente ser limitado, con base en las reglas y principios que regulan la suspensión establecida en el Artículo 27 de la Convención Americana sobre Derechos Humanos. Aunque la Declaración Americana no contempla explícitamente la posibilidad de restringir o suspender los derechos que prescribe, la Comisión ha considerado que los criterios para la suspensión que se derivan de la Convención Americana y los principios generales del derecho son debidamente considerados y aplicados en el contexto de la Declaración. Adicionalmente, la facultad de los Estados de adoptar medidas derivadas de las garantías consagradas en los instrumentos de derechos humanos a los que se han obligado está regulada por los principios de proporcionalidad, necesidad y no discriminación generalmente reconocidos</w:t>
      </w:r>
      <w:r>
        <w:rPr>
          <w:rStyle w:val="FootnoteReference"/>
          <w:rFonts w:ascii="Cambria" w:hAnsi="Cambria"/>
          <w:sz w:val="20"/>
        </w:rPr>
        <w:footnoteReference w:id="72"/>
      </w:r>
      <w:r>
        <w:rPr>
          <w:rFonts w:ascii="Cambria" w:hAnsi="Cambria"/>
          <w:sz w:val="20"/>
        </w:rPr>
        <w:t xml:space="preserve">. </w:t>
      </w:r>
    </w:p>
    <w:p w:rsidR="00C8425A" w:rsidRDefault="00C8425A" w:rsidP="00C8425A">
      <w:pPr>
        <w:pStyle w:val="ListParagraph"/>
        <w:rPr>
          <w:rFonts w:ascii="Cambria" w:hAnsi="Cambria"/>
          <w:sz w:val="20"/>
          <w:szCs w:val="20"/>
        </w:rPr>
      </w:pPr>
    </w:p>
    <w:p w:rsidR="00D5085F" w:rsidRDefault="00D5085F" w:rsidP="00C8425A">
      <w:pPr>
        <w:pStyle w:val="ListParagrap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lastRenderedPageBreak/>
        <w:t>Según la Comisión Interamericana, un Estado puede “justificadamente someter a personas a períodos de detención preventiva o administrativa por períodos más largos que los que serían permisibles bajo circunstancias ordinarias, siempre que se demuestre que su detención extendida es estrictamente necesaria con base en una situación de emergencia”</w:t>
      </w:r>
      <w:r>
        <w:rPr>
          <w:rStyle w:val="FootnoteReference"/>
          <w:rFonts w:ascii="Cambria" w:hAnsi="Cambria"/>
          <w:sz w:val="20"/>
        </w:rPr>
        <w:footnoteReference w:id="73"/>
      </w:r>
      <w:r>
        <w:rPr>
          <w:rFonts w:ascii="Cambria" w:hAnsi="Cambria"/>
          <w:sz w:val="20"/>
        </w:rPr>
        <w:t>. Cualquier detención de este tipo, sin embargo, sólo puede continuar por el período necesario a la luz de la situación y debe continuar sometida a garantías inderogables. Estas incluyen: “el requisito de que los fundamentos y procedimientos para la detención estén dispuestos por ley, el derecho a ser informado de las razones de la detención, el acceso sin demora a un abogado, a la familia y, cuando sea necesario o aplicable, a asistencia médica y consular, a límites prescritos en cuanto a la prolongación de la detención y al mantenimiento de un registro central de detenidos”</w:t>
      </w:r>
      <w:r>
        <w:rPr>
          <w:rStyle w:val="FootnoteReference"/>
          <w:rFonts w:ascii="Cambria" w:hAnsi="Cambria"/>
          <w:sz w:val="20"/>
        </w:rPr>
        <w:footnoteReference w:id="74"/>
      </w:r>
      <w:r>
        <w:rPr>
          <w:rFonts w:ascii="Cambria" w:hAnsi="Cambria"/>
          <w:sz w:val="20"/>
        </w:rPr>
        <w:t>. También se considera que estas garantías incluyen mecanismos adecuados de revisión judicial para supervisar las detenciones, disponibles inmediatamente después del arresto o la detención, y en intervalos razonables cuando la detención se prolongue.</w:t>
      </w:r>
    </w:p>
    <w:p w:rsidR="00DB24DC" w:rsidRPr="00FC2F1B" w:rsidRDefault="00DB24DC" w:rsidP="00C8425A">
      <w:pPr>
        <w:ind w:left="720"/>
        <w:jc w:val="both"/>
        <w:rPr>
          <w:rFonts w:ascii="Cambria" w:hAnsi="Cambria"/>
          <w:sz w:val="20"/>
          <w:szCs w:val="20"/>
        </w:rPr>
      </w:pPr>
    </w:p>
    <w:p w:rsidR="00C8425A" w:rsidRPr="005E008E" w:rsidRDefault="00C8425A" w:rsidP="00D544D0">
      <w:pPr>
        <w:numPr>
          <w:ilvl w:val="0"/>
          <w:numId w:val="5"/>
        </w:numPr>
        <w:shd w:val="clear" w:color="auto" w:fill="D9D9D9" w:themeFill="background1" w:themeFillShade="D9"/>
        <w:ind w:left="547" w:hanging="547"/>
        <w:jc w:val="both"/>
        <w:rPr>
          <w:rFonts w:ascii="Cambria" w:hAnsi="Cambria"/>
          <w:sz w:val="20"/>
          <w:szCs w:val="20"/>
        </w:rPr>
      </w:pPr>
      <w:r w:rsidRPr="005E008E">
        <w:rPr>
          <w:rFonts w:ascii="Cambria" w:hAnsi="Cambria"/>
          <w:sz w:val="20"/>
        </w:rPr>
        <w:t>La CIDH, junto con varios otros titulares de mandatos de las Naciones Unidas, ha establecido que la detención continuada e indefinida de personas sin derecho al debido proceso en Guantánamo es arbitraria y constituye una clara violación del derecho internacional</w:t>
      </w:r>
      <w:r w:rsidRPr="005E008E">
        <w:rPr>
          <w:rStyle w:val="FootnoteReference"/>
          <w:rFonts w:ascii="Cambria" w:hAnsi="Cambria"/>
          <w:sz w:val="20"/>
        </w:rPr>
        <w:footnoteReference w:id="75"/>
      </w:r>
      <w:r w:rsidRPr="005E008E">
        <w:rPr>
          <w:rFonts w:ascii="Cambria" w:hAnsi="Cambria"/>
          <w:sz w:val="20"/>
        </w:rPr>
        <w:t xml:space="preserve">. Esta situación es especialmente evidente con respecto a los prisioneros cuyo traslado ha sido autorizado por el gobierno de los Estados </w:t>
      </w:r>
      <w:r w:rsidRPr="00B07B26">
        <w:rPr>
          <w:rFonts w:ascii="Cambria" w:hAnsi="Cambria"/>
          <w:sz w:val="20"/>
        </w:rPr>
        <w:t>Unidos</w:t>
      </w:r>
      <w:r w:rsidRPr="005E008E">
        <w:rPr>
          <w:rFonts w:ascii="Cambria" w:hAnsi="Cambria"/>
          <w:sz w:val="20"/>
        </w:rPr>
        <w:t xml:space="preserve"> de América. En relación con la situación de los detenidos en Guantánamo, la CIDH también ha subrayado que las razones de orden público “no </w:t>
      </w:r>
      <w:proofErr w:type="spellStart"/>
      <w:proofErr w:type="gramStart"/>
      <w:r w:rsidRPr="005E008E">
        <w:rPr>
          <w:rFonts w:ascii="Cambria" w:hAnsi="Cambria"/>
          <w:sz w:val="20"/>
        </w:rPr>
        <w:t>pued</w:t>
      </w:r>
      <w:proofErr w:type="spellEnd"/>
      <w:r w:rsidRPr="005E008E">
        <w:rPr>
          <w:rFonts w:ascii="Cambria" w:hAnsi="Cambria"/>
          <w:sz w:val="20"/>
        </w:rPr>
        <w:t>[</w:t>
      </w:r>
      <w:proofErr w:type="gramEnd"/>
      <w:r w:rsidRPr="005E008E">
        <w:rPr>
          <w:rFonts w:ascii="Cambria" w:hAnsi="Cambria"/>
          <w:sz w:val="20"/>
        </w:rPr>
        <w:t>en] servir de pretexto para la detención indefinida de personas, sin cargo alguno”. Y que cuando estas medidas de seguridad se prolongan más allá de un plazo razonable, se convierten en graves violaciones al derecho a la libertad personal”</w:t>
      </w:r>
      <w:r w:rsidRPr="005E008E">
        <w:rPr>
          <w:rStyle w:val="FootnoteReference"/>
          <w:rFonts w:ascii="Cambria" w:hAnsi="Cambria"/>
          <w:sz w:val="20"/>
        </w:rPr>
        <w:footnoteReference w:id="76"/>
      </w:r>
      <w:r w:rsidRPr="005E008E">
        <w:rPr>
          <w:rFonts w:ascii="Cambria" w:hAnsi="Cambria"/>
          <w:sz w:val="20"/>
        </w:rPr>
        <w:t xml:space="preserve">. </w:t>
      </w:r>
    </w:p>
    <w:p w:rsidR="00C8425A" w:rsidRPr="00FC2F1B" w:rsidRDefault="00C8425A" w:rsidP="00C8425A">
      <w:pPr>
        <w:pStyle w:val="ListParagrap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En ese sentido, el Comité contra la Tortura de Naciones Unidas ha condenado el tratamiento de los detenidos en Guantánamo, observando que la detención indefinida constituye </w:t>
      </w:r>
      <w:r>
        <w:rPr>
          <w:rFonts w:ascii="Cambria" w:hAnsi="Cambria"/>
          <w:i/>
          <w:sz w:val="20"/>
        </w:rPr>
        <w:t xml:space="preserve">per se </w:t>
      </w:r>
      <w:r>
        <w:rPr>
          <w:rFonts w:ascii="Cambria" w:hAnsi="Cambria"/>
          <w:sz w:val="20"/>
        </w:rPr>
        <w:t>una violación a la Convención de Naciones Unidas contra la Tortura y otros Tratos o Penas Crueles, Inhumanos o Degradantes</w:t>
      </w:r>
      <w:r>
        <w:rPr>
          <w:rStyle w:val="FootnoteReference"/>
          <w:rFonts w:ascii="Cambria" w:hAnsi="Cambria"/>
          <w:sz w:val="20"/>
        </w:rPr>
        <w:footnoteReference w:id="77"/>
      </w:r>
      <w:r>
        <w:rPr>
          <w:rFonts w:ascii="Cambria" w:hAnsi="Cambria"/>
          <w:sz w:val="20"/>
        </w:rPr>
        <w:t xml:space="preserve">. Adicionalmente, un informe de 2006 adoptado por el Consejo Económico y Social de la ONU sobre la situación de los detenidos en la Bahía de Guantánamo, y que lamentablemente sigue siendo relevante, señala que “el objetivo principal de la detención continuada no es evitar que los combatientes reanuden la lucha armada contra los Estados Unidos, sino obtener información y recabar datos para los servicios de inteligencia sobre la red Al Qaida”. Al respecto, el informe señala que </w:t>
      </w:r>
      <w:r>
        <w:rPr>
          <w:rFonts w:ascii="Cambria" w:hAnsi="Cambria"/>
          <w:sz w:val="20"/>
        </w:rPr>
        <w:lastRenderedPageBreak/>
        <w:t>“[l]a detención indefinida de prisioneros de guerra y de civiles internados para someterlos a interrogatorios continuos es incompatible con las disposiciones de los Convenios de Ginebra</w:t>
      </w:r>
      <w:r>
        <w:rPr>
          <w:rStyle w:val="FootnoteReference"/>
          <w:rFonts w:ascii="Cambria" w:hAnsi="Cambria"/>
          <w:sz w:val="20"/>
        </w:rPr>
        <w:footnoteReference w:id="78"/>
      </w:r>
      <w:r>
        <w:rPr>
          <w:rFonts w:ascii="Cambria" w:hAnsi="Cambria"/>
          <w:sz w:val="20"/>
        </w:rPr>
        <w:t xml:space="preserve">. </w:t>
      </w:r>
    </w:p>
    <w:p w:rsidR="00C8425A" w:rsidRPr="00FC2F1B" w:rsidRDefault="00C8425A" w:rsidP="00C8425A">
      <w:pPr>
        <w:pStyle w:val="ListParagrap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El Relator Especial de Naciones Unidas sobre la tortura y otros tratos o penas crueles, inhumanos o degradantes ha reiterado que todas las detenciones llevadas a cabo fuera del campo de batalla deben estar reguladas por el derecho internacional de los derechos humanos –que prohíbe la detención arbitraria prolongada- incluso si se llevan a cabo bajo la retórica de la “guerra contra el terror””</w:t>
      </w:r>
      <w:r>
        <w:rPr>
          <w:rStyle w:val="FootnoteReference"/>
          <w:rFonts w:ascii="Cambria" w:hAnsi="Cambria"/>
          <w:sz w:val="20"/>
        </w:rPr>
        <w:footnoteReference w:id="79"/>
      </w:r>
      <w:r>
        <w:rPr>
          <w:rFonts w:ascii="Cambria" w:hAnsi="Cambria"/>
          <w:sz w:val="20"/>
        </w:rPr>
        <w:t>. El Relator Especial considera que la práctica de Estados Unidos de mantener a personas detenidas indefinidamente cuando se haya determinado que constituyen una amenaza significativa a la seguridad de Estados Unidos configuran una violación de la prohibición de la tortura y los malos tratos establecida en el Artículo 7 del Pacto Internacional de Derechos Civiles y Políticos, los artículos 1 y 16 de la Convención contra la Tortura, así como las disposiciones relevantes de la Declaración Americana, incorporadas a la Carta de la Organización de los Estados Americanos</w:t>
      </w:r>
      <w:r>
        <w:rPr>
          <w:rStyle w:val="FootnoteReference"/>
          <w:rFonts w:ascii="Cambria" w:hAnsi="Cambria"/>
          <w:sz w:val="20"/>
        </w:rPr>
        <w:footnoteReference w:id="80"/>
      </w:r>
      <w:r>
        <w:rPr>
          <w:rFonts w:ascii="Cambria" w:hAnsi="Cambria"/>
          <w:sz w:val="20"/>
        </w:rPr>
        <w:t xml:space="preserve">. </w:t>
      </w:r>
    </w:p>
    <w:p w:rsidR="00C8425A" w:rsidRPr="00FC2F1B" w:rsidRDefault="00C8425A" w:rsidP="00C8425A">
      <w:pPr>
        <w:pStyle w:val="ListParagrap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En consecuencia, con base en los estándares mencionados anteriormente y establecidos tanto en el derecho internacional de los derechos humanos como en el derecho internacional humanitario, la detención indefinida de personas que todavía permanecen en Guantánamo sin cargos en su contra después de más de una década, sobre todo con el propósito de obtener información de inteligencia, constituye una grave violación de su derecho a la libertad personal garantizado por el artículo I de la Declaración Americana. La persistencia de esta detención continuada e indefinida claramente sobrepasa una medida excepcional o estrictamente necesaria ordenada por razones de seguridad, y es arbitraria e injusta. Los prisioneros detenidos en el contexto de conflictos armados no internacionales sólo pueden permanecer detenidos por razones de seguridad y, por lo tanto, no pueden continuar detenidos indefinidamente con fines interrogatorios. Al respecto, la Comisión Interamericana reitera enfáticamente la necesidad de adoptar medidas concretas para poner fin a la detención indefinida de detenidos en Guantánamo.</w:t>
      </w:r>
    </w:p>
    <w:p w:rsidR="008B4DC5" w:rsidRDefault="008B4DC5" w:rsidP="00C8425A">
      <w:pPr>
        <w:rPr>
          <w:rFonts w:ascii="Cambria" w:hAnsi="Cambria"/>
          <w:sz w:val="20"/>
          <w:szCs w:val="20"/>
        </w:rPr>
      </w:pPr>
    </w:p>
    <w:p w:rsidR="00AA0C6A" w:rsidRDefault="00AA0C6A" w:rsidP="00C8425A">
      <w:pPr>
        <w:rPr>
          <w:rFonts w:ascii="Cambria" w:hAnsi="Cambria"/>
          <w:sz w:val="20"/>
          <w:szCs w:val="20"/>
        </w:rPr>
      </w:pPr>
    </w:p>
    <w:p w:rsidR="00AA0C6A" w:rsidRDefault="00AA0C6A" w:rsidP="00C8425A">
      <w:pPr>
        <w:rPr>
          <w:rFonts w:ascii="Cambria" w:hAnsi="Cambria"/>
          <w:sz w:val="20"/>
          <w:szCs w:val="20"/>
        </w:rPr>
      </w:pPr>
    </w:p>
    <w:p w:rsidR="00AA0C6A" w:rsidRDefault="00AA0C6A" w:rsidP="00C8425A">
      <w:pPr>
        <w:rPr>
          <w:rFonts w:ascii="Cambria" w:hAnsi="Cambria"/>
          <w:sz w:val="20"/>
          <w:szCs w:val="20"/>
        </w:rPr>
      </w:pPr>
    </w:p>
    <w:p w:rsidR="00AA0C6A" w:rsidRDefault="00AA0C6A" w:rsidP="00C8425A">
      <w:pPr>
        <w:rPr>
          <w:rFonts w:ascii="Cambria" w:hAnsi="Cambria"/>
          <w:sz w:val="20"/>
          <w:szCs w:val="20"/>
        </w:rPr>
      </w:pPr>
    </w:p>
    <w:p w:rsidR="00AA0C6A" w:rsidRDefault="00AA0C6A" w:rsidP="00C8425A">
      <w:pPr>
        <w:rPr>
          <w:rFonts w:ascii="Cambria" w:hAnsi="Cambria"/>
          <w:sz w:val="20"/>
          <w:szCs w:val="20"/>
        </w:rPr>
      </w:pPr>
    </w:p>
    <w:p w:rsidR="00AA0C6A" w:rsidRDefault="00AA0C6A" w:rsidP="00C8425A">
      <w:pPr>
        <w:rPr>
          <w:rFonts w:ascii="Cambria" w:hAnsi="Cambria"/>
          <w:sz w:val="20"/>
          <w:szCs w:val="20"/>
        </w:rPr>
      </w:pPr>
    </w:p>
    <w:p w:rsidR="00AA0C6A" w:rsidRDefault="00AA0C6A" w:rsidP="00C8425A">
      <w:pPr>
        <w:rPr>
          <w:rFonts w:ascii="Cambria" w:hAnsi="Cambria"/>
          <w:sz w:val="20"/>
          <w:szCs w:val="20"/>
        </w:rPr>
      </w:pPr>
    </w:p>
    <w:p w:rsidR="00AA0C6A" w:rsidRPr="00FC2F1B" w:rsidRDefault="00AA0C6A" w:rsidP="00C8425A">
      <w:pPr>
        <w:rPr>
          <w:rFonts w:ascii="Cambria" w:hAnsi="Cambria"/>
          <w:sz w:val="20"/>
          <w:szCs w:val="20"/>
        </w:rPr>
      </w:pPr>
    </w:p>
    <w:p w:rsidR="00C8425A" w:rsidRPr="00FC2F1B" w:rsidRDefault="00C8425A" w:rsidP="0043424D">
      <w:pPr>
        <w:pStyle w:val="Heading2"/>
      </w:pPr>
      <w:bookmarkStart w:id="36" w:name="_Toc423072837"/>
      <w:r>
        <w:lastRenderedPageBreak/>
        <w:t>Derecho a la integridad personal</w:t>
      </w:r>
      <w:bookmarkEnd w:id="36"/>
    </w:p>
    <w:p w:rsidR="00C8425A" w:rsidRPr="00FC2F1B" w:rsidRDefault="00C8425A" w:rsidP="00C8425A">
      <w:pPr>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El derecho de las personas privadas de libertad a un trato humano bajo la custodia del Estado es una norma universalmente aceptada en el derecho internacional</w:t>
      </w:r>
      <w:r>
        <w:rPr>
          <w:rStyle w:val="FootnoteReference"/>
          <w:rFonts w:ascii="Cambria" w:hAnsi="Cambria"/>
          <w:sz w:val="20"/>
        </w:rPr>
        <w:footnoteReference w:id="81"/>
      </w:r>
      <w:r>
        <w:rPr>
          <w:rFonts w:ascii="Cambria" w:hAnsi="Cambria"/>
          <w:sz w:val="20"/>
        </w:rPr>
        <w:t>. En su Informe sobre Terrorismo y Derechos Humanos la CIDH señaló</w:t>
      </w:r>
      <w:r>
        <w:rPr>
          <w:rStyle w:val="FootnoteReference"/>
          <w:rFonts w:ascii="Cambria" w:hAnsi="Cambria"/>
          <w:sz w:val="20"/>
        </w:rPr>
        <w:footnoteReference w:id="82"/>
      </w:r>
      <w:r>
        <w:rPr>
          <w:rFonts w:ascii="Cambria" w:hAnsi="Cambria"/>
          <w:sz w:val="20"/>
        </w:rPr>
        <w:t>:</w:t>
      </w:r>
    </w:p>
    <w:p w:rsidR="00C8425A" w:rsidRPr="00FC2F1B" w:rsidRDefault="00C8425A" w:rsidP="00C8425A">
      <w:pPr>
        <w:rPr>
          <w:rFonts w:ascii="Cambria" w:hAnsi="Cambria"/>
          <w:sz w:val="20"/>
          <w:szCs w:val="20"/>
        </w:rPr>
      </w:pPr>
    </w:p>
    <w:p w:rsidR="00C8425A" w:rsidRPr="00FC2F1B" w:rsidRDefault="00C8425A" w:rsidP="005D0288">
      <w:pPr>
        <w:ind w:left="979"/>
        <w:jc w:val="both"/>
        <w:rPr>
          <w:rFonts w:ascii="Cambria" w:hAnsi="Cambria"/>
          <w:sz w:val="20"/>
          <w:szCs w:val="20"/>
        </w:rPr>
      </w:pPr>
      <w:r>
        <w:rPr>
          <w:rFonts w:ascii="Cambria" w:hAnsi="Cambria"/>
          <w:sz w:val="20"/>
        </w:rPr>
        <w:t>Quizá no haya campo donde exista mayor convergencia entre el derecho internacional de los derechos humanos y el derecho internacional humanitario, que en lo atinente a las normas de trato humano</w:t>
      </w:r>
      <w:r>
        <w:rPr>
          <w:rFonts w:ascii="Cambria" w:hAnsi="Cambria"/>
          <w:b/>
          <w:sz w:val="20"/>
        </w:rPr>
        <w:t>.</w:t>
      </w:r>
      <w:r>
        <w:rPr>
          <w:rFonts w:ascii="Cambria" w:hAnsi="Cambria"/>
          <w:sz w:val="20"/>
        </w:rPr>
        <w:t> Ambos regímenes, si bien gobernados por instrumentos diferentes, prevén los mismos requisitos mínimos e inderogables respecto del trato humano de todas las personas bajo control y autoridad del Estado. Más aun, bajo ambos regímenes, las violaciones más atroces de las salvaguardias del trato humano no sólo generan la responsabilidad del Estado sino también la responsabilidad penal individual por parte de quien las perpetra y de sus superiores.</w:t>
      </w:r>
    </w:p>
    <w:p w:rsidR="00C8425A" w:rsidRPr="00FC2F1B" w:rsidRDefault="00C8425A" w:rsidP="00C8425A">
      <w:pPr>
        <w:pStyle w:val="ListParagraph"/>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 La Declaración Americana contiene varias disposiciones relativas al trato humano. Primero, la Comisión ha interpretado que el artículo I de la Declaración (Derecho a la vida, a la libertad, a la seguridad e integridad de la persona) contiene una prohibición del uso de la tortura u otros tratos o penas crueles, </w:t>
      </w:r>
      <w:proofErr w:type="gramStart"/>
      <w:r>
        <w:rPr>
          <w:rFonts w:ascii="Cambria" w:hAnsi="Cambria"/>
          <w:sz w:val="20"/>
        </w:rPr>
        <w:t>inhumanos</w:t>
      </w:r>
      <w:proofErr w:type="gramEnd"/>
      <w:r>
        <w:rPr>
          <w:rFonts w:ascii="Cambria" w:hAnsi="Cambria"/>
          <w:sz w:val="20"/>
        </w:rPr>
        <w:t xml:space="preserve"> o degradantes contra las personas en cualquier circunstancia, similar a aquella del artículo 5 de la Convención Americana</w:t>
      </w:r>
      <w:r>
        <w:rPr>
          <w:rStyle w:val="FootnoteReference"/>
          <w:rFonts w:ascii="Cambria" w:hAnsi="Cambria"/>
          <w:sz w:val="20"/>
        </w:rPr>
        <w:footnoteReference w:id="83"/>
      </w:r>
      <w:r>
        <w:rPr>
          <w:rFonts w:ascii="Cambria" w:hAnsi="Cambria"/>
          <w:sz w:val="20"/>
        </w:rPr>
        <w:t xml:space="preserve">. Adicionalmente, los artículos XXV y XXVI de la Declaración se refieren al derecho al trato humano en el contexto de los derechos a la protección contra la detención arbitraria y al proceso regular, en los siguientes términos: </w:t>
      </w:r>
    </w:p>
    <w:p w:rsidR="00C8425A" w:rsidRPr="00FC2F1B" w:rsidRDefault="00C8425A" w:rsidP="00C8425A">
      <w:pPr>
        <w:pStyle w:val="NormalWeb"/>
        <w:spacing w:before="0" w:beforeAutospacing="0" w:after="0" w:afterAutospacing="0"/>
        <w:ind w:left="720" w:right="720"/>
        <w:jc w:val="both"/>
        <w:rPr>
          <w:rFonts w:ascii="Cambria" w:hAnsi="Cambria"/>
          <w:sz w:val="20"/>
          <w:szCs w:val="20"/>
        </w:rPr>
      </w:pPr>
    </w:p>
    <w:p w:rsidR="00C8425A" w:rsidRPr="00FC2F1B" w:rsidRDefault="00C8425A" w:rsidP="005D0288">
      <w:pPr>
        <w:pStyle w:val="NormalWeb"/>
        <w:spacing w:before="0" w:beforeAutospacing="0" w:after="0" w:afterAutospacing="0"/>
        <w:ind w:left="979"/>
        <w:jc w:val="both"/>
        <w:rPr>
          <w:rFonts w:ascii="Cambria" w:hAnsi="Cambria"/>
          <w:sz w:val="20"/>
          <w:szCs w:val="20"/>
        </w:rPr>
      </w:pPr>
      <w:r>
        <w:rPr>
          <w:rFonts w:ascii="Cambria" w:hAnsi="Cambria"/>
          <w:sz w:val="20"/>
        </w:rPr>
        <w:t>Artículo XXV.  […]  Todo individuo que haya sido privado de su libertad tiene derecho […] a un tratamiento humano durante la privación de su libertad.</w:t>
      </w:r>
    </w:p>
    <w:p w:rsidR="00C8425A" w:rsidRPr="00FC2F1B" w:rsidRDefault="00C8425A" w:rsidP="005D0288">
      <w:pPr>
        <w:pStyle w:val="NormalWeb"/>
        <w:spacing w:before="0" w:beforeAutospacing="0" w:after="0" w:afterAutospacing="0"/>
        <w:ind w:left="979"/>
        <w:jc w:val="both"/>
        <w:rPr>
          <w:rFonts w:ascii="Cambria" w:hAnsi="Cambria"/>
          <w:sz w:val="20"/>
          <w:szCs w:val="20"/>
        </w:rPr>
      </w:pPr>
      <w:r>
        <w:rPr>
          <w:rFonts w:ascii="Cambria" w:hAnsi="Cambria"/>
          <w:sz w:val="20"/>
        </w:rPr>
        <w:t xml:space="preserve">  </w:t>
      </w:r>
    </w:p>
    <w:p w:rsidR="00C8425A" w:rsidRPr="00FC2F1B" w:rsidRDefault="00C8425A" w:rsidP="005D0288">
      <w:pPr>
        <w:pStyle w:val="NormalWeb"/>
        <w:spacing w:before="0" w:beforeAutospacing="0" w:after="0" w:afterAutospacing="0"/>
        <w:ind w:left="979"/>
        <w:jc w:val="both"/>
        <w:rPr>
          <w:rFonts w:ascii="Cambria" w:hAnsi="Cambria"/>
          <w:sz w:val="20"/>
          <w:szCs w:val="20"/>
        </w:rPr>
      </w:pPr>
      <w:r>
        <w:rPr>
          <w:rFonts w:ascii="Cambria" w:hAnsi="Cambria"/>
          <w:sz w:val="20"/>
        </w:rPr>
        <w:t>Artículo  XXVI. Toda persona acusada de delito tiene derecho […] a que no se le imponga penas crueles, infamantes o inusitadas.</w:t>
      </w:r>
    </w:p>
    <w:p w:rsidR="00C8425A" w:rsidRPr="00FC2F1B" w:rsidRDefault="00C8425A" w:rsidP="00C8425A">
      <w:pPr>
        <w:pStyle w:val="ListParagraph"/>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Además, los Principios y Buenas Prácticas sobre la Protección de las Personas Privadas de Libertad en las Américas están basados en la idea fundamental de que: </w:t>
      </w:r>
    </w:p>
    <w:p w:rsidR="00C8425A" w:rsidRPr="00FC2F1B" w:rsidRDefault="00C8425A" w:rsidP="00C8425A">
      <w:pPr>
        <w:ind w:left="720"/>
        <w:jc w:val="both"/>
        <w:rPr>
          <w:rFonts w:ascii="Cambria" w:hAnsi="Cambria"/>
          <w:sz w:val="20"/>
          <w:szCs w:val="20"/>
        </w:rPr>
      </w:pPr>
    </w:p>
    <w:p w:rsidR="00C8425A" w:rsidRPr="00FC2F1B" w:rsidRDefault="00C8425A" w:rsidP="005D0288">
      <w:pPr>
        <w:ind w:left="979"/>
        <w:jc w:val="both"/>
        <w:rPr>
          <w:rFonts w:ascii="Cambria" w:hAnsi="Cambria"/>
          <w:sz w:val="20"/>
          <w:szCs w:val="20"/>
        </w:rPr>
      </w:pPr>
      <w:r>
        <w:rPr>
          <w:rFonts w:ascii="Cambria" w:hAnsi="Cambria"/>
          <w:sz w:val="20"/>
        </w:rPr>
        <w:t>Toda persona privada de libertad que esté sujeta a la jurisdicción de cualquiera de los Estados Miembros de la Organización de los Estados Americanos será tratada humanamente, con irrestricto respeto a su dignidad inherente, a sus derechos y garantías fundamentales, y con estricto apego a los instrumentos internacionales sobre derechos humanos.</w:t>
      </w:r>
    </w:p>
    <w:p w:rsidR="00C8425A" w:rsidRPr="00FC2F1B" w:rsidRDefault="00C8425A" w:rsidP="008B4DC5">
      <w:pPr>
        <w:ind w:left="720"/>
        <w:jc w:val="both"/>
        <w:rPr>
          <w:rFonts w:ascii="Cambria" w:hAnsi="Cambria"/>
          <w:sz w:val="20"/>
          <w:szCs w:val="20"/>
        </w:rPr>
      </w:pPr>
      <w:r>
        <w:rPr>
          <w:rFonts w:ascii="Cambria" w:hAnsi="Cambria"/>
          <w:sz w:val="20"/>
        </w:rPr>
        <w:t> </w:t>
      </w:r>
    </w:p>
    <w:p w:rsidR="00C8425A" w:rsidRPr="00FC2F1B" w:rsidRDefault="00C8425A" w:rsidP="005D0288">
      <w:pPr>
        <w:ind w:left="979"/>
        <w:jc w:val="both"/>
        <w:rPr>
          <w:rFonts w:ascii="Cambria" w:hAnsi="Cambria"/>
          <w:sz w:val="20"/>
          <w:szCs w:val="20"/>
        </w:rPr>
      </w:pPr>
      <w:r>
        <w:rPr>
          <w:rFonts w:ascii="Cambria" w:hAnsi="Cambria"/>
          <w:sz w:val="20"/>
        </w:rPr>
        <w:lastRenderedPageBreak/>
        <w:t>En particular, y tomando en cuenta la posición especial de garante de los Estados frente a las personas privadas de libertad, se les respetará y garantizará su vida e integridad personal, y se asegurarán condiciones mínimas que sean compatibles con su dignidad. (Principio I)</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El derecho internacional humanitario también contiene garantías generales sobre trato humano. Los artículos 13 y 14 del Tercer Convenio de Ginebra establecen disposiciones generales sobre el derecho de los prisioneros de guerra al trato humano. Adicionalmente, está bien establecido que el artículo 3 común y sus correspondientes prohibiciones contra la tortura, tratos crueles y atentados contra la dignidad personal, constituyen normas de derecho internacional consuetudinario</w:t>
      </w:r>
      <w:r>
        <w:rPr>
          <w:rStyle w:val="FootnoteReference"/>
          <w:rFonts w:ascii="Cambria" w:hAnsi="Cambria"/>
          <w:sz w:val="20"/>
        </w:rPr>
        <w:footnoteReference w:id="84"/>
      </w:r>
      <w:r>
        <w:rPr>
          <w:rFonts w:ascii="Cambria" w:hAnsi="Cambria"/>
          <w:sz w:val="20"/>
        </w:rPr>
        <w:t>.</w:t>
      </w:r>
    </w:p>
    <w:p w:rsidR="008B4DC5" w:rsidRPr="00FC2F1B" w:rsidRDefault="008B4DC5" w:rsidP="00C8425A">
      <w:pPr>
        <w:jc w:val="both"/>
        <w:rPr>
          <w:rFonts w:ascii="Cambria" w:hAnsi="Cambria"/>
          <w:sz w:val="20"/>
          <w:szCs w:val="20"/>
        </w:rPr>
      </w:pPr>
    </w:p>
    <w:p w:rsidR="00C8425A" w:rsidRPr="00FC2F1B" w:rsidRDefault="00C8425A" w:rsidP="00B0181B">
      <w:pPr>
        <w:pStyle w:val="Style3"/>
        <w:numPr>
          <w:ilvl w:val="0"/>
          <w:numId w:val="11"/>
        </w:numPr>
        <w:ind w:left="1094" w:hanging="547"/>
      </w:pPr>
      <w:bookmarkStart w:id="37" w:name="_Toc423072838"/>
      <w:r>
        <w:t>Tortura</w:t>
      </w:r>
      <w:bookmarkEnd w:id="37"/>
    </w:p>
    <w:p w:rsidR="00C8425A" w:rsidRPr="00FC2F1B" w:rsidRDefault="00C8425A" w:rsidP="00C8425A">
      <w:pPr>
        <w:pStyle w:val="ListParagraph"/>
        <w:jc w:val="both"/>
        <w:rPr>
          <w:sz w:val="20"/>
          <w:szCs w:val="20"/>
        </w:rPr>
      </w:pPr>
    </w:p>
    <w:p w:rsidR="00C8425A" w:rsidRPr="00FC2F1B" w:rsidRDefault="003F7DC0" w:rsidP="00724CD2">
      <w:pPr>
        <w:numPr>
          <w:ilvl w:val="0"/>
          <w:numId w:val="5"/>
        </w:numPr>
        <w:ind w:left="547" w:hanging="547"/>
        <w:jc w:val="both"/>
        <w:rPr>
          <w:rFonts w:ascii="Cambria" w:hAnsi="Cambria"/>
          <w:sz w:val="20"/>
          <w:szCs w:val="20"/>
        </w:rPr>
      </w:pPr>
      <w:r>
        <w:rPr>
          <w:rFonts w:ascii="Cambria" w:hAnsi="Cambria"/>
          <w:sz w:val="20"/>
        </w:rPr>
        <w:t xml:space="preserve">Existe </w:t>
      </w:r>
      <w:r w:rsidR="00C8425A">
        <w:rPr>
          <w:rFonts w:ascii="Cambria" w:hAnsi="Cambria"/>
          <w:sz w:val="20"/>
        </w:rPr>
        <w:t>amplia información sobre las condiciones inhumanas de detención y las brutales técnicas de interrogatorio en Guantánamo, particularmente durante los primeros años. Según el testimonio de un oficial de la policía militar que se encontraba en Guantánamo cuando los primeros prisioneros llegaron al Campo X-</w:t>
      </w:r>
      <w:proofErr w:type="spellStart"/>
      <w:r w:rsidR="00C8425A">
        <w:rPr>
          <w:rFonts w:ascii="Cambria" w:hAnsi="Cambria"/>
          <w:sz w:val="20"/>
        </w:rPr>
        <w:t>Ray</w:t>
      </w:r>
      <w:proofErr w:type="spellEnd"/>
      <w:r w:rsidR="00C8425A">
        <w:rPr>
          <w:rFonts w:ascii="Cambria" w:hAnsi="Cambria"/>
          <w:sz w:val="20"/>
        </w:rPr>
        <w:t xml:space="preserve"> en enero de 2002, los detenidos arribaron en atuendos de plena privación sensorial.  Fueron sometidos a abusos verbales y golpizas brutales por parte del personal militar, particularmente por parte de la Fuerza de Reacción Inmediata (</w:t>
      </w:r>
      <w:proofErr w:type="spellStart"/>
      <w:r w:rsidR="00C8425A">
        <w:rPr>
          <w:rFonts w:ascii="Cambria" w:hAnsi="Cambria"/>
          <w:i/>
          <w:sz w:val="20"/>
        </w:rPr>
        <w:t>Immediate</w:t>
      </w:r>
      <w:proofErr w:type="spellEnd"/>
      <w:r w:rsidR="00C8425A">
        <w:rPr>
          <w:rFonts w:ascii="Cambria" w:hAnsi="Cambria"/>
          <w:i/>
          <w:sz w:val="20"/>
        </w:rPr>
        <w:t xml:space="preserve"> </w:t>
      </w:r>
      <w:proofErr w:type="spellStart"/>
      <w:r w:rsidR="00C8425A">
        <w:rPr>
          <w:rFonts w:ascii="Cambria" w:hAnsi="Cambria"/>
          <w:i/>
          <w:sz w:val="20"/>
        </w:rPr>
        <w:t>Reaction</w:t>
      </w:r>
      <w:proofErr w:type="spellEnd"/>
      <w:r w:rsidR="00C8425A">
        <w:rPr>
          <w:rFonts w:ascii="Cambria" w:hAnsi="Cambria"/>
          <w:i/>
          <w:sz w:val="20"/>
        </w:rPr>
        <w:t xml:space="preserve"> </w:t>
      </w:r>
      <w:proofErr w:type="spellStart"/>
      <w:r w:rsidR="00C8425A">
        <w:rPr>
          <w:rFonts w:ascii="Cambria" w:hAnsi="Cambria"/>
          <w:i/>
          <w:sz w:val="20"/>
        </w:rPr>
        <w:t>Force</w:t>
      </w:r>
      <w:proofErr w:type="spellEnd"/>
      <w:r w:rsidR="00C8425A">
        <w:rPr>
          <w:rFonts w:ascii="Cambria" w:hAnsi="Cambria"/>
          <w:i/>
          <w:sz w:val="20"/>
        </w:rPr>
        <w:t>,</w:t>
      </w:r>
      <w:r w:rsidR="00C8425A">
        <w:rPr>
          <w:rFonts w:ascii="Cambria" w:hAnsi="Cambria"/>
          <w:sz w:val="20"/>
        </w:rPr>
        <w:t xml:space="preserve"> “IRF” por sus siglas en inglés), un equipo de cinco oficiales de la policía militar antimotines que debía responder cuando un detenido se mostraba resistente o combativo</w:t>
      </w:r>
      <w:r w:rsidR="00C8425A">
        <w:rPr>
          <w:rStyle w:val="FootnoteReference"/>
          <w:rFonts w:ascii="Cambria" w:hAnsi="Cambria"/>
          <w:sz w:val="20"/>
        </w:rPr>
        <w:footnoteReference w:id="85"/>
      </w:r>
      <w:r w:rsidR="00C8425A">
        <w:rPr>
          <w:rFonts w:ascii="Cambria" w:hAnsi="Cambria"/>
          <w:sz w:val="20"/>
        </w:rPr>
        <w:t>, así como a abusos físicos y sexuales por parte del personal médico</w:t>
      </w:r>
      <w:r w:rsidR="00C8425A">
        <w:rPr>
          <w:rStyle w:val="FootnoteReference"/>
          <w:rFonts w:ascii="Cambria" w:hAnsi="Cambria"/>
          <w:sz w:val="20"/>
        </w:rPr>
        <w:footnoteReference w:id="86"/>
      </w:r>
      <w:r w:rsidR="00C8425A">
        <w:rPr>
          <w:rFonts w:ascii="Cambria" w:hAnsi="Cambria"/>
          <w:sz w:val="20"/>
        </w:rPr>
        <w:t>. Guantánamo se convirtió en un “laboratorio de batalla para nuevas técnicas de interrogatorio”, conforme se describió en un Informe al Comité de Servicios Armados del Senado en 2009</w:t>
      </w:r>
      <w:r w:rsidR="00C8425A">
        <w:rPr>
          <w:rStyle w:val="FootnoteReference"/>
          <w:rFonts w:ascii="Cambria" w:hAnsi="Cambria"/>
          <w:sz w:val="20"/>
        </w:rPr>
        <w:footnoteReference w:id="87"/>
      </w:r>
      <w:r w:rsidR="00C8425A">
        <w:rPr>
          <w:rFonts w:ascii="Cambria" w:hAnsi="Cambria"/>
          <w:sz w:val="20"/>
        </w:rPr>
        <w:t xml:space="preserve">. </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A raíz de los atentados del 11 de septiembre de 2001, el Gobierno de Estados Unidos autorizó el uso de "técnicas de interrogatorio mejoradas" en el contexto de la "guerra contra el terror". En una serie de tres memorandos legales de fecha 1 de agosto de 2002, conocidos como los "Memos sobre la Tortura", la Oficina de Asesoría Legal del Departamento de Justicia de Estados Unidos concluyó que el uso de técnicas de interrogatorio mejoradas como el ahogamiento simulado (</w:t>
      </w:r>
      <w:proofErr w:type="spellStart"/>
      <w:r>
        <w:rPr>
          <w:rFonts w:ascii="Cambria" w:hAnsi="Cambria"/>
          <w:i/>
          <w:sz w:val="20"/>
        </w:rPr>
        <w:t>waterboarding</w:t>
      </w:r>
      <w:proofErr w:type="spellEnd"/>
      <w:r>
        <w:rPr>
          <w:rFonts w:ascii="Cambria" w:hAnsi="Cambria"/>
          <w:sz w:val="20"/>
        </w:rPr>
        <w:t xml:space="preserve">), la privación prolongada del sueño y la atadura en posiciones de </w:t>
      </w:r>
      <w:r>
        <w:rPr>
          <w:rFonts w:ascii="Cambria" w:hAnsi="Cambria"/>
          <w:sz w:val="20"/>
        </w:rPr>
        <w:lastRenderedPageBreak/>
        <w:t>estrés, era legal</w:t>
      </w:r>
      <w:r>
        <w:rPr>
          <w:rStyle w:val="FootnoteReference"/>
          <w:rFonts w:ascii="Cambria" w:hAnsi="Cambria"/>
          <w:sz w:val="20"/>
        </w:rPr>
        <w:footnoteReference w:id="88"/>
      </w:r>
      <w:r>
        <w:rPr>
          <w:rFonts w:ascii="Cambria" w:hAnsi="Cambria"/>
          <w:sz w:val="20"/>
        </w:rPr>
        <w:t xml:space="preserve"> y afirmó que “incluso si un método de interrogatorio podría violar la Sección 2340A, la necesidad o la defensa propia” podrían justificarlo</w:t>
      </w:r>
      <w:r>
        <w:rPr>
          <w:rStyle w:val="FootnoteReference"/>
          <w:rFonts w:ascii="Cambria" w:hAnsi="Cambria"/>
          <w:sz w:val="20"/>
        </w:rPr>
        <w:footnoteReference w:id="89"/>
      </w:r>
      <w:r>
        <w:rPr>
          <w:rFonts w:ascii="Cambria" w:hAnsi="Cambria"/>
          <w:sz w:val="20"/>
        </w:rPr>
        <w:t xml:space="preserve">. En el mismo memorando, emitido en el marco de los interrogatorios a Abu </w:t>
      </w:r>
      <w:proofErr w:type="spellStart"/>
      <w:r>
        <w:rPr>
          <w:rFonts w:ascii="Cambria" w:hAnsi="Cambria"/>
          <w:sz w:val="20"/>
        </w:rPr>
        <w:t>Zubaydah</w:t>
      </w:r>
      <w:proofErr w:type="spellEnd"/>
      <w:r>
        <w:rPr>
          <w:rFonts w:ascii="Cambria" w:hAnsi="Cambria"/>
          <w:sz w:val="20"/>
        </w:rPr>
        <w:t>, quien más adelante fue transferido a Guantánamo, el Departamento de Justicia de Estados Unidos concluyó que las técnicas de interrogatorio utilizadas por la Agencia de Inteligencia Central (CIA por sus siglas en inglés) no constituyeron tortura. De conformidad con varios correos electrónicos entre los agentes del FBI en Guantánamo y sus superiores en Washington, D.C., revelados en el marco de una investigación militar, algunos agentes se negaron a participar en este y otros interrogatorios debido a que las técnicas eran “limítrofes con la tortura”</w:t>
      </w:r>
      <w:r>
        <w:rPr>
          <w:rStyle w:val="FootnoteReference"/>
          <w:rFonts w:ascii="Cambria" w:hAnsi="Cambria"/>
          <w:sz w:val="20"/>
        </w:rPr>
        <w:footnoteReference w:id="90"/>
      </w:r>
      <w:r>
        <w:rPr>
          <w:rFonts w:ascii="Cambria" w:hAnsi="Cambria"/>
          <w:sz w:val="20"/>
        </w:rPr>
        <w:t>.</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Entre las diez técnicas descritas se encuentran: el confinamiento estrecho ("la colocación del individuo en un espacio confinado [generalmente oscuro], cuya dimensión restrinja la libertad de movimiento"); la parada de pared (“los brazos de la persona se estiran hacia el frente, con sus brazos reposando sobre la pared. Sus brazos soportan todo el peso del cuerpo. No se permite al individuo moverse o reposicionar sus manos o pies”); las posiciones de estrés (“diseñadas para producir molestias físicas asociadas con la fatiga muscular"); la privación del sueño, y el ahogamiento simulado</w:t>
      </w:r>
      <w:r>
        <w:rPr>
          <w:rStyle w:val="FootnoteReference"/>
          <w:rFonts w:ascii="Cambria" w:hAnsi="Cambria"/>
          <w:sz w:val="20"/>
        </w:rPr>
        <w:footnoteReference w:id="91"/>
      </w:r>
      <w:r>
        <w:rPr>
          <w:rFonts w:ascii="Cambria" w:hAnsi="Cambria"/>
          <w:sz w:val="20"/>
        </w:rPr>
        <w:t>. Adicionalmente, se alega que otras prácticas de interrogatorio, como la privación sensorial, golpizas severas, choques eléctricos e hipotermia inducida habrían sido autorizadas por el Director de la CIA durante la “guerra contra el terror”</w:t>
      </w:r>
      <w:r>
        <w:rPr>
          <w:rStyle w:val="FootnoteReference"/>
          <w:rFonts w:ascii="Cambria" w:hAnsi="Cambria"/>
          <w:sz w:val="20"/>
        </w:rPr>
        <w:footnoteReference w:id="92"/>
      </w:r>
      <w:r>
        <w:rPr>
          <w:rFonts w:ascii="Cambria" w:hAnsi="Cambria"/>
          <w:sz w:val="20"/>
        </w:rPr>
        <w:t>. Muchas de las técnicas utilizadas por la CIA contra sospechosos de Al-Qaeda están basadas en el programa militar “Supervivencia, Evasión, Resistencia y Escape” (</w:t>
      </w:r>
      <w:proofErr w:type="spellStart"/>
      <w:r>
        <w:rPr>
          <w:rFonts w:ascii="Cambria" w:hAnsi="Cambria"/>
          <w:i/>
          <w:sz w:val="20"/>
        </w:rPr>
        <w:t>Survival</w:t>
      </w:r>
      <w:proofErr w:type="spellEnd"/>
      <w:r>
        <w:rPr>
          <w:rFonts w:ascii="Cambria" w:hAnsi="Cambria"/>
          <w:i/>
          <w:sz w:val="20"/>
        </w:rPr>
        <w:t xml:space="preserve">, </w:t>
      </w:r>
      <w:proofErr w:type="spellStart"/>
      <w:r>
        <w:rPr>
          <w:rFonts w:ascii="Cambria" w:hAnsi="Cambria"/>
          <w:i/>
          <w:sz w:val="20"/>
        </w:rPr>
        <w:t>Evasion</w:t>
      </w:r>
      <w:proofErr w:type="spellEnd"/>
      <w:r>
        <w:rPr>
          <w:rFonts w:ascii="Cambria" w:hAnsi="Cambria"/>
          <w:i/>
          <w:sz w:val="20"/>
        </w:rPr>
        <w:t xml:space="preserve">, </w:t>
      </w:r>
      <w:proofErr w:type="spellStart"/>
      <w:r>
        <w:rPr>
          <w:rFonts w:ascii="Cambria" w:hAnsi="Cambria"/>
          <w:i/>
          <w:sz w:val="20"/>
        </w:rPr>
        <w:t>Resistance</w:t>
      </w:r>
      <w:proofErr w:type="spellEnd"/>
      <w:r>
        <w:rPr>
          <w:rFonts w:ascii="Cambria" w:hAnsi="Cambria"/>
          <w:i/>
          <w:sz w:val="20"/>
        </w:rPr>
        <w:t xml:space="preserve"> and Escape</w:t>
      </w:r>
      <w:r>
        <w:rPr>
          <w:rFonts w:ascii="Cambria" w:hAnsi="Cambria"/>
          <w:sz w:val="20"/>
        </w:rPr>
        <w:t xml:space="preserve">, “SERE” por sus siglas en inglés), un programa de entrenamiento que era utilizado para entrenar </w:t>
      </w:r>
      <w:r>
        <w:rPr>
          <w:rFonts w:ascii="Cambria" w:hAnsi="Cambria"/>
          <w:sz w:val="20"/>
        </w:rPr>
        <w:lastRenderedPageBreak/>
        <w:t>a soldados estadounidenses durante la guerra fría para soportar tortura durante interrogatorios</w:t>
      </w:r>
      <w:r>
        <w:rPr>
          <w:rStyle w:val="FootnoteReference"/>
          <w:rFonts w:ascii="Cambria" w:hAnsi="Cambria"/>
          <w:sz w:val="20"/>
        </w:rPr>
        <w:footnoteReference w:id="93"/>
      </w:r>
      <w:r>
        <w:rPr>
          <w:rFonts w:ascii="Cambria" w:hAnsi="Cambria"/>
          <w:sz w:val="20"/>
        </w:rPr>
        <w:t xml:space="preserve">. </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Adicionalmente, los guardias aplicaban el programa denominado “viajero frecuente” que consistía en trasladar a los detenidos reiteradamente de una celda a otra para provocar privación del sueño y desorientación como castigo, así como para ablandar a los detenidos para posteriores interrogatorios, de conformidad con documentos militares. Supuestamente, un detenido habría sido trasladado seis veces al día por 12 días, con una sesión de interrogatorio de cuatro horas de por medio. El programa habría sido prohibido en marzo de 2004</w:t>
      </w:r>
      <w:r>
        <w:rPr>
          <w:rStyle w:val="FootnoteReference"/>
          <w:rFonts w:ascii="Cambria" w:hAnsi="Cambria"/>
          <w:sz w:val="20"/>
        </w:rPr>
        <w:footnoteReference w:id="94"/>
      </w:r>
      <w:r>
        <w:rPr>
          <w:rFonts w:ascii="Cambria" w:hAnsi="Cambria"/>
          <w:sz w:val="20"/>
        </w:rPr>
        <w:t xml:space="preserve">. </w:t>
      </w:r>
    </w:p>
    <w:p w:rsidR="00C8425A" w:rsidRPr="00FC2F1B" w:rsidRDefault="00C8425A" w:rsidP="00C8425A">
      <w:pPr>
        <w:pStyle w:val="ListParagrap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La CIA y el Departamento de Defensa designaron profesionales de la salud para monitorear el uso de técnicas de interrogatorio mejoradas en Guantánamo. Con respecto a la técnica de privación del sueño, el memorando dirigido a la CIA señala que “funcionarios con entrenamiento médico están disponibles para intervenir e intervendrán en el evento no probable de una reacción anormal”</w:t>
      </w:r>
      <w:r>
        <w:rPr>
          <w:rStyle w:val="FootnoteReference"/>
          <w:rFonts w:ascii="Cambria" w:hAnsi="Cambria"/>
          <w:sz w:val="20"/>
        </w:rPr>
        <w:footnoteReference w:id="95"/>
      </w:r>
      <w:r>
        <w:rPr>
          <w:rFonts w:ascii="Cambria" w:hAnsi="Cambria"/>
          <w:sz w:val="20"/>
        </w:rPr>
        <w:t>. Un “Equipo de Consulta sobre Ciencias de la Conducta” (</w:t>
      </w:r>
      <w:proofErr w:type="spellStart"/>
      <w:r>
        <w:rPr>
          <w:rFonts w:ascii="Cambria" w:hAnsi="Cambria"/>
          <w:i/>
          <w:sz w:val="20"/>
        </w:rPr>
        <w:t>Behavioral</w:t>
      </w:r>
      <w:proofErr w:type="spellEnd"/>
      <w:r>
        <w:rPr>
          <w:rFonts w:ascii="Cambria" w:hAnsi="Cambria"/>
          <w:i/>
          <w:sz w:val="20"/>
        </w:rPr>
        <w:t xml:space="preserve"> </w:t>
      </w:r>
      <w:proofErr w:type="spellStart"/>
      <w:r>
        <w:rPr>
          <w:rFonts w:ascii="Cambria" w:hAnsi="Cambria"/>
          <w:i/>
          <w:sz w:val="20"/>
        </w:rPr>
        <w:t>Science</w:t>
      </w:r>
      <w:proofErr w:type="spellEnd"/>
      <w:r>
        <w:rPr>
          <w:rFonts w:ascii="Cambria" w:hAnsi="Cambria"/>
          <w:i/>
          <w:sz w:val="20"/>
        </w:rPr>
        <w:t xml:space="preserve"> </w:t>
      </w:r>
      <w:proofErr w:type="spellStart"/>
      <w:r>
        <w:rPr>
          <w:rFonts w:ascii="Cambria" w:hAnsi="Cambria"/>
          <w:i/>
          <w:sz w:val="20"/>
        </w:rPr>
        <w:t>Consultation</w:t>
      </w:r>
      <w:proofErr w:type="spellEnd"/>
      <w:r>
        <w:rPr>
          <w:rFonts w:ascii="Cambria" w:hAnsi="Cambria"/>
          <w:i/>
          <w:sz w:val="20"/>
        </w:rPr>
        <w:t xml:space="preserve"> </w:t>
      </w:r>
      <w:proofErr w:type="spellStart"/>
      <w:r>
        <w:rPr>
          <w:rFonts w:ascii="Cambria" w:hAnsi="Cambria"/>
          <w:i/>
          <w:sz w:val="20"/>
        </w:rPr>
        <w:t>Team</w:t>
      </w:r>
      <w:proofErr w:type="spellEnd"/>
      <w:r>
        <w:rPr>
          <w:rFonts w:ascii="Cambria" w:hAnsi="Cambria"/>
          <w:sz w:val="20"/>
        </w:rPr>
        <w:t>, “BSCT” por sus siglas en inglés) que incluía psicólogos conductistas, ofrecía directrices para las personas a cargo del interrogatorio con respecto a la mejor manera de obtener información de los detenidos. En algunos casos, los psicólogos estaban presentes físicamente durante los interrogatorios y realizaban recomendaciones con base en la información encontrada en los expedientes médicos de los detenidos</w:t>
      </w:r>
      <w:r>
        <w:rPr>
          <w:rStyle w:val="FootnoteReference"/>
          <w:rFonts w:ascii="Cambria" w:hAnsi="Cambria"/>
          <w:sz w:val="20"/>
        </w:rPr>
        <w:footnoteReference w:id="96"/>
      </w:r>
      <w:r>
        <w:rPr>
          <w:rFonts w:ascii="Cambria" w:hAnsi="Cambria"/>
          <w:sz w:val="20"/>
        </w:rPr>
        <w:t xml:space="preserve">. </w:t>
      </w:r>
    </w:p>
    <w:p w:rsidR="00C8425A" w:rsidRPr="00FC2F1B" w:rsidRDefault="00C8425A" w:rsidP="00C8425A">
      <w:pPr>
        <w:pStyle w:val="ListParagrap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Luego de una visita a Guantánamo realizada en junio de 2004, un equipo de inspección del CICR encontró que el tratamiento de los prisioneros constituía tortura y que algunos doctores y otros trabajadores de la salud estaban participando en la planificación de los interrogatorios (particularmente a través de la entrega a los interrogadores de información sobre la salud mental de los detenidos y sus vulnerabilidades), en violación de la ética médica</w:t>
      </w:r>
      <w:r>
        <w:rPr>
          <w:rStyle w:val="FootnoteReference"/>
          <w:rFonts w:ascii="Cambria" w:hAnsi="Cambria"/>
          <w:sz w:val="20"/>
        </w:rPr>
        <w:footnoteReference w:id="97"/>
      </w:r>
      <w:r>
        <w:rPr>
          <w:rFonts w:ascii="Cambria" w:hAnsi="Cambria"/>
          <w:sz w:val="20"/>
        </w:rPr>
        <w:t>. Más aún, una investigación médica respecto de nueve detenidos de Guantánamo que habían denunciado métodos de interrogatorio abusivos concluyó que “doctores médicos y personal de salud mental asignados al [Departamento de Defensa] evadieron y/</w:t>
      </w:r>
      <w:proofErr w:type="spellStart"/>
      <w:r>
        <w:rPr>
          <w:rFonts w:ascii="Cambria" w:hAnsi="Cambria"/>
          <w:sz w:val="20"/>
        </w:rPr>
        <w:t>o</w:t>
      </w:r>
      <w:proofErr w:type="spellEnd"/>
      <w:r>
        <w:rPr>
          <w:rFonts w:ascii="Cambria" w:hAnsi="Cambria"/>
          <w:sz w:val="20"/>
        </w:rPr>
        <w:t xml:space="preserve"> ocultaron evidencia médica relativa a daños intencionales”. La investigación afirmó que “el personal médico que da tratamiento a los detenidos de Guantánamo </w:t>
      </w:r>
      <w:r>
        <w:rPr>
          <w:rFonts w:ascii="Cambria" w:hAnsi="Cambria"/>
          <w:sz w:val="20"/>
        </w:rPr>
        <w:lastRenderedPageBreak/>
        <w:t>incumplió con su deber de investigar o documentar las causas de las heridas físicas así como de los síntomas psicológicos observados</w:t>
      </w:r>
      <w:r>
        <w:rPr>
          <w:rStyle w:val="FootnoteReference"/>
          <w:rFonts w:ascii="Cambria" w:hAnsi="Cambria"/>
          <w:sz w:val="20"/>
        </w:rPr>
        <w:footnoteReference w:id="98"/>
      </w:r>
      <w:r>
        <w:rPr>
          <w:rFonts w:ascii="Cambria" w:hAnsi="Cambria"/>
          <w:sz w:val="20"/>
        </w:rPr>
        <w:t xml:space="preserve">.  </w:t>
      </w:r>
    </w:p>
    <w:p w:rsidR="00C8425A" w:rsidRPr="00FC2F1B" w:rsidRDefault="00C8425A" w:rsidP="00C8425A">
      <w:pPr>
        <w:pStyle w:val="ListParagrap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La Comisión Interamericana observa que, con anterioridad a su llegada a Guantánamo, muchos de los detenidos habían permanecido en prisiones clandestinas en el exterior bajo el programa de detención de la CIA. Es el caso de los “detenidos altamente valorados” respecto de quienes se cree que planificaron o participaron en los ataques del 11 de septiembre. Según un informe emitido por el CICR, los catorce detenidos altamente valorados que fueron transferidos a Guantánamo en 2006, “fueron sometidos a un proceso de traslados constantes a lugares de detención en ubicaciones desconocidas, así como a aislamiento continuo y detención bajo incomunicación durante todo su período de detención”</w:t>
      </w:r>
      <w:r>
        <w:rPr>
          <w:rStyle w:val="FootnoteReference"/>
          <w:rFonts w:ascii="Cambria" w:hAnsi="Cambria"/>
          <w:sz w:val="20"/>
        </w:rPr>
        <w:footnoteReference w:id="99"/>
      </w:r>
      <w:r>
        <w:rPr>
          <w:rFonts w:ascii="Cambria" w:hAnsi="Cambria"/>
          <w:sz w:val="20"/>
        </w:rPr>
        <w:t xml:space="preserve">. Incluso señaló que fueron sometidos a malos tratos físicos y/o psicológicos sistemáticos que constituían tortura. Entre los distintos métodos de malos tratos descritos en el informe se encuentran: asfixia por agua; posiciones de pie con estrés prolongado (mantenidos desnudos con los brazos extendidos y encadenados por encima de la cabeza); golpizas mediante el uso de un collar colocado alrededor del cuello de los detenidos y utilizado para golpear con fuerza la cabeza y el cuerpo contra la pared; confinamiento en una caja; desnudez prolongada durante varias semanas o meses; y privación del sueño. Al respecto, </w:t>
      </w:r>
      <w:proofErr w:type="spellStart"/>
      <w:r>
        <w:rPr>
          <w:rFonts w:ascii="Cambria" w:hAnsi="Cambria"/>
          <w:sz w:val="20"/>
        </w:rPr>
        <w:t>Jason</w:t>
      </w:r>
      <w:proofErr w:type="spellEnd"/>
      <w:r>
        <w:rPr>
          <w:rFonts w:ascii="Cambria" w:hAnsi="Cambria"/>
          <w:sz w:val="20"/>
        </w:rPr>
        <w:t xml:space="preserve"> Wright, abogado defensor de </w:t>
      </w:r>
      <w:proofErr w:type="spellStart"/>
      <w:r>
        <w:rPr>
          <w:rFonts w:ascii="Cambria" w:hAnsi="Cambria"/>
          <w:sz w:val="20"/>
        </w:rPr>
        <w:t>Khalid</w:t>
      </w:r>
      <w:proofErr w:type="spellEnd"/>
      <w:r>
        <w:rPr>
          <w:rFonts w:ascii="Cambria" w:hAnsi="Cambria"/>
          <w:sz w:val="20"/>
        </w:rPr>
        <w:t xml:space="preserve"> </w:t>
      </w:r>
      <w:proofErr w:type="spellStart"/>
      <w:r>
        <w:rPr>
          <w:rFonts w:ascii="Cambria" w:hAnsi="Cambria"/>
          <w:sz w:val="20"/>
        </w:rPr>
        <w:t>Sheikh</w:t>
      </w:r>
      <w:proofErr w:type="spellEnd"/>
      <w:r>
        <w:rPr>
          <w:rFonts w:ascii="Cambria" w:hAnsi="Cambria"/>
          <w:sz w:val="20"/>
        </w:rPr>
        <w:t xml:space="preserve"> Mohammed, uno de los seis “detenidos altamente valorados” que está siendo procesado en Guantánamo, afirmó que su cliente particularmente ha sido sometido a niveles de tortura “que sobrepasan la comprensión”. De conformidad con información desclasificada, la CIA lo sometió a ahogamiento simulado 183 veces, así como también fue sometido a más de una semana de privación del sueño, a lo que se suman amenazas de muerte a su familia</w:t>
      </w:r>
      <w:r>
        <w:rPr>
          <w:rStyle w:val="FootnoteReference"/>
          <w:rFonts w:ascii="Cambria" w:hAnsi="Cambria"/>
          <w:sz w:val="20"/>
        </w:rPr>
        <w:footnoteReference w:id="100"/>
      </w:r>
      <w:r>
        <w:rPr>
          <w:rFonts w:ascii="Cambria" w:hAnsi="Cambria"/>
          <w:sz w:val="20"/>
        </w:rPr>
        <w:t>.</w:t>
      </w:r>
    </w:p>
    <w:p w:rsidR="00C8425A" w:rsidRPr="00FC2F1B" w:rsidRDefault="00C8425A" w:rsidP="00C8425A">
      <w:pPr>
        <w:ind w:left="720"/>
        <w:jc w:val="both"/>
        <w:rPr>
          <w:rFonts w:ascii="Cambria" w:hAnsi="Cambria"/>
          <w:sz w:val="20"/>
          <w:szCs w:val="20"/>
        </w:rPr>
      </w:pPr>
    </w:p>
    <w:p w:rsidR="00C8425A" w:rsidRPr="006425BA" w:rsidRDefault="00C8425A" w:rsidP="00724CD2">
      <w:pPr>
        <w:numPr>
          <w:ilvl w:val="0"/>
          <w:numId w:val="5"/>
        </w:numPr>
        <w:ind w:left="547" w:hanging="547"/>
        <w:jc w:val="both"/>
        <w:rPr>
          <w:rFonts w:ascii="Cambria" w:hAnsi="Cambria"/>
          <w:sz w:val="20"/>
          <w:szCs w:val="20"/>
        </w:rPr>
      </w:pPr>
      <w:r>
        <w:rPr>
          <w:rFonts w:ascii="Cambria" w:hAnsi="Cambria"/>
          <w:sz w:val="20"/>
        </w:rPr>
        <w:t>El 3 de diciembre de 2014, el Comité de Inteligencia del Senado de los Estados Unidos publicó una versión desclasificada de los resultados, las conclusiones y el resumen ejecutivo de un estudio de 6,700 páginas documentando el programa de detención clandestina indefinida y el uso de técnicas brutales de interrogatorio por funcionarios de la CIA entre el 2001 e inicios del 2009</w:t>
      </w:r>
      <w:r>
        <w:rPr>
          <w:rStyle w:val="FootnoteReference"/>
          <w:rFonts w:ascii="Cambria" w:hAnsi="Cambria"/>
          <w:sz w:val="20"/>
        </w:rPr>
        <w:footnoteReference w:id="101"/>
      </w:r>
      <w:r>
        <w:rPr>
          <w:rFonts w:ascii="Cambria" w:hAnsi="Cambria"/>
          <w:sz w:val="20"/>
        </w:rPr>
        <w:t xml:space="preserve">. El Comité, que durante cuatro años revisó más de seis millones de páginas de materiales de la CIA, reveló detalles escalofriantes sobre “las técnicas de interrogatorio mejoradas”, algunos de los cuales ya habían salido a la luz a través de los “Memos de la Tortura” y otras fuentes. Con base en la evidencia “abrumadora e incontrovertible” del informe, el </w:t>
      </w:r>
      <w:r>
        <w:rPr>
          <w:rFonts w:ascii="Cambria" w:hAnsi="Cambria"/>
          <w:sz w:val="20"/>
        </w:rPr>
        <w:lastRenderedPageBreak/>
        <w:t xml:space="preserve">Senador </w:t>
      </w:r>
      <w:proofErr w:type="spellStart"/>
      <w:r>
        <w:rPr>
          <w:rFonts w:ascii="Cambria" w:hAnsi="Cambria"/>
          <w:sz w:val="20"/>
        </w:rPr>
        <w:t>Feinstein</w:t>
      </w:r>
      <w:proofErr w:type="spellEnd"/>
      <w:r>
        <w:rPr>
          <w:rFonts w:ascii="Cambria" w:hAnsi="Cambria"/>
          <w:sz w:val="20"/>
        </w:rPr>
        <w:t xml:space="preserve"> también concluyó que “bajo cualquier significado común de la palabra, los detenidos de la CIA fueron torturados”; y que las condiciones de detención y las técnicas de interrogatorio eran “crueles, inhumanas y degradantes”. El estudio incluye una descripción del uso de técnicas de interrogatorio mejoradas respecto de personas que después fueron trasladadas a Guantánamo. La CIDH ha instado a Estados Unidos </w:t>
      </w:r>
      <w:r w:rsidRPr="006425BA">
        <w:rPr>
          <w:rFonts w:ascii="Cambria" w:hAnsi="Cambria"/>
          <w:sz w:val="20"/>
        </w:rPr>
        <w:t>a investigar y sancionar los actos de tortura documentados en el informe</w:t>
      </w:r>
      <w:r w:rsidRPr="006425BA">
        <w:rPr>
          <w:rStyle w:val="FootnoteReference"/>
          <w:rFonts w:ascii="Cambria" w:hAnsi="Cambria"/>
          <w:sz w:val="20"/>
        </w:rPr>
        <w:footnoteReference w:id="102"/>
      </w:r>
      <w:r w:rsidRPr="006425BA">
        <w:rPr>
          <w:rFonts w:ascii="Cambria" w:hAnsi="Cambria"/>
          <w:sz w:val="20"/>
        </w:rPr>
        <w:t xml:space="preserve">. </w:t>
      </w:r>
    </w:p>
    <w:p w:rsidR="00010D13" w:rsidRPr="006425BA" w:rsidRDefault="00010D13" w:rsidP="00010D13">
      <w:pPr>
        <w:ind w:left="547"/>
        <w:jc w:val="both"/>
        <w:rPr>
          <w:rFonts w:ascii="Cambria" w:hAnsi="Cambria"/>
          <w:sz w:val="20"/>
          <w:szCs w:val="20"/>
        </w:rPr>
      </w:pPr>
    </w:p>
    <w:p w:rsidR="00010D13" w:rsidRPr="006425BA" w:rsidRDefault="00010D13" w:rsidP="00010D13">
      <w:pPr>
        <w:numPr>
          <w:ilvl w:val="0"/>
          <w:numId w:val="5"/>
        </w:numPr>
        <w:ind w:left="547" w:hanging="547"/>
        <w:jc w:val="both"/>
        <w:rPr>
          <w:rFonts w:ascii="Cambria" w:hAnsi="Cambria"/>
          <w:sz w:val="20"/>
          <w:szCs w:val="20"/>
        </w:rPr>
      </w:pPr>
      <w:r w:rsidRPr="006425BA">
        <w:rPr>
          <w:rFonts w:ascii="Cambria" w:hAnsi="Cambria"/>
          <w:sz w:val="20"/>
        </w:rPr>
        <w:t>En una audiencia de la CIDH celebrada el 16 de marzo de 2015, el abogado militar alegó que los fiscales de Estados Unidos adoptan la posición de que los recuerdos, las impresiones y las experiencias de las víc</w:t>
      </w:r>
      <w:r w:rsidR="00E43E0E" w:rsidRPr="006425BA">
        <w:rPr>
          <w:rFonts w:ascii="Cambria" w:hAnsi="Cambria"/>
          <w:sz w:val="20"/>
        </w:rPr>
        <w:t>timas de tortura son clasificada</w:t>
      </w:r>
      <w:r w:rsidRPr="006425BA">
        <w:rPr>
          <w:rFonts w:ascii="Cambria" w:hAnsi="Cambria"/>
          <w:sz w:val="20"/>
        </w:rPr>
        <w:t>s y pertenece</w:t>
      </w:r>
      <w:r w:rsidR="00C92EA1" w:rsidRPr="006425BA">
        <w:rPr>
          <w:rFonts w:ascii="Cambria" w:hAnsi="Cambria"/>
          <w:sz w:val="20"/>
        </w:rPr>
        <w:t>n</w:t>
      </w:r>
      <w:r w:rsidRPr="006425BA">
        <w:rPr>
          <w:rFonts w:ascii="Cambria" w:hAnsi="Cambria"/>
          <w:sz w:val="20"/>
        </w:rPr>
        <w:t xml:space="preserve"> al Gobierno de Estados Unidos</w:t>
      </w:r>
      <w:r w:rsidRPr="006425BA">
        <w:rPr>
          <w:rStyle w:val="FootnoteReference"/>
          <w:rFonts w:ascii="Cambria" w:hAnsi="Cambria"/>
          <w:sz w:val="20"/>
        </w:rPr>
        <w:footnoteReference w:id="103"/>
      </w:r>
      <w:r w:rsidR="00E43E0E" w:rsidRPr="006425BA">
        <w:rPr>
          <w:rFonts w:ascii="Cambria" w:hAnsi="Cambria"/>
          <w:sz w:val="20"/>
        </w:rPr>
        <w:t>.</w:t>
      </w:r>
      <w:r w:rsidRPr="006425BA">
        <w:rPr>
          <w:rFonts w:ascii="Cambria" w:hAnsi="Cambria"/>
          <w:sz w:val="20"/>
        </w:rPr>
        <w:t xml:space="preserve">  Estados Unidos </w:t>
      </w:r>
      <w:r w:rsidR="00E43E0E" w:rsidRPr="006425BA">
        <w:rPr>
          <w:rFonts w:ascii="Cambria" w:hAnsi="Cambria"/>
          <w:sz w:val="20"/>
        </w:rPr>
        <w:t>prohibiría</w:t>
      </w:r>
      <w:r w:rsidRPr="006425BA">
        <w:rPr>
          <w:rFonts w:ascii="Cambria" w:hAnsi="Cambria"/>
          <w:sz w:val="20"/>
        </w:rPr>
        <w:t xml:space="preserve"> a los detenidos y a sus abogados revelar informaci</w:t>
      </w:r>
      <w:r w:rsidR="00E43E0E" w:rsidRPr="006425BA">
        <w:rPr>
          <w:rFonts w:ascii="Cambria" w:hAnsi="Cambria"/>
          <w:sz w:val="20"/>
        </w:rPr>
        <w:t>ón sobre el trato que reciben a cualquier</w:t>
      </w:r>
      <w:r w:rsidRPr="006425BA">
        <w:rPr>
          <w:rFonts w:ascii="Cambria" w:hAnsi="Cambria"/>
          <w:sz w:val="20"/>
        </w:rPr>
        <w:t xml:space="preserve"> organización que no sea la comisión militar del Departamento de Defensa de Estados Unidos, con lo cual las víctimas de tortura se ve</w:t>
      </w:r>
      <w:r w:rsidR="00E43E0E" w:rsidRPr="006425BA">
        <w:rPr>
          <w:rFonts w:ascii="Cambria" w:hAnsi="Cambria"/>
          <w:sz w:val="20"/>
        </w:rPr>
        <w:t>ría</w:t>
      </w:r>
      <w:r w:rsidRPr="006425BA">
        <w:rPr>
          <w:rFonts w:ascii="Cambria" w:hAnsi="Cambria"/>
          <w:sz w:val="20"/>
        </w:rPr>
        <w:t>n impedidas de busc</w:t>
      </w:r>
      <w:r w:rsidR="00E43E0E" w:rsidRPr="006425BA">
        <w:rPr>
          <w:rFonts w:ascii="Cambria" w:hAnsi="Cambria"/>
          <w:sz w:val="20"/>
        </w:rPr>
        <w:t xml:space="preserve">ar rehabilitación, compensación y </w:t>
      </w:r>
      <w:r w:rsidRPr="006425BA">
        <w:rPr>
          <w:rFonts w:ascii="Cambria" w:hAnsi="Cambria"/>
          <w:sz w:val="20"/>
        </w:rPr>
        <w:t>justicia.</w:t>
      </w:r>
    </w:p>
    <w:p w:rsidR="00010D13" w:rsidRPr="006425BA" w:rsidRDefault="00010D13" w:rsidP="00010D13">
      <w:pPr>
        <w:pStyle w:val="ListParagraph"/>
        <w:rPr>
          <w:rFonts w:ascii="Cambria" w:hAnsi="Cambria"/>
          <w:sz w:val="20"/>
          <w:szCs w:val="20"/>
        </w:rPr>
      </w:pPr>
    </w:p>
    <w:p w:rsidR="00010D13" w:rsidRPr="006425BA" w:rsidRDefault="00010D13" w:rsidP="00010D13">
      <w:pPr>
        <w:numPr>
          <w:ilvl w:val="0"/>
          <w:numId w:val="5"/>
        </w:numPr>
        <w:ind w:left="547" w:hanging="547"/>
        <w:jc w:val="both"/>
        <w:rPr>
          <w:rFonts w:ascii="Cambria" w:hAnsi="Cambria"/>
          <w:sz w:val="20"/>
          <w:szCs w:val="20"/>
        </w:rPr>
      </w:pPr>
      <w:r w:rsidRPr="006425BA">
        <w:rPr>
          <w:rFonts w:ascii="Cambria" w:hAnsi="Cambria"/>
          <w:sz w:val="20"/>
        </w:rPr>
        <w:t xml:space="preserve">En su respuesta a este informe, el Gobierno de Estados Unidos indicó que el Presidente Obama determinó </w:t>
      </w:r>
      <w:r w:rsidR="00E43E0E" w:rsidRPr="006425BA">
        <w:rPr>
          <w:rFonts w:ascii="Cambria" w:hAnsi="Cambria"/>
          <w:sz w:val="20"/>
        </w:rPr>
        <w:t>que “</w:t>
      </w:r>
      <w:r w:rsidRPr="006425BA">
        <w:rPr>
          <w:rFonts w:ascii="Cambria" w:hAnsi="Cambria"/>
          <w:sz w:val="20"/>
        </w:rPr>
        <w:t xml:space="preserve">el resumen ejecutivo, resultados y conclusiones del informe del Comité de Inteligencia del Senado deben ser desclasificados, con la edición necesaria para proteger la seguridad nacional, </w:t>
      </w:r>
      <w:r w:rsidR="00046097" w:rsidRPr="006425BA">
        <w:rPr>
          <w:rFonts w:ascii="Cambria" w:hAnsi="Cambria"/>
          <w:sz w:val="20"/>
        </w:rPr>
        <w:t>dado que</w:t>
      </w:r>
      <w:r w:rsidRPr="006425BA">
        <w:rPr>
          <w:rFonts w:ascii="Cambria" w:hAnsi="Cambria"/>
          <w:sz w:val="20"/>
        </w:rPr>
        <w:t xml:space="preserve"> el escrutinio púbico, el debate y la transparencia ayudarán a que el público entienda el programa para garantizar que Estados Unidos nunca </w:t>
      </w:r>
      <w:r w:rsidR="00046097" w:rsidRPr="006425BA">
        <w:rPr>
          <w:rFonts w:ascii="Cambria" w:hAnsi="Cambria"/>
          <w:sz w:val="20"/>
        </w:rPr>
        <w:t xml:space="preserve">vuelva a </w:t>
      </w:r>
      <w:r w:rsidRPr="006425BA">
        <w:rPr>
          <w:rFonts w:ascii="Cambria" w:hAnsi="Cambria"/>
          <w:sz w:val="20"/>
        </w:rPr>
        <w:t>recurr</w:t>
      </w:r>
      <w:r w:rsidR="00046097" w:rsidRPr="006425BA">
        <w:rPr>
          <w:rFonts w:ascii="Cambria" w:hAnsi="Cambria"/>
          <w:sz w:val="20"/>
        </w:rPr>
        <w:t>ir</w:t>
      </w:r>
      <w:r w:rsidRPr="006425BA">
        <w:rPr>
          <w:rFonts w:ascii="Cambria" w:hAnsi="Cambria"/>
          <w:sz w:val="20"/>
        </w:rPr>
        <w:t xml:space="preserve"> a este tip</w:t>
      </w:r>
      <w:r w:rsidR="00E43E0E" w:rsidRPr="006425BA">
        <w:rPr>
          <w:rFonts w:ascii="Cambria" w:hAnsi="Cambria"/>
          <w:sz w:val="20"/>
        </w:rPr>
        <w:t>o de técnicas de interrogatorio”</w:t>
      </w:r>
      <w:r w:rsidRPr="006425BA">
        <w:rPr>
          <w:rStyle w:val="FootnoteReference"/>
          <w:rFonts w:ascii="Cambria" w:hAnsi="Cambria"/>
          <w:sz w:val="20"/>
        </w:rPr>
        <w:footnoteReference w:id="104"/>
      </w:r>
      <w:r w:rsidR="00E43E0E" w:rsidRPr="006425BA">
        <w:rPr>
          <w:rFonts w:ascii="Cambria" w:hAnsi="Cambria"/>
          <w:sz w:val="20"/>
        </w:rPr>
        <w:t>.</w:t>
      </w:r>
    </w:p>
    <w:p w:rsidR="00C8425A" w:rsidRPr="00010D13"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Según la CIDH, “un aspecto esencial del derecho a la seguridad personal es la prohibición absoluta de la tortura, norma perentoria del derecho internacional que crea obligaciones </w:t>
      </w:r>
      <w:r>
        <w:rPr>
          <w:rFonts w:ascii="Cambria" w:hAnsi="Cambria"/>
          <w:i/>
          <w:sz w:val="20"/>
        </w:rPr>
        <w:t>erga omnes</w:t>
      </w:r>
      <w:r>
        <w:rPr>
          <w:rFonts w:ascii="Cambria" w:hAnsi="Cambria"/>
          <w:sz w:val="20"/>
        </w:rPr>
        <w:t xml:space="preserve">”; la CIDH ha además enfatizado que la prohibición de la tortura es una norma </w:t>
      </w:r>
      <w:proofErr w:type="spellStart"/>
      <w:r>
        <w:rPr>
          <w:rFonts w:ascii="Cambria" w:hAnsi="Cambria"/>
          <w:i/>
          <w:sz w:val="20"/>
        </w:rPr>
        <w:t>jus</w:t>
      </w:r>
      <w:proofErr w:type="spellEnd"/>
      <w:r>
        <w:rPr>
          <w:rFonts w:ascii="Cambria" w:hAnsi="Cambria"/>
          <w:i/>
          <w:sz w:val="20"/>
        </w:rPr>
        <w:t xml:space="preserve"> </w:t>
      </w:r>
      <w:proofErr w:type="spellStart"/>
      <w:r>
        <w:rPr>
          <w:rFonts w:ascii="Cambria" w:hAnsi="Cambria"/>
          <w:i/>
          <w:sz w:val="20"/>
        </w:rPr>
        <w:t>cogens</w:t>
      </w:r>
      <w:proofErr w:type="spellEnd"/>
      <w:r>
        <w:rPr>
          <w:rStyle w:val="FootnoteReference"/>
          <w:rFonts w:ascii="Cambria" w:hAnsi="Cambria"/>
          <w:sz w:val="20"/>
        </w:rPr>
        <w:footnoteReference w:id="105"/>
      </w:r>
      <w:r>
        <w:rPr>
          <w:rFonts w:ascii="Cambria" w:hAnsi="Cambria"/>
          <w:i/>
          <w:sz w:val="20"/>
        </w:rPr>
        <w:t>.</w:t>
      </w:r>
      <w:r>
        <w:rPr>
          <w:rFonts w:ascii="Cambria" w:hAnsi="Cambria"/>
          <w:sz w:val="20"/>
        </w:rPr>
        <w:t xml:space="preserve"> La CIDH entiende que un acto que constituya tortura existe cuando los malos tratos son: (a) intencionales; (b) causan sufrimiento físico o mental severo, y (c) son cometidos con un propósito u objetivo, incluyendo la investigación de delitos. Debe tomarse en cuenta que la definición de la tortura está sometida a revisión continua a la luz de las condiciones actuales y los valores cambiantes de las sociedades democráticas</w:t>
      </w:r>
      <w:r>
        <w:rPr>
          <w:rStyle w:val="FootnoteReference"/>
          <w:rFonts w:ascii="Cambria" w:hAnsi="Cambria"/>
          <w:sz w:val="20"/>
        </w:rPr>
        <w:footnoteReference w:id="106"/>
      </w:r>
      <w:r>
        <w:rPr>
          <w:rFonts w:ascii="Cambria" w:hAnsi="Cambria"/>
          <w:sz w:val="20"/>
        </w:rPr>
        <w:t xml:space="preserve">.   </w:t>
      </w:r>
    </w:p>
    <w:p w:rsidR="00C8425A" w:rsidRPr="00FC2F1B" w:rsidRDefault="00C8425A" w:rsidP="00C8425A">
      <w:pPr>
        <w:pStyle w:val="ListParagrap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La jurisprudencia interamericana ha establecido claramente que “el hecho de que un Estado deba enfrentar el terrorismo no debe generar restricciones respecto de la </w:t>
      </w:r>
      <w:r>
        <w:rPr>
          <w:rFonts w:ascii="Cambria" w:hAnsi="Cambria"/>
          <w:sz w:val="20"/>
        </w:rPr>
        <w:lastRenderedPageBreak/>
        <w:t>protección de la integridad física de las personas”</w:t>
      </w:r>
      <w:r>
        <w:rPr>
          <w:rStyle w:val="FootnoteReference"/>
          <w:rFonts w:ascii="Cambria" w:hAnsi="Cambria"/>
          <w:sz w:val="20"/>
        </w:rPr>
        <w:footnoteReference w:id="107"/>
      </w:r>
      <w:r>
        <w:rPr>
          <w:rFonts w:ascii="Cambria" w:hAnsi="Cambria"/>
          <w:sz w:val="20"/>
        </w:rPr>
        <w:t>. Al respecto, el Relator Especial contra la Tortura y otros Tratos o Penas Crueles, Inhumanos o Degradantes ha señalado que “los Estados no pueden limitar en su legislación interna la aplicación de esta prohibición con base en razones de emergencia pública, medidas contra el terrorismo, o en el contexto de conflictos armados”</w:t>
      </w:r>
      <w:r>
        <w:rPr>
          <w:rStyle w:val="FootnoteReference"/>
          <w:rFonts w:ascii="Cambria" w:hAnsi="Cambria"/>
          <w:sz w:val="20"/>
        </w:rPr>
        <w:footnoteReference w:id="108"/>
      </w:r>
      <w:r>
        <w:rPr>
          <w:rFonts w:ascii="Cambria" w:hAnsi="Cambria"/>
          <w:sz w:val="20"/>
        </w:rPr>
        <w:t xml:space="preserve">. </w:t>
      </w:r>
    </w:p>
    <w:p w:rsidR="00C8425A" w:rsidRPr="00FC2F1B" w:rsidRDefault="00C8425A" w:rsidP="00C8425A">
      <w:pPr>
        <w:pStyle w:val="ListParagrap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En relación con el interrogatorio y la detención, la jurisprudencia interamericana ha manifestado que ciertos actos como las golpizas, amenazas de muerte, bofetadas en la cara, mantener a los detenidos desnudos, y los “submarinos secos” (poner una bolsa de plástico para impedir que la víctima respire, al tiempo que se golpean sus orejas repetidamente) constituyen tortura</w:t>
      </w:r>
      <w:r>
        <w:rPr>
          <w:rStyle w:val="FootnoteReference"/>
          <w:rFonts w:ascii="Cambria" w:hAnsi="Cambria"/>
          <w:sz w:val="20"/>
        </w:rPr>
        <w:footnoteReference w:id="109"/>
      </w:r>
      <w:r>
        <w:rPr>
          <w:rFonts w:ascii="Cambria" w:hAnsi="Cambria"/>
          <w:sz w:val="20"/>
        </w:rPr>
        <w:t>. Adicionalmente, según la jurisprudencia interamericana, la tortura puede ser infringida no sólo a través de la violencia física sino también a través de actos que producen a la víctima sufrimientos físicos, psicológicos o morales severos</w:t>
      </w:r>
      <w:r>
        <w:rPr>
          <w:rStyle w:val="FootnoteReference"/>
          <w:rFonts w:ascii="Cambria" w:hAnsi="Cambria"/>
          <w:sz w:val="20"/>
        </w:rPr>
        <w:footnoteReference w:id="110"/>
      </w:r>
      <w:r>
        <w:rPr>
          <w:rFonts w:ascii="Cambria" w:hAnsi="Cambria"/>
          <w:sz w:val="20"/>
        </w:rPr>
        <w:t xml:space="preserve">. </w:t>
      </w:r>
    </w:p>
    <w:p w:rsidR="00C8425A" w:rsidRPr="00FC2F1B" w:rsidRDefault="00C8425A" w:rsidP="00C8425A">
      <w:pPr>
        <w:pStyle w:val="ListParagrap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Con respecto al papel y a la responsabilidad de los profesionales e la salud, la CIDH subraya que, según el Protocolo de Estambul, constituye una grave contravención a la ética del cuidado médico el participar, activa o pasivamente, en actos de tortura, así como el  consentirlos de alguna forma</w:t>
      </w:r>
      <w:r>
        <w:rPr>
          <w:rStyle w:val="FootnoteReference"/>
          <w:rFonts w:ascii="Cambria" w:hAnsi="Cambria"/>
          <w:sz w:val="20"/>
        </w:rPr>
        <w:footnoteReference w:id="111"/>
      </w:r>
      <w:r>
        <w:rPr>
          <w:rFonts w:ascii="Cambria" w:hAnsi="Cambria"/>
          <w:sz w:val="20"/>
        </w:rPr>
        <w:t>. Los principios de ética médica aplicables a la función del personal de salud, especialmente los médicos, en la protección de personas presas y detenidas contra la tortura y otros tratos o penas crueles, inhumanos o degradantes establecen claramente que el personal de la salud tiene un deber moral de proteger la salud física y mental de los detenidos y que la evaluación de la salud de los detenidos con el objetivo de facilitar el castigo o la tortura es claramente antiético</w:t>
      </w:r>
      <w:r>
        <w:rPr>
          <w:rStyle w:val="FootnoteReference"/>
          <w:rFonts w:ascii="Cambria" w:hAnsi="Cambria"/>
          <w:sz w:val="20"/>
        </w:rPr>
        <w:footnoteReference w:id="112"/>
      </w:r>
      <w:r>
        <w:rPr>
          <w:rFonts w:ascii="Cambria" w:hAnsi="Cambria"/>
          <w:sz w:val="20"/>
        </w:rPr>
        <w:t xml:space="preserve">. Al respecto, la participación en actos de tortura comprende actos como el “evaluar la capacidad de un sujeto para resistir a los malos tratos; el presenciar malos tratos, supervisarlos o infligirlos; el reanimar a la persona de manera que se la pueda seguir maltratando o el proporcionar tratamiento médico inmediatamente antes, durante o después de la tortura por instrucciones de aquellos que probablemente son responsables de ella; el transmitir a torturadores conocimientos profesionales o información acerca de la salud </w:t>
      </w:r>
      <w:r>
        <w:rPr>
          <w:rFonts w:ascii="Cambria" w:hAnsi="Cambria"/>
          <w:sz w:val="20"/>
        </w:rPr>
        <w:lastRenderedPageBreak/>
        <w:t>personal de la persona; el descartar pruebas intencionalmente y falsificar documentos como informes de autopsia y certificados de defunción”</w:t>
      </w:r>
      <w:r>
        <w:rPr>
          <w:rStyle w:val="FootnoteReference"/>
          <w:rFonts w:ascii="Cambria" w:hAnsi="Cambria"/>
          <w:sz w:val="20"/>
        </w:rPr>
        <w:footnoteReference w:id="113"/>
      </w:r>
      <w:r>
        <w:rPr>
          <w:rFonts w:ascii="Cambria" w:hAnsi="Cambria"/>
          <w:sz w:val="20"/>
        </w:rPr>
        <w:t xml:space="preserve">. </w:t>
      </w:r>
    </w:p>
    <w:p w:rsidR="00C8425A" w:rsidRPr="00FC2F1B" w:rsidRDefault="00C8425A" w:rsidP="00C8425A">
      <w:pPr>
        <w:ind w:left="720"/>
        <w:jc w:val="both"/>
        <w:rPr>
          <w:rFonts w:ascii="Cambria" w:hAnsi="Cambria"/>
          <w:sz w:val="20"/>
          <w:szCs w:val="20"/>
        </w:rPr>
      </w:pPr>
    </w:p>
    <w:p w:rsidR="00C8425A" w:rsidRPr="006425BA" w:rsidRDefault="00C8425A" w:rsidP="00724CD2">
      <w:pPr>
        <w:numPr>
          <w:ilvl w:val="0"/>
          <w:numId w:val="5"/>
        </w:numPr>
        <w:ind w:left="547" w:hanging="547"/>
        <w:jc w:val="both"/>
        <w:rPr>
          <w:rFonts w:ascii="Cambria" w:hAnsi="Cambria"/>
          <w:sz w:val="20"/>
          <w:szCs w:val="20"/>
        </w:rPr>
      </w:pPr>
      <w:r>
        <w:rPr>
          <w:rFonts w:ascii="Cambria" w:hAnsi="Cambria"/>
          <w:sz w:val="20"/>
        </w:rPr>
        <w:t>La Comisión Interamericana toma nota de que en la actualidad las condiciones en Guantánamo han mejorado con respecto a los días del Campo X-</w:t>
      </w:r>
      <w:proofErr w:type="spellStart"/>
      <w:r>
        <w:rPr>
          <w:rFonts w:ascii="Cambria" w:hAnsi="Cambria"/>
          <w:sz w:val="20"/>
        </w:rPr>
        <w:t>Ray</w:t>
      </w:r>
      <w:proofErr w:type="spellEnd"/>
      <w:r>
        <w:rPr>
          <w:rFonts w:ascii="Cambria" w:hAnsi="Cambria"/>
          <w:sz w:val="20"/>
        </w:rPr>
        <w:t>. En su segundo día en funciones el Presidente Obama emitió el Decreto Ejecutivo 13491, Garantizando Interrogatorios Legales (</w:t>
      </w:r>
      <w:proofErr w:type="spellStart"/>
      <w:r>
        <w:rPr>
          <w:i/>
          <w:sz w:val="20"/>
        </w:rPr>
        <w:t>Ensuring</w:t>
      </w:r>
      <w:proofErr w:type="spellEnd"/>
      <w:r>
        <w:rPr>
          <w:i/>
          <w:sz w:val="20"/>
        </w:rPr>
        <w:t xml:space="preserve"> </w:t>
      </w:r>
      <w:proofErr w:type="spellStart"/>
      <w:r>
        <w:rPr>
          <w:i/>
          <w:sz w:val="20"/>
        </w:rPr>
        <w:t>Lawful</w:t>
      </w:r>
      <w:proofErr w:type="spellEnd"/>
      <w:r>
        <w:rPr>
          <w:i/>
          <w:sz w:val="20"/>
        </w:rPr>
        <w:t xml:space="preserve"> </w:t>
      </w:r>
      <w:proofErr w:type="spellStart"/>
      <w:r>
        <w:rPr>
          <w:i/>
          <w:sz w:val="20"/>
        </w:rPr>
        <w:t>Interrogations</w:t>
      </w:r>
      <w:proofErr w:type="spellEnd"/>
      <w:r>
        <w:rPr>
          <w:sz w:val="20"/>
        </w:rPr>
        <w:t>)</w:t>
      </w:r>
      <w:r>
        <w:rPr>
          <w:rFonts w:ascii="Cambria" w:hAnsi="Cambria"/>
          <w:sz w:val="20"/>
        </w:rPr>
        <w:t>, a través del cual se ordena a los militares estadounidenses y otras agencias estadounidenses a cumplir con el Manual de Campo del Ejército (</w:t>
      </w:r>
      <w:proofErr w:type="spellStart"/>
      <w:r>
        <w:rPr>
          <w:rFonts w:ascii="Cambria" w:hAnsi="Cambria"/>
          <w:i/>
          <w:sz w:val="20"/>
        </w:rPr>
        <w:t>Army</w:t>
      </w:r>
      <w:proofErr w:type="spellEnd"/>
      <w:r>
        <w:rPr>
          <w:rFonts w:ascii="Cambria" w:hAnsi="Cambria"/>
          <w:i/>
          <w:sz w:val="20"/>
        </w:rPr>
        <w:t xml:space="preserve"> Field Manual</w:t>
      </w:r>
      <w:r>
        <w:rPr>
          <w:rFonts w:ascii="Cambria" w:hAnsi="Cambria"/>
          <w:sz w:val="20"/>
        </w:rPr>
        <w:t>) que prohíbe la tortura cuando se interroga a detenidos “para promover el tratamiento seguro, legal y humanitario de las personas bajo custodia de Estados Unidos”, de conformidad con el artículo 3 común de los Convenios de Ginebra</w:t>
      </w:r>
      <w:r>
        <w:rPr>
          <w:rStyle w:val="FootnoteReference"/>
          <w:rFonts w:ascii="Cambria" w:hAnsi="Cambria"/>
          <w:sz w:val="20"/>
        </w:rPr>
        <w:footnoteReference w:id="114"/>
      </w:r>
      <w:r>
        <w:rPr>
          <w:rFonts w:ascii="Cambria" w:hAnsi="Cambria"/>
          <w:sz w:val="20"/>
        </w:rPr>
        <w:t xml:space="preserve">. El Decreto Ejecutivo revocó todos </w:t>
      </w:r>
      <w:r w:rsidRPr="006425BA">
        <w:rPr>
          <w:rFonts w:ascii="Cambria" w:hAnsi="Cambria"/>
          <w:sz w:val="20"/>
        </w:rPr>
        <w:t>los decretos ejecutivos, órdenes y reglamentos incompatibles con tal Decreto, inclusive, pero no únicamente, aquellos emitidos por la CIA desde el 11 de septiembre de 2001 hasta el 20 de enero de 2009. Además, en su respuesta a este informe, Estados Unidos alegó que las duras técnicas de interrogatorio destacadas en el informe del Com</w:t>
      </w:r>
      <w:r w:rsidR="00724BF6" w:rsidRPr="006425BA">
        <w:rPr>
          <w:rFonts w:ascii="Cambria" w:hAnsi="Cambria"/>
          <w:sz w:val="20"/>
        </w:rPr>
        <w:t>ité de Inteligencia del Senado “</w:t>
      </w:r>
      <w:r w:rsidRPr="006425BA">
        <w:rPr>
          <w:rFonts w:ascii="Cambria" w:hAnsi="Cambria"/>
          <w:sz w:val="20"/>
        </w:rPr>
        <w:t>no son representativas de la forma en que Estados Unidos afronta las amenazas de terrorismo hoy, y son incompatibles con [sus] valores</w:t>
      </w:r>
      <w:r w:rsidR="00724BF6" w:rsidRPr="006425BA">
        <w:rPr>
          <w:rFonts w:ascii="Cambria" w:hAnsi="Cambria"/>
          <w:sz w:val="20"/>
        </w:rPr>
        <w:t>”</w:t>
      </w:r>
      <w:r w:rsidRPr="006425BA">
        <w:rPr>
          <w:rStyle w:val="FootnoteReference"/>
          <w:rFonts w:ascii="Cambria" w:hAnsi="Cambria"/>
          <w:sz w:val="20"/>
        </w:rPr>
        <w:footnoteReference w:id="115"/>
      </w:r>
      <w:r w:rsidR="00724BF6" w:rsidRPr="006425BA">
        <w:rPr>
          <w:rFonts w:ascii="Cambria" w:hAnsi="Cambria"/>
          <w:sz w:val="20"/>
        </w:rPr>
        <w:t>.</w:t>
      </w:r>
      <w:r w:rsidRPr="006425BA">
        <w:rPr>
          <w:rFonts w:ascii="Cambria" w:hAnsi="Cambria"/>
          <w:sz w:val="20"/>
        </w:rPr>
        <w:t xml:space="preserve">  </w:t>
      </w:r>
    </w:p>
    <w:p w:rsidR="00C8425A" w:rsidRPr="00474D0C" w:rsidRDefault="00C8425A" w:rsidP="00C8425A">
      <w:pPr>
        <w:pStyle w:val="ListParagraph"/>
        <w:rPr>
          <w:rFonts w:ascii="Cambria" w:hAnsi="Cambria"/>
          <w:sz w:val="20"/>
          <w:szCs w:val="20"/>
        </w:rPr>
      </w:pPr>
    </w:p>
    <w:p w:rsidR="00C8425A" w:rsidRPr="006425BA" w:rsidRDefault="00C8425A" w:rsidP="00724CD2">
      <w:pPr>
        <w:numPr>
          <w:ilvl w:val="0"/>
          <w:numId w:val="5"/>
        </w:numPr>
        <w:ind w:left="547" w:hanging="547"/>
        <w:jc w:val="both"/>
        <w:rPr>
          <w:rFonts w:ascii="Cambria" w:hAnsi="Cambria"/>
          <w:sz w:val="20"/>
          <w:szCs w:val="20"/>
        </w:rPr>
      </w:pPr>
      <w:r>
        <w:rPr>
          <w:rFonts w:ascii="Cambria" w:hAnsi="Cambria"/>
          <w:sz w:val="20"/>
        </w:rPr>
        <w:t xml:space="preserve">Adicionalmente, la Oficina de Responsabilidad Profesional del Departamento de Justicia llevó a cabo una investigación sobre los memorandos relativos al uso de “técnicas de interrogatorio mejoradas” con fecha 1 de agosto de 2002. En un informe publicado el 29 de julio de 2009, afirmó que de manera consistente los memorandos favorecieron una visión permisiva del estatuto de la tortura y que su análisis jurídico era incompatible con los estándares profesionales aplicables a los abogados del Departamento de Justicia. El informe concluyó que el ex Fiscal General Auxiliar Adjunto John </w:t>
      </w:r>
      <w:proofErr w:type="spellStart"/>
      <w:r>
        <w:rPr>
          <w:rFonts w:ascii="Cambria" w:hAnsi="Cambria"/>
          <w:sz w:val="20"/>
        </w:rPr>
        <w:t>Yoo</w:t>
      </w:r>
      <w:proofErr w:type="spellEnd"/>
      <w:r>
        <w:rPr>
          <w:rFonts w:ascii="Cambria" w:hAnsi="Cambria"/>
          <w:sz w:val="20"/>
        </w:rPr>
        <w:t xml:space="preserve"> y el ex Fiscal General Adjunto </w:t>
      </w:r>
      <w:proofErr w:type="spellStart"/>
      <w:r>
        <w:rPr>
          <w:rFonts w:ascii="Cambria" w:hAnsi="Cambria"/>
          <w:sz w:val="20"/>
        </w:rPr>
        <w:t>Jay</w:t>
      </w:r>
      <w:proofErr w:type="spellEnd"/>
      <w:r>
        <w:rPr>
          <w:rFonts w:ascii="Cambria" w:hAnsi="Cambria"/>
          <w:sz w:val="20"/>
        </w:rPr>
        <w:t xml:space="preserve"> </w:t>
      </w:r>
      <w:proofErr w:type="spellStart"/>
      <w:r>
        <w:rPr>
          <w:rFonts w:ascii="Cambria" w:hAnsi="Cambria"/>
          <w:sz w:val="20"/>
        </w:rPr>
        <w:t>Bybee</w:t>
      </w:r>
      <w:proofErr w:type="spellEnd"/>
      <w:r>
        <w:rPr>
          <w:rFonts w:ascii="Cambria" w:hAnsi="Cambria"/>
          <w:sz w:val="20"/>
        </w:rPr>
        <w:t xml:space="preserve"> “incurrieron en mala </w:t>
      </w:r>
      <w:r w:rsidRPr="006425BA">
        <w:rPr>
          <w:rFonts w:ascii="Cambria" w:hAnsi="Cambria"/>
          <w:sz w:val="20"/>
        </w:rPr>
        <w:t>práctica profesional cuando violaron su deber de mantener una opinión jurídica independiente y de proporcionar asesoría jurídica completa, objetiva y sincera”</w:t>
      </w:r>
      <w:r w:rsidRPr="006425BA">
        <w:rPr>
          <w:rStyle w:val="FootnoteReference"/>
          <w:rFonts w:ascii="Cambria" w:hAnsi="Cambria"/>
          <w:sz w:val="20"/>
        </w:rPr>
        <w:footnoteReference w:id="116"/>
      </w:r>
      <w:r w:rsidRPr="006425BA">
        <w:rPr>
          <w:rFonts w:ascii="Cambria" w:hAnsi="Cambria"/>
          <w:sz w:val="20"/>
        </w:rPr>
        <w:t xml:space="preserve">. </w:t>
      </w:r>
    </w:p>
    <w:p w:rsidR="00474D0C" w:rsidRPr="006425BA" w:rsidRDefault="00474D0C" w:rsidP="00474D0C">
      <w:pPr>
        <w:pStyle w:val="ListParagraph"/>
        <w:rPr>
          <w:rFonts w:ascii="Cambria" w:hAnsi="Cambria"/>
          <w:sz w:val="20"/>
          <w:szCs w:val="20"/>
        </w:rPr>
      </w:pPr>
    </w:p>
    <w:p w:rsidR="00474D0C" w:rsidRPr="006425BA" w:rsidRDefault="00474D0C" w:rsidP="00474D0C">
      <w:pPr>
        <w:numPr>
          <w:ilvl w:val="0"/>
          <w:numId w:val="5"/>
        </w:numPr>
        <w:ind w:left="547" w:hanging="547"/>
        <w:jc w:val="both"/>
        <w:rPr>
          <w:rFonts w:ascii="Cambria" w:hAnsi="Cambria"/>
          <w:sz w:val="20"/>
          <w:szCs w:val="20"/>
        </w:rPr>
      </w:pPr>
      <w:r w:rsidRPr="006425BA">
        <w:rPr>
          <w:rFonts w:ascii="Cambria" w:hAnsi="Cambria"/>
          <w:sz w:val="20"/>
        </w:rPr>
        <w:t>En su respuesta a este informe, el Gobierno de Estados Unidos indicó que las investigaciones sobre las condiciones de detención en Guantánamo realizadas</w:t>
      </w:r>
      <w:r w:rsidR="008C381F" w:rsidRPr="006425BA">
        <w:rPr>
          <w:rFonts w:ascii="Cambria" w:hAnsi="Cambria"/>
          <w:sz w:val="20"/>
        </w:rPr>
        <w:t>,</w:t>
      </w:r>
      <w:r w:rsidRPr="006425BA">
        <w:rPr>
          <w:rFonts w:ascii="Cambria" w:hAnsi="Cambria"/>
          <w:sz w:val="20"/>
        </w:rPr>
        <w:t xml:space="preserve"> </w:t>
      </w:r>
      <w:r w:rsidR="008C381F" w:rsidRPr="006425BA">
        <w:rPr>
          <w:rFonts w:ascii="Cambria" w:hAnsi="Cambria"/>
          <w:sz w:val="20"/>
        </w:rPr>
        <w:t xml:space="preserve">entre otros, </w:t>
      </w:r>
      <w:r w:rsidRPr="006425BA">
        <w:rPr>
          <w:rFonts w:ascii="Cambria" w:hAnsi="Cambria"/>
          <w:sz w:val="20"/>
        </w:rPr>
        <w:t>por el Inspector General del Ejército, la Marina y la CIA</w:t>
      </w:r>
      <w:r w:rsidR="008C381F" w:rsidRPr="006425BA">
        <w:rPr>
          <w:rFonts w:ascii="Cambria" w:hAnsi="Cambria"/>
          <w:sz w:val="20"/>
        </w:rPr>
        <w:t>;</w:t>
      </w:r>
      <w:r w:rsidRPr="006425BA">
        <w:rPr>
          <w:rFonts w:ascii="Cambria" w:hAnsi="Cambria"/>
          <w:sz w:val="20"/>
        </w:rPr>
        <w:t xml:space="preserve"> y por e</w:t>
      </w:r>
      <w:r w:rsidR="008C381F" w:rsidRPr="006425BA">
        <w:rPr>
          <w:rFonts w:ascii="Cambria" w:hAnsi="Cambria"/>
          <w:sz w:val="20"/>
        </w:rPr>
        <w:t xml:space="preserve">l General de División </w:t>
      </w:r>
      <w:proofErr w:type="spellStart"/>
      <w:r w:rsidR="008C381F" w:rsidRPr="006425BA">
        <w:rPr>
          <w:rFonts w:ascii="Cambria" w:hAnsi="Cambria"/>
          <w:sz w:val="20"/>
        </w:rPr>
        <w:t>Ryder</w:t>
      </w:r>
      <w:proofErr w:type="spellEnd"/>
      <w:r w:rsidR="008C381F" w:rsidRPr="006425BA">
        <w:rPr>
          <w:rFonts w:ascii="Cambria" w:hAnsi="Cambria"/>
          <w:sz w:val="20"/>
        </w:rPr>
        <w:t xml:space="preserve">, </w:t>
      </w:r>
      <w:r w:rsidRPr="006425BA">
        <w:rPr>
          <w:rFonts w:ascii="Cambria" w:hAnsi="Cambria"/>
          <w:sz w:val="20"/>
        </w:rPr>
        <w:t xml:space="preserve">Oficial General nombrado por el Comandante del Comando Sur </w:t>
      </w:r>
      <w:r w:rsidRPr="006425BA">
        <w:rPr>
          <w:rFonts w:ascii="Cambria" w:hAnsi="Cambria"/>
          <w:sz w:val="20"/>
        </w:rPr>
        <w:lastRenderedPageBreak/>
        <w:t>Estadounidense, dieron lugar a cientos de recomendaciones sobre la manera de mejorar la</w:t>
      </w:r>
      <w:r w:rsidR="006B58CA" w:rsidRPr="006425BA">
        <w:rPr>
          <w:rFonts w:ascii="Cambria" w:hAnsi="Cambria"/>
          <w:sz w:val="20"/>
        </w:rPr>
        <w:t xml:space="preserve"> </w:t>
      </w:r>
      <w:r w:rsidRPr="006425BA">
        <w:rPr>
          <w:rFonts w:ascii="Cambria" w:hAnsi="Cambria"/>
          <w:sz w:val="20"/>
        </w:rPr>
        <w:t>detención e interrogatorio</w:t>
      </w:r>
      <w:r w:rsidR="006B58CA" w:rsidRPr="006425BA">
        <w:rPr>
          <w:rFonts w:ascii="Cambria" w:hAnsi="Cambria"/>
          <w:sz w:val="20"/>
        </w:rPr>
        <w:t>;</w:t>
      </w:r>
      <w:r w:rsidRPr="006425BA">
        <w:rPr>
          <w:rFonts w:ascii="Cambria" w:hAnsi="Cambria"/>
          <w:sz w:val="20"/>
        </w:rPr>
        <w:t xml:space="preserve"> y</w:t>
      </w:r>
      <w:r w:rsidR="006B58CA" w:rsidRPr="006425BA">
        <w:rPr>
          <w:rFonts w:ascii="Cambria" w:hAnsi="Cambria"/>
          <w:sz w:val="20"/>
        </w:rPr>
        <w:t xml:space="preserve"> que</w:t>
      </w:r>
      <w:r w:rsidRPr="006425BA">
        <w:rPr>
          <w:rFonts w:ascii="Cambria" w:hAnsi="Cambria"/>
          <w:sz w:val="20"/>
        </w:rPr>
        <w:t xml:space="preserve"> el Departamento de Defensa y la CIA ha</w:t>
      </w:r>
      <w:r w:rsidR="008C381F" w:rsidRPr="006425BA">
        <w:rPr>
          <w:rFonts w:ascii="Cambria" w:hAnsi="Cambria"/>
          <w:sz w:val="20"/>
        </w:rPr>
        <w:t>bría</w:t>
      </w:r>
      <w:r w:rsidRPr="006425BA">
        <w:rPr>
          <w:rFonts w:ascii="Cambria" w:hAnsi="Cambria"/>
          <w:sz w:val="20"/>
        </w:rPr>
        <w:t xml:space="preserve">n </w:t>
      </w:r>
      <w:r w:rsidR="008C381F" w:rsidRPr="006425BA">
        <w:rPr>
          <w:rFonts w:ascii="Cambria" w:hAnsi="Cambria"/>
          <w:sz w:val="20"/>
        </w:rPr>
        <w:t xml:space="preserve">iniciado procedimientos </w:t>
      </w:r>
      <w:r w:rsidRPr="006425BA">
        <w:rPr>
          <w:rFonts w:ascii="Cambria" w:hAnsi="Cambria"/>
          <w:sz w:val="20"/>
        </w:rPr>
        <w:t>para atender estas recomendaciones.  El Estado alegó</w:t>
      </w:r>
      <w:r w:rsidR="008C381F" w:rsidRPr="006425BA">
        <w:rPr>
          <w:rFonts w:ascii="Cambria" w:hAnsi="Cambria"/>
          <w:sz w:val="20"/>
        </w:rPr>
        <w:t xml:space="preserve"> además</w:t>
      </w:r>
      <w:r w:rsidRPr="006425BA">
        <w:rPr>
          <w:rFonts w:ascii="Cambria" w:hAnsi="Cambria"/>
          <w:sz w:val="20"/>
        </w:rPr>
        <w:t xml:space="preserve"> que el Departamento de Justicia </w:t>
      </w:r>
      <w:r w:rsidR="008C381F" w:rsidRPr="006425BA">
        <w:rPr>
          <w:rFonts w:ascii="Cambria" w:hAnsi="Cambria"/>
          <w:sz w:val="20"/>
        </w:rPr>
        <w:t>llevó a cabo revisiones</w:t>
      </w:r>
      <w:r w:rsidRPr="006425BA">
        <w:rPr>
          <w:rFonts w:ascii="Cambria" w:hAnsi="Cambria"/>
          <w:sz w:val="20"/>
        </w:rPr>
        <w:t xml:space="preserve"> preliminar</w:t>
      </w:r>
      <w:r w:rsidR="008C381F" w:rsidRPr="006425BA">
        <w:rPr>
          <w:rFonts w:ascii="Cambria" w:hAnsi="Cambria"/>
          <w:sz w:val="20"/>
        </w:rPr>
        <w:t>es</w:t>
      </w:r>
      <w:r w:rsidRPr="006425BA">
        <w:rPr>
          <w:rFonts w:ascii="Cambria" w:hAnsi="Cambria"/>
          <w:sz w:val="20"/>
        </w:rPr>
        <w:t xml:space="preserve"> e investigaciones penales </w:t>
      </w:r>
      <w:r w:rsidR="008C381F" w:rsidRPr="006425BA">
        <w:rPr>
          <w:rFonts w:ascii="Cambria" w:hAnsi="Cambria"/>
          <w:sz w:val="20"/>
        </w:rPr>
        <w:t>respecto de</w:t>
      </w:r>
      <w:r w:rsidRPr="006425BA">
        <w:rPr>
          <w:rFonts w:ascii="Cambria" w:hAnsi="Cambria"/>
          <w:sz w:val="20"/>
        </w:rPr>
        <w:t xml:space="preserve">l trato </w:t>
      </w:r>
      <w:r w:rsidR="008C381F" w:rsidRPr="006425BA">
        <w:rPr>
          <w:rFonts w:ascii="Cambria" w:hAnsi="Cambria"/>
          <w:sz w:val="20"/>
        </w:rPr>
        <w:t>de individuos</w:t>
      </w:r>
      <w:r w:rsidRPr="006425BA">
        <w:rPr>
          <w:rFonts w:ascii="Cambria" w:hAnsi="Cambria"/>
          <w:sz w:val="20"/>
        </w:rPr>
        <w:t xml:space="preserve"> que habrían sido objeto de malos tratos mientras estaban bajo custodia del Gobierno de Estados Unidos luego de los </w:t>
      </w:r>
      <w:r w:rsidR="008C381F" w:rsidRPr="006425BA">
        <w:rPr>
          <w:rFonts w:ascii="Cambria" w:hAnsi="Cambria"/>
          <w:sz w:val="20"/>
        </w:rPr>
        <w:t>atentados</w:t>
      </w:r>
      <w:r w:rsidRPr="006425BA">
        <w:rPr>
          <w:rFonts w:ascii="Cambria" w:hAnsi="Cambria"/>
          <w:sz w:val="20"/>
        </w:rPr>
        <w:t xml:space="preserve"> terroristas de septiembre de 2011, que entabló acciones penales en varios casos y que logró la condena de un contratista de la CIA y otro del Departamento de Defensa por haber maltratado a detenidos bajo su custodia</w:t>
      </w:r>
      <w:r w:rsidRPr="006425BA">
        <w:rPr>
          <w:rStyle w:val="FootnoteReference"/>
          <w:rFonts w:ascii="Cambria" w:hAnsi="Cambria"/>
          <w:sz w:val="20"/>
        </w:rPr>
        <w:footnoteReference w:id="117"/>
      </w:r>
      <w:r w:rsidR="00BF4734" w:rsidRPr="006425BA">
        <w:rPr>
          <w:rFonts w:ascii="Cambria" w:hAnsi="Cambria"/>
          <w:sz w:val="20"/>
        </w:rPr>
        <w:t>.</w:t>
      </w:r>
    </w:p>
    <w:p w:rsidR="00C8425A" w:rsidRPr="006425BA" w:rsidRDefault="00C8425A" w:rsidP="00C8425A">
      <w:pPr>
        <w:pStyle w:val="ListParagrap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sidRPr="006425BA">
        <w:rPr>
          <w:rFonts w:ascii="Cambria" w:hAnsi="Cambria"/>
          <w:sz w:val="20"/>
        </w:rPr>
        <w:t>La Comisión Interamericana observa con profunda preocupación, sin embargo, que no se hayan presentado denuncias penales contra personas involucradas en actos de tortura en Guantánamo. A través de las medidas cautelares emitidas a favor de los detenidos, la CIDH ha instado a Estados Unidos a “investigar, juzgar y sancionar de</w:t>
      </w:r>
      <w:r>
        <w:rPr>
          <w:rFonts w:ascii="Cambria" w:hAnsi="Cambria"/>
          <w:sz w:val="20"/>
        </w:rPr>
        <w:t xml:space="preserve"> manera completa e imparcial, todas las alegaciones de tortura y otros malos tratos a detenidos”</w:t>
      </w:r>
      <w:r>
        <w:rPr>
          <w:rStyle w:val="FootnoteReference"/>
          <w:rFonts w:ascii="Cambria" w:hAnsi="Cambria"/>
          <w:sz w:val="20"/>
        </w:rPr>
        <w:footnoteReference w:id="118"/>
      </w:r>
      <w:r>
        <w:rPr>
          <w:rFonts w:ascii="Cambria" w:hAnsi="Cambria"/>
          <w:sz w:val="20"/>
        </w:rPr>
        <w:t>. La jurisprudencia del sistema interamericano es clara con respecto a la obligación de las autoridades de iniciar, de oficio e inmediatamente, una investigación eficiente, imparcial y efectiva, la que debe llevarse a cabo a través de todos los medios jurídicos disponibles, apenas se tome conocimiento de un presunto acto de tortura</w:t>
      </w:r>
      <w:r>
        <w:rPr>
          <w:rStyle w:val="FootnoteReference"/>
          <w:rFonts w:ascii="Cambria" w:hAnsi="Cambria"/>
          <w:sz w:val="20"/>
        </w:rPr>
        <w:footnoteReference w:id="119"/>
      </w:r>
      <w:r>
        <w:rPr>
          <w:rFonts w:ascii="Cambria" w:hAnsi="Cambria"/>
          <w:sz w:val="20"/>
        </w:rPr>
        <w:t>. La CIDH ha determinado que el incumplimiento de Estados Unidos con respecto a las medidas cautelares mencionadas anteriormente ha resultado en daños irreparables a los derechos fundamentales de los detenidos</w:t>
      </w:r>
      <w:r>
        <w:rPr>
          <w:rStyle w:val="FootnoteReference"/>
          <w:rFonts w:ascii="Cambria" w:hAnsi="Cambria"/>
          <w:sz w:val="20"/>
        </w:rPr>
        <w:footnoteReference w:id="120"/>
      </w:r>
      <w:r>
        <w:rPr>
          <w:rFonts w:ascii="Cambria" w:hAnsi="Cambria"/>
          <w:sz w:val="20"/>
        </w:rPr>
        <w:t xml:space="preserve">. </w:t>
      </w:r>
    </w:p>
    <w:p w:rsidR="00C8425A" w:rsidRPr="00FC2F1B" w:rsidRDefault="00C8425A" w:rsidP="00C8425A">
      <w:pPr>
        <w:pStyle w:val="ListParagrap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La CIDH también recuerda a Estados Unidos que el derecho de las víctimas de tortura a la reparación constituye un principio bien establecido del derecho internacional y, según el CICR, una regla aplicable en cualquier tipo de conflicto armado</w:t>
      </w:r>
      <w:r>
        <w:rPr>
          <w:rStyle w:val="FootnoteReference"/>
          <w:rFonts w:ascii="Cambria" w:hAnsi="Cambria"/>
          <w:sz w:val="20"/>
        </w:rPr>
        <w:footnoteReference w:id="121"/>
      </w:r>
      <w:r>
        <w:rPr>
          <w:rFonts w:ascii="Cambria" w:hAnsi="Cambria"/>
          <w:sz w:val="20"/>
        </w:rPr>
        <w:t>. Las consecuencias de la tortura “van mucho más allá del dolor inmediato”</w:t>
      </w:r>
      <w:r>
        <w:rPr>
          <w:rStyle w:val="FootnoteReference"/>
          <w:rFonts w:ascii="Cambria" w:hAnsi="Cambria"/>
          <w:sz w:val="20"/>
        </w:rPr>
        <w:footnoteReference w:id="122"/>
      </w:r>
      <w:r>
        <w:rPr>
          <w:rFonts w:ascii="Cambria" w:hAnsi="Cambria"/>
          <w:sz w:val="20"/>
        </w:rPr>
        <w:t>.  Muchas víctimas sufren estrés post-traumático. El informe emitido por el Comité de Inteligencia del Senado de Estados Unidos en diciembre de 2014 señala sobre este aspecto que los efectos del uso de técnicas de interrogatorio mejoradas contra los detenidos incluyeron “alucinaciones, paranoia, insomnio e intentos de autodestrucción y automutilación”</w:t>
      </w:r>
      <w:r>
        <w:rPr>
          <w:rStyle w:val="FootnoteReference"/>
          <w:rFonts w:ascii="Cambria" w:hAnsi="Cambria"/>
          <w:sz w:val="20"/>
        </w:rPr>
        <w:footnoteReference w:id="123"/>
      </w:r>
      <w:r>
        <w:rPr>
          <w:rFonts w:ascii="Cambria" w:hAnsi="Cambria"/>
          <w:sz w:val="20"/>
        </w:rPr>
        <w:t>. La CIDH observa que las cortes estadounidenses han rechazado solicitudes de compensación por daños basadas en la Quinta Enmienda (denominadas “</w:t>
      </w:r>
      <w:proofErr w:type="spellStart"/>
      <w:r>
        <w:rPr>
          <w:rFonts w:ascii="Cambria" w:hAnsi="Cambria"/>
          <w:i/>
          <w:sz w:val="20"/>
        </w:rPr>
        <w:t>Bivens</w:t>
      </w:r>
      <w:proofErr w:type="spellEnd"/>
      <w:r>
        <w:rPr>
          <w:rFonts w:ascii="Cambria" w:hAnsi="Cambria"/>
          <w:i/>
          <w:sz w:val="20"/>
        </w:rPr>
        <w:t xml:space="preserve"> </w:t>
      </w:r>
      <w:proofErr w:type="spellStart"/>
      <w:r>
        <w:rPr>
          <w:rFonts w:ascii="Cambria" w:hAnsi="Cambria"/>
          <w:i/>
          <w:sz w:val="20"/>
        </w:rPr>
        <w:t>claims</w:t>
      </w:r>
      <w:proofErr w:type="spellEnd"/>
      <w:r>
        <w:rPr>
          <w:rFonts w:ascii="Cambria" w:hAnsi="Cambria"/>
          <w:sz w:val="20"/>
        </w:rPr>
        <w:t xml:space="preserve">”) presentadas por un ex detenido </w:t>
      </w:r>
      <w:r>
        <w:rPr>
          <w:rFonts w:ascii="Cambria" w:hAnsi="Cambria"/>
          <w:sz w:val="20"/>
        </w:rPr>
        <w:lastRenderedPageBreak/>
        <w:t xml:space="preserve">de Guantánamo contra funcionarios federales. Las cortes federales también han rechazado, alegando motivos de seguridad nacional, demandas civiles presentadas con base en el </w:t>
      </w:r>
      <w:proofErr w:type="spellStart"/>
      <w:r>
        <w:rPr>
          <w:rFonts w:ascii="Cambria" w:hAnsi="Cambria"/>
          <w:i/>
          <w:sz w:val="20"/>
        </w:rPr>
        <w:t>Alien</w:t>
      </w:r>
      <w:proofErr w:type="spellEnd"/>
      <w:r>
        <w:rPr>
          <w:rFonts w:ascii="Cambria" w:hAnsi="Cambria"/>
          <w:i/>
          <w:sz w:val="20"/>
        </w:rPr>
        <w:t xml:space="preserve"> </w:t>
      </w:r>
      <w:proofErr w:type="spellStart"/>
      <w:r>
        <w:rPr>
          <w:rFonts w:ascii="Cambria" w:hAnsi="Cambria"/>
          <w:i/>
          <w:sz w:val="20"/>
        </w:rPr>
        <w:t>Tort</w:t>
      </w:r>
      <w:proofErr w:type="spellEnd"/>
      <w:r>
        <w:rPr>
          <w:rFonts w:ascii="Cambria" w:hAnsi="Cambria"/>
          <w:i/>
          <w:sz w:val="20"/>
        </w:rPr>
        <w:t xml:space="preserve"> </w:t>
      </w:r>
      <w:proofErr w:type="spellStart"/>
      <w:r>
        <w:rPr>
          <w:rFonts w:ascii="Cambria" w:hAnsi="Cambria"/>
          <w:i/>
          <w:sz w:val="20"/>
        </w:rPr>
        <w:t>Statute</w:t>
      </w:r>
      <w:proofErr w:type="spellEnd"/>
      <w:r>
        <w:rPr>
          <w:rFonts w:ascii="Cambria" w:hAnsi="Cambria"/>
          <w:sz w:val="20"/>
        </w:rPr>
        <w:t xml:space="preserve"> por ex detenidos de Guantánamo contra una subsidiaria de Boeing acusada de organizar vuelos para la CIA en el contexto del “programa de entregas extraordinarias”</w:t>
      </w:r>
      <w:r>
        <w:rPr>
          <w:rStyle w:val="FootnoteReference"/>
          <w:rFonts w:ascii="Cambria" w:hAnsi="Cambria"/>
          <w:sz w:val="20"/>
        </w:rPr>
        <w:footnoteReference w:id="124"/>
      </w:r>
      <w:r>
        <w:rPr>
          <w:rFonts w:ascii="Cambria" w:hAnsi="Cambria"/>
          <w:sz w:val="20"/>
        </w:rPr>
        <w:t xml:space="preserve">. La CIDH reitera el llamado a Estados Unidos para garantizar una reparación integral a las víctimas que abarque medidas de restitución, compensación, rehabilitación, satisfacción y no repetición, de conformidad con los estándares internacionales. </w:t>
      </w:r>
    </w:p>
    <w:p w:rsidR="00C8425A" w:rsidRPr="00FC2F1B" w:rsidRDefault="00C8425A" w:rsidP="00C8425A">
      <w:pPr>
        <w:jc w:val="both"/>
        <w:rPr>
          <w:rFonts w:ascii="Cambria" w:hAnsi="Cambria"/>
          <w:sz w:val="20"/>
          <w:szCs w:val="20"/>
        </w:rPr>
      </w:pPr>
    </w:p>
    <w:p w:rsidR="00C8425A" w:rsidRPr="00FC2F1B" w:rsidRDefault="00C8425A" w:rsidP="00AA0C6A">
      <w:pPr>
        <w:pStyle w:val="Style3"/>
      </w:pPr>
      <w:bookmarkStart w:id="38" w:name="_Toc423072839"/>
      <w:r>
        <w:t>Tratos crueles, inhumanos y degradantes</w:t>
      </w:r>
      <w:bookmarkEnd w:id="38"/>
    </w:p>
    <w:p w:rsidR="00C8425A" w:rsidRPr="00FC2F1B" w:rsidRDefault="00C8425A" w:rsidP="00C8425A">
      <w:pPr>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Si bien se han producido avances con el objetivo de mejorar las condiciones de detención en Guantánamo, todavía existen muchas áreas de preocupación. La Comisión Interamericana observa al respecto que los detenidos en el Campo 7 no reciben el mismo tratamiento que se les da a otros prisioneros; que los cuidados de salud enfrentan muchos desafíos, particularmente a la luz del envejecimiento de la población en Guantánamo; y que la religión continúa siendo un asunto sensible. Más aún, la CIDH está especialmente preocupada por el sufrimiento, miedo y angustia causados por la situación de detención continuada indefinida, que ha sido motivo de varias huelgas de hambre como forma de protesta y, en algunos casos extremos, ha generado la drástica decisión de los detenidos de terminar con sus vidas.</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Como parte de la decisión </w:t>
      </w:r>
      <w:proofErr w:type="gramStart"/>
      <w:r>
        <w:rPr>
          <w:rFonts w:ascii="Cambria" w:hAnsi="Cambria"/>
          <w:sz w:val="20"/>
        </w:rPr>
        <w:t>del Presidente Obama relativa</w:t>
      </w:r>
      <w:proofErr w:type="gramEnd"/>
      <w:r>
        <w:rPr>
          <w:rFonts w:ascii="Cambria" w:hAnsi="Cambria"/>
          <w:sz w:val="20"/>
        </w:rPr>
        <w:t xml:space="preserve"> al cierre del centro de detención, el Departamento de Defensa seleccionó al Almirante Patrick M. Walsh en 2009 para liderar una revisión de las condiciones de detención en Guantánamo con miras a garantizar su conformidad con el artículo 3 común de los Convenios de Ginebra</w:t>
      </w:r>
      <w:r>
        <w:rPr>
          <w:rStyle w:val="FootnoteReference"/>
          <w:rFonts w:ascii="Cambria" w:hAnsi="Cambria"/>
          <w:sz w:val="20"/>
        </w:rPr>
        <w:footnoteReference w:id="125"/>
      </w:r>
      <w:r>
        <w:rPr>
          <w:rFonts w:ascii="Cambria" w:hAnsi="Cambria"/>
          <w:sz w:val="20"/>
        </w:rPr>
        <w:t xml:space="preserve">. Luego de 13 días de investigaciones </w:t>
      </w:r>
      <w:r>
        <w:rPr>
          <w:rFonts w:ascii="Cambria" w:hAnsi="Cambria"/>
          <w:i/>
          <w:sz w:val="20"/>
        </w:rPr>
        <w:t>in situ</w:t>
      </w:r>
      <w:r>
        <w:rPr>
          <w:rFonts w:ascii="Cambria" w:hAnsi="Cambria"/>
          <w:sz w:val="20"/>
        </w:rPr>
        <w:t>, el equipo emitió un informe el 23 de febrero de 2009 concluyendo que las condiciones de detención cumplen los requisitos del artículo 3 común</w:t>
      </w:r>
      <w:r>
        <w:rPr>
          <w:rStyle w:val="FootnoteReference"/>
          <w:rFonts w:ascii="Cambria" w:hAnsi="Cambria"/>
          <w:sz w:val="20"/>
        </w:rPr>
        <w:footnoteReference w:id="126"/>
      </w:r>
      <w:r>
        <w:rPr>
          <w:rFonts w:ascii="Cambria" w:hAnsi="Cambria"/>
          <w:sz w:val="20"/>
        </w:rPr>
        <w:t xml:space="preserve">. El equipo no encontró “evidencia fundamentada de actos prohibidos” durante la revisión. Abogados defensores militares y civiles han criticado el informe alegando que la metodología del Departamento de Defensa “fue errada desde el inicio” y que “solamente constituyó una evaluación interna a nivel ejecutivo sin revisión de pares y sin haber solicitado el escrutinio o los insumos directos de los detenidos, sus abogados, representantes del Comité Internacional de la Cruz Roja (CICR), la ONU, los Estados “de envío” o los actores de la sociedad civil”. </w:t>
      </w:r>
    </w:p>
    <w:p w:rsidR="00C8425A" w:rsidRPr="00FC2F1B" w:rsidRDefault="00C8425A" w:rsidP="00C8425A">
      <w:pPr>
        <w:pStyle w:val="ListParagrap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La Comisión Interamericana ha recibido información preocupante sobre las </w:t>
      </w:r>
      <w:r w:rsidRPr="006425BA">
        <w:rPr>
          <w:rFonts w:ascii="Cambria" w:hAnsi="Cambria"/>
          <w:sz w:val="20"/>
        </w:rPr>
        <w:t xml:space="preserve">condiciones de privación de libertad en el Campo 7, </w:t>
      </w:r>
      <w:r w:rsidR="00A35C34" w:rsidRPr="006425BA">
        <w:rPr>
          <w:rFonts w:ascii="Cambria" w:hAnsi="Cambria"/>
          <w:sz w:val="20"/>
        </w:rPr>
        <w:t>un</w:t>
      </w:r>
      <w:r w:rsidR="002419F5" w:rsidRPr="006425BA">
        <w:rPr>
          <w:rFonts w:ascii="Cambria" w:hAnsi="Cambria"/>
          <w:sz w:val="20"/>
        </w:rPr>
        <w:t xml:space="preserve"> establecimiento conformado </w:t>
      </w:r>
      <w:r w:rsidR="002419F5" w:rsidRPr="006425BA">
        <w:rPr>
          <w:rFonts w:ascii="Cambria" w:hAnsi="Cambria"/>
          <w:sz w:val="20"/>
        </w:rPr>
        <w:lastRenderedPageBreak/>
        <w:t>por celdas individuales</w:t>
      </w:r>
      <w:r w:rsidR="00A35C34" w:rsidRPr="006425BA">
        <w:rPr>
          <w:rFonts w:ascii="Cambria" w:hAnsi="Cambria"/>
          <w:sz w:val="20"/>
        </w:rPr>
        <w:t xml:space="preserve"> utilizad</w:t>
      </w:r>
      <w:r w:rsidR="002419F5" w:rsidRPr="006425BA">
        <w:rPr>
          <w:rFonts w:ascii="Cambria" w:hAnsi="Cambria"/>
          <w:sz w:val="20"/>
        </w:rPr>
        <w:t>o actualmente</w:t>
      </w:r>
      <w:r w:rsidR="00A35C34" w:rsidRPr="006425BA">
        <w:rPr>
          <w:rFonts w:ascii="Cambria" w:hAnsi="Cambria"/>
          <w:sz w:val="20"/>
        </w:rPr>
        <w:t xml:space="preserve"> para albergar a un pequeño número de detenidos especiales, conocidos como </w:t>
      </w:r>
      <w:r w:rsidRPr="006425BA">
        <w:rPr>
          <w:rFonts w:ascii="Cambria" w:hAnsi="Cambria"/>
          <w:sz w:val="20"/>
        </w:rPr>
        <w:t>“</w:t>
      </w:r>
      <w:r w:rsidR="00A35C34" w:rsidRPr="006425BA">
        <w:rPr>
          <w:rFonts w:ascii="Cambria" w:hAnsi="Cambria"/>
          <w:sz w:val="20"/>
        </w:rPr>
        <w:t xml:space="preserve">detenidos </w:t>
      </w:r>
      <w:r w:rsidR="001A6122" w:rsidRPr="006425BA">
        <w:rPr>
          <w:rFonts w:ascii="Cambria" w:hAnsi="Cambria"/>
          <w:sz w:val="20"/>
        </w:rPr>
        <w:t>altamente valorados</w:t>
      </w:r>
      <w:r w:rsidRPr="006425BA">
        <w:rPr>
          <w:rFonts w:ascii="Cambria" w:hAnsi="Cambria"/>
          <w:sz w:val="20"/>
        </w:rPr>
        <w:t>”</w:t>
      </w:r>
      <w:r w:rsidR="002419F5" w:rsidRPr="006425BA">
        <w:rPr>
          <w:rFonts w:ascii="Cambria" w:hAnsi="Cambria"/>
          <w:sz w:val="20"/>
        </w:rPr>
        <w:t>.</w:t>
      </w:r>
      <w:r w:rsidRPr="006425BA">
        <w:rPr>
          <w:rFonts w:ascii="Cambria" w:hAnsi="Cambria"/>
          <w:sz w:val="20"/>
        </w:rPr>
        <w:t xml:space="preserve"> Según la información, los detenidos permanecen incomunicados y no reciben el mismo tratamiento que otros prisioneros. El 20 de mayo de 2013, un grupo de dieciocho abogados defensores militares y civiles que representan a los “detenidos altamente</w:t>
      </w:r>
      <w:r>
        <w:rPr>
          <w:rFonts w:ascii="Cambria" w:hAnsi="Cambria"/>
          <w:sz w:val="20"/>
        </w:rPr>
        <w:t xml:space="preserve"> valorados” envió una solicitud conjunta al Secretario de Defensa Charles </w:t>
      </w:r>
      <w:proofErr w:type="spellStart"/>
      <w:r>
        <w:rPr>
          <w:rFonts w:ascii="Cambria" w:hAnsi="Cambria"/>
          <w:sz w:val="20"/>
        </w:rPr>
        <w:t>Hagel</w:t>
      </w:r>
      <w:proofErr w:type="spellEnd"/>
      <w:r>
        <w:rPr>
          <w:rFonts w:ascii="Cambria" w:hAnsi="Cambria"/>
          <w:sz w:val="20"/>
        </w:rPr>
        <w:t xml:space="preserve"> para que se mejoren las condiciones de detención en Guantánamo</w:t>
      </w:r>
      <w:r>
        <w:rPr>
          <w:rStyle w:val="FootnoteReference"/>
          <w:rFonts w:ascii="Cambria" w:hAnsi="Cambria"/>
          <w:sz w:val="20"/>
        </w:rPr>
        <w:footnoteReference w:id="127"/>
      </w:r>
      <w:r>
        <w:rPr>
          <w:rFonts w:ascii="Cambria" w:hAnsi="Cambria"/>
          <w:sz w:val="20"/>
        </w:rPr>
        <w:t xml:space="preserve">. Señalaron que a estos detenidos no se les permite el contacto con sus familias por teléfono o video; que se ha restringido su acceso a materiales religiosos (tales como los dichos y descripciones de la vida del Profeta Mahoma); que tienen oportunidades de recreación limitadas; y que no se les permite participar en oraciones comunales, en oposición a las prerrogativas de otros detenidos. </w:t>
      </w:r>
    </w:p>
    <w:p w:rsidR="00C8425A" w:rsidRPr="00FC2F1B" w:rsidRDefault="00C8425A" w:rsidP="00C8425A">
      <w:pPr>
        <w:pStyle w:val="ListParagrap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La solicitud observó que, si bien el informe emitido por el Almirante Walsh “tuvo errores metodológicos”, dicho informe “sí mostró graves preocupaciones con respecto a si las condiciones en el Campo 7 eran humanas”</w:t>
      </w:r>
      <w:r>
        <w:rPr>
          <w:rStyle w:val="FootnoteReference"/>
          <w:rFonts w:ascii="Cambria" w:hAnsi="Cambria"/>
          <w:sz w:val="20"/>
        </w:rPr>
        <w:footnoteReference w:id="128"/>
      </w:r>
      <w:r>
        <w:rPr>
          <w:rFonts w:ascii="Cambria" w:hAnsi="Cambria"/>
          <w:sz w:val="20"/>
        </w:rPr>
        <w:t>. El informe consideró que “en ciertos campos, es necesaria más socialización para que el tratamiento humano sea sostenible en el tiempo” y recomendó enfáticamente que “se ofrezca a los detenidos en el Campo 7 la oportunidad de participar en oración comunal con tres o más detenidos, de manera similar a la práctica en otros campos”</w:t>
      </w:r>
      <w:r>
        <w:rPr>
          <w:rStyle w:val="FootnoteReference"/>
          <w:rFonts w:ascii="Cambria" w:hAnsi="Cambria"/>
          <w:sz w:val="20"/>
        </w:rPr>
        <w:footnoteReference w:id="129"/>
      </w:r>
      <w:r>
        <w:rPr>
          <w:rFonts w:ascii="Cambria" w:hAnsi="Cambria"/>
          <w:sz w:val="20"/>
        </w:rPr>
        <w:t xml:space="preserve">. Según los abogados defensores, las recomendaciones establecidas en el informe de 2009 no se han cumplido. La defensa también afirmó que la fuerza de guardia JTF de Guantánamo adoptó procedimientos que sólo pueden interpretarse como dirigidos a hostigar sistemática e intencionalmente a los detenidos. Al respecto, alegaron que estos procedimientos “incluyen registros exhaustivos cotidianos de las celdas de los detenidos” y que “los detenidos están sometidos a registros corporales degradantes aun cuando no existe base racional para realizar dichos procedimientos”. </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Desde la apertura del centro de detención, nueve prisioneros han muerto en las instalaciones de Guantánamo, algunos de los cuales habrían cometido suicidio. Asimismo, 23 detenidos habrían intentado colgarse o estrangularse en una protesta masiva en 2003</w:t>
      </w:r>
      <w:r>
        <w:rPr>
          <w:rStyle w:val="FootnoteReference"/>
          <w:rFonts w:ascii="Cambria" w:hAnsi="Cambria"/>
          <w:sz w:val="20"/>
        </w:rPr>
        <w:footnoteReference w:id="130"/>
      </w:r>
      <w:r>
        <w:rPr>
          <w:rFonts w:ascii="Cambria" w:hAnsi="Cambria"/>
          <w:sz w:val="20"/>
        </w:rPr>
        <w:t xml:space="preserve">. El último prisionero en suicidarse fue </w:t>
      </w:r>
      <w:proofErr w:type="spellStart"/>
      <w:r>
        <w:rPr>
          <w:rFonts w:ascii="Cambria" w:hAnsi="Cambria"/>
          <w:sz w:val="20"/>
        </w:rPr>
        <w:t>Adnan</w:t>
      </w:r>
      <w:proofErr w:type="spellEnd"/>
      <w:r>
        <w:rPr>
          <w:rFonts w:ascii="Cambria" w:hAnsi="Cambria"/>
          <w:sz w:val="20"/>
        </w:rPr>
        <w:t xml:space="preserve"> </w:t>
      </w:r>
      <w:proofErr w:type="spellStart"/>
      <w:r>
        <w:rPr>
          <w:rFonts w:ascii="Cambria" w:hAnsi="Cambria"/>
          <w:sz w:val="20"/>
        </w:rPr>
        <w:t>Farhan</w:t>
      </w:r>
      <w:proofErr w:type="spellEnd"/>
      <w:r>
        <w:rPr>
          <w:rFonts w:ascii="Cambria" w:hAnsi="Cambria"/>
          <w:sz w:val="20"/>
        </w:rPr>
        <w:t xml:space="preserve"> Abdul </w:t>
      </w:r>
      <w:proofErr w:type="spellStart"/>
      <w:r>
        <w:rPr>
          <w:rFonts w:ascii="Cambria" w:hAnsi="Cambria"/>
          <w:sz w:val="20"/>
        </w:rPr>
        <w:t>Latif</w:t>
      </w:r>
      <w:proofErr w:type="spellEnd"/>
      <w:r>
        <w:rPr>
          <w:rFonts w:ascii="Cambria" w:hAnsi="Cambria"/>
          <w:sz w:val="20"/>
        </w:rPr>
        <w:t xml:space="preserve"> el 8 de septiembre de 2012, un ciudadano de Yemen que estuvo entre los primeros detenidos trasladados a Guantánamo en 2002. Fue capturado en la frontera de Afganistán y Paquistán en diciembre de 2001 y, según los militares, había sido reclutado por Al-Qaeda. Sus abogados defensores sostienen, sin embargo, que había viajado de Yemen a Paquistán en búsqueda de tratamiento médico humanitario por </w:t>
      </w:r>
      <w:r>
        <w:rPr>
          <w:rFonts w:ascii="Cambria" w:hAnsi="Cambria"/>
          <w:sz w:val="20"/>
        </w:rPr>
        <w:lastRenderedPageBreak/>
        <w:t>problemas generados por una herida en la cabeza que sufrió durante un accidente de tránsito en 1994, y que luego se dirigió hacia Afganistán antes de intentar huir cuando la guerra ya había comenzado</w:t>
      </w:r>
      <w:r>
        <w:rPr>
          <w:rStyle w:val="FootnoteReference"/>
          <w:rFonts w:ascii="Cambria" w:hAnsi="Cambria"/>
          <w:sz w:val="20"/>
        </w:rPr>
        <w:footnoteReference w:id="131"/>
      </w:r>
      <w:r>
        <w:rPr>
          <w:rFonts w:ascii="Cambria" w:hAnsi="Cambria"/>
          <w:sz w:val="20"/>
        </w:rPr>
        <w:t xml:space="preserve">.  </w:t>
      </w:r>
    </w:p>
    <w:p w:rsidR="00C8425A" w:rsidRPr="00FC2F1B" w:rsidRDefault="00C8425A" w:rsidP="00C8425A">
      <w:pPr>
        <w:pStyle w:val="ListParagrap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Según los registros médicos, el accidente de tránsito del señor </w:t>
      </w:r>
      <w:proofErr w:type="spellStart"/>
      <w:r>
        <w:rPr>
          <w:rFonts w:ascii="Cambria" w:hAnsi="Cambria"/>
          <w:sz w:val="20"/>
        </w:rPr>
        <w:t>Latif</w:t>
      </w:r>
      <w:proofErr w:type="spellEnd"/>
      <w:r>
        <w:rPr>
          <w:rFonts w:ascii="Cambria" w:hAnsi="Cambria"/>
          <w:sz w:val="20"/>
        </w:rPr>
        <w:t xml:space="preserve"> tuvo como consecuencia pérdida de la visión en el ojo izquierdo así como pérdida de la audición. Además sufría de inestabilidad emocional y discapacidad cognitiva como consecuencia del accidente. Durante su detención en Guantánamo se informó que habría manifestado grave inestabilidad emocional y síntomas </w:t>
      </w:r>
      <w:proofErr w:type="spellStart"/>
      <w:r>
        <w:rPr>
          <w:rFonts w:ascii="Cambria" w:hAnsi="Cambria"/>
          <w:sz w:val="20"/>
        </w:rPr>
        <w:t>neuropsiquiátricos</w:t>
      </w:r>
      <w:proofErr w:type="spellEnd"/>
      <w:r>
        <w:rPr>
          <w:rFonts w:ascii="Cambria" w:hAnsi="Cambria"/>
          <w:sz w:val="20"/>
        </w:rPr>
        <w:t xml:space="preserve"> que ocasionaron importantes problemas administrativos para las autoridades a cargo de la detención</w:t>
      </w:r>
      <w:r>
        <w:rPr>
          <w:rStyle w:val="FootnoteReference"/>
          <w:rFonts w:ascii="Cambria" w:hAnsi="Cambria"/>
          <w:sz w:val="20"/>
        </w:rPr>
        <w:footnoteReference w:id="132"/>
      </w:r>
      <w:r>
        <w:rPr>
          <w:rFonts w:ascii="Cambria" w:hAnsi="Cambria"/>
          <w:sz w:val="20"/>
        </w:rPr>
        <w:t xml:space="preserve">. El 7 de mayo de 2010, Amnistía Internacional emitió una acción urgente a su favor. El señor </w:t>
      </w:r>
      <w:proofErr w:type="spellStart"/>
      <w:r>
        <w:rPr>
          <w:rFonts w:ascii="Cambria" w:hAnsi="Cambria"/>
          <w:sz w:val="20"/>
        </w:rPr>
        <w:t>Latif</w:t>
      </w:r>
      <w:proofErr w:type="spellEnd"/>
      <w:r>
        <w:rPr>
          <w:rFonts w:ascii="Cambria" w:hAnsi="Cambria"/>
          <w:sz w:val="20"/>
        </w:rPr>
        <w:t>, que previamente había sido mantenido aislado en una sala psiquiátrica en Guantánamo, habría sido luego detenido en aislamiento; maltratado reiteradamente por la IRF; y mostrado sentimientos suicidas</w:t>
      </w:r>
      <w:r>
        <w:rPr>
          <w:rStyle w:val="FootnoteReference"/>
          <w:rFonts w:ascii="Cambria" w:hAnsi="Cambria"/>
          <w:sz w:val="20"/>
        </w:rPr>
        <w:footnoteReference w:id="133"/>
      </w:r>
      <w:r>
        <w:rPr>
          <w:rFonts w:ascii="Cambria" w:hAnsi="Cambria"/>
          <w:sz w:val="20"/>
        </w:rPr>
        <w:t xml:space="preserve">. La liberación del señor </w:t>
      </w:r>
      <w:proofErr w:type="spellStart"/>
      <w:r>
        <w:rPr>
          <w:rFonts w:ascii="Cambria" w:hAnsi="Cambria"/>
          <w:sz w:val="20"/>
        </w:rPr>
        <w:t>Latif</w:t>
      </w:r>
      <w:proofErr w:type="spellEnd"/>
      <w:r>
        <w:rPr>
          <w:rFonts w:ascii="Cambria" w:hAnsi="Cambria"/>
          <w:sz w:val="20"/>
        </w:rPr>
        <w:t xml:space="preserve"> había sido autorizada por las últimas dos administraciones en cuatro ocasiones distintas, así como también había sido ordena por un juez de la Corte Federal Distrital en 2010. No obstante, la decisión fue anulada por la Corte del Circuito de D.C. y la Corte Suprema de Estados Unidos se inhibió de conocer la apelación. La información recibida por la CIDH señala que se habría suicidado por desesperación</w:t>
      </w:r>
      <w:r>
        <w:rPr>
          <w:rStyle w:val="FootnoteReference"/>
          <w:rFonts w:ascii="Cambria" w:hAnsi="Cambria"/>
          <w:sz w:val="20"/>
        </w:rPr>
        <w:footnoteReference w:id="134"/>
      </w:r>
      <w:r>
        <w:rPr>
          <w:rFonts w:ascii="Cambria" w:hAnsi="Cambria"/>
          <w:sz w:val="20"/>
        </w:rPr>
        <w:t xml:space="preserve">. </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Según el Dr. Stephen </w:t>
      </w:r>
      <w:proofErr w:type="spellStart"/>
      <w:r>
        <w:rPr>
          <w:rFonts w:ascii="Cambria" w:hAnsi="Cambria"/>
          <w:sz w:val="20"/>
        </w:rPr>
        <w:t>Xenakis</w:t>
      </w:r>
      <w:proofErr w:type="spellEnd"/>
      <w:r>
        <w:rPr>
          <w:rFonts w:ascii="Cambria" w:hAnsi="Cambria"/>
          <w:sz w:val="20"/>
        </w:rPr>
        <w:t>, Brigadier General (Retirado), perito médico y psiquiátrico en varios casos relacionados con detenidos en Guantánamo, con frecuencia estos prisioneros no tienen expectativa de ser liberados, se encuentran traumatizados, sus vidas han sido perturbadas, y es muy común que tengan problemas de sueño, ataques de ansiedad y una serie de dolencias físicas atribuibles al envejecimiento</w:t>
      </w:r>
      <w:r>
        <w:rPr>
          <w:rStyle w:val="FootnoteReference"/>
          <w:rFonts w:ascii="Cambria" w:hAnsi="Cambria"/>
          <w:sz w:val="20"/>
        </w:rPr>
        <w:footnoteReference w:id="135"/>
      </w:r>
      <w:r>
        <w:rPr>
          <w:rFonts w:ascii="Cambria" w:hAnsi="Cambria"/>
          <w:sz w:val="20"/>
        </w:rPr>
        <w:t xml:space="preserve">. Los detenidos que hoy están en la década de los 50, 60 y 70 años estarían desarrollando enfermedades crónicas que surgen en esta etapa de la vida. Al respecto, el Dr. </w:t>
      </w:r>
      <w:proofErr w:type="spellStart"/>
      <w:r>
        <w:rPr>
          <w:rFonts w:ascii="Cambria" w:hAnsi="Cambria"/>
          <w:sz w:val="20"/>
        </w:rPr>
        <w:t>Xenakis</w:t>
      </w:r>
      <w:proofErr w:type="spellEnd"/>
      <w:r>
        <w:rPr>
          <w:rFonts w:ascii="Cambria" w:hAnsi="Cambria"/>
          <w:sz w:val="20"/>
        </w:rPr>
        <w:t xml:space="preserve"> testificó ante el Comité Judicial del Senado que “la población que está envejeciendo en Guantánamo es vulnerable a desarrollar trastornos </w:t>
      </w:r>
      <w:proofErr w:type="spellStart"/>
      <w:r>
        <w:rPr>
          <w:rFonts w:ascii="Cambria" w:hAnsi="Cambria"/>
          <w:sz w:val="20"/>
        </w:rPr>
        <w:t>neuropsiquiátricos</w:t>
      </w:r>
      <w:proofErr w:type="spellEnd"/>
      <w:r>
        <w:rPr>
          <w:rFonts w:ascii="Cambria" w:hAnsi="Cambria"/>
          <w:sz w:val="20"/>
        </w:rPr>
        <w:t xml:space="preserve"> debilitantes derivados del trauma y el estrés, así como a sufrir demencia, depresión grave, e inestabilidad emocional creciente”. En ese sentido, funcionarios </w:t>
      </w:r>
      <w:proofErr w:type="gramStart"/>
      <w:r>
        <w:rPr>
          <w:rFonts w:ascii="Cambria" w:hAnsi="Cambria"/>
          <w:sz w:val="20"/>
        </w:rPr>
        <w:t>sénior</w:t>
      </w:r>
      <w:proofErr w:type="gramEnd"/>
      <w:r>
        <w:rPr>
          <w:rFonts w:ascii="Cambria" w:hAnsi="Cambria"/>
          <w:sz w:val="20"/>
        </w:rPr>
        <w:t xml:space="preserve"> del Departamento de Defensa habrían reconocido que Guantánamo “se está convirtiendo en un asilo de ancianos”</w:t>
      </w:r>
      <w:r>
        <w:rPr>
          <w:rStyle w:val="FootnoteReference"/>
          <w:rFonts w:ascii="Cambria" w:hAnsi="Cambria"/>
          <w:sz w:val="20"/>
        </w:rPr>
        <w:footnoteReference w:id="136"/>
      </w:r>
      <w:r>
        <w:rPr>
          <w:rFonts w:ascii="Cambria" w:hAnsi="Cambria"/>
          <w:sz w:val="20"/>
        </w:rPr>
        <w:t xml:space="preserve">.  </w:t>
      </w:r>
    </w:p>
    <w:p w:rsidR="00C8425A" w:rsidRPr="00FC2F1B" w:rsidRDefault="00C8425A" w:rsidP="00C8425A">
      <w:pPr>
        <w:pStyle w:val="ListParagrap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El Dr. </w:t>
      </w:r>
      <w:proofErr w:type="spellStart"/>
      <w:r>
        <w:rPr>
          <w:rFonts w:ascii="Cambria" w:hAnsi="Cambria"/>
          <w:sz w:val="20"/>
        </w:rPr>
        <w:t>Xenakis</w:t>
      </w:r>
      <w:proofErr w:type="spellEnd"/>
      <w:r>
        <w:rPr>
          <w:rFonts w:ascii="Cambria" w:hAnsi="Cambria"/>
          <w:sz w:val="20"/>
        </w:rPr>
        <w:t xml:space="preserve"> afirma también que, con su participación en equipos de interrogatorio, psiquiatras, psicólogos y médicos han quebrantado totalmente la relación paciente-doctor. Señala que esto se complica aún más por el hecho de que estos pacientes experimentan problemas difíciles que no se observan con frecuencia en medicina militar; que los médicos de primera línea rotan cada 7 o 9 meses; y que la clínica en Guantánamo no tiene las instalaciones para evaluar a personas con enfermedades más serias (se informa que no existe un escáner para imágenes de resonancia </w:t>
      </w:r>
      <w:r w:rsidRPr="006425BA">
        <w:rPr>
          <w:rFonts w:ascii="Cambria" w:hAnsi="Cambria"/>
          <w:sz w:val="20"/>
        </w:rPr>
        <w:t>magnética [MRI por sus siglas en inglés], radiólogos o doctores especializados en medicina nuclear)</w:t>
      </w:r>
      <w:r w:rsidRPr="006425BA">
        <w:rPr>
          <w:rStyle w:val="FootnoteReference"/>
          <w:rFonts w:ascii="Cambria" w:hAnsi="Cambria"/>
          <w:sz w:val="20"/>
        </w:rPr>
        <w:footnoteReference w:id="137"/>
      </w:r>
      <w:r w:rsidRPr="006425BA">
        <w:rPr>
          <w:rFonts w:ascii="Cambria" w:hAnsi="Cambria"/>
          <w:sz w:val="20"/>
        </w:rPr>
        <w:t xml:space="preserve">. El Gobierno de Estados Unidos afirma que, sin embargo, la asistencia </w:t>
      </w:r>
      <w:r w:rsidR="00AE29CD" w:rsidRPr="006425BA">
        <w:rPr>
          <w:rFonts w:ascii="Cambria" w:hAnsi="Cambria"/>
          <w:sz w:val="20"/>
        </w:rPr>
        <w:t>médica ofrecida</w:t>
      </w:r>
      <w:r w:rsidRPr="006425BA">
        <w:rPr>
          <w:rFonts w:ascii="Cambria" w:hAnsi="Cambria"/>
          <w:sz w:val="20"/>
        </w:rPr>
        <w:t xml:space="preserve"> a los detenidos es comparable a la </w:t>
      </w:r>
      <w:r w:rsidR="00AE29CD" w:rsidRPr="006425BA">
        <w:rPr>
          <w:rFonts w:ascii="Cambria" w:hAnsi="Cambria"/>
          <w:sz w:val="20"/>
        </w:rPr>
        <w:t>recibida por</w:t>
      </w:r>
      <w:r w:rsidRPr="006425BA">
        <w:rPr>
          <w:rFonts w:ascii="Cambria" w:hAnsi="Cambria"/>
          <w:sz w:val="20"/>
        </w:rPr>
        <w:t xml:space="preserve"> el personal de servicio en Guantánamo</w:t>
      </w:r>
      <w:r w:rsidRPr="006425BA">
        <w:rPr>
          <w:rStyle w:val="FootnoteReference"/>
          <w:rFonts w:ascii="Cambria" w:hAnsi="Cambria"/>
          <w:sz w:val="20"/>
        </w:rPr>
        <w:footnoteReference w:id="138"/>
      </w:r>
      <w:r w:rsidR="00AE29CD" w:rsidRPr="006425BA">
        <w:rPr>
          <w:rFonts w:ascii="Cambria" w:hAnsi="Cambria"/>
          <w:sz w:val="20"/>
        </w:rPr>
        <w:t>.</w:t>
      </w:r>
      <w:r w:rsidRPr="006425BA">
        <w:rPr>
          <w:rFonts w:ascii="Cambria" w:hAnsi="Cambria"/>
          <w:sz w:val="20"/>
        </w:rPr>
        <w:t xml:space="preserve"> Entre los pacientes del Dr. </w:t>
      </w:r>
      <w:proofErr w:type="spellStart"/>
      <w:r w:rsidRPr="006425BA">
        <w:rPr>
          <w:rFonts w:ascii="Cambria" w:hAnsi="Cambria"/>
          <w:sz w:val="20"/>
        </w:rPr>
        <w:t>Xenakis</w:t>
      </w:r>
      <w:proofErr w:type="spellEnd"/>
      <w:r w:rsidRPr="006425BA">
        <w:rPr>
          <w:rFonts w:ascii="Cambria" w:hAnsi="Cambria"/>
          <w:sz w:val="20"/>
        </w:rPr>
        <w:t xml:space="preserve"> en Guantánamo había uno que había sufrido de esquizofrenia crónica durante décadas y estaba</w:t>
      </w:r>
      <w:r>
        <w:rPr>
          <w:rFonts w:ascii="Cambria" w:hAnsi="Cambria"/>
          <w:sz w:val="20"/>
        </w:rPr>
        <w:t xml:space="preserve"> psicótico al momento de su detención y traslado a Guantánamo hace más de diez años, y otro que había aumentado cientos de libras durante su detención (pesaba más de 450 libras (204 </w:t>
      </w:r>
      <w:proofErr w:type="spellStart"/>
      <w:r>
        <w:rPr>
          <w:rFonts w:ascii="Cambria" w:hAnsi="Cambria"/>
          <w:sz w:val="20"/>
        </w:rPr>
        <w:t>kgs</w:t>
      </w:r>
      <w:proofErr w:type="spellEnd"/>
      <w:r>
        <w:rPr>
          <w:rFonts w:ascii="Cambria" w:hAnsi="Cambria"/>
          <w:sz w:val="20"/>
        </w:rPr>
        <w:t xml:space="preserve">.) en 2013, 270 (122 </w:t>
      </w:r>
      <w:proofErr w:type="spellStart"/>
      <w:r>
        <w:rPr>
          <w:rFonts w:ascii="Cambria" w:hAnsi="Cambria"/>
          <w:sz w:val="20"/>
        </w:rPr>
        <w:t>kgs</w:t>
      </w:r>
      <w:proofErr w:type="spellEnd"/>
      <w:r>
        <w:rPr>
          <w:rFonts w:ascii="Cambria" w:hAnsi="Cambria"/>
          <w:sz w:val="20"/>
        </w:rPr>
        <w:t>.) más de las que tenía al momento de su aprehensión) y sufría múltiples condiciones médicas</w:t>
      </w:r>
      <w:r>
        <w:rPr>
          <w:rStyle w:val="FootnoteReference"/>
          <w:rFonts w:ascii="Cambria" w:hAnsi="Cambria"/>
          <w:sz w:val="20"/>
        </w:rPr>
        <w:footnoteReference w:id="139"/>
      </w:r>
      <w:r>
        <w:rPr>
          <w:rFonts w:ascii="Cambria" w:hAnsi="Cambria"/>
          <w:sz w:val="20"/>
        </w:rPr>
        <w:t xml:space="preserve">. </w:t>
      </w:r>
    </w:p>
    <w:p w:rsidR="00C8425A" w:rsidRPr="00FC2F1B" w:rsidRDefault="00C8425A" w:rsidP="00C8425A">
      <w:pPr>
        <w:pStyle w:val="ListParagraph"/>
        <w:rPr>
          <w:rFonts w:ascii="Cambria" w:hAnsi="Cambria"/>
          <w:sz w:val="20"/>
          <w:szCs w:val="20"/>
        </w:rPr>
      </w:pPr>
    </w:p>
    <w:p w:rsidR="00C8425A" w:rsidRPr="006425BA" w:rsidRDefault="00C8425A" w:rsidP="00724CD2">
      <w:pPr>
        <w:numPr>
          <w:ilvl w:val="0"/>
          <w:numId w:val="5"/>
        </w:numPr>
        <w:ind w:left="547" w:hanging="547"/>
        <w:jc w:val="both"/>
        <w:rPr>
          <w:rFonts w:ascii="Cambria" w:hAnsi="Cambria"/>
          <w:sz w:val="20"/>
          <w:szCs w:val="20"/>
        </w:rPr>
      </w:pPr>
      <w:r>
        <w:rPr>
          <w:rFonts w:ascii="Cambria" w:hAnsi="Cambria"/>
          <w:sz w:val="20"/>
        </w:rPr>
        <w:t xml:space="preserve">El médico señala también que los síntomas de desórdenes por estrés post traumático requieren tratamiento profesional para ser aliviados y que “no existe evidencia de que los detenidos hayan recibido tratamiento efectivo para su condición de salud”. En consecuencia, “el trauma psicológico severo generado por su experiencia bajo custodia estadounidense con frecuencia no ha sido diagnosticado o atendido por el personal médico”. Con base en su experiencia con detenidos de Guantánamo, que incluye más de una docena de entrevistas, revisión de por los menos 50 expedientes y una permanencia acumulada de tres meses en las instalaciones, el Dr. </w:t>
      </w:r>
      <w:proofErr w:type="spellStart"/>
      <w:r>
        <w:rPr>
          <w:rFonts w:ascii="Cambria" w:hAnsi="Cambria"/>
          <w:sz w:val="20"/>
        </w:rPr>
        <w:t>Xenakis</w:t>
      </w:r>
      <w:proofErr w:type="spellEnd"/>
      <w:r>
        <w:rPr>
          <w:rFonts w:ascii="Cambria" w:hAnsi="Cambria"/>
          <w:sz w:val="20"/>
        </w:rPr>
        <w:t xml:space="preserve"> concluye que “la amplia mayoría de estos hombres no encaja dentro del perfil de “lo </w:t>
      </w:r>
      <w:r w:rsidRPr="006425BA">
        <w:rPr>
          <w:rFonts w:ascii="Cambria" w:hAnsi="Cambria"/>
          <w:sz w:val="20"/>
        </w:rPr>
        <w:t>peor de lo peor”</w:t>
      </w:r>
      <w:r w:rsidRPr="006425BA">
        <w:rPr>
          <w:rStyle w:val="FootnoteReference"/>
          <w:rFonts w:ascii="Cambria" w:hAnsi="Cambria"/>
          <w:sz w:val="20"/>
        </w:rPr>
        <w:footnoteReference w:id="140"/>
      </w:r>
      <w:r w:rsidRPr="006425BA">
        <w:rPr>
          <w:rFonts w:ascii="Cambria" w:hAnsi="Cambria"/>
          <w:sz w:val="20"/>
        </w:rPr>
        <w:t xml:space="preserve">. </w:t>
      </w:r>
    </w:p>
    <w:p w:rsidR="003B44D3" w:rsidRPr="006425BA" w:rsidRDefault="003B44D3" w:rsidP="003B44D3">
      <w:pPr>
        <w:pStyle w:val="ListParagraph"/>
        <w:rPr>
          <w:rFonts w:ascii="Cambria" w:hAnsi="Cambria"/>
          <w:sz w:val="20"/>
          <w:szCs w:val="20"/>
        </w:rPr>
      </w:pPr>
    </w:p>
    <w:p w:rsidR="003B44D3" w:rsidRPr="006425BA" w:rsidRDefault="003B44D3" w:rsidP="003B44D3">
      <w:pPr>
        <w:numPr>
          <w:ilvl w:val="0"/>
          <w:numId w:val="5"/>
        </w:numPr>
        <w:ind w:left="547" w:hanging="547"/>
        <w:jc w:val="both"/>
        <w:rPr>
          <w:rFonts w:ascii="Cambria" w:hAnsi="Cambria"/>
          <w:sz w:val="20"/>
          <w:szCs w:val="20"/>
        </w:rPr>
      </w:pPr>
      <w:r w:rsidRPr="006425BA">
        <w:rPr>
          <w:rFonts w:ascii="Cambria" w:hAnsi="Cambria"/>
          <w:sz w:val="20"/>
        </w:rPr>
        <w:t xml:space="preserve">De acuerdo </w:t>
      </w:r>
      <w:r w:rsidR="0041634B" w:rsidRPr="006425BA">
        <w:rPr>
          <w:rFonts w:ascii="Cambria" w:hAnsi="Cambria"/>
          <w:sz w:val="20"/>
        </w:rPr>
        <w:t>a</w:t>
      </w:r>
      <w:r w:rsidRPr="006425BA">
        <w:rPr>
          <w:rFonts w:ascii="Cambria" w:hAnsi="Cambria"/>
          <w:sz w:val="20"/>
        </w:rPr>
        <w:t xml:space="preserve">l Gobierno de Estados Unidos, las normas del Departamento de Defensa autorizan al personal </w:t>
      </w:r>
      <w:r w:rsidR="0041634B" w:rsidRPr="006425BA">
        <w:rPr>
          <w:rFonts w:ascii="Cambria" w:hAnsi="Cambria"/>
          <w:sz w:val="20"/>
        </w:rPr>
        <w:t>de salud c</w:t>
      </w:r>
      <w:r w:rsidRPr="006425BA">
        <w:rPr>
          <w:rFonts w:ascii="Cambria" w:hAnsi="Cambria"/>
          <w:sz w:val="20"/>
        </w:rPr>
        <w:t>alificado en ciencias del comportamiento a proporcionar servicios de consulta para apoyar las actividades autorizadas de la fuerza pública o de inteligencia, incluida la observación y asesoría sobre los interrogatorios de detenidos cuando tales interrogatorios se hagan totalmente conforme a la l</w:t>
      </w:r>
      <w:r w:rsidR="0041634B" w:rsidRPr="006425BA">
        <w:rPr>
          <w:rFonts w:ascii="Cambria" w:hAnsi="Cambria"/>
          <w:sz w:val="20"/>
        </w:rPr>
        <w:t xml:space="preserve">ey aplicable y las políticas </w:t>
      </w:r>
      <w:r w:rsidR="00027C12" w:rsidRPr="006425BA">
        <w:rPr>
          <w:rFonts w:ascii="Cambria" w:hAnsi="Cambria"/>
          <w:sz w:val="20"/>
        </w:rPr>
        <w:t>en la materia</w:t>
      </w:r>
      <w:r w:rsidRPr="006425BA">
        <w:rPr>
          <w:rFonts w:ascii="Cambria" w:hAnsi="Cambria"/>
          <w:sz w:val="20"/>
        </w:rPr>
        <w:t xml:space="preserve">.  Estos consultores en ciencias de la conducta, según el Gobierno, no participan en el tratamiento médico </w:t>
      </w:r>
      <w:r w:rsidR="00592F4B">
        <w:rPr>
          <w:rFonts w:ascii="Cambria" w:hAnsi="Cambria"/>
          <w:sz w:val="20"/>
        </w:rPr>
        <w:lastRenderedPageBreak/>
        <w:t>de los detenidos, y el g</w:t>
      </w:r>
      <w:r w:rsidRPr="006425BA">
        <w:rPr>
          <w:rFonts w:ascii="Cambria" w:hAnsi="Cambria"/>
          <w:sz w:val="20"/>
        </w:rPr>
        <w:t xml:space="preserve">obierno </w:t>
      </w:r>
      <w:r w:rsidR="0041634B" w:rsidRPr="006425BA">
        <w:rPr>
          <w:rFonts w:ascii="Cambria" w:hAnsi="Cambria"/>
          <w:sz w:val="20"/>
        </w:rPr>
        <w:t>alega</w:t>
      </w:r>
      <w:r w:rsidRPr="006425BA">
        <w:rPr>
          <w:rFonts w:ascii="Cambria" w:hAnsi="Cambria"/>
          <w:sz w:val="20"/>
        </w:rPr>
        <w:t xml:space="preserve"> que estos no tienen acceso a los expedientes médicos</w:t>
      </w:r>
      <w:r w:rsidRPr="006425BA">
        <w:rPr>
          <w:rStyle w:val="FootnoteReference"/>
          <w:rFonts w:ascii="Cambria" w:hAnsi="Cambria"/>
          <w:sz w:val="20"/>
        </w:rPr>
        <w:footnoteReference w:id="141"/>
      </w:r>
      <w:r w:rsidR="0041634B" w:rsidRPr="006425BA">
        <w:rPr>
          <w:rFonts w:ascii="Cambria" w:hAnsi="Cambria"/>
          <w:sz w:val="20"/>
        </w:rPr>
        <w:t>.</w:t>
      </w:r>
      <w:r w:rsidRPr="006425BA">
        <w:rPr>
          <w:rFonts w:ascii="Cambria" w:hAnsi="Cambria"/>
          <w:sz w:val="20"/>
        </w:rPr>
        <w:t xml:space="preserve">  </w:t>
      </w:r>
    </w:p>
    <w:p w:rsidR="00C8425A" w:rsidRPr="006425BA" w:rsidRDefault="00C8425A" w:rsidP="00C8425A">
      <w:pPr>
        <w:pStyle w:val="ListParagraph"/>
        <w:rPr>
          <w:rFonts w:ascii="Cambria" w:hAnsi="Cambria"/>
          <w:sz w:val="20"/>
          <w:szCs w:val="20"/>
        </w:rPr>
      </w:pPr>
    </w:p>
    <w:p w:rsidR="00C8425A" w:rsidRPr="002E2C5C" w:rsidRDefault="00C8425A" w:rsidP="00724CD2">
      <w:pPr>
        <w:numPr>
          <w:ilvl w:val="0"/>
          <w:numId w:val="5"/>
        </w:numPr>
        <w:ind w:left="547" w:hanging="547"/>
        <w:jc w:val="both"/>
        <w:rPr>
          <w:rFonts w:ascii="Cambria" w:hAnsi="Cambria"/>
          <w:sz w:val="20"/>
          <w:szCs w:val="20"/>
        </w:rPr>
      </w:pPr>
      <w:r w:rsidRPr="006425BA">
        <w:rPr>
          <w:rFonts w:ascii="Cambria" w:hAnsi="Cambria"/>
          <w:sz w:val="20"/>
        </w:rPr>
        <w:t>La Comisión Interamericana ha recibido además información sobre asuntos relativos a cuestiones religiosas y culturales que estarían afectando las vidas cotidianas de los detenidos. Se informa que los detenidos han presentado solicitudes ante funcionarios</w:t>
      </w:r>
      <w:r>
        <w:rPr>
          <w:rFonts w:ascii="Cambria" w:hAnsi="Cambria"/>
          <w:sz w:val="20"/>
        </w:rPr>
        <w:t xml:space="preserve"> de JT-Guantánamo para acceder a un Capellán Musulmán; no obstante, se alega que las autoridades habrían respondido que cuentan con un asesor cultural musulmán en capacidad de ofrecer consejos sobre distintos aspectos de sus vidas. Asimismo, los detenidos habrían expresado su preocupación respecto de la comida, particularmente respecto de si toda la comida que se les provee es </w:t>
      </w:r>
      <w:r>
        <w:rPr>
          <w:rFonts w:ascii="Cambria" w:hAnsi="Cambria"/>
          <w:i/>
          <w:sz w:val="20"/>
        </w:rPr>
        <w:t>halal</w:t>
      </w:r>
      <w:r>
        <w:rPr>
          <w:rFonts w:ascii="Cambria" w:hAnsi="Cambria"/>
          <w:sz w:val="20"/>
        </w:rPr>
        <w:t xml:space="preserve"> (permitida por su religión)</w:t>
      </w:r>
      <w:r>
        <w:rPr>
          <w:rStyle w:val="FootnoteReference"/>
          <w:rFonts w:ascii="Cambria" w:hAnsi="Cambria"/>
          <w:sz w:val="20"/>
        </w:rPr>
        <w:footnoteReference w:id="142"/>
      </w:r>
      <w:r>
        <w:rPr>
          <w:rFonts w:ascii="Cambria" w:hAnsi="Cambria"/>
          <w:sz w:val="20"/>
        </w:rPr>
        <w:t xml:space="preserve">. Sobre este asunto, la CIDH observa que según el informe emitido por el Almirante Walsh en 2009, “tres comidas calientes </w:t>
      </w:r>
      <w:r>
        <w:rPr>
          <w:rFonts w:ascii="Cambria" w:hAnsi="Cambria"/>
          <w:i/>
          <w:sz w:val="20"/>
        </w:rPr>
        <w:t>halal</w:t>
      </w:r>
      <w:r>
        <w:rPr>
          <w:rFonts w:ascii="Cambria" w:hAnsi="Cambria"/>
          <w:sz w:val="20"/>
        </w:rPr>
        <w:t xml:space="preserve"> al día –de 4500-5000 calorías por día- se sirven a los detenidos en cada campo, con seis menús de los cuales los detenidos pueden escoger”</w:t>
      </w:r>
      <w:r>
        <w:rPr>
          <w:rStyle w:val="FootnoteReference"/>
          <w:rFonts w:ascii="Cambria" w:hAnsi="Cambria"/>
          <w:sz w:val="20"/>
        </w:rPr>
        <w:footnoteReference w:id="143"/>
      </w:r>
      <w:r>
        <w:rPr>
          <w:rFonts w:ascii="Cambria" w:hAnsi="Cambria"/>
          <w:sz w:val="20"/>
        </w:rPr>
        <w:t xml:space="preserve">. En 2012, los militares negaron la veracidad de informes según los cuales se estaba proporcionando a los detenidos del Campo 7 comida que no era </w:t>
      </w:r>
      <w:r>
        <w:rPr>
          <w:rFonts w:ascii="Cambria" w:hAnsi="Cambria"/>
          <w:i/>
          <w:sz w:val="20"/>
        </w:rPr>
        <w:t>halal</w:t>
      </w:r>
      <w:r>
        <w:rPr>
          <w:rStyle w:val="FootnoteReference"/>
          <w:rFonts w:ascii="Cambria" w:hAnsi="Cambria"/>
          <w:sz w:val="20"/>
        </w:rPr>
        <w:footnoteReference w:id="144"/>
      </w:r>
      <w:r>
        <w:rPr>
          <w:rFonts w:ascii="Cambria" w:hAnsi="Cambria"/>
          <w:i/>
          <w:sz w:val="20"/>
        </w:rPr>
        <w:t xml:space="preserve">. </w:t>
      </w:r>
      <w:r>
        <w:rPr>
          <w:rFonts w:ascii="Cambria" w:hAnsi="Cambria"/>
          <w:sz w:val="20"/>
        </w:rPr>
        <w:t xml:space="preserve">Adicionalmente, como se desarrollará en la siguiente sección de este informe, </w:t>
      </w:r>
      <w:r w:rsidRPr="002E2C5C">
        <w:rPr>
          <w:rFonts w:ascii="Cambria" w:hAnsi="Cambria"/>
          <w:sz w:val="20"/>
        </w:rPr>
        <w:t xml:space="preserve">incidentes relativos al Corán, un asunto muy sensible para los musulmanes, han generado varias huelgas de hambre en Guantánamo. Según el Gobierno de Estados Unidos, los detenidos de Guantánamo pueden </w:t>
      </w:r>
      <w:r w:rsidR="004B393F" w:rsidRPr="002E2C5C">
        <w:rPr>
          <w:rFonts w:ascii="Cambria" w:hAnsi="Cambria"/>
          <w:sz w:val="20"/>
        </w:rPr>
        <w:t>rezar</w:t>
      </w:r>
      <w:r w:rsidRPr="002E2C5C">
        <w:rPr>
          <w:rFonts w:ascii="Cambria" w:hAnsi="Cambria"/>
          <w:sz w:val="20"/>
        </w:rPr>
        <w:t xml:space="preserve"> cinco veces al día</w:t>
      </w:r>
      <w:r w:rsidRPr="002E2C5C">
        <w:rPr>
          <w:rStyle w:val="FootnoteReference"/>
          <w:rFonts w:ascii="Cambria" w:hAnsi="Cambria"/>
          <w:sz w:val="20"/>
        </w:rPr>
        <w:footnoteReference w:id="145"/>
      </w:r>
      <w:r w:rsidR="004B393F" w:rsidRPr="002E2C5C">
        <w:rPr>
          <w:rFonts w:ascii="Cambria" w:hAnsi="Cambria"/>
          <w:sz w:val="20"/>
        </w:rPr>
        <w:t>.</w:t>
      </w:r>
      <w:r w:rsidRPr="002E2C5C">
        <w:rPr>
          <w:rFonts w:ascii="Cambria" w:hAnsi="Cambria"/>
          <w:sz w:val="20"/>
        </w:rPr>
        <w:t xml:space="preserve"> </w:t>
      </w:r>
      <w:r w:rsidR="001A6122" w:rsidRPr="002E2C5C">
        <w:rPr>
          <w:rFonts w:ascii="Cambria" w:hAnsi="Cambria"/>
          <w:sz w:val="20"/>
        </w:rPr>
        <w:t xml:space="preserve">Sin embargo, la CIDH observa que </w:t>
      </w:r>
      <w:r w:rsidRPr="002E2C5C">
        <w:rPr>
          <w:rFonts w:ascii="Cambria" w:hAnsi="Cambria"/>
          <w:sz w:val="20"/>
        </w:rPr>
        <w:t xml:space="preserve">los “detenidos altamente valorados” del Campo 7 no tienen derecho a la oración comunitaria, a diferencia de otros detenidos. </w:t>
      </w:r>
    </w:p>
    <w:p w:rsidR="00C8425A" w:rsidRPr="002E2C5C"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sidRPr="002E2C5C">
        <w:rPr>
          <w:rFonts w:ascii="Cambria" w:hAnsi="Cambria"/>
          <w:sz w:val="20"/>
        </w:rPr>
        <w:t>Ni la Declaración Americana ni la Convención Americana ni la Convención Interamericana para Prevenir y Sancionar la Tortura establecen lo que debe entenderse por “tratos crueles, inhumanos o degradantes” o cómo éstos se</w:t>
      </w:r>
      <w:r>
        <w:rPr>
          <w:rFonts w:ascii="Cambria" w:hAnsi="Cambria"/>
          <w:sz w:val="20"/>
        </w:rPr>
        <w:t xml:space="preserve"> diferencian de la tortura. No obstante, la jurisprudencia de la Comisión Interamericana ofrece ciertos principios que sirven como directriz para evaluar si una conducta específica puede caer dentro de estas categorías. La CIDH ha tomado en consideración jurisprudencia europea según la cual “trato inhumano es aquel que deliberadamente causa un severo sufrimiento mental o psicológico, el cual, dada la situación particular, es injustificable” y “el tratamiento o castigo de un individuo puede ser degradante si se le humilla severamente ante otros o se lo compele a actuar contra sus deseos o su conciencia”</w:t>
      </w:r>
      <w:r>
        <w:rPr>
          <w:rStyle w:val="FootnoteReference"/>
          <w:rFonts w:ascii="Cambria" w:hAnsi="Cambria"/>
          <w:sz w:val="20"/>
        </w:rPr>
        <w:footnoteReference w:id="146"/>
      </w:r>
      <w:r>
        <w:rPr>
          <w:rFonts w:ascii="Cambria" w:hAnsi="Cambria"/>
          <w:sz w:val="20"/>
        </w:rPr>
        <w:t xml:space="preserve">. El criterio esencial que </w:t>
      </w:r>
      <w:r>
        <w:rPr>
          <w:rFonts w:ascii="Cambria" w:hAnsi="Cambria"/>
          <w:sz w:val="20"/>
        </w:rPr>
        <w:lastRenderedPageBreak/>
        <w:t>permite distinguir entre “tortura” y “trato inhumano o degradante” deriva principalmente de la intensidad del sufrimiento infligido</w:t>
      </w:r>
      <w:r>
        <w:rPr>
          <w:rStyle w:val="FootnoteReference"/>
          <w:rFonts w:ascii="Cambria" w:hAnsi="Cambria"/>
          <w:sz w:val="20"/>
        </w:rPr>
        <w:footnoteReference w:id="147"/>
      </w:r>
      <w:r>
        <w:rPr>
          <w:rFonts w:ascii="Cambria" w:hAnsi="Cambria"/>
          <w:sz w:val="20"/>
        </w:rPr>
        <w:t>.</w:t>
      </w:r>
    </w:p>
    <w:p w:rsidR="00C8425A" w:rsidRPr="00FC2F1B" w:rsidRDefault="00C8425A" w:rsidP="00C8425A">
      <w:pPr>
        <w:pStyle w:val="ListParagrap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Considerando que el Estado actúa como garante respecto de las personas bajo su custodia, tiene un deber especial de garantizar los derechos fundamentales de las personas privadas de libertad y asegurar que las condiciones de detención sean compatibles con la dignidad inherente a todo ser humano</w:t>
      </w:r>
      <w:r>
        <w:rPr>
          <w:rStyle w:val="FootnoteReference"/>
          <w:rFonts w:ascii="Cambria" w:hAnsi="Cambria"/>
          <w:sz w:val="20"/>
        </w:rPr>
        <w:footnoteReference w:id="148"/>
      </w:r>
      <w:r>
        <w:rPr>
          <w:rFonts w:ascii="Cambria" w:hAnsi="Cambria"/>
          <w:sz w:val="20"/>
        </w:rPr>
        <w:t>. Más aún, el derecho internacional humanitario de los conflictos armados no internacionales –como se infiere del artículo 3 común a los Convenios de Ginebra, el Protocolo Adicional Segundo a los Convenios de Ginebra en lo pertinente, y la costumbre internacional del derecho humanitario- establece derechos para los detenidos en relación con el tratamiento y las condiciones de detención, que en algunos casos puede constituir tortura</w:t>
      </w:r>
      <w:r>
        <w:rPr>
          <w:rStyle w:val="FootnoteReference"/>
          <w:rFonts w:ascii="Cambria" w:hAnsi="Cambria"/>
          <w:sz w:val="20"/>
        </w:rPr>
        <w:footnoteReference w:id="149"/>
      </w:r>
      <w:r>
        <w:rPr>
          <w:rFonts w:ascii="Cambria" w:hAnsi="Cambria"/>
          <w:sz w:val="20"/>
        </w:rPr>
        <w:t xml:space="preserve">. </w:t>
      </w:r>
    </w:p>
    <w:p w:rsidR="00C8425A" w:rsidRPr="00FC2F1B" w:rsidRDefault="00C8425A" w:rsidP="00C8425A">
      <w:pPr>
        <w:pStyle w:val="ListParagrap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Los Principios y Buenas Prácticas sobre la Protección de las Personas Privadas de Libertad en las Américas establecen que la “prolongación y aplicación inadecuada e innecesaria [de medidas de aislamiento] constituiría actos de tortura, o tratos o penas crueles, inhumanos o degradantes”</w:t>
      </w:r>
      <w:r>
        <w:rPr>
          <w:rStyle w:val="FootnoteReference"/>
          <w:rFonts w:ascii="Cambria" w:hAnsi="Cambria"/>
          <w:sz w:val="20"/>
        </w:rPr>
        <w:footnoteReference w:id="150"/>
      </w:r>
      <w:r>
        <w:rPr>
          <w:rFonts w:ascii="Cambria" w:hAnsi="Cambria"/>
          <w:sz w:val="20"/>
        </w:rPr>
        <w:t>. Al respecto, según jurisprudencia interamericana constante, mantener a una persona bajo medidas de aislamiento prolongado o incomunicación constituyen, en sí mismos, formas de trato cruel e inhumano, perjudiciales para su integridad mental y moral, así como incompatibles con derecho de los detenidos a que se respete su dignidad inherente</w:t>
      </w:r>
      <w:r>
        <w:rPr>
          <w:rStyle w:val="FootnoteReference"/>
          <w:rFonts w:ascii="Cambria" w:hAnsi="Cambria"/>
          <w:sz w:val="20"/>
        </w:rPr>
        <w:footnoteReference w:id="151"/>
      </w:r>
      <w:r>
        <w:rPr>
          <w:rFonts w:ascii="Cambria" w:hAnsi="Cambria"/>
          <w:sz w:val="20"/>
        </w:rPr>
        <w:t xml:space="preserve">. </w:t>
      </w:r>
    </w:p>
    <w:p w:rsidR="00C8425A" w:rsidRPr="00FC2F1B" w:rsidRDefault="00C8425A" w:rsidP="00C8425A">
      <w:pPr>
        <w:pStyle w:val="ListParagrap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La CIDH ha enfatizado que inclusive en circunstancias extraordinarias, la detención indefinida de personas, que en su mayoría no han sido acusadas, constituye una violación flagrante del derecho internacional de los derechos humanos y en sí misma constituye una forma de trato cruel, inhumano y degradante. Durante su 147° Período de Sesiones, la CIDH recibió información especializada sobre los daños psicológicos y físicos graves y permanentes generados por el alto nivel de incertidumbre de los detenidos respecto a aspectos básicos de sus vidas, como el no saber si serán o no juzgados; si serán o no liberados, y cuándo; o si volverán a ver a sus familias. Este estado de sufrimiento e incertidumbre permanentes genera graves consecuencias como estrés, miedo, depresión y ansiedad, y afecta también el sistema nervioso central así como los sistemas cardiovasculares e inmunológicos</w:t>
      </w:r>
      <w:r>
        <w:rPr>
          <w:rStyle w:val="FootnoteReference"/>
          <w:rFonts w:ascii="Cambria" w:hAnsi="Cambria"/>
          <w:sz w:val="20"/>
        </w:rPr>
        <w:footnoteReference w:id="152"/>
      </w:r>
      <w:r>
        <w:rPr>
          <w:rFonts w:ascii="Cambria" w:hAnsi="Cambria"/>
          <w:sz w:val="20"/>
        </w:rPr>
        <w:t xml:space="preserve">. El destino del Sr. </w:t>
      </w:r>
      <w:proofErr w:type="spellStart"/>
      <w:r>
        <w:rPr>
          <w:rFonts w:ascii="Cambria" w:hAnsi="Cambria"/>
          <w:sz w:val="20"/>
        </w:rPr>
        <w:t>Latif</w:t>
      </w:r>
      <w:proofErr w:type="spellEnd"/>
      <w:r>
        <w:rPr>
          <w:rFonts w:ascii="Cambria" w:hAnsi="Cambria"/>
          <w:sz w:val="20"/>
        </w:rPr>
        <w:t xml:space="preserve"> es un ejemplo de cómo la detención indefinida, sumada a la aplicación de medidas de aislamiento, puede generar consecuencias devastadoras. </w:t>
      </w:r>
    </w:p>
    <w:p w:rsidR="00C8425A" w:rsidRPr="00FC2F1B" w:rsidRDefault="00C8425A" w:rsidP="00C8425A">
      <w:pPr>
        <w:pStyle w:val="ListParagrap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Con respecto a la religión y los derechos de las personas privadas de libertad, los Principios de la CIDH establecen que los detenidos tendrán derecho a “participar en actividades religiosas y espirituales, y ejercer sus prácticas tradicionales”. Adicionalmente, establecen que los detenidos tendrán derecho a recibir una alimentación que “tome en consideración las cuestiones culturales y religiosas de dichas personas”.</w:t>
      </w:r>
      <w:r>
        <w:rPr>
          <w:rStyle w:val="FootnoteReference"/>
          <w:rFonts w:ascii="Cambria" w:hAnsi="Cambria"/>
          <w:sz w:val="20"/>
        </w:rPr>
        <w:footnoteReference w:id="153"/>
      </w:r>
      <w:r>
        <w:rPr>
          <w:rFonts w:ascii="Cambria" w:hAnsi="Cambria"/>
          <w:sz w:val="20"/>
        </w:rPr>
        <w:t xml:space="preserve">    </w:t>
      </w:r>
    </w:p>
    <w:p w:rsidR="00C8425A" w:rsidRPr="00FC2F1B" w:rsidRDefault="00C8425A" w:rsidP="00C8425A">
      <w:pPr>
        <w:pStyle w:val="ListParagrap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La Comisión Interamericana considera que las condiciones de detención descritas anteriormente constituyen una violación del derecho al trato humano. Más aún, para garantizar que los derechos de los detenidos estén efectivamente protegidos en consonancia con los estándares internacionales de derechos humanos aplicables, el Estado debe asegurar que todas las personas privadas de libertad tengan acceso a recursos judiciales</w:t>
      </w:r>
      <w:r>
        <w:rPr>
          <w:rStyle w:val="FootnoteReference"/>
          <w:rFonts w:ascii="Cambria" w:hAnsi="Cambria"/>
          <w:sz w:val="20"/>
        </w:rPr>
        <w:footnoteReference w:id="154"/>
      </w:r>
      <w:r>
        <w:rPr>
          <w:rFonts w:ascii="Cambria" w:hAnsi="Cambria"/>
          <w:sz w:val="20"/>
        </w:rPr>
        <w:t xml:space="preserve">. La CIDH observa con suma preocupación que no se haya permitido a los detenidos de Guantánamo cuestionar judicialmente ante cortes federales aspecto alguno de sus condiciones de detención, lo que en sí mismo constituye una violación de uno de sus derechos más fundamentales. Esta cuestión, así como algunos desarrollos recientes relacionados, será analizada en el capítulo sobre acceso a la justicia. Adicionalmente, conforme se señala más abajo, la falta de protección jurídica de los detenidos y la angustia que se genera como resultado de la incertidumbre sobre su futuro, ha traído como consecuencia que los detenidos adopten como medida extrema huelgas de hambre para exigir cambios a su situación.  </w:t>
      </w:r>
    </w:p>
    <w:p w:rsidR="00C8425A" w:rsidRPr="00FC2F1B" w:rsidRDefault="00C8425A" w:rsidP="00C8425A">
      <w:pPr>
        <w:jc w:val="both"/>
        <w:rPr>
          <w:rFonts w:ascii="Cambria" w:hAnsi="Cambria"/>
          <w:sz w:val="20"/>
          <w:szCs w:val="20"/>
        </w:rPr>
      </w:pPr>
    </w:p>
    <w:p w:rsidR="00DA4E66" w:rsidRPr="00D544AD" w:rsidRDefault="00C8425A" w:rsidP="00D544AD">
      <w:pPr>
        <w:pStyle w:val="Style3"/>
        <w:rPr>
          <w:rStyle w:val="Strong"/>
          <w:b/>
        </w:rPr>
      </w:pPr>
      <w:bookmarkStart w:id="39" w:name="_Toc423072840"/>
      <w:r w:rsidRPr="00D544AD">
        <w:rPr>
          <w:rStyle w:val="Strong"/>
          <w:b/>
        </w:rPr>
        <w:t>Huelgas de hambre y alimentación forzada</w:t>
      </w:r>
      <w:bookmarkEnd w:id="39"/>
    </w:p>
    <w:p w:rsidR="00C8425A" w:rsidRPr="00FC2F1B" w:rsidRDefault="00C8425A" w:rsidP="00C8425A">
      <w:pPr>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En febrero de 2013 un numeroso grupo de detenidos en la Bahía de Guantánamo inició una huelga de hambre para protestar por su situación de detención indefinida y sus condiciones de detención. Si bien esa huelga de hambre recibió mucha atención pública, han existido huelgas de hambre periódicas a gran escala en el transcurso de estos años. Participar de huelgas de hambre como medida de protesta ha sido una práctica común entre los detenidos de Guantánamo desde los primeros años del Campo X-</w:t>
      </w:r>
      <w:proofErr w:type="spellStart"/>
      <w:r>
        <w:rPr>
          <w:rFonts w:ascii="Cambria" w:hAnsi="Cambria"/>
          <w:sz w:val="20"/>
        </w:rPr>
        <w:t>Ray</w:t>
      </w:r>
      <w:proofErr w:type="spellEnd"/>
      <w:r>
        <w:rPr>
          <w:rFonts w:ascii="Cambria" w:hAnsi="Cambria"/>
          <w:sz w:val="20"/>
        </w:rPr>
        <w:t>. La primera huelga de hambre habría tenido lugar a inicios de febrero de 2002. Un incidente relacionado con un Corán tirado al piso durante el registro de una celda generó una huelga de hambre generalizada que duró aproximadamente una semana. Un oficial militar que estaba en Guantánamo en ese momento recuerda que “algunos de los detenidos estaban tan débiles que no podían moverse y cada hora más o menos  […] yo trataba de obtener una respuesta de ellos ya que algunos estaban tan débiles que parecía que habían muerto”</w:t>
      </w:r>
      <w:r>
        <w:rPr>
          <w:rStyle w:val="FootnoteReference"/>
          <w:rFonts w:ascii="Cambria" w:hAnsi="Cambria"/>
          <w:sz w:val="20"/>
        </w:rPr>
        <w:footnoteReference w:id="155"/>
      </w:r>
      <w:r>
        <w:rPr>
          <w:rFonts w:ascii="Cambria" w:hAnsi="Cambria"/>
          <w:sz w:val="20"/>
        </w:rPr>
        <w:t xml:space="preserve">.     </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Una serie de huelgas de hambre, que habrían involucrado entre 150 y 200 detenidos (más de un tercio del campo) tuvieron lugar en 2005. Los prisioneros protestaron contra su detención indefinida y sus condiciones de detención, en particular </w:t>
      </w:r>
      <w:r>
        <w:rPr>
          <w:rFonts w:ascii="Cambria" w:hAnsi="Cambria"/>
          <w:sz w:val="20"/>
        </w:rPr>
        <w:lastRenderedPageBreak/>
        <w:t>respecto de algunos incidentes relacionados con el Corán y el supuesto abuso de un prisionero cuando retornó a su celda luego de una sesión de interrogatorio</w:t>
      </w:r>
      <w:r>
        <w:rPr>
          <w:rStyle w:val="FootnoteReference"/>
          <w:rFonts w:ascii="Cambria" w:hAnsi="Cambria"/>
          <w:sz w:val="20"/>
        </w:rPr>
        <w:footnoteReference w:id="156"/>
      </w:r>
      <w:r>
        <w:rPr>
          <w:rFonts w:ascii="Cambria" w:hAnsi="Cambria"/>
          <w:sz w:val="20"/>
        </w:rPr>
        <w:t xml:space="preserve">.  </w:t>
      </w:r>
      <w:proofErr w:type="spellStart"/>
      <w:r>
        <w:rPr>
          <w:rFonts w:ascii="Cambria" w:hAnsi="Cambria"/>
          <w:sz w:val="20"/>
        </w:rPr>
        <w:t>Tariq</w:t>
      </w:r>
      <w:proofErr w:type="spellEnd"/>
      <w:r>
        <w:rPr>
          <w:rFonts w:ascii="Cambria" w:hAnsi="Cambria"/>
          <w:sz w:val="20"/>
        </w:rPr>
        <w:t xml:space="preserve"> Ba </w:t>
      </w:r>
      <w:proofErr w:type="spellStart"/>
      <w:r>
        <w:rPr>
          <w:rFonts w:ascii="Cambria" w:hAnsi="Cambria"/>
          <w:sz w:val="20"/>
        </w:rPr>
        <w:t>Odah</w:t>
      </w:r>
      <w:proofErr w:type="spellEnd"/>
      <w:r>
        <w:rPr>
          <w:rFonts w:ascii="Cambria" w:hAnsi="Cambria"/>
          <w:sz w:val="20"/>
        </w:rPr>
        <w:t xml:space="preserve">, un ciudadano de Yemen detenido en Guantánamo desde febrero de 2002, fue uno de los detenidos que participó de la huelga de hambre. Desde febrero de 2007 ha estado en huelga de hambre interrumpida, no ha ingerido comida, agua o líquido alguno por su boca y, según su abogado defensor, está sometido a alimentación forzada todos los días. En algún punto habría pesado 78 libras (35 kg.). Debido a la huelga de hambre, se alega que se lo mantiene bajo medida de aislamiento y virtualmente no tiene contacto humano. El señor Ba </w:t>
      </w:r>
      <w:proofErr w:type="spellStart"/>
      <w:r>
        <w:rPr>
          <w:rFonts w:ascii="Cambria" w:hAnsi="Cambria"/>
          <w:sz w:val="20"/>
        </w:rPr>
        <w:t>Odah</w:t>
      </w:r>
      <w:proofErr w:type="spellEnd"/>
      <w:r>
        <w:rPr>
          <w:rFonts w:ascii="Cambria" w:hAnsi="Cambria"/>
          <w:sz w:val="20"/>
        </w:rPr>
        <w:t xml:space="preserve"> fue detenido por autoridades locales en Paquistán cuando tenía 23 años y habría sido vendido a Estados Unidos a cambio de una recompensa. Su traslado está autorizado desde 2009 pero hasta la fecha continúa privado de libertad debido a las restricciones de traslados hacia Yemen</w:t>
      </w:r>
      <w:r>
        <w:rPr>
          <w:rStyle w:val="FootnoteReference"/>
          <w:rFonts w:ascii="Cambria" w:hAnsi="Cambria"/>
          <w:sz w:val="20"/>
        </w:rPr>
        <w:footnoteReference w:id="157"/>
      </w:r>
      <w:r>
        <w:rPr>
          <w:rFonts w:ascii="Cambria" w:hAnsi="Cambria"/>
          <w:sz w:val="20"/>
        </w:rPr>
        <w:t>.</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La huelga de hambre que comenzó en febrero de 2013 tiene muchas diferencias cualitativas respecto de aquellas que tuvieron lugar en el pasado, principalmente con respecto a las cifras. Según el Gobierno, en el pico de la huelga de hambre el número de detenidos que participó alcanzó 106 (120-230 según organizaciones de la sociedad civil) lo que representaba cerca del 70% de la población total en ese momento, incluyendo casi todos los detenidos que permanecían en los Campos 5 y 6. Esta huelga de hambre tuvo lugar luego de un período de casi dos años durante los cuales había disminuido la atención pública respecto de la situación en Guantánamo. El gobierno de Estados Unidos había cerrado la oficina del Enviado Especial para el Cierre de Guantánamo; los traslados habían cesado, en parte debido a las restricciones impuestas por el Congreso estadounidense; y las cortes federales, particularmente la Corte del Circuito de D.C., habían fallado en contra de los detenidos en la gran mayoría de casos. Según representantes de los detenidos, esta huelga de hambre surgió ante una fuerte percepción entre los detenidos de que estaban en un callejón sin salida.</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Por otra parte, según abogados defensores, desde fines de enero de 2013 los funcionarios de la prisión estaban registrando las celdas de los detenidos de manera punitiva, confiscando artículos personales, colchones para dormir, fotos y recuerdos familiares, </w:t>
      </w:r>
      <w:proofErr w:type="spellStart"/>
      <w:r>
        <w:rPr>
          <w:rFonts w:ascii="Cambria" w:hAnsi="Cambria"/>
          <w:sz w:val="20"/>
        </w:rPr>
        <w:t>CDs</w:t>
      </w:r>
      <w:proofErr w:type="spellEnd"/>
      <w:r>
        <w:rPr>
          <w:rFonts w:ascii="Cambria" w:hAnsi="Cambria"/>
          <w:sz w:val="20"/>
        </w:rPr>
        <w:t xml:space="preserve"> religiosos y cartas, incluyendo correo de sus abogados. Adicionalmente, varios detenidos habían informado “que lo que finalmente desencadenó la huelga de hambre fue la decisión de los funcionarios de la prisión de registrar las páginas y los encuadernados de los </w:t>
      </w:r>
      <w:proofErr w:type="spellStart"/>
      <w:r>
        <w:rPr>
          <w:rFonts w:ascii="Cambria" w:hAnsi="Cambria"/>
          <w:sz w:val="20"/>
        </w:rPr>
        <w:t>Coranes</w:t>
      </w:r>
      <w:proofErr w:type="spellEnd"/>
      <w:r>
        <w:rPr>
          <w:rFonts w:ascii="Cambria" w:hAnsi="Cambria"/>
          <w:sz w:val="20"/>
        </w:rPr>
        <w:t xml:space="preserve"> de los detenidos en formas que constituyen profanación de acuerdo con sus creencias religiosas, así como también que los guardas habían sido irrespetuosos durante los horarios de </w:t>
      </w:r>
      <w:r>
        <w:rPr>
          <w:rFonts w:ascii="Cambria" w:hAnsi="Cambria"/>
          <w:sz w:val="20"/>
        </w:rPr>
        <w:lastRenderedPageBreak/>
        <w:t>oración”</w:t>
      </w:r>
      <w:r>
        <w:rPr>
          <w:rStyle w:val="FootnoteReference"/>
          <w:rFonts w:ascii="Cambria" w:hAnsi="Cambria"/>
          <w:sz w:val="20"/>
        </w:rPr>
        <w:footnoteReference w:id="158"/>
      </w:r>
      <w:r>
        <w:rPr>
          <w:rFonts w:ascii="Cambria" w:hAnsi="Cambria"/>
          <w:sz w:val="20"/>
        </w:rPr>
        <w:t>. Estados Unidos considera, sin embargo, que esto constituyó un acto organizado de guerra asimétrica</w:t>
      </w:r>
      <w:r>
        <w:rPr>
          <w:rStyle w:val="FootnoteReference"/>
          <w:rFonts w:ascii="Cambria" w:hAnsi="Cambria"/>
          <w:sz w:val="20"/>
        </w:rPr>
        <w:footnoteReference w:id="159"/>
      </w:r>
      <w:r>
        <w:rPr>
          <w:rFonts w:ascii="Cambria" w:hAnsi="Cambria"/>
          <w:sz w:val="20"/>
        </w:rPr>
        <w:t xml:space="preserve">.  </w:t>
      </w:r>
    </w:p>
    <w:p w:rsidR="000C2C94" w:rsidRDefault="000C2C94" w:rsidP="00C8425A">
      <w:pPr>
        <w:pStyle w:val="ListParagrap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Según información proporcionada por el Gobierno de Estados Unidos, el 13 de abril de 2013 el comandante de la JTF-GTMO ordenó la transición de los detenidos de instalaciones comunales a celdas individuales en el Campo 6. Se informa que esto se habría realizado “para garantizar la salud, seguridad, orden y protección de los detenidos, lo que requiere un monitoreo permanente, en respuesta a los esfuerzos de los detenidos por recubrir cámaras, ventanas y divisiones de cristal con el fin de limitar la facultad de la fuerza de guardia de observar a los detenidos”. El gobierno asegura que la gran mayoría de detenidos cumple con las instrucciones de los guardias, pero algunos detenidos se resisten con armas improvisadas y, en respuesta, cuatro rondas no letales fueron disparadas. No habría habido heridas graves a guardias o detenidos</w:t>
      </w:r>
      <w:r>
        <w:rPr>
          <w:rStyle w:val="FootnoteReference"/>
          <w:rFonts w:ascii="Cambria" w:hAnsi="Cambria"/>
          <w:sz w:val="20"/>
        </w:rPr>
        <w:footnoteReference w:id="160"/>
      </w:r>
      <w:r>
        <w:rPr>
          <w:rFonts w:ascii="Cambria" w:hAnsi="Cambria"/>
          <w:sz w:val="20"/>
        </w:rPr>
        <w:t>.</w:t>
      </w:r>
    </w:p>
    <w:p w:rsidR="00156DB9" w:rsidRPr="00FC2F1B" w:rsidRDefault="00156DB9" w:rsidP="00C8425A">
      <w:pPr>
        <w:pStyle w:val="ListParagrap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No obstante, la perspectiva de los abogados defensores difiere de la del gobierno. Ellos indican que la respuesta a la huelga de hambre fue abrupta y severa y que en los Campos 5 y 6 se realizó una redada por parte de los militares encaminada a recuperar el control de la huelga de hambre. Como resultado, todos los detenidos en esos campos, casi tres cuartos de la población detenida en Guantánamo, habrían sido sometidos a medidas de aislamiento en celdas individuales sin contacto humano por 22 a 24 horas al día, y se los habría alimentado forzadamente. Asimismo, todas sus pertenencias, incluyendo materiales legales y no legales, habrían sido registradas</w:t>
      </w:r>
      <w:r>
        <w:rPr>
          <w:rStyle w:val="FootnoteReference"/>
          <w:rFonts w:ascii="Cambria" w:hAnsi="Cambria"/>
          <w:sz w:val="20"/>
        </w:rPr>
        <w:footnoteReference w:id="161"/>
      </w:r>
      <w:r>
        <w:rPr>
          <w:rFonts w:ascii="Cambria" w:hAnsi="Cambria"/>
          <w:sz w:val="20"/>
        </w:rPr>
        <w:t>. Los militares habrían reinstituido una política de registros genitales en todo momento en que un detenido salía del campo, de forma tal que si un detenido iba a hacer una llamada, reunirse con el CICR o con su abogado, tenía que someterse a un registro genital. Esto, según los abogados defensores, constituyó una forma de discriminación religiosa y humillación en perjuicio de los detenidos</w:t>
      </w:r>
      <w:r>
        <w:rPr>
          <w:rStyle w:val="FootnoteReference"/>
          <w:rFonts w:ascii="Cambria" w:hAnsi="Cambria"/>
          <w:sz w:val="20"/>
        </w:rPr>
        <w:footnoteReference w:id="162"/>
      </w:r>
      <w:r>
        <w:rPr>
          <w:rFonts w:ascii="Cambria" w:hAnsi="Cambria"/>
          <w:sz w:val="20"/>
        </w:rPr>
        <w:t xml:space="preserve">.  </w:t>
      </w:r>
    </w:p>
    <w:p w:rsidR="00C8425A" w:rsidRPr="00FC2F1B" w:rsidRDefault="00C8425A" w:rsidP="00C8425A">
      <w:pPr>
        <w:pStyle w:val="ListParagraph"/>
        <w:rPr>
          <w:rFonts w:ascii="Cambria" w:hAnsi="Cambria"/>
          <w:sz w:val="20"/>
          <w:szCs w:val="20"/>
        </w:rPr>
      </w:pPr>
    </w:p>
    <w:p w:rsidR="00C8425A" w:rsidRPr="002E2C5C" w:rsidRDefault="00C8425A" w:rsidP="00724CD2">
      <w:pPr>
        <w:numPr>
          <w:ilvl w:val="0"/>
          <w:numId w:val="5"/>
        </w:numPr>
        <w:ind w:left="547" w:hanging="547"/>
        <w:jc w:val="both"/>
        <w:rPr>
          <w:rFonts w:ascii="Cambria" w:hAnsi="Cambria"/>
          <w:sz w:val="20"/>
          <w:szCs w:val="20"/>
        </w:rPr>
      </w:pPr>
      <w:r>
        <w:rPr>
          <w:rFonts w:ascii="Cambria" w:hAnsi="Cambria"/>
          <w:sz w:val="20"/>
        </w:rPr>
        <w:t xml:space="preserve">La información disponible señala que cerca de 45 detenidos fueron alimentados forzadamente durante la huelga de hambre de 2013. Según el gobierno de Estados Unidos, el Departamento de Defensa apoya “la preservación de la vida a través de medios clínicos apropiados, de forma humana, y de conformidad con todas las normas y políticas aplicables”. Con respecto a la alimentación forzada, el gobierno de Estados Unidos informó a la CIDH que la enorme mayoría de detenidos cooperó durante todo </w:t>
      </w:r>
      <w:r w:rsidRPr="002E2C5C">
        <w:rPr>
          <w:rFonts w:ascii="Cambria" w:hAnsi="Cambria"/>
          <w:sz w:val="20"/>
        </w:rPr>
        <w:t xml:space="preserve">el procedimiento; que algunos individuos sometidos a alimentación forzada también consumieron porciones de sus comidas diarias; y que siempre se </w:t>
      </w:r>
      <w:r w:rsidRPr="002E2C5C">
        <w:rPr>
          <w:rFonts w:ascii="Cambria" w:hAnsi="Cambria"/>
          <w:sz w:val="20"/>
        </w:rPr>
        <w:lastRenderedPageBreak/>
        <w:t>ofreció a los detenidos la opción de comida sólida o suplementaria”</w:t>
      </w:r>
      <w:r w:rsidRPr="002E2C5C">
        <w:rPr>
          <w:rStyle w:val="FootnoteReference"/>
          <w:rFonts w:ascii="Cambria" w:hAnsi="Cambria"/>
          <w:sz w:val="20"/>
        </w:rPr>
        <w:footnoteReference w:id="163"/>
      </w:r>
      <w:r w:rsidRPr="002E2C5C">
        <w:rPr>
          <w:rFonts w:ascii="Cambria" w:hAnsi="Cambria"/>
          <w:sz w:val="20"/>
        </w:rPr>
        <w:t>. En su respuesta a este informe, el Gobiern</w:t>
      </w:r>
      <w:r w:rsidR="00226B99" w:rsidRPr="002E2C5C">
        <w:rPr>
          <w:rFonts w:ascii="Cambria" w:hAnsi="Cambria"/>
          <w:sz w:val="20"/>
        </w:rPr>
        <w:t>o de Estados Unidos señaló que “</w:t>
      </w:r>
      <w:r w:rsidRPr="002E2C5C">
        <w:rPr>
          <w:rFonts w:ascii="Cambria" w:hAnsi="Cambria"/>
          <w:sz w:val="20"/>
        </w:rPr>
        <w:t>la alimentación involuntaria se utiliza solo como</w:t>
      </w:r>
      <w:r w:rsidR="00240C42" w:rsidRPr="002E2C5C">
        <w:rPr>
          <w:rFonts w:ascii="Cambria" w:hAnsi="Cambria"/>
          <w:sz w:val="20"/>
        </w:rPr>
        <w:t xml:space="preserve"> último recurso, si es necesaria</w:t>
      </w:r>
      <w:r w:rsidRPr="002E2C5C">
        <w:rPr>
          <w:rFonts w:ascii="Cambria" w:hAnsi="Cambria"/>
          <w:sz w:val="20"/>
        </w:rPr>
        <w:t xml:space="preserve"> para </w:t>
      </w:r>
      <w:r w:rsidR="00107953" w:rsidRPr="002E2C5C">
        <w:rPr>
          <w:rFonts w:ascii="Cambria" w:hAnsi="Cambria"/>
          <w:sz w:val="20"/>
        </w:rPr>
        <w:t>a</w:t>
      </w:r>
      <w:r w:rsidRPr="002E2C5C">
        <w:rPr>
          <w:rFonts w:ascii="Cambria" w:hAnsi="Cambria"/>
          <w:sz w:val="20"/>
        </w:rPr>
        <w:t>tender problemas de salud serios provocados po</w:t>
      </w:r>
      <w:r w:rsidR="00226B99" w:rsidRPr="002E2C5C">
        <w:rPr>
          <w:rFonts w:ascii="Cambria" w:hAnsi="Cambria"/>
          <w:sz w:val="20"/>
        </w:rPr>
        <w:t>r desnutrición o deshidratación”</w:t>
      </w:r>
      <w:r w:rsidRPr="002E2C5C">
        <w:rPr>
          <w:rStyle w:val="FootnoteReference"/>
          <w:rFonts w:ascii="Cambria" w:hAnsi="Cambria"/>
          <w:sz w:val="20"/>
        </w:rPr>
        <w:footnoteReference w:id="164"/>
      </w:r>
      <w:r w:rsidR="00226B99" w:rsidRPr="002E2C5C">
        <w:rPr>
          <w:rFonts w:ascii="Cambria" w:hAnsi="Cambria"/>
          <w:sz w:val="20"/>
        </w:rPr>
        <w:t>.</w:t>
      </w:r>
      <w:r w:rsidRPr="002E2C5C">
        <w:rPr>
          <w:rFonts w:ascii="Cambria" w:hAnsi="Cambria"/>
          <w:sz w:val="20"/>
        </w:rPr>
        <w:t xml:space="preserve">  </w:t>
      </w:r>
    </w:p>
    <w:p w:rsidR="000C2C94" w:rsidRPr="00DB24DC" w:rsidRDefault="000C2C94" w:rsidP="00DB24DC">
      <w:pPr>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Según el estándar revisado de los procedimientos vigentes para prisioneros en huelga de hambre en Guantánamo de 5 de marzo de 2013, las decisiones de alimentación forzada a los detenidos deben ser aprobadas por el comandante de la JTF-GTMO, quien a su vez debe notificarla a su cadena de comando hasta el Departamento de Defensa. Asimismo, según estos procedimientos, “en caso de huelga de hambre masiva, resulta vital aislar a los pacientes en huelga de hambre para impedir que logren solidaridad”</w:t>
      </w:r>
      <w:r>
        <w:rPr>
          <w:rStyle w:val="FootnoteReference"/>
          <w:rFonts w:ascii="Cambria" w:hAnsi="Cambria"/>
          <w:sz w:val="20"/>
        </w:rPr>
        <w:footnoteReference w:id="165"/>
      </w:r>
      <w:r>
        <w:rPr>
          <w:rFonts w:ascii="Cambria" w:hAnsi="Cambria"/>
          <w:sz w:val="20"/>
        </w:rPr>
        <w:t xml:space="preserve">. La alimentación forzada, que en algunos casos puede requerir restricciones de movimiento, se lleva a cabo a través de la inserción de tubos nasogástricos al estómago del paciente. El detenido podría quedarse en una silla que restrinja su movimiento por hasta dos horas.  </w:t>
      </w:r>
    </w:p>
    <w:p w:rsidR="00C8425A" w:rsidRPr="00FC2F1B" w:rsidRDefault="00C8425A" w:rsidP="00C8425A">
      <w:pPr>
        <w:pStyle w:val="ListParagrap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En el marco de una audiencia pública ante la CIDH, Omar </w:t>
      </w:r>
      <w:proofErr w:type="spellStart"/>
      <w:r>
        <w:rPr>
          <w:rFonts w:ascii="Cambria" w:hAnsi="Cambria"/>
          <w:sz w:val="20"/>
        </w:rPr>
        <w:t>Farah</w:t>
      </w:r>
      <w:proofErr w:type="spellEnd"/>
      <w:r>
        <w:rPr>
          <w:rFonts w:ascii="Cambria" w:hAnsi="Cambria"/>
          <w:sz w:val="20"/>
        </w:rPr>
        <w:t xml:space="preserve">, abogado del Center </w:t>
      </w:r>
      <w:proofErr w:type="spellStart"/>
      <w:r>
        <w:rPr>
          <w:rFonts w:ascii="Cambria" w:hAnsi="Cambria"/>
          <w:sz w:val="20"/>
        </w:rPr>
        <w:t>for</w:t>
      </w:r>
      <w:proofErr w:type="spellEnd"/>
      <w:r>
        <w:rPr>
          <w:rFonts w:ascii="Cambria" w:hAnsi="Cambria"/>
          <w:sz w:val="20"/>
        </w:rPr>
        <w:t xml:space="preserve"> </w:t>
      </w:r>
      <w:proofErr w:type="spellStart"/>
      <w:r>
        <w:rPr>
          <w:rFonts w:ascii="Cambria" w:hAnsi="Cambria"/>
          <w:sz w:val="20"/>
        </w:rPr>
        <w:t>Constitutional</w:t>
      </w:r>
      <w:proofErr w:type="spellEnd"/>
      <w:r>
        <w:rPr>
          <w:rFonts w:ascii="Cambria" w:hAnsi="Cambria"/>
          <w:sz w:val="20"/>
        </w:rPr>
        <w:t xml:space="preserve"> </w:t>
      </w:r>
      <w:proofErr w:type="spellStart"/>
      <w:r>
        <w:rPr>
          <w:rFonts w:ascii="Cambria" w:hAnsi="Cambria"/>
          <w:sz w:val="20"/>
        </w:rPr>
        <w:t>Rights</w:t>
      </w:r>
      <w:proofErr w:type="spellEnd"/>
      <w:r>
        <w:rPr>
          <w:rFonts w:ascii="Cambria" w:hAnsi="Cambria"/>
          <w:sz w:val="20"/>
        </w:rPr>
        <w:t xml:space="preserve"> que representa al detenido </w:t>
      </w:r>
      <w:proofErr w:type="spellStart"/>
      <w:r>
        <w:rPr>
          <w:rFonts w:ascii="Cambria" w:hAnsi="Cambria"/>
          <w:sz w:val="20"/>
        </w:rPr>
        <w:t>Tariq</w:t>
      </w:r>
      <w:proofErr w:type="spellEnd"/>
      <w:r>
        <w:rPr>
          <w:rFonts w:ascii="Cambria" w:hAnsi="Cambria"/>
          <w:sz w:val="20"/>
        </w:rPr>
        <w:t xml:space="preserve"> Ba </w:t>
      </w:r>
      <w:proofErr w:type="spellStart"/>
      <w:r>
        <w:rPr>
          <w:rFonts w:ascii="Cambria" w:hAnsi="Cambria"/>
          <w:sz w:val="20"/>
        </w:rPr>
        <w:t>Odah</w:t>
      </w:r>
      <w:proofErr w:type="spellEnd"/>
      <w:r>
        <w:rPr>
          <w:rFonts w:ascii="Cambria" w:hAnsi="Cambria"/>
          <w:sz w:val="20"/>
        </w:rPr>
        <w:t xml:space="preserve">, señaló que “en este momento, es probable que él esté siendo removido de su celda, amarrado a una silla, y se esté insertando un tubo de goma en su nariz para bombear suplementos dietéticos líquidos hasta su estómago. </w:t>
      </w:r>
      <w:proofErr w:type="spellStart"/>
      <w:r>
        <w:rPr>
          <w:rFonts w:ascii="Cambria" w:hAnsi="Cambria"/>
          <w:sz w:val="20"/>
        </w:rPr>
        <w:t>Tariq</w:t>
      </w:r>
      <w:proofErr w:type="spellEnd"/>
      <w:r>
        <w:rPr>
          <w:rFonts w:ascii="Cambria" w:hAnsi="Cambria"/>
          <w:sz w:val="20"/>
        </w:rPr>
        <w:t xml:space="preserve"> dice que esta es la única forma a través de la cual puede comunicar a aquellos de nosotros que tenemos libertad, lo que significa estar detenido injustamente y permanecer en una celda por una década sin cargo alguno”</w:t>
      </w:r>
      <w:r>
        <w:rPr>
          <w:rStyle w:val="FootnoteReference"/>
          <w:rFonts w:ascii="Cambria" w:hAnsi="Cambria"/>
          <w:sz w:val="20"/>
        </w:rPr>
        <w:footnoteReference w:id="166"/>
      </w:r>
      <w:r>
        <w:rPr>
          <w:rFonts w:ascii="Cambria" w:hAnsi="Cambria"/>
          <w:sz w:val="20"/>
        </w:rPr>
        <w:t xml:space="preserve">. La alimentación forzada es considerada un procedimiento muy doloroso, particularmente cuando no es voluntario. </w:t>
      </w:r>
      <w:proofErr w:type="spellStart"/>
      <w:r>
        <w:rPr>
          <w:rFonts w:ascii="Cambria" w:hAnsi="Cambria"/>
          <w:sz w:val="20"/>
        </w:rPr>
        <w:t>Adnan</w:t>
      </w:r>
      <w:proofErr w:type="spellEnd"/>
      <w:r>
        <w:rPr>
          <w:rFonts w:ascii="Cambria" w:hAnsi="Cambria"/>
          <w:sz w:val="20"/>
        </w:rPr>
        <w:t xml:space="preserve"> </w:t>
      </w:r>
      <w:proofErr w:type="spellStart"/>
      <w:r>
        <w:rPr>
          <w:rFonts w:ascii="Cambria" w:hAnsi="Cambria"/>
          <w:sz w:val="20"/>
        </w:rPr>
        <w:t>Farhan</w:t>
      </w:r>
      <w:proofErr w:type="spellEnd"/>
      <w:r>
        <w:rPr>
          <w:rFonts w:ascii="Cambria" w:hAnsi="Cambria"/>
          <w:sz w:val="20"/>
        </w:rPr>
        <w:t xml:space="preserve"> Abdul </w:t>
      </w:r>
      <w:proofErr w:type="spellStart"/>
      <w:r>
        <w:rPr>
          <w:rFonts w:ascii="Cambria" w:hAnsi="Cambria"/>
          <w:sz w:val="20"/>
        </w:rPr>
        <w:t>Latif</w:t>
      </w:r>
      <w:proofErr w:type="spellEnd"/>
      <w:r>
        <w:rPr>
          <w:rFonts w:ascii="Cambria" w:hAnsi="Cambria"/>
          <w:sz w:val="20"/>
        </w:rPr>
        <w:t>, que estuvo en huelga de hambre durante varios meses en 2006-2007, describió la alimentación forzada como “que te metan una daga por la garganta”</w:t>
      </w:r>
      <w:r>
        <w:rPr>
          <w:rStyle w:val="FootnoteReference"/>
          <w:rFonts w:ascii="Cambria" w:hAnsi="Cambria"/>
          <w:sz w:val="20"/>
        </w:rPr>
        <w:footnoteReference w:id="167"/>
      </w:r>
      <w:r>
        <w:rPr>
          <w:rFonts w:ascii="Cambria" w:hAnsi="Cambria"/>
          <w:sz w:val="20"/>
        </w:rPr>
        <w:t>.</w:t>
      </w:r>
    </w:p>
    <w:p w:rsidR="00C8425A" w:rsidRPr="00FC2F1B" w:rsidRDefault="00C8425A" w:rsidP="00C8425A">
      <w:pPr>
        <w:pStyle w:val="ListParagrap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La Comisión Interamericana observa que las huelgas de hambre son una forma de protesta común. La gran mayoría de detenidos que realizó huelga de hambre en Guantánamo estaba protestando por su situación de detención indefinida y sus condiciones de detención. Realizar una determinación generalizada de que todos los individuos en huelga de hambre tienen intenciones suicidas y por tanto debe forzarse su alimentación es incompatible con los requisitos de la ética médica. El Estado tiene la obligación de realizar una evaluación individualizada para </w:t>
      </w:r>
      <w:r>
        <w:rPr>
          <w:rFonts w:ascii="Cambria" w:hAnsi="Cambria"/>
          <w:sz w:val="20"/>
        </w:rPr>
        <w:lastRenderedPageBreak/>
        <w:t xml:space="preserve">determinar si el detenido específico en verdad se encuentra en capacidad de formarse un juicio con respecto a las consecuencias físicas de rechazar la comida. Si la persona comprende esas consecuencias, su derecho a rechazar la comida debe ser respetado en cumplimiento de la ética médica como del derecho internacional. Según el Dr. </w:t>
      </w:r>
      <w:proofErr w:type="spellStart"/>
      <w:r>
        <w:rPr>
          <w:rFonts w:ascii="Cambria" w:hAnsi="Cambria"/>
          <w:sz w:val="20"/>
        </w:rPr>
        <w:t>Xenakis</w:t>
      </w:r>
      <w:proofErr w:type="spellEnd"/>
      <w:r>
        <w:rPr>
          <w:rFonts w:ascii="Cambria" w:hAnsi="Cambria"/>
          <w:sz w:val="20"/>
        </w:rPr>
        <w:t>, es necesario mantener conversaciones de manera frontal, con base en un consentimiento pleno e informado, respecto de la terminación de la vida, la voluntad del detenido y la manera de tomar decisiones sobre su vida, si esta estuviera en peligro. No obstante, según algunos expertos, esto no ocurrió durante la huelga de hambre de 2013. Lo que habría tenido lugar fueron conversaciones mucho más abreviadas con respecto a la comprensión de los detenidos sobre lo que ocurriría, conversaciones que se alega estaban comprometidas por la falta de confianza entre los doctores y los detenidos</w:t>
      </w:r>
      <w:r>
        <w:rPr>
          <w:rStyle w:val="FootnoteReference"/>
          <w:rFonts w:ascii="Cambria" w:hAnsi="Cambria"/>
          <w:sz w:val="20"/>
        </w:rPr>
        <w:footnoteReference w:id="168"/>
      </w:r>
      <w:r>
        <w:rPr>
          <w:rFonts w:ascii="Cambria" w:hAnsi="Cambria"/>
          <w:sz w:val="20"/>
        </w:rPr>
        <w:t xml:space="preserve">. </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La alimentación forzada que se ha estado llevando a cabo en Guantánamo está considerada ampliamente como violatoria de la ética médica y el derecho internacional, prohíbe tratos crueles, degradantes y humillantes. En una opinión emitida el 8 de julio de 2013, la Jueza Distrital estadounidense Gladys </w:t>
      </w:r>
      <w:proofErr w:type="spellStart"/>
      <w:r>
        <w:rPr>
          <w:rFonts w:ascii="Cambria" w:hAnsi="Cambria"/>
          <w:sz w:val="20"/>
        </w:rPr>
        <w:t>Kessler</w:t>
      </w:r>
      <w:proofErr w:type="spellEnd"/>
      <w:r>
        <w:rPr>
          <w:rFonts w:ascii="Cambria" w:hAnsi="Cambria"/>
          <w:sz w:val="20"/>
        </w:rPr>
        <w:t xml:space="preserve"> rechazó una solicitud presentada por </w:t>
      </w:r>
      <w:proofErr w:type="spellStart"/>
      <w:r>
        <w:rPr>
          <w:rFonts w:ascii="Cambria" w:hAnsi="Cambria"/>
          <w:sz w:val="20"/>
        </w:rPr>
        <w:t>Jihad</w:t>
      </w:r>
      <w:proofErr w:type="spellEnd"/>
      <w:r>
        <w:rPr>
          <w:rFonts w:ascii="Cambria" w:hAnsi="Cambria"/>
          <w:sz w:val="20"/>
        </w:rPr>
        <w:t xml:space="preserve"> </w:t>
      </w:r>
      <w:proofErr w:type="spellStart"/>
      <w:r>
        <w:rPr>
          <w:rFonts w:ascii="Cambria" w:hAnsi="Cambria"/>
          <w:sz w:val="20"/>
        </w:rPr>
        <w:t>Dhiab</w:t>
      </w:r>
      <w:proofErr w:type="spellEnd"/>
      <w:r>
        <w:rPr>
          <w:rFonts w:ascii="Cambria" w:hAnsi="Cambria"/>
          <w:sz w:val="20"/>
        </w:rPr>
        <w:t xml:space="preserve"> para que se detenga su alimentación forzada. La decisión se basó en la falta de jurisdicción para decidir sobre las condiciones de detención en Guantánamo. No obstante, la Jueza </w:t>
      </w:r>
      <w:proofErr w:type="spellStart"/>
      <w:r>
        <w:rPr>
          <w:rFonts w:ascii="Cambria" w:hAnsi="Cambria"/>
          <w:sz w:val="20"/>
        </w:rPr>
        <w:t>Kessler</w:t>
      </w:r>
      <w:proofErr w:type="spellEnd"/>
      <w:r>
        <w:rPr>
          <w:rFonts w:ascii="Cambria" w:hAnsi="Cambria"/>
          <w:sz w:val="20"/>
        </w:rPr>
        <w:t xml:space="preserve"> afirmó que “la alimentación forzada constituye un proceso doloroso, humillante y degradante” y señaló que el Presidente Obama tiene la facultad de resolver directamente esta situación</w:t>
      </w:r>
      <w:r>
        <w:rPr>
          <w:rStyle w:val="FootnoteReference"/>
          <w:rFonts w:ascii="Cambria" w:hAnsi="Cambria"/>
          <w:sz w:val="20"/>
        </w:rPr>
        <w:footnoteReference w:id="169"/>
      </w:r>
      <w:r>
        <w:rPr>
          <w:rFonts w:ascii="Cambria" w:hAnsi="Cambria"/>
          <w:sz w:val="20"/>
        </w:rPr>
        <w:t xml:space="preserve">. El 16 de mayo de 2014, la misma jueza federal ordenó al gobierno estadounidense la suspensión temporal de la alimentación forzada de Mohammed Abu </w:t>
      </w:r>
      <w:proofErr w:type="spellStart"/>
      <w:r>
        <w:rPr>
          <w:rFonts w:ascii="Cambria" w:hAnsi="Cambria"/>
          <w:sz w:val="20"/>
        </w:rPr>
        <w:t>Wa’el</w:t>
      </w:r>
      <w:proofErr w:type="spellEnd"/>
      <w:r>
        <w:rPr>
          <w:rFonts w:ascii="Cambria" w:hAnsi="Cambria"/>
          <w:sz w:val="20"/>
        </w:rPr>
        <w:t xml:space="preserve"> </w:t>
      </w:r>
      <w:proofErr w:type="spellStart"/>
      <w:r>
        <w:rPr>
          <w:rFonts w:ascii="Cambria" w:hAnsi="Cambria"/>
          <w:sz w:val="20"/>
        </w:rPr>
        <w:t>Dhiab</w:t>
      </w:r>
      <w:proofErr w:type="spellEnd"/>
      <w:r>
        <w:rPr>
          <w:rFonts w:ascii="Cambria" w:hAnsi="Cambria"/>
          <w:sz w:val="20"/>
        </w:rPr>
        <w:t>, así como la preservación de todas las cintas de video sobre las alimentaciones forzadas y las extracciones forzosas del detenido fuera de su celda</w:t>
      </w:r>
      <w:r>
        <w:rPr>
          <w:rStyle w:val="FootnoteReference"/>
          <w:rFonts w:ascii="Cambria" w:hAnsi="Cambria"/>
          <w:sz w:val="20"/>
        </w:rPr>
        <w:footnoteReference w:id="170"/>
      </w:r>
      <w:r>
        <w:rPr>
          <w:rFonts w:ascii="Cambria" w:hAnsi="Cambria"/>
          <w:sz w:val="20"/>
        </w:rPr>
        <w:t xml:space="preserve">.  Esta fue la primera vez que una suspensión de este tipo fue ordenada por un juez federal. No obstante, el 22 de mayo de 2014 se levantó la prohibición temporal. La jueza habría señalado que, ante la probabilidad muy cierta de que el Sr. </w:t>
      </w:r>
      <w:proofErr w:type="spellStart"/>
      <w:r>
        <w:rPr>
          <w:rFonts w:ascii="Cambria" w:hAnsi="Cambria"/>
          <w:sz w:val="20"/>
        </w:rPr>
        <w:t>Dhiab</w:t>
      </w:r>
      <w:proofErr w:type="spellEnd"/>
      <w:r>
        <w:rPr>
          <w:rFonts w:ascii="Cambria" w:hAnsi="Cambria"/>
          <w:sz w:val="20"/>
        </w:rPr>
        <w:t xml:space="preserve"> muriera, no tuvo otra opción que “permitir que el personal médico en el terreno adopte las medidas médicas necesarias para mantener vivo al Sr. </w:t>
      </w:r>
      <w:proofErr w:type="spellStart"/>
      <w:r>
        <w:rPr>
          <w:rFonts w:ascii="Cambria" w:hAnsi="Cambria"/>
          <w:sz w:val="20"/>
        </w:rPr>
        <w:t>Dhiam</w:t>
      </w:r>
      <w:proofErr w:type="spellEnd"/>
      <w:r>
        <w:rPr>
          <w:rFonts w:ascii="Cambria" w:hAnsi="Cambria"/>
          <w:sz w:val="20"/>
        </w:rPr>
        <w:t>, aunque posiblemente a costa de un enorme sufrimiento y dolor”</w:t>
      </w:r>
      <w:r>
        <w:rPr>
          <w:rStyle w:val="FootnoteReference"/>
          <w:rFonts w:ascii="Cambria" w:hAnsi="Cambria"/>
          <w:sz w:val="20"/>
        </w:rPr>
        <w:footnoteReference w:id="171"/>
      </w:r>
      <w:r>
        <w:rPr>
          <w:rFonts w:ascii="Cambria" w:hAnsi="Cambria"/>
          <w:sz w:val="20"/>
        </w:rPr>
        <w:t xml:space="preserve">. </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La CIDH ha subrayado que, según la Declaración adoptada por la Asamblea Médica Mundial de Malta, en casos que involucren personas en huelga de hambre, el deber del personal médico de actuar de manera ética y respetuosa de la autonomía individual, entre otros principios, deben ser respetados</w:t>
      </w:r>
      <w:r>
        <w:rPr>
          <w:rStyle w:val="FootnoteReference"/>
          <w:rFonts w:ascii="Cambria" w:hAnsi="Cambria"/>
          <w:sz w:val="20"/>
        </w:rPr>
        <w:footnoteReference w:id="172"/>
      </w:r>
      <w:r>
        <w:rPr>
          <w:rFonts w:ascii="Cambria" w:hAnsi="Cambria"/>
          <w:sz w:val="20"/>
        </w:rPr>
        <w:t xml:space="preserve">. Según estos principios, </w:t>
      </w:r>
      <w:r>
        <w:rPr>
          <w:rFonts w:ascii="Cambria" w:hAnsi="Cambria"/>
          <w:sz w:val="20"/>
        </w:rPr>
        <w:lastRenderedPageBreak/>
        <w:t>son injustificables las prácticas de alimentación forzada de personas en contra de su negativa informada y voluntaria contra tal medida. Además, las huelgas de hambre deben ser protegidas contra toda forma de coerción, más aún cuando esto se lleva a cabo a través del uso de la fuerza y, en ciertos casos, a través de violencia extrema. El personal de cuidados de salud no puede aplicar presión indebida de ningún tipo respecto de los individuos que han optado por el recurso extremo de mantenerse en huelga de hambre. Tampoco es aceptable utilizar amenazas de alimentación forzada u otros tipos de coerción física o psicológica contra personas que voluntariamente hayan decidido ponerse en huelga de hambre</w:t>
      </w:r>
      <w:r>
        <w:rPr>
          <w:rStyle w:val="FootnoteReference"/>
          <w:rFonts w:ascii="Cambria" w:hAnsi="Cambria"/>
          <w:sz w:val="20"/>
        </w:rPr>
        <w:footnoteReference w:id="173"/>
      </w:r>
      <w:r>
        <w:rPr>
          <w:rFonts w:ascii="Cambria" w:hAnsi="Cambria"/>
          <w:sz w:val="20"/>
        </w:rPr>
        <w:t>. Al respecto, la CIDH saluda el hecho de que una enfermera naval estadounidense en Guantánamo se haya negado a alimentar forzadamente a los detenidos luego de haber decidido que la práctica constituía un acto delictivo. Un vocero del comando sur, que supervisa Guantánamo, señaló que era la primera vez que se tomaba conocimiento de una enfermera o doctor que se haya negado a alimentar a través de un tubo a los detenidos</w:t>
      </w:r>
      <w:r>
        <w:rPr>
          <w:rStyle w:val="FootnoteReference"/>
          <w:rFonts w:ascii="Cambria" w:hAnsi="Cambria"/>
          <w:sz w:val="20"/>
        </w:rPr>
        <w:footnoteReference w:id="174"/>
      </w:r>
      <w:r>
        <w:rPr>
          <w:rFonts w:ascii="Cambria" w:hAnsi="Cambria"/>
          <w:sz w:val="20"/>
        </w:rPr>
        <w:t xml:space="preserve">. </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En un caso sobre alimentación forzada de un detenido, la Corte Europea de Derechos Humanos estableció que </w:t>
      </w:r>
      <w:proofErr w:type="spellStart"/>
      <w:r>
        <w:rPr>
          <w:rFonts w:ascii="Cambria" w:hAnsi="Cambria"/>
          <w:sz w:val="20"/>
        </w:rPr>
        <w:t>Ukrania</w:t>
      </w:r>
      <w:proofErr w:type="spellEnd"/>
      <w:r>
        <w:rPr>
          <w:rFonts w:ascii="Cambria" w:hAnsi="Cambria"/>
          <w:sz w:val="20"/>
        </w:rPr>
        <w:t xml:space="preserve"> había violado la prohibición de la tortura (artículo 3 de la Convención Europea) considerando que el gobierno no había demostrado la existencia de una necesidad médica de alimentar forzadamente al detenido. La Corte concluyó en este caso que las autoridades no habían respetado las garantías procesales aplicables al rechazo consciente del detenido respecto de la ingesta de alimentos y no habían actuado en respeto a su interés superior. Asimismo, la Corte encontró que el uso de la fuerza y las restricciones aplicadas –esposas, ensanchador de boca, y un tubo especial insertado en el canal alimenticio- constituyeron un tratamiento tan severo que podía ser caracterizado como tortura</w:t>
      </w:r>
      <w:r>
        <w:rPr>
          <w:rStyle w:val="FootnoteReference"/>
          <w:rFonts w:ascii="Cambria" w:hAnsi="Cambria"/>
          <w:sz w:val="20"/>
        </w:rPr>
        <w:footnoteReference w:id="175"/>
      </w:r>
      <w:r>
        <w:rPr>
          <w:rFonts w:ascii="Cambria" w:hAnsi="Cambria"/>
          <w:sz w:val="20"/>
        </w:rPr>
        <w:t>. En un caso más reciente contra la República de Moldavia, la Corte Europea sostuvo que se había violado la prohibición contra la tortura considerando que no existía evidencia médica de que la vida o salud del detenido estaba en grave peligro así como que existían bases suficientes para sugerir que  la alimentación forzada de hecho había estado dirigida a desanimarlo de continuar con su protesta. La Corte concluyó también que la forma en la que el detenido había sido sometido repetidamente a alimentación forzosa (esposándolo de forma obligatoria independientemente de cualquier resistencia y causándole dolor intenso con instrumentos de metal para obligarlo a abrir la boca y sacar la lengua) lo había expuesto de forma innecesaria a enorme dolor físico y humillación, de forma tal que sólo podía ser considerado un acto de tortura”</w:t>
      </w:r>
      <w:r>
        <w:rPr>
          <w:rStyle w:val="FootnoteReference"/>
          <w:rFonts w:ascii="Cambria" w:hAnsi="Cambria"/>
          <w:sz w:val="20"/>
        </w:rPr>
        <w:footnoteReference w:id="176"/>
      </w:r>
      <w:r>
        <w:rPr>
          <w:rFonts w:ascii="Cambria" w:hAnsi="Cambria"/>
          <w:sz w:val="20"/>
        </w:rPr>
        <w:t>.</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El 23 de septiembre de 2013, los militares anunciaron el fin de la huelga de hambre masiva. Un vocero señaló que los militares ya no emitirían actualizaciones diarias </w:t>
      </w:r>
      <w:r>
        <w:rPr>
          <w:rFonts w:ascii="Cambria" w:hAnsi="Cambria"/>
          <w:sz w:val="20"/>
        </w:rPr>
        <w:lastRenderedPageBreak/>
        <w:t>sobre el número de internos participando de la protesta, elegibles para alimentación forzada u hospitalizados, como había sido la práctica durante los meses previos</w:t>
      </w:r>
      <w:r>
        <w:rPr>
          <w:rStyle w:val="FootnoteReference"/>
          <w:rFonts w:ascii="Cambria" w:hAnsi="Cambria"/>
          <w:sz w:val="20"/>
        </w:rPr>
        <w:footnoteReference w:id="177"/>
      </w:r>
      <w:r>
        <w:rPr>
          <w:rFonts w:ascii="Cambria" w:hAnsi="Cambria"/>
          <w:sz w:val="20"/>
        </w:rPr>
        <w:t>. La CIDH observa que, si bien la huelga de hambre generalizada finalizó, habría aún algunos detenidos en huelga de hambre en Guantánamo. A inicios de 2014, 25 detenidos habrían estado en huelga de hambre, 16 de los cuales estaban siendo sometidos a alimentación forzada</w:t>
      </w:r>
      <w:r>
        <w:rPr>
          <w:rStyle w:val="FootnoteReference"/>
          <w:rFonts w:ascii="Cambria" w:hAnsi="Cambria"/>
          <w:sz w:val="20"/>
        </w:rPr>
        <w:footnoteReference w:id="178"/>
      </w:r>
      <w:r>
        <w:rPr>
          <w:rFonts w:ascii="Cambria" w:hAnsi="Cambria"/>
          <w:sz w:val="20"/>
        </w:rPr>
        <w:t>.</w:t>
      </w:r>
    </w:p>
    <w:p w:rsidR="00C8425A" w:rsidRPr="00FC2F1B" w:rsidRDefault="00C8425A" w:rsidP="00C8425A">
      <w:pPr>
        <w:pStyle w:val="ListParagrap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Una de las causas a las que se atribuye el levantamiento de la huelga de hambre masiva fue el inicio del Ramadán y el deseo de los detenidos de estar en un ambiente comunal con otros detenidos. Otro factor que habría impulsado la decisión de levantar la huelga fue lo que se describió como las condiciones insalubres en las que se los mantuvo durante ese período, particularmente el haber estado en celdas de aislamiento supuestamente cubiertas de moho, lo que fue percibido como parte de un esfuerzo para presionarlos a culminar la huelga de hambre</w:t>
      </w:r>
      <w:r>
        <w:rPr>
          <w:rStyle w:val="FootnoteReference"/>
          <w:rFonts w:ascii="Cambria" w:hAnsi="Cambria"/>
          <w:sz w:val="20"/>
        </w:rPr>
        <w:footnoteReference w:id="179"/>
      </w:r>
      <w:r>
        <w:rPr>
          <w:rFonts w:ascii="Cambria" w:hAnsi="Cambria"/>
          <w:sz w:val="20"/>
        </w:rPr>
        <w:t xml:space="preserve">. La huelga de hambre masiva de 2013 cumplió uno de sus propósitos, el de atraer más atención pública a la situación de detención indefinida en Guantánamo. Este puede haber sido un factor en la decisión del Presidente Obama de reabrir la oficina del Enviado Especial para el Cierre de Guantánamo. Adicionalmente, dos detenidos fueron trasladados voluntariamente a Argelia justo antes de finalizar la huelga de hambre.   </w:t>
      </w:r>
    </w:p>
    <w:p w:rsidR="00C8425A" w:rsidRPr="00FC2F1B" w:rsidRDefault="00C8425A" w:rsidP="00C8425A">
      <w:pPr>
        <w:pStyle w:val="ListParagrap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Finalmente, la CIDH observa que las huelgas de hambre en Guantánamo constituyen un síntoma de una situación de detención indefinida insostenible y que el problema de fondo no ha sido resuelto. Si bien las huelgas de hambre son en sí mismas un problema importante, constituyen un síntoma de un problema más amplio de detención continuada indefinida. </w:t>
      </w:r>
    </w:p>
    <w:p w:rsidR="00C8425A" w:rsidRPr="00FC2F1B" w:rsidRDefault="00C8425A" w:rsidP="00C8425A">
      <w:pPr>
        <w:pStyle w:val="ListParagraph"/>
        <w:rPr>
          <w:sz w:val="20"/>
          <w:szCs w:val="20"/>
        </w:rPr>
      </w:pPr>
    </w:p>
    <w:p w:rsidR="00C8425A" w:rsidRPr="00FC2F1B" w:rsidRDefault="00C8425A" w:rsidP="00C8425A">
      <w:pPr>
        <w:jc w:val="both"/>
        <w:rPr>
          <w:rFonts w:ascii="Cambria" w:hAnsi="Cambria"/>
          <w:sz w:val="20"/>
          <w:szCs w:val="20"/>
        </w:rPr>
      </w:pPr>
    </w:p>
    <w:p w:rsidR="003D3BBE" w:rsidRPr="00FC2F1B" w:rsidRDefault="003D3BBE" w:rsidP="00BA4F54">
      <w:pPr>
        <w:ind w:left="1440"/>
        <w:jc w:val="both"/>
        <w:rPr>
          <w:rFonts w:ascii="Cambria" w:hAnsi="Cambria"/>
          <w:sz w:val="20"/>
          <w:szCs w:val="20"/>
        </w:rPr>
      </w:pPr>
    </w:p>
    <w:p w:rsidR="006C3E27" w:rsidRPr="00FC2F1B" w:rsidRDefault="006C3E27" w:rsidP="00225F6F">
      <w:pPr>
        <w:jc w:val="both"/>
        <w:rPr>
          <w:rFonts w:ascii="Cambria" w:hAnsi="Cambria"/>
          <w:sz w:val="20"/>
          <w:szCs w:val="20"/>
        </w:rPr>
      </w:pPr>
    </w:p>
    <w:p w:rsidR="00412909" w:rsidRPr="00FC2F1B" w:rsidRDefault="00412909" w:rsidP="00225F6F">
      <w:pPr>
        <w:rPr>
          <w:rFonts w:ascii="Cambria" w:hAnsi="Cambria"/>
          <w:sz w:val="20"/>
          <w:szCs w:val="20"/>
        </w:rPr>
        <w:sectPr w:rsidR="00412909" w:rsidRPr="00FC2F1B" w:rsidSect="00D5085F">
          <w:headerReference w:type="default" r:id="rId31"/>
          <w:footerReference w:type="default" r:id="rId32"/>
          <w:type w:val="oddPage"/>
          <w:pgSz w:w="10325" w:h="14573" w:code="13"/>
          <w:pgMar w:top="1152" w:right="1152" w:bottom="1152" w:left="1440" w:header="720" w:footer="720" w:gutter="0"/>
          <w:cols w:space="720"/>
          <w:docGrid w:linePitch="326"/>
        </w:sectPr>
      </w:pPr>
    </w:p>
    <w:p w:rsidR="00412909" w:rsidRPr="00592F4B" w:rsidRDefault="00BA4F54" w:rsidP="008F7672">
      <w:pPr>
        <w:jc w:val="center"/>
        <w:rPr>
          <w:rFonts w:ascii="Cambria" w:hAnsi="Cambria"/>
          <w:color w:val="4A442A" w:themeColor="background2" w:themeShade="40"/>
          <w:spacing w:val="-10"/>
          <w:w w:val="90"/>
          <w:sz w:val="52"/>
          <w:szCs w:val="52"/>
        </w:rPr>
        <w:sectPr w:rsidR="00412909" w:rsidRPr="00592F4B" w:rsidSect="00AD56DA">
          <w:headerReference w:type="default" r:id="rId33"/>
          <w:footerReference w:type="default" r:id="rId34"/>
          <w:type w:val="oddPage"/>
          <w:pgSz w:w="10325" w:h="14573" w:code="13"/>
          <w:pgMar w:top="1152" w:right="1152" w:bottom="1152" w:left="1296" w:header="288" w:footer="288" w:gutter="0"/>
          <w:cols w:space="720"/>
          <w:vAlign w:val="center"/>
          <w:docGrid w:linePitch="326"/>
        </w:sectPr>
      </w:pPr>
      <w:r w:rsidRPr="00592F4B">
        <w:rPr>
          <w:rFonts w:ascii="Cambria" w:hAnsi="Cambria"/>
          <w:color w:val="808080" w:themeColor="background1" w:themeShade="80"/>
          <w:spacing w:val="-10"/>
          <w:sz w:val="44"/>
          <w:szCs w:val="44"/>
        </w:rPr>
        <w:lastRenderedPageBreak/>
        <w:t>CAPÍTULO 4</w:t>
      </w:r>
      <w:r w:rsidRPr="00592F4B">
        <w:rPr>
          <w:rFonts w:ascii="Cambria" w:hAnsi="Cambria"/>
          <w:color w:val="808080" w:themeColor="background1" w:themeShade="80"/>
          <w:spacing w:val="-10"/>
          <w:sz w:val="44"/>
          <w:szCs w:val="44"/>
        </w:rPr>
        <w:br/>
      </w:r>
      <w:r w:rsidRPr="00592F4B">
        <w:rPr>
          <w:rFonts w:ascii="Cambria" w:hAnsi="Cambria"/>
          <w:color w:val="4A442A" w:themeColor="background2" w:themeShade="40"/>
          <w:spacing w:val="-10"/>
          <w:w w:val="90"/>
          <w:sz w:val="52"/>
        </w:rPr>
        <w:t>ACCESO A LA JUSTICIA</w:t>
      </w:r>
    </w:p>
    <w:p w:rsidR="00AD56DA" w:rsidRDefault="00AD56DA" w:rsidP="00BA4F54">
      <w:pPr>
        <w:pStyle w:val="Heading1"/>
        <w:ind w:left="0" w:firstLine="0"/>
        <w:rPr>
          <w:color w:val="4A442A"/>
        </w:rPr>
      </w:pPr>
    </w:p>
    <w:p w:rsidR="00AD56DA" w:rsidRDefault="00AD56DA" w:rsidP="00BA4F54">
      <w:pPr>
        <w:pStyle w:val="Heading1"/>
        <w:ind w:left="0" w:firstLine="0"/>
        <w:rPr>
          <w:color w:val="4A442A"/>
        </w:rPr>
      </w:pPr>
    </w:p>
    <w:p w:rsidR="00BA4F54" w:rsidRPr="00FC2F1B" w:rsidRDefault="00C8425A" w:rsidP="00BA4F54">
      <w:pPr>
        <w:pStyle w:val="Heading1"/>
        <w:ind w:left="0" w:firstLine="0"/>
        <w:rPr>
          <w:color w:val="4A442A"/>
        </w:rPr>
      </w:pPr>
      <w:bookmarkStart w:id="40" w:name="_Toc423072841"/>
      <w:r>
        <w:rPr>
          <w:color w:val="4A442A"/>
        </w:rPr>
        <w:t>ACCESO A LA JUSTICIA</w:t>
      </w:r>
      <w:bookmarkEnd w:id="40"/>
    </w:p>
    <w:p w:rsidR="00405F38" w:rsidRPr="00FC2F1B" w:rsidRDefault="00405F38" w:rsidP="00BA4F54">
      <w:pPr>
        <w:rPr>
          <w:rFonts w:ascii="Cambria" w:hAnsi="Cambria"/>
          <w:sz w:val="20"/>
          <w:szCs w:val="20"/>
        </w:rPr>
      </w:pPr>
    </w:p>
    <w:p w:rsidR="00405F38" w:rsidRDefault="00405F38" w:rsidP="00BA4F54">
      <w:pPr>
        <w:rPr>
          <w:rFonts w:ascii="Cambria" w:hAnsi="Cambria"/>
          <w:sz w:val="20"/>
          <w:szCs w:val="20"/>
        </w:rPr>
      </w:pPr>
    </w:p>
    <w:p w:rsidR="00B07B26" w:rsidRDefault="00B07B26" w:rsidP="00BA4F54">
      <w:pPr>
        <w:rPr>
          <w:rFonts w:ascii="Cambria" w:hAnsi="Cambria"/>
          <w:sz w:val="20"/>
          <w:szCs w:val="20"/>
        </w:rPr>
      </w:pPr>
    </w:p>
    <w:p w:rsidR="00B07B26" w:rsidRPr="00FC2F1B" w:rsidRDefault="00B07B26" w:rsidP="00BA4F54">
      <w:pPr>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El sistema interamericano de derechos humanos se basa sobre la premisa de que el acceso </w:t>
      </w:r>
      <w:r>
        <w:rPr>
          <w:rFonts w:ascii="Cambria" w:hAnsi="Cambria"/>
          <w:i/>
          <w:sz w:val="20"/>
        </w:rPr>
        <w:t>de jure</w:t>
      </w:r>
      <w:r>
        <w:rPr>
          <w:rFonts w:ascii="Cambria" w:hAnsi="Cambria"/>
          <w:sz w:val="20"/>
        </w:rPr>
        <w:t xml:space="preserve"> y </w:t>
      </w:r>
      <w:r>
        <w:rPr>
          <w:rFonts w:ascii="Cambria" w:hAnsi="Cambria"/>
          <w:i/>
          <w:sz w:val="20"/>
        </w:rPr>
        <w:t>de facto</w:t>
      </w:r>
      <w:r>
        <w:rPr>
          <w:rFonts w:ascii="Cambria" w:hAnsi="Cambria"/>
          <w:sz w:val="20"/>
        </w:rPr>
        <w:t xml:space="preserve"> a recursos judiciales adecuados y efectivos constituye la primera línea de defensa para la protección de derechos básicos.  Por lo tanto, el acceso a la justicia no sólo es un derecho humano fundamental sino también un requisito previo esencial para la protección y promoción de todos los otros derechos. La obligación de establecer recursos judiciales no se cumple con la mera existencia de procedimientos formales. Los Estados deben adoptar pasos afirmativos para garantizar que las cortes sean realmente efectivas al momento de determinar si se ha producido una violación de derechos humanos así como para repararla. Según los estándares interamericanos de derechos humanos, las personas privadas de libertad deben tener acceso a un recurso judicial efectivo y oportuno que garantice la protección de sus derechos. Por otra parte, el recurso de hábeas corpus debe permanecer vigente incluso durante estados de emergencia. </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Este capítulo iniciará por evaluar algunos de los recursos presentados por los detenidos de Guantánamo ante cortes federales en relación con asuntos no resueltos en el caso </w:t>
      </w:r>
      <w:proofErr w:type="spellStart"/>
      <w:r>
        <w:rPr>
          <w:rFonts w:ascii="Cambria" w:hAnsi="Cambria"/>
          <w:i/>
          <w:sz w:val="20"/>
        </w:rPr>
        <w:t>Boumediene</w:t>
      </w:r>
      <w:proofErr w:type="spellEnd"/>
      <w:r>
        <w:rPr>
          <w:rFonts w:ascii="Cambria" w:hAnsi="Cambria"/>
          <w:sz w:val="20"/>
        </w:rPr>
        <w:t xml:space="preserve">, tales como la legalidad de la detención y cuestiones probatorias. Posteriormente, examinará la evolución de los procedimientos ante comisiones militares en Guantánamo y, en particular, la reforma introducida por la Ley de Comisiones Militares (“MCA” por sus siglas en inglés) de 2009. Se prestará especial atención a las mejoras incluidas en la MCA de 2009, así como a los diversos defectos estructurales y limitaciones prácticas en la implementación de las comisiones militares. </w:t>
      </w:r>
    </w:p>
    <w:p w:rsidR="00C8425A" w:rsidRPr="00FC2F1B" w:rsidRDefault="00C8425A" w:rsidP="00C8425A">
      <w:pPr>
        <w:pStyle w:val="ListParagraph"/>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A continuación, la CIDH se enfocará en el derecho a la representación legal y los importantes desafíos que los detenidos de Guantánamo aún enfrentan al tratar de ejercer su derecho a la defensa, particularmente con respecto a los privilegios entre abogado y cliente. Además, al evaluar el derecho a la revisión periódica de la detención, la CIDH analizará si el proceso de la Junta de Revisión Periódica establecido en 2011 cumple los estándares internacionales de derechos humanos y de derecho humanitario. Finalmente, la CIDH expresará sus preocupaciones respecto de la falta de revisión judicial de las denuncias relativas a las condiciones de detención en Guantánamo.</w:t>
      </w:r>
    </w:p>
    <w:p w:rsidR="00C8425A" w:rsidRPr="00FC2F1B" w:rsidRDefault="00C8425A" w:rsidP="00C8425A">
      <w:pPr>
        <w:pStyle w:val="ListParagraph"/>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Cada uno de los elementos claves del derecho de acceso a la justicia será evaluado a la luz de los estándares internacionales desarrollados por el sistema interamericano de derechos humanos y, en lo aplicable, el derecho internacional humanitario como </w:t>
      </w:r>
      <w:proofErr w:type="spellStart"/>
      <w:r>
        <w:rPr>
          <w:rFonts w:ascii="Cambria" w:hAnsi="Cambria"/>
          <w:i/>
          <w:sz w:val="20"/>
        </w:rPr>
        <w:t>lex</w:t>
      </w:r>
      <w:proofErr w:type="spellEnd"/>
      <w:r>
        <w:rPr>
          <w:rFonts w:ascii="Cambria" w:hAnsi="Cambria"/>
          <w:i/>
          <w:sz w:val="20"/>
        </w:rPr>
        <w:t xml:space="preserve"> </w:t>
      </w:r>
      <w:proofErr w:type="spellStart"/>
      <w:r>
        <w:rPr>
          <w:rFonts w:ascii="Cambria" w:hAnsi="Cambria"/>
          <w:i/>
          <w:sz w:val="20"/>
        </w:rPr>
        <w:t>specialis</w:t>
      </w:r>
      <w:proofErr w:type="spellEnd"/>
      <w:r>
        <w:rPr>
          <w:rFonts w:ascii="Cambria" w:hAnsi="Cambria"/>
          <w:sz w:val="20"/>
        </w:rPr>
        <w:t xml:space="preserve">. </w:t>
      </w:r>
    </w:p>
    <w:p w:rsidR="00C8425A" w:rsidRPr="00FC2F1B" w:rsidRDefault="00C8425A" w:rsidP="00C8425A">
      <w:pPr>
        <w:rPr>
          <w:sz w:val="20"/>
          <w:szCs w:val="20"/>
        </w:rPr>
      </w:pPr>
    </w:p>
    <w:p w:rsidR="00B07B26" w:rsidRDefault="00B07B26">
      <w:pPr>
        <w:rPr>
          <w:rFonts w:ascii="Cambria" w:hAnsi="Cambria"/>
          <w:b/>
          <w:i/>
          <w:sz w:val="28"/>
          <w:szCs w:val="28"/>
        </w:rPr>
      </w:pPr>
      <w:r>
        <w:br w:type="page"/>
      </w:r>
    </w:p>
    <w:p w:rsidR="00C8425A" w:rsidRPr="00FC2F1B" w:rsidRDefault="00C8425A" w:rsidP="00CE3EC6">
      <w:pPr>
        <w:pStyle w:val="Heading2"/>
        <w:numPr>
          <w:ilvl w:val="0"/>
          <w:numId w:val="31"/>
        </w:numPr>
        <w:ind w:left="547" w:hanging="547"/>
      </w:pPr>
      <w:bookmarkStart w:id="41" w:name="_Toc423072842"/>
      <w:r>
        <w:lastRenderedPageBreak/>
        <w:t>Derecho a un recurso efectivo</w:t>
      </w:r>
      <w:bookmarkEnd w:id="41"/>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El derecho a la protección judicial está establecido en los artículos XVIII y XXIV de la Declaración Americana, en los siguientes términos: </w:t>
      </w:r>
    </w:p>
    <w:p w:rsidR="00C8425A" w:rsidRPr="00FC2F1B" w:rsidRDefault="00C8425A" w:rsidP="00C8425A">
      <w:pPr>
        <w:ind w:left="720"/>
        <w:jc w:val="both"/>
        <w:rPr>
          <w:rFonts w:ascii="Cambria" w:hAnsi="Cambria"/>
          <w:sz w:val="20"/>
          <w:szCs w:val="20"/>
        </w:rPr>
      </w:pPr>
    </w:p>
    <w:p w:rsidR="00C8425A" w:rsidRPr="00FC2F1B" w:rsidRDefault="00C8425A" w:rsidP="001A0D7C">
      <w:pPr>
        <w:ind w:left="979"/>
        <w:jc w:val="both"/>
        <w:rPr>
          <w:rFonts w:ascii="Cambria" w:hAnsi="Cambria"/>
          <w:sz w:val="20"/>
          <w:szCs w:val="20"/>
        </w:rPr>
      </w:pPr>
      <w:r>
        <w:rPr>
          <w:rFonts w:ascii="Cambria" w:hAnsi="Cambria"/>
          <w:sz w:val="20"/>
        </w:rPr>
        <w:t>Artículo XVIII.  Toda persona puede ocurrir a los tribunales para hacer valer sus derechos.  Asimismo debe disponer de un procedimiento sencillo y breve por el cual la justicia lo ampare contra actos de la autoridad que violen, en perjuicio suyo, alguno de los derechos fundamentales consagrados constitucionalmente.</w:t>
      </w:r>
    </w:p>
    <w:p w:rsidR="00C8425A" w:rsidRPr="00FC2F1B" w:rsidRDefault="00C8425A" w:rsidP="00B82D49">
      <w:pPr>
        <w:ind w:left="720"/>
        <w:jc w:val="both"/>
        <w:rPr>
          <w:rFonts w:ascii="Cambria" w:hAnsi="Cambria"/>
          <w:sz w:val="20"/>
          <w:szCs w:val="20"/>
        </w:rPr>
      </w:pPr>
    </w:p>
    <w:p w:rsidR="00C8425A" w:rsidRPr="00FC2F1B" w:rsidRDefault="00C8425A" w:rsidP="001A0D7C">
      <w:pPr>
        <w:ind w:left="979"/>
        <w:jc w:val="both"/>
        <w:rPr>
          <w:rFonts w:ascii="Cambria" w:hAnsi="Cambria"/>
          <w:sz w:val="20"/>
          <w:szCs w:val="20"/>
        </w:rPr>
      </w:pPr>
      <w:r>
        <w:rPr>
          <w:rFonts w:ascii="Cambria" w:hAnsi="Cambria"/>
          <w:sz w:val="20"/>
        </w:rPr>
        <w:t>Artículo XXIV. Toda persona tiene derecho de presentar peticiones respetuosas a cualquiera autoridad competente, ya sea por motivo de interés general, ya de interés particular, y el de obtener pronta resolución.</w:t>
      </w:r>
    </w:p>
    <w:p w:rsidR="00C8425A" w:rsidRPr="00FC2F1B" w:rsidRDefault="00C8425A" w:rsidP="00C8425A">
      <w:pPr>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El deber de los Estados de proporcionar recursos judiciales efectivos no se cumple solamente con su existencia formal; el recurso además debe ser adecuado y efectivo para remediar las violaciones de derechos humanos denunciadas. Asimismo, la existencia de un conflicto armado o de un estado de emergencia no implica la supresión o la inefectividad de las garantías juridiciales que un Estado debe establecer para la protección de los derechos no derogables o </w:t>
      </w:r>
      <w:proofErr w:type="spellStart"/>
      <w:r>
        <w:rPr>
          <w:rFonts w:ascii="Cambria" w:hAnsi="Cambria"/>
          <w:sz w:val="20"/>
        </w:rPr>
        <w:t>suspendibles</w:t>
      </w:r>
      <w:proofErr w:type="spellEnd"/>
      <w:r>
        <w:rPr>
          <w:rFonts w:ascii="Cambria" w:hAnsi="Cambria"/>
          <w:sz w:val="20"/>
        </w:rPr>
        <w:t>, como el derecho a la vida y a la integridad personal</w:t>
      </w:r>
      <w:r>
        <w:rPr>
          <w:rStyle w:val="FootnoteReference"/>
          <w:rFonts w:ascii="Cambria" w:hAnsi="Cambria"/>
          <w:sz w:val="20"/>
        </w:rPr>
        <w:footnoteReference w:id="180"/>
      </w:r>
      <w:r>
        <w:rPr>
          <w:rFonts w:ascii="Cambria" w:hAnsi="Cambria"/>
          <w:sz w:val="20"/>
        </w:rPr>
        <w:t xml:space="preserve">. El derecho a las garantías judiciales necesarias para la protección de intereses tales como la vida o la integridad no puede someterse a suspensión. </w:t>
      </w:r>
    </w:p>
    <w:p w:rsidR="00C8425A" w:rsidRPr="00FC2F1B" w:rsidRDefault="00C8425A" w:rsidP="00C8425A">
      <w:pPr>
        <w:jc w:val="both"/>
        <w:rPr>
          <w:rFonts w:ascii="Cambria" w:hAnsi="Cambria"/>
          <w:sz w:val="20"/>
          <w:szCs w:val="20"/>
        </w:rPr>
      </w:pPr>
    </w:p>
    <w:p w:rsidR="00C8425A" w:rsidRPr="00FC2F1B" w:rsidRDefault="00C8425A" w:rsidP="00156DB9">
      <w:pPr>
        <w:pStyle w:val="Style3"/>
        <w:numPr>
          <w:ilvl w:val="0"/>
          <w:numId w:val="12"/>
        </w:numPr>
        <w:ind w:left="1094" w:hanging="547"/>
      </w:pPr>
      <w:bookmarkStart w:id="42" w:name="_Toc423072843"/>
      <w:r>
        <w:t>Procesos ante cortes federales</w:t>
      </w:r>
      <w:bookmarkEnd w:id="42"/>
    </w:p>
    <w:p w:rsidR="00C8425A" w:rsidRPr="00FC2F1B" w:rsidRDefault="00C8425A" w:rsidP="00C8425A">
      <w:pPr>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El primer recurso de hábeas corpus a favor de un detenido en Guantánamo fue presentado en febrero de 2002. La Corte Distrital de Estados Unidos para el Distrito de Columbia (Corte de Distrito de D.C.) se inhibió de conocer la petición por falta de jurisdicción, estableciendo que los no-ciudadanos detenidos fuera del territorio soberano de EE.UU. carecen del derecho a presentar recursos de hábeas corpus. El 28 de junio de 2004, la Corte Suprema de Justicia en el caso </w:t>
      </w:r>
      <w:proofErr w:type="spellStart"/>
      <w:r>
        <w:rPr>
          <w:rFonts w:ascii="Cambria" w:hAnsi="Cambria"/>
          <w:i/>
          <w:sz w:val="20"/>
        </w:rPr>
        <w:t>Rasul</w:t>
      </w:r>
      <w:proofErr w:type="spellEnd"/>
      <w:r>
        <w:rPr>
          <w:rFonts w:ascii="Cambria" w:hAnsi="Cambria"/>
          <w:i/>
          <w:sz w:val="20"/>
        </w:rPr>
        <w:t xml:space="preserve"> v. Bush</w:t>
      </w:r>
      <w:r>
        <w:rPr>
          <w:rFonts w:ascii="Cambria" w:hAnsi="Cambria"/>
          <w:sz w:val="20"/>
        </w:rPr>
        <w:t xml:space="preserve"> revocó dicha decisión, estableciendo que las cortes federales de  Estados Unidos tienen jurisdicción para conocer recursos de hábeas corpus  presentados por detenidos de Guantánamo</w:t>
      </w:r>
      <w:r>
        <w:rPr>
          <w:rStyle w:val="FootnoteReference"/>
          <w:rFonts w:ascii="Cambria" w:hAnsi="Cambria"/>
          <w:sz w:val="20"/>
        </w:rPr>
        <w:footnoteReference w:id="181"/>
      </w:r>
      <w:r>
        <w:rPr>
          <w:rFonts w:ascii="Cambria" w:hAnsi="Cambria"/>
          <w:sz w:val="20"/>
        </w:rPr>
        <w:t>. Transcurridos casi dos años y medio desde la apertura de las instalaciones, los detenidos de Guantánamo tuvieron, por vez primera, acceso a recursos judiciales</w:t>
      </w:r>
      <w:r>
        <w:rPr>
          <w:rStyle w:val="FootnoteReference"/>
          <w:rFonts w:ascii="Cambria" w:hAnsi="Cambria"/>
          <w:sz w:val="20"/>
        </w:rPr>
        <w:footnoteReference w:id="182"/>
      </w:r>
      <w:r>
        <w:rPr>
          <w:rFonts w:ascii="Cambria" w:hAnsi="Cambria"/>
          <w:sz w:val="20"/>
        </w:rPr>
        <w:t>.</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En diciembre de 2005, el Congreso de Estados Unidos emitió la Ley de Tratamiento a Detenidos (</w:t>
      </w:r>
      <w:proofErr w:type="spellStart"/>
      <w:r>
        <w:rPr>
          <w:rFonts w:ascii="Cambria" w:hAnsi="Cambria"/>
          <w:i/>
          <w:sz w:val="20"/>
        </w:rPr>
        <w:t>Detainee</w:t>
      </w:r>
      <w:proofErr w:type="spellEnd"/>
      <w:r>
        <w:rPr>
          <w:rFonts w:ascii="Cambria" w:hAnsi="Cambria"/>
          <w:i/>
          <w:sz w:val="20"/>
        </w:rPr>
        <w:t xml:space="preserve"> </w:t>
      </w:r>
      <w:proofErr w:type="spellStart"/>
      <w:r>
        <w:rPr>
          <w:rFonts w:ascii="Cambria" w:hAnsi="Cambria"/>
          <w:i/>
          <w:sz w:val="20"/>
        </w:rPr>
        <w:t>Treatment</w:t>
      </w:r>
      <w:proofErr w:type="spellEnd"/>
      <w:r>
        <w:rPr>
          <w:rFonts w:ascii="Cambria" w:hAnsi="Cambria"/>
          <w:i/>
          <w:sz w:val="20"/>
        </w:rPr>
        <w:t xml:space="preserve"> </w:t>
      </w:r>
      <w:proofErr w:type="spellStart"/>
      <w:r>
        <w:rPr>
          <w:rFonts w:ascii="Cambria" w:hAnsi="Cambria"/>
          <w:i/>
          <w:sz w:val="20"/>
        </w:rPr>
        <w:t>Act</w:t>
      </w:r>
      <w:proofErr w:type="spellEnd"/>
      <w:r>
        <w:rPr>
          <w:rFonts w:ascii="Cambria" w:hAnsi="Cambria"/>
          <w:sz w:val="20"/>
        </w:rPr>
        <w:t xml:space="preserve">, “DTA” por sus siglas en inglés) de 2005, en la que estableció que ninguna corte “tendrá jurisdicción para conocer o considerar </w:t>
      </w:r>
      <w:r>
        <w:rPr>
          <w:rFonts w:ascii="Cambria" w:hAnsi="Cambria"/>
          <w:sz w:val="20"/>
        </w:rPr>
        <w:lastRenderedPageBreak/>
        <w:t>recursos de hábeas corpus presentados por o a favor de un extranjero detenido […] en Guantánamo […] así como cualquier otro recurso contra Estados Unidos o sus agentes respecto de cualquier aspecto de la detención”</w:t>
      </w:r>
      <w:r>
        <w:rPr>
          <w:rStyle w:val="FootnoteReference"/>
          <w:rFonts w:ascii="Cambria" w:hAnsi="Cambria"/>
          <w:sz w:val="20"/>
        </w:rPr>
        <w:footnoteReference w:id="183"/>
      </w:r>
      <w:r>
        <w:rPr>
          <w:rFonts w:ascii="Cambria" w:hAnsi="Cambria"/>
          <w:sz w:val="20"/>
        </w:rPr>
        <w:t>. Adicionalmente, según la DTA, cualquier nuevo recurso de hábeas corpus presentado por detenidos de Guantánamo debía ser revisado por la Corte de Apelaciones de Estados Unidos para el Circuito de Distrito de Columbia (Corte de Circuito de D.C.), exclusivamente con miras a determinar si los Tribunales de Revisión del Estatus de Combatientes (</w:t>
      </w:r>
      <w:proofErr w:type="spellStart"/>
      <w:r>
        <w:rPr>
          <w:rFonts w:ascii="Cambria" w:hAnsi="Cambria"/>
          <w:i/>
          <w:sz w:val="20"/>
        </w:rPr>
        <w:t>Combat</w:t>
      </w:r>
      <w:proofErr w:type="spellEnd"/>
      <w:r>
        <w:rPr>
          <w:rFonts w:ascii="Cambria" w:hAnsi="Cambria"/>
          <w:i/>
          <w:sz w:val="20"/>
        </w:rPr>
        <w:t xml:space="preserve"> Status </w:t>
      </w:r>
      <w:proofErr w:type="spellStart"/>
      <w:r>
        <w:rPr>
          <w:rFonts w:ascii="Cambria" w:hAnsi="Cambria"/>
          <w:i/>
          <w:sz w:val="20"/>
        </w:rPr>
        <w:t>Review</w:t>
      </w:r>
      <w:proofErr w:type="spellEnd"/>
      <w:r>
        <w:rPr>
          <w:rFonts w:ascii="Cambria" w:hAnsi="Cambria"/>
          <w:i/>
          <w:sz w:val="20"/>
        </w:rPr>
        <w:t xml:space="preserve"> </w:t>
      </w:r>
      <w:proofErr w:type="spellStart"/>
      <w:r>
        <w:rPr>
          <w:rFonts w:ascii="Cambria" w:hAnsi="Cambria"/>
          <w:i/>
          <w:sz w:val="20"/>
        </w:rPr>
        <w:t>Tribunals</w:t>
      </w:r>
      <w:proofErr w:type="spellEnd"/>
      <w:r>
        <w:rPr>
          <w:rFonts w:ascii="Cambria" w:hAnsi="Cambria"/>
          <w:sz w:val="20"/>
        </w:rPr>
        <w:t>, “</w:t>
      </w:r>
      <w:proofErr w:type="spellStart"/>
      <w:r>
        <w:rPr>
          <w:rFonts w:ascii="Cambria" w:hAnsi="Cambria"/>
          <w:sz w:val="20"/>
        </w:rPr>
        <w:t>CSRTs</w:t>
      </w:r>
      <w:proofErr w:type="spellEnd"/>
      <w:r>
        <w:rPr>
          <w:rFonts w:ascii="Cambria" w:hAnsi="Cambria"/>
          <w:sz w:val="20"/>
        </w:rPr>
        <w:t xml:space="preserve">” por sus siglas en inglés) habían actuado en cumplimiento de los procedimientos establecidos por el Secretario de Defensa. En consecuencia, la DTA privó de jurisdicción a las cortes federales para conocer recursos de hábeas corpus o “cualquier otro recurso” relativo a cualquier aspecto de las detenciones en Guantánamo. Más aún, después de la decisión de la Corte Suprema de Estados Unidos en el caso </w:t>
      </w:r>
      <w:proofErr w:type="spellStart"/>
      <w:r>
        <w:rPr>
          <w:rFonts w:ascii="Cambria" w:hAnsi="Cambria"/>
          <w:i/>
          <w:sz w:val="20"/>
        </w:rPr>
        <w:t>Hamdan</w:t>
      </w:r>
      <w:proofErr w:type="spellEnd"/>
      <w:r>
        <w:rPr>
          <w:rFonts w:ascii="Cambria" w:hAnsi="Cambria"/>
          <w:i/>
          <w:sz w:val="20"/>
        </w:rPr>
        <w:t xml:space="preserve"> v. Rumsfeld</w:t>
      </w:r>
      <w:r>
        <w:rPr>
          <w:rFonts w:ascii="Cambria" w:hAnsi="Cambria"/>
          <w:sz w:val="20"/>
        </w:rPr>
        <w:t>, que será analizada más adelante, el Congreso de EE.UU. adoptó la Ley de Comisiones Militares de 2006 (</w:t>
      </w:r>
      <w:proofErr w:type="spellStart"/>
      <w:r>
        <w:rPr>
          <w:rFonts w:ascii="Cambria" w:hAnsi="Cambria"/>
          <w:i/>
          <w:sz w:val="20"/>
        </w:rPr>
        <w:t>Military</w:t>
      </w:r>
      <w:proofErr w:type="spellEnd"/>
      <w:r>
        <w:rPr>
          <w:rFonts w:ascii="Cambria" w:hAnsi="Cambria"/>
          <w:i/>
          <w:sz w:val="20"/>
        </w:rPr>
        <w:t xml:space="preserve"> </w:t>
      </w:r>
      <w:proofErr w:type="spellStart"/>
      <w:r>
        <w:rPr>
          <w:rFonts w:ascii="Cambria" w:hAnsi="Cambria"/>
          <w:i/>
          <w:sz w:val="20"/>
        </w:rPr>
        <w:t>Commissions</w:t>
      </w:r>
      <w:proofErr w:type="spellEnd"/>
      <w:r>
        <w:rPr>
          <w:rFonts w:ascii="Cambria" w:hAnsi="Cambria"/>
          <w:i/>
          <w:sz w:val="20"/>
        </w:rPr>
        <w:t xml:space="preserve"> </w:t>
      </w:r>
      <w:proofErr w:type="spellStart"/>
      <w:r>
        <w:rPr>
          <w:rFonts w:ascii="Cambria" w:hAnsi="Cambria"/>
          <w:i/>
          <w:sz w:val="20"/>
        </w:rPr>
        <w:t>Act</w:t>
      </w:r>
      <w:proofErr w:type="spellEnd"/>
      <w:r>
        <w:rPr>
          <w:rFonts w:ascii="Cambria" w:hAnsi="Cambria"/>
          <w:sz w:val="20"/>
        </w:rPr>
        <w:t>, “2006 MCA” por sus siglas en inglés) que autoriza al Presidente a convocar comisiones militares y a enmendar la DTA con el objetivo de reducir aún más el acceso de los detenidos a cortes federales, incluyendo casos cuya decisión se encuentre ya pendiente</w:t>
      </w:r>
      <w:r>
        <w:rPr>
          <w:rStyle w:val="FootnoteReference"/>
          <w:rFonts w:ascii="Cambria" w:hAnsi="Cambria"/>
          <w:sz w:val="20"/>
        </w:rPr>
        <w:footnoteReference w:id="184"/>
      </w:r>
      <w:r>
        <w:rPr>
          <w:rFonts w:ascii="Cambria" w:hAnsi="Cambria"/>
          <w:sz w:val="20"/>
        </w:rPr>
        <w:t xml:space="preserve">. </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El 12 de junio de 2008, en el emblemático caso </w:t>
      </w:r>
      <w:proofErr w:type="spellStart"/>
      <w:r>
        <w:rPr>
          <w:rFonts w:ascii="Cambria" w:hAnsi="Cambria"/>
          <w:i/>
          <w:sz w:val="20"/>
        </w:rPr>
        <w:t>Boumediene</w:t>
      </w:r>
      <w:proofErr w:type="spellEnd"/>
      <w:r>
        <w:rPr>
          <w:rFonts w:ascii="Cambria" w:hAnsi="Cambria"/>
          <w:i/>
          <w:sz w:val="20"/>
        </w:rPr>
        <w:t xml:space="preserve"> v. Bush</w:t>
      </w:r>
      <w:r>
        <w:rPr>
          <w:rFonts w:ascii="Cambria" w:hAnsi="Cambria"/>
          <w:sz w:val="20"/>
        </w:rPr>
        <w:t xml:space="preserve">, la Corte Suprema de Estados Unidos reconoció que los derechos constitucionales podrían proteger a no-ciudadanos en el extranjero. Al respecto, la Corte decidió que los detenidos de Guantánamo tienen derecho a presentar recursos de hábeas corpus ante cortes federales con fundamento en que Estados Unidos mantiene soberanía </w:t>
      </w:r>
      <w:r>
        <w:rPr>
          <w:rFonts w:ascii="Cambria" w:hAnsi="Cambria"/>
          <w:i/>
          <w:sz w:val="20"/>
        </w:rPr>
        <w:t>de facto</w:t>
      </w:r>
      <w:r>
        <w:rPr>
          <w:rFonts w:ascii="Cambria" w:hAnsi="Cambria"/>
          <w:sz w:val="20"/>
        </w:rPr>
        <w:t xml:space="preserve"> sobre el territorio de la Base Naval Estadounidense en la Bahía de Guantánamo. La Corte Suprema concluyó que “en el marco de la estructura de separación de poderes establecida en la Constitución, pocos ejercicios del poder son tan legítimos o necesarios como el deber de conocer cuestionamientos a la facultad del ejecutivo de privar de libertad a una persona”</w:t>
      </w:r>
      <w:r>
        <w:rPr>
          <w:rStyle w:val="FootnoteReference"/>
          <w:rFonts w:ascii="Cambria" w:hAnsi="Cambria"/>
          <w:sz w:val="20"/>
        </w:rPr>
        <w:footnoteReference w:id="185"/>
      </w:r>
      <w:r>
        <w:rPr>
          <w:rFonts w:ascii="Cambria" w:hAnsi="Cambria"/>
          <w:sz w:val="20"/>
        </w:rPr>
        <w:t xml:space="preserve">. La Corte también decidió que las conclusiones de la revisión de los </w:t>
      </w:r>
      <w:proofErr w:type="spellStart"/>
      <w:r>
        <w:rPr>
          <w:rFonts w:ascii="Cambria" w:hAnsi="Cambria"/>
          <w:sz w:val="20"/>
        </w:rPr>
        <w:t>CSRTs</w:t>
      </w:r>
      <w:proofErr w:type="spellEnd"/>
      <w:r>
        <w:rPr>
          <w:rFonts w:ascii="Cambria" w:hAnsi="Cambria"/>
          <w:sz w:val="20"/>
        </w:rPr>
        <w:t xml:space="preserve"> no constituyen un sustituto adecuado y efectivo al recurso de hábeas corpus, y que por lo tanto los detenidos no estaban obligados a agotar los procedimientos de revisión ante la Corte de Circuito de D.C antes de presentar recursos de hábeas corpus ante la Corte de Distrito de D.C. Esta fue la primera ocasión en que la Corte Suprema declaró inválida una ley por violar la Cláusula de Suspensión</w:t>
      </w:r>
      <w:r>
        <w:rPr>
          <w:rStyle w:val="FootnoteReference"/>
          <w:rFonts w:ascii="Cambria" w:hAnsi="Cambria"/>
          <w:sz w:val="20"/>
        </w:rPr>
        <w:footnoteReference w:id="186"/>
      </w:r>
      <w:r>
        <w:rPr>
          <w:rFonts w:ascii="Cambria" w:hAnsi="Cambria"/>
          <w:sz w:val="20"/>
        </w:rPr>
        <w:t xml:space="preserve">, impidiendo que el Congreso pueda invalidar explícitamente lo actuado, como sucedió con posterioridad a las decisiones previas de la Corte en los casos </w:t>
      </w:r>
      <w:proofErr w:type="spellStart"/>
      <w:r>
        <w:rPr>
          <w:rFonts w:ascii="Cambria" w:hAnsi="Cambria"/>
          <w:i/>
          <w:sz w:val="20"/>
        </w:rPr>
        <w:t>Rasul</w:t>
      </w:r>
      <w:proofErr w:type="spellEnd"/>
      <w:r>
        <w:rPr>
          <w:rFonts w:ascii="Cambria" w:hAnsi="Cambria"/>
          <w:i/>
          <w:sz w:val="20"/>
        </w:rPr>
        <w:t xml:space="preserve"> v. Bush</w:t>
      </w:r>
      <w:r>
        <w:rPr>
          <w:rFonts w:ascii="Cambria" w:hAnsi="Cambria"/>
          <w:sz w:val="20"/>
        </w:rPr>
        <w:t xml:space="preserve"> y </w:t>
      </w:r>
      <w:proofErr w:type="spellStart"/>
      <w:r>
        <w:rPr>
          <w:rFonts w:ascii="Cambria" w:hAnsi="Cambria"/>
          <w:i/>
          <w:sz w:val="20"/>
        </w:rPr>
        <w:t>Hamdan</w:t>
      </w:r>
      <w:proofErr w:type="spellEnd"/>
      <w:r>
        <w:rPr>
          <w:rFonts w:ascii="Cambria" w:hAnsi="Cambria"/>
          <w:i/>
          <w:sz w:val="20"/>
        </w:rPr>
        <w:t xml:space="preserve"> v. Rumsfeld</w:t>
      </w:r>
      <w:r>
        <w:rPr>
          <w:rStyle w:val="FootnoteReference"/>
          <w:rFonts w:ascii="Cambria" w:hAnsi="Cambria"/>
          <w:sz w:val="20"/>
        </w:rPr>
        <w:footnoteReference w:id="187"/>
      </w:r>
      <w:r>
        <w:rPr>
          <w:rFonts w:ascii="Cambria" w:hAnsi="Cambria"/>
          <w:sz w:val="20"/>
        </w:rPr>
        <w:t>.</w:t>
      </w:r>
    </w:p>
    <w:p w:rsidR="00C8425A" w:rsidRDefault="00C8425A" w:rsidP="00C8425A">
      <w:pPr>
        <w:ind w:left="720"/>
        <w:jc w:val="both"/>
        <w:rPr>
          <w:rFonts w:ascii="Cambria" w:hAnsi="Cambria"/>
          <w:sz w:val="20"/>
          <w:szCs w:val="20"/>
        </w:rPr>
      </w:pPr>
    </w:p>
    <w:p w:rsidR="00592F4B" w:rsidRDefault="00592F4B" w:rsidP="00C8425A">
      <w:pPr>
        <w:ind w:left="720"/>
        <w:jc w:val="both"/>
        <w:rPr>
          <w:rFonts w:ascii="Cambria" w:hAnsi="Cambria"/>
          <w:sz w:val="20"/>
          <w:szCs w:val="20"/>
        </w:rPr>
      </w:pPr>
    </w:p>
    <w:p w:rsidR="00592F4B" w:rsidRDefault="00592F4B" w:rsidP="00C8425A">
      <w:pPr>
        <w:ind w:left="720"/>
        <w:jc w:val="both"/>
        <w:rPr>
          <w:rFonts w:ascii="Cambria" w:hAnsi="Cambria"/>
          <w:sz w:val="20"/>
          <w:szCs w:val="20"/>
        </w:rPr>
      </w:pPr>
    </w:p>
    <w:p w:rsidR="00592F4B" w:rsidRPr="00FC2F1B" w:rsidRDefault="00592F4B"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lastRenderedPageBreak/>
        <w:t xml:space="preserve">Si bien </w:t>
      </w:r>
      <w:proofErr w:type="spellStart"/>
      <w:r>
        <w:rPr>
          <w:rFonts w:ascii="Cambria" w:hAnsi="Cambria"/>
          <w:i/>
          <w:sz w:val="20"/>
        </w:rPr>
        <w:t>Boumediene</w:t>
      </w:r>
      <w:proofErr w:type="spellEnd"/>
      <w:r>
        <w:rPr>
          <w:rFonts w:ascii="Cambria" w:hAnsi="Cambria"/>
          <w:sz w:val="20"/>
        </w:rPr>
        <w:t xml:space="preserve"> fue un caso emblemático, dejó importantes preguntas sin resolver. La Corte omitió “referirse al contenido de la ley que rige la detención de los accionantes”</w:t>
      </w:r>
      <w:r>
        <w:rPr>
          <w:rStyle w:val="FootnoteReference"/>
          <w:rFonts w:ascii="Cambria" w:hAnsi="Cambria"/>
          <w:sz w:val="20"/>
        </w:rPr>
        <w:footnoteReference w:id="188"/>
      </w:r>
      <w:r>
        <w:rPr>
          <w:rFonts w:ascii="Cambria" w:hAnsi="Cambria"/>
          <w:sz w:val="20"/>
        </w:rPr>
        <w:t>, absteniéndose de decidir sobre el alcance de la facultad del poder ejecutivo para privar de libertad a personas con base en la AUMF. La Corte también dejó pendientes varias cuestiones sustantivas y procesales relacionadas con la legalidad de la detención de personas en Guantánamo para que sean resueltas por cortes distritales con base en el fondo de los casos, incluyendo cuestiones probatorias y relacionadas con el acceso a la defensa letrada.</w:t>
      </w:r>
    </w:p>
    <w:p w:rsidR="00C8425A" w:rsidRPr="00FC2F1B" w:rsidRDefault="00C8425A" w:rsidP="00C8425A">
      <w:pPr>
        <w:pStyle w:val="ListParagraph"/>
        <w:rPr>
          <w:sz w:val="20"/>
          <w:szCs w:val="20"/>
        </w:rPr>
      </w:pPr>
    </w:p>
    <w:p w:rsidR="00C8425A" w:rsidRPr="0054243D" w:rsidRDefault="00C8425A" w:rsidP="0054243D">
      <w:pPr>
        <w:pStyle w:val="Style4"/>
        <w:ind w:left="907" w:hanging="360"/>
        <w:outlineLvl w:val="3"/>
        <w:rPr>
          <w:sz w:val="22"/>
          <w:szCs w:val="22"/>
        </w:rPr>
      </w:pPr>
      <w:bookmarkStart w:id="43" w:name="_Toc423072844"/>
      <w:r>
        <w:rPr>
          <w:sz w:val="22"/>
        </w:rPr>
        <w:t>Recursos respecto de la legalidad de la detención</w:t>
      </w:r>
      <w:bookmarkEnd w:id="43"/>
    </w:p>
    <w:p w:rsidR="00C8425A" w:rsidRPr="00FC2F1B" w:rsidRDefault="00C8425A" w:rsidP="00C8425A">
      <w:pPr>
        <w:pStyle w:val="ListParagraph"/>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Desde </w:t>
      </w:r>
      <w:proofErr w:type="spellStart"/>
      <w:r>
        <w:rPr>
          <w:rFonts w:ascii="Cambria" w:hAnsi="Cambria"/>
          <w:i/>
          <w:sz w:val="20"/>
        </w:rPr>
        <w:t>Boumediene</w:t>
      </w:r>
      <w:proofErr w:type="spellEnd"/>
      <w:r>
        <w:rPr>
          <w:rFonts w:ascii="Cambria" w:hAnsi="Cambria"/>
          <w:sz w:val="20"/>
        </w:rPr>
        <w:t>, las cortes federales han conocido más de cien recursos de hábeas corpus presentados por detenidos de Guantánamo, procedimientos que abarcan distintas categorías de recursos. La mayoría de dichos recursos tratan el tema de la legalidad de la detención</w:t>
      </w:r>
      <w:r>
        <w:rPr>
          <w:rStyle w:val="FootnoteReference"/>
          <w:rFonts w:ascii="Cambria" w:hAnsi="Cambria"/>
          <w:sz w:val="20"/>
        </w:rPr>
        <w:footnoteReference w:id="189"/>
      </w:r>
      <w:r>
        <w:rPr>
          <w:rFonts w:ascii="Cambria" w:hAnsi="Cambria"/>
          <w:sz w:val="20"/>
        </w:rPr>
        <w:t xml:space="preserve">.  Entre octubre de 2008 y julio de 2010 la Corte de Distrito de D.C. conoció 38 recursos de hábeas corpus presentados por detenidos de Guantánamo, y concluyó que el gobierno había incumplido su deber de establecer que los detenidos estaban involucrados con Al-Qaeda o los Talibanes. Algunos de los recursos exitosos, sin embargo, fueron revocados o anulados por la Corte de Circuito de D.C., particularmente desde mediados de 2010, cuando la corte de apelaciones en el caso </w:t>
      </w:r>
      <w:r>
        <w:rPr>
          <w:rFonts w:ascii="Cambria" w:hAnsi="Cambria"/>
          <w:i/>
          <w:sz w:val="20"/>
        </w:rPr>
        <w:t>Al-</w:t>
      </w:r>
      <w:proofErr w:type="spellStart"/>
      <w:r>
        <w:rPr>
          <w:rFonts w:ascii="Cambria" w:hAnsi="Cambria"/>
          <w:i/>
          <w:sz w:val="20"/>
        </w:rPr>
        <w:t>Adahi</w:t>
      </w:r>
      <w:proofErr w:type="spellEnd"/>
      <w:r>
        <w:rPr>
          <w:rFonts w:ascii="Cambria" w:hAnsi="Cambria"/>
          <w:i/>
          <w:sz w:val="20"/>
        </w:rPr>
        <w:t xml:space="preserve"> v. Obama </w:t>
      </w:r>
      <w:r>
        <w:rPr>
          <w:rFonts w:ascii="Cambria" w:hAnsi="Cambria"/>
          <w:sz w:val="20"/>
        </w:rPr>
        <w:t>revocó una decisión favorable de hábeas corpus y criticó la decisión por “haber desconocido la prueba presentada por el gobierno, una por una”</w:t>
      </w:r>
      <w:r>
        <w:rPr>
          <w:rStyle w:val="FootnoteReference"/>
          <w:rFonts w:ascii="Cambria" w:hAnsi="Cambria"/>
          <w:sz w:val="20"/>
        </w:rPr>
        <w:footnoteReference w:id="190"/>
      </w:r>
      <w:r>
        <w:rPr>
          <w:rFonts w:ascii="Cambria" w:hAnsi="Cambria"/>
          <w:sz w:val="20"/>
        </w:rPr>
        <w:t>.</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La decisión en el caso </w:t>
      </w:r>
      <w:r>
        <w:rPr>
          <w:rFonts w:ascii="Cambria" w:hAnsi="Cambria"/>
          <w:i/>
          <w:sz w:val="20"/>
        </w:rPr>
        <w:t>Al-</w:t>
      </w:r>
      <w:proofErr w:type="spellStart"/>
      <w:r>
        <w:rPr>
          <w:rFonts w:ascii="Cambria" w:hAnsi="Cambria"/>
          <w:i/>
          <w:sz w:val="20"/>
        </w:rPr>
        <w:t>Adahi</w:t>
      </w:r>
      <w:proofErr w:type="spellEnd"/>
      <w:r>
        <w:rPr>
          <w:rFonts w:ascii="Cambria" w:hAnsi="Cambria"/>
          <w:i/>
          <w:sz w:val="20"/>
        </w:rPr>
        <w:t xml:space="preserve"> v. Obama</w:t>
      </w:r>
      <w:r>
        <w:rPr>
          <w:rFonts w:ascii="Cambria" w:hAnsi="Cambria"/>
          <w:sz w:val="20"/>
        </w:rPr>
        <w:t xml:space="preserve"> marcó un cambio importante en el enfoque. Un informe emitido por el Centro de Políticas e Investigación de la Facultad de Derecho de la Universidad </w:t>
      </w:r>
      <w:proofErr w:type="spellStart"/>
      <w:r>
        <w:rPr>
          <w:rFonts w:ascii="Cambria" w:hAnsi="Cambria"/>
          <w:sz w:val="20"/>
        </w:rPr>
        <w:t>Seton</w:t>
      </w:r>
      <w:proofErr w:type="spellEnd"/>
      <w:r>
        <w:rPr>
          <w:rFonts w:ascii="Cambria" w:hAnsi="Cambria"/>
          <w:sz w:val="20"/>
        </w:rPr>
        <w:t xml:space="preserve"> Hall (</w:t>
      </w:r>
      <w:proofErr w:type="spellStart"/>
      <w:r>
        <w:rPr>
          <w:rFonts w:ascii="Cambria" w:hAnsi="Cambria"/>
          <w:i/>
          <w:sz w:val="20"/>
        </w:rPr>
        <w:t>Seton</w:t>
      </w:r>
      <w:proofErr w:type="spellEnd"/>
      <w:r>
        <w:rPr>
          <w:rFonts w:ascii="Cambria" w:hAnsi="Cambria"/>
          <w:i/>
          <w:sz w:val="20"/>
        </w:rPr>
        <w:t xml:space="preserve"> Hall </w:t>
      </w:r>
      <w:proofErr w:type="spellStart"/>
      <w:r>
        <w:rPr>
          <w:rFonts w:ascii="Cambria" w:hAnsi="Cambria"/>
          <w:i/>
          <w:sz w:val="20"/>
        </w:rPr>
        <w:t>University</w:t>
      </w:r>
      <w:proofErr w:type="spellEnd"/>
      <w:r>
        <w:rPr>
          <w:rFonts w:ascii="Cambria" w:hAnsi="Cambria"/>
          <w:i/>
          <w:sz w:val="20"/>
        </w:rPr>
        <w:t xml:space="preserve"> </w:t>
      </w:r>
      <w:proofErr w:type="spellStart"/>
      <w:r>
        <w:rPr>
          <w:rFonts w:ascii="Cambria" w:hAnsi="Cambria"/>
          <w:i/>
          <w:sz w:val="20"/>
        </w:rPr>
        <w:t>Law</w:t>
      </w:r>
      <w:proofErr w:type="spellEnd"/>
      <w:r>
        <w:rPr>
          <w:rFonts w:ascii="Cambria" w:hAnsi="Cambria"/>
          <w:i/>
          <w:sz w:val="20"/>
        </w:rPr>
        <w:t xml:space="preserve"> </w:t>
      </w:r>
      <w:proofErr w:type="spellStart"/>
      <w:r>
        <w:rPr>
          <w:rFonts w:ascii="Cambria" w:hAnsi="Cambria"/>
          <w:i/>
          <w:sz w:val="20"/>
        </w:rPr>
        <w:t>School’s</w:t>
      </w:r>
      <w:proofErr w:type="spellEnd"/>
      <w:r>
        <w:rPr>
          <w:rFonts w:ascii="Cambria" w:hAnsi="Cambria"/>
          <w:i/>
          <w:sz w:val="20"/>
        </w:rPr>
        <w:t xml:space="preserve"> Center </w:t>
      </w:r>
      <w:proofErr w:type="spellStart"/>
      <w:r>
        <w:rPr>
          <w:rFonts w:ascii="Cambria" w:hAnsi="Cambria"/>
          <w:i/>
          <w:sz w:val="20"/>
        </w:rPr>
        <w:t>for</w:t>
      </w:r>
      <w:proofErr w:type="spellEnd"/>
      <w:r>
        <w:rPr>
          <w:rFonts w:ascii="Cambria" w:hAnsi="Cambria"/>
          <w:i/>
          <w:sz w:val="20"/>
        </w:rPr>
        <w:t xml:space="preserve"> </w:t>
      </w:r>
      <w:proofErr w:type="spellStart"/>
      <w:r>
        <w:rPr>
          <w:rFonts w:ascii="Cambria" w:hAnsi="Cambria"/>
          <w:i/>
          <w:sz w:val="20"/>
        </w:rPr>
        <w:t>Policy</w:t>
      </w:r>
      <w:proofErr w:type="spellEnd"/>
      <w:r>
        <w:rPr>
          <w:rFonts w:ascii="Cambria" w:hAnsi="Cambria"/>
          <w:i/>
          <w:sz w:val="20"/>
        </w:rPr>
        <w:t xml:space="preserve"> and </w:t>
      </w:r>
      <w:proofErr w:type="spellStart"/>
      <w:r>
        <w:rPr>
          <w:rFonts w:ascii="Cambria" w:hAnsi="Cambria"/>
          <w:i/>
          <w:sz w:val="20"/>
        </w:rPr>
        <w:t>Research</w:t>
      </w:r>
      <w:proofErr w:type="spellEnd"/>
      <w:r>
        <w:rPr>
          <w:rFonts w:ascii="Cambria" w:hAnsi="Cambria"/>
          <w:sz w:val="20"/>
        </w:rPr>
        <w:t xml:space="preserve">) analizó los resultados de los recursos de hábeas corpus respecto de detenidos de Guantánamo antes y después de la decisión de revocar el otorgamiento de hábeas corpus en el caso </w:t>
      </w:r>
      <w:r>
        <w:rPr>
          <w:rFonts w:ascii="Cambria" w:hAnsi="Cambria"/>
          <w:i/>
          <w:sz w:val="20"/>
        </w:rPr>
        <w:t>Al-</w:t>
      </w:r>
      <w:proofErr w:type="spellStart"/>
      <w:r>
        <w:rPr>
          <w:rFonts w:ascii="Cambria" w:hAnsi="Cambria"/>
          <w:i/>
          <w:sz w:val="20"/>
        </w:rPr>
        <w:t>Adahi</w:t>
      </w:r>
      <w:proofErr w:type="spellEnd"/>
      <w:r>
        <w:rPr>
          <w:rFonts w:ascii="Cambria" w:hAnsi="Cambria"/>
          <w:i/>
          <w:sz w:val="20"/>
        </w:rPr>
        <w:t xml:space="preserve"> v. Obama</w:t>
      </w:r>
      <w:r>
        <w:rPr>
          <w:rFonts w:ascii="Cambria" w:hAnsi="Cambria"/>
          <w:sz w:val="20"/>
        </w:rPr>
        <w:t xml:space="preserve"> en 2010</w:t>
      </w:r>
      <w:r>
        <w:rPr>
          <w:rStyle w:val="FootnoteReference"/>
          <w:rFonts w:ascii="Cambria" w:hAnsi="Cambria"/>
          <w:sz w:val="20"/>
        </w:rPr>
        <w:footnoteReference w:id="191"/>
      </w:r>
      <w:r>
        <w:rPr>
          <w:rFonts w:ascii="Cambria" w:hAnsi="Cambria"/>
          <w:sz w:val="20"/>
        </w:rPr>
        <w:t xml:space="preserve">. El informe examinó 46 de los 63 casos que tuvieron por resultado decisiones emitidas entre noviembre de 2008 y octubre de 2011 (excluyendo los casos </w:t>
      </w:r>
      <w:proofErr w:type="spellStart"/>
      <w:r>
        <w:rPr>
          <w:rFonts w:ascii="Cambria" w:hAnsi="Cambria"/>
          <w:sz w:val="20"/>
        </w:rPr>
        <w:t>Uighurs</w:t>
      </w:r>
      <w:proofErr w:type="spellEnd"/>
      <w:r>
        <w:rPr>
          <w:rFonts w:ascii="Cambria" w:hAnsi="Cambria"/>
          <w:sz w:val="20"/>
        </w:rPr>
        <w:t xml:space="preserve"> porque la corte distrital no tuvo que realizar determinaciones fácticas a la luz de la admisión de los hechos por parte del gobierno en este caso). Según las conclusiones de la investigación, con posterioridad a la decisión en el caso </w:t>
      </w:r>
      <w:r>
        <w:rPr>
          <w:rFonts w:ascii="Cambria" w:hAnsi="Cambria"/>
          <w:i/>
          <w:sz w:val="20"/>
        </w:rPr>
        <w:t>Al-</w:t>
      </w:r>
      <w:proofErr w:type="spellStart"/>
      <w:r>
        <w:rPr>
          <w:rFonts w:ascii="Cambria" w:hAnsi="Cambria"/>
          <w:i/>
          <w:sz w:val="20"/>
        </w:rPr>
        <w:t>Adahi</w:t>
      </w:r>
      <w:proofErr w:type="spellEnd"/>
      <w:r>
        <w:rPr>
          <w:rFonts w:ascii="Cambria" w:hAnsi="Cambria"/>
          <w:sz w:val="20"/>
        </w:rPr>
        <w:t xml:space="preserve">, la práctica de realizar una cuidadosa revisión judicial de los hechos fue remplazada por la deferencia judicial a los alegatos del gobierno. El informe señala que antes del caso </w:t>
      </w:r>
      <w:r>
        <w:rPr>
          <w:rFonts w:ascii="Cambria" w:hAnsi="Cambria"/>
          <w:i/>
          <w:sz w:val="20"/>
        </w:rPr>
        <w:t>Al-</w:t>
      </w:r>
      <w:proofErr w:type="spellStart"/>
      <w:r>
        <w:rPr>
          <w:rFonts w:ascii="Cambria" w:hAnsi="Cambria"/>
          <w:i/>
          <w:sz w:val="20"/>
        </w:rPr>
        <w:t>Adahi</w:t>
      </w:r>
      <w:proofErr w:type="spellEnd"/>
      <w:r>
        <w:rPr>
          <w:rFonts w:ascii="Cambria" w:hAnsi="Cambria"/>
          <w:i/>
          <w:sz w:val="20"/>
        </w:rPr>
        <w:t xml:space="preserve">, </w:t>
      </w:r>
      <w:r>
        <w:rPr>
          <w:rFonts w:ascii="Cambria" w:hAnsi="Cambria"/>
          <w:sz w:val="20"/>
        </w:rPr>
        <w:t xml:space="preserve">los detenidos obtuvieron decisiones favorables en el 59% de los recursos de hábeas corpus y las cortes rechazaron los alegatos fácticos del gobierno en 40% de los casos. No obstante, después de la citada decisión, los detenidos obtuvieron decisiones favorables en 8% de los recursos y las cortes rechazaron 14% de las alegaciones fácticas del gobierno. El informe concluye que “el cambio en el patrón </w:t>
      </w:r>
      <w:r>
        <w:rPr>
          <w:rFonts w:ascii="Cambria" w:hAnsi="Cambria"/>
          <w:sz w:val="20"/>
        </w:rPr>
        <w:lastRenderedPageBreak/>
        <w:t xml:space="preserve">de las decisiones de las cortes inferiores sólo puede deberse a una revisión radical de los estándares jurídicos que la corte de apelaciones considera aplicables a los recursos de hábeas corpus”. </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En enero de 2010, un panel de Circuito de D.C. decidió en el caso </w:t>
      </w:r>
      <w:r>
        <w:rPr>
          <w:rFonts w:ascii="Cambria" w:hAnsi="Cambria"/>
          <w:i/>
          <w:sz w:val="20"/>
        </w:rPr>
        <w:t>Al-</w:t>
      </w:r>
      <w:proofErr w:type="spellStart"/>
      <w:r>
        <w:rPr>
          <w:rFonts w:ascii="Cambria" w:hAnsi="Cambria"/>
          <w:i/>
          <w:sz w:val="20"/>
        </w:rPr>
        <w:t>Bihani</w:t>
      </w:r>
      <w:proofErr w:type="spellEnd"/>
      <w:r>
        <w:rPr>
          <w:rFonts w:ascii="Cambria" w:hAnsi="Cambria"/>
          <w:i/>
          <w:sz w:val="20"/>
        </w:rPr>
        <w:t xml:space="preserve"> v. Obama</w:t>
      </w:r>
      <w:r>
        <w:rPr>
          <w:rFonts w:ascii="Cambria" w:hAnsi="Cambria"/>
          <w:sz w:val="20"/>
        </w:rPr>
        <w:t xml:space="preserve"> que no es necesario que las garantías procesales aplicables a los casos de hábeas corpus respecto de detenidos en combate sean un reflejo de aquellas aplicables a personas en el contexto del derecho penal tradicional. En consecuencia, un estándar procesal inferior existiría en tanto “los intereses de seguridad nacional están en lo más alto mientras que los derechos de los recurrentes extranjeros están en lo más bajo”</w:t>
      </w:r>
      <w:r>
        <w:rPr>
          <w:rStyle w:val="FootnoteReference"/>
          <w:rFonts w:ascii="Cambria" w:hAnsi="Cambria"/>
          <w:sz w:val="20"/>
        </w:rPr>
        <w:footnoteReference w:id="192"/>
      </w:r>
      <w:r>
        <w:rPr>
          <w:rFonts w:ascii="Cambria" w:hAnsi="Cambria"/>
          <w:sz w:val="20"/>
        </w:rPr>
        <w:t xml:space="preserve">. En la decisión del caso </w:t>
      </w:r>
      <w:proofErr w:type="spellStart"/>
      <w:r>
        <w:rPr>
          <w:rFonts w:ascii="Cambria" w:hAnsi="Cambria"/>
          <w:i/>
          <w:sz w:val="20"/>
        </w:rPr>
        <w:t>Khairkhwa</w:t>
      </w:r>
      <w:proofErr w:type="spellEnd"/>
      <w:r>
        <w:rPr>
          <w:rFonts w:ascii="Cambria" w:hAnsi="Cambria"/>
          <w:i/>
          <w:sz w:val="20"/>
        </w:rPr>
        <w:t xml:space="preserve"> v. Obama,</w:t>
      </w:r>
      <w:r>
        <w:rPr>
          <w:rFonts w:ascii="Cambria" w:hAnsi="Cambria"/>
          <w:sz w:val="20"/>
        </w:rPr>
        <w:t xml:space="preserve"> </w:t>
      </w:r>
      <w:proofErr w:type="gramStart"/>
      <w:r>
        <w:rPr>
          <w:rFonts w:ascii="Cambria" w:hAnsi="Cambria"/>
          <w:sz w:val="20"/>
        </w:rPr>
        <w:t>adoptada</w:t>
      </w:r>
      <w:proofErr w:type="gramEnd"/>
      <w:r>
        <w:rPr>
          <w:rFonts w:ascii="Cambria" w:hAnsi="Cambria"/>
          <w:sz w:val="20"/>
        </w:rPr>
        <w:t xml:space="preserve"> el 14 de diciembre de 2012, la Corte de Circuito de D.C. sostuvo que la AUMF no establece la obligación del gobierno de demostrar que el detenido estuvo involucrado en hostilidades o que podría constituir un peligro para Estados Unidos en caso de ser liberado. Dado que el gobierno pudo probar su afiliación con los Talibanes, se consideró que la detención era adecuada”</w:t>
      </w:r>
      <w:r>
        <w:rPr>
          <w:rStyle w:val="FootnoteReference"/>
          <w:rFonts w:ascii="Cambria" w:hAnsi="Cambria"/>
          <w:sz w:val="20"/>
        </w:rPr>
        <w:footnoteReference w:id="193"/>
      </w:r>
      <w:r>
        <w:rPr>
          <w:rFonts w:ascii="Cambria" w:hAnsi="Cambria"/>
          <w:sz w:val="20"/>
        </w:rPr>
        <w:t>.</w:t>
      </w:r>
    </w:p>
    <w:p w:rsidR="00C8425A" w:rsidRPr="00FC2F1B" w:rsidRDefault="00C8425A" w:rsidP="00C8425A">
      <w:pPr>
        <w:pStyle w:val="ListParagraph"/>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Adicionalmente, el 18 de junio de 2013, la Corte de Circuito de D.C. en el caso </w:t>
      </w:r>
      <w:proofErr w:type="spellStart"/>
      <w:r>
        <w:rPr>
          <w:rFonts w:ascii="Cambria" w:hAnsi="Cambria"/>
          <w:i/>
          <w:sz w:val="20"/>
        </w:rPr>
        <w:t>Hussain</w:t>
      </w:r>
      <w:proofErr w:type="spellEnd"/>
      <w:r>
        <w:rPr>
          <w:rFonts w:ascii="Cambria" w:hAnsi="Cambria"/>
          <w:i/>
          <w:sz w:val="20"/>
        </w:rPr>
        <w:t xml:space="preserve"> v. Obama</w:t>
      </w:r>
      <w:r>
        <w:rPr>
          <w:rFonts w:ascii="Cambria" w:hAnsi="Cambria"/>
          <w:sz w:val="20"/>
        </w:rPr>
        <w:t xml:space="preserve"> decidió que la AUMF no establece el requisito de que el detenido sea parte de una “estructura de comando” o que esté involucrado en hostilidades activas. La corte aplicó un test holístico para determinar si una persona puede ser considerada parte de un grupo enemigo conforme a la definición de la AUMF. Finalmente, la corte también consideró que la detención era adecuada”</w:t>
      </w:r>
      <w:r>
        <w:rPr>
          <w:rStyle w:val="FootnoteReference"/>
          <w:rFonts w:ascii="Cambria" w:hAnsi="Cambria"/>
          <w:sz w:val="20"/>
        </w:rPr>
        <w:footnoteReference w:id="194"/>
      </w:r>
      <w:r>
        <w:rPr>
          <w:rFonts w:ascii="Cambria" w:hAnsi="Cambria"/>
          <w:sz w:val="20"/>
        </w:rPr>
        <w:t xml:space="preserve">.  </w:t>
      </w:r>
    </w:p>
    <w:p w:rsidR="00C8425A" w:rsidRPr="00FC2F1B" w:rsidRDefault="00C8425A" w:rsidP="00C8425A">
      <w:pPr>
        <w:pStyle w:val="ListParagraph"/>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El 18 de junio de 2013, en </w:t>
      </w:r>
      <w:proofErr w:type="spellStart"/>
      <w:r>
        <w:rPr>
          <w:rFonts w:ascii="Cambria" w:hAnsi="Cambria"/>
          <w:i/>
          <w:sz w:val="20"/>
        </w:rPr>
        <w:t>Hussain</w:t>
      </w:r>
      <w:proofErr w:type="spellEnd"/>
      <w:r>
        <w:rPr>
          <w:rFonts w:ascii="Cambria" w:hAnsi="Cambria"/>
          <w:i/>
          <w:sz w:val="20"/>
        </w:rPr>
        <w:t xml:space="preserve"> v. Obama</w:t>
      </w:r>
      <w:r>
        <w:rPr>
          <w:rFonts w:ascii="Cambria" w:hAnsi="Cambria"/>
          <w:sz w:val="20"/>
        </w:rPr>
        <w:t xml:space="preserve">, Harry T. Edwards, Juez Senior de Circuito, criticó la forma en la que la Corte de Circuito de D.C. manejó los casos de los detenidos de Guantánamo. En su voto concurrente afirmó que: </w:t>
      </w:r>
    </w:p>
    <w:p w:rsidR="00C8425A" w:rsidRPr="00FC2F1B" w:rsidRDefault="00C8425A" w:rsidP="004B328D">
      <w:pPr>
        <w:jc w:val="both"/>
        <w:rPr>
          <w:rFonts w:ascii="Cambria" w:hAnsi="Cambria"/>
          <w:sz w:val="20"/>
          <w:szCs w:val="20"/>
        </w:rPr>
      </w:pPr>
    </w:p>
    <w:p w:rsidR="00C8425A" w:rsidRPr="00FC2F1B" w:rsidRDefault="00C8425A" w:rsidP="001A0D7C">
      <w:pPr>
        <w:ind w:left="979"/>
        <w:jc w:val="both"/>
        <w:rPr>
          <w:rFonts w:ascii="Cambria" w:hAnsi="Cambria"/>
          <w:sz w:val="20"/>
          <w:szCs w:val="20"/>
        </w:rPr>
      </w:pPr>
      <w:r>
        <w:rPr>
          <w:rFonts w:ascii="Cambria" w:hAnsi="Cambria"/>
          <w:sz w:val="20"/>
        </w:rPr>
        <w:t>Me veo obligado por la ley del circuito a dar mi voto concurrente a la decisión de la corte. […] No tengo autoridad para distanciarme del precedente. Sin embargo, al evaluar un expediente como el presentado en este caso, nuestra jurisprudencia me inquieta.  Creo que hemos forzado las decisiones para que la ley aplicable haga sentido, para aplicar los estándares de revisión disponibles y para adherirnos a las órdenes de la Corte Suprema. Es hora de que el Presidente y el Congreso consideren seriamente una aproximación distinta al tratamiento de los casos de detenidos de Guantánamo</w:t>
      </w:r>
      <w:r>
        <w:rPr>
          <w:rStyle w:val="FootnoteReference"/>
          <w:rFonts w:ascii="Cambria" w:hAnsi="Cambria"/>
          <w:sz w:val="20"/>
        </w:rPr>
        <w:footnoteReference w:id="195"/>
      </w:r>
      <w:r>
        <w:rPr>
          <w:rFonts w:ascii="Cambria" w:hAnsi="Cambria"/>
          <w:sz w:val="20"/>
        </w:rPr>
        <w:t>.</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Según el Juez Edwards, no existía evidencia de que </w:t>
      </w:r>
      <w:proofErr w:type="spellStart"/>
      <w:r>
        <w:rPr>
          <w:rFonts w:ascii="Cambria" w:hAnsi="Cambria"/>
          <w:sz w:val="20"/>
        </w:rPr>
        <w:t>Hussain</w:t>
      </w:r>
      <w:proofErr w:type="spellEnd"/>
      <w:r>
        <w:rPr>
          <w:rFonts w:ascii="Cambria" w:hAnsi="Cambria"/>
          <w:sz w:val="20"/>
        </w:rPr>
        <w:t xml:space="preserve"> hubiera alguna vez estado involucrado en actos de guerra o terrorismo. Según sus afirmaciones, “de forma implícita, la mayoría invierte la carga de la prueba desde el gobierno hacia </w:t>
      </w:r>
      <w:proofErr w:type="spellStart"/>
      <w:r>
        <w:rPr>
          <w:rFonts w:ascii="Cambria" w:hAnsi="Cambria"/>
          <w:sz w:val="20"/>
        </w:rPr>
        <w:t>Hussain</w:t>
      </w:r>
      <w:proofErr w:type="spellEnd"/>
      <w:r>
        <w:rPr>
          <w:rFonts w:ascii="Cambria" w:hAnsi="Cambria"/>
          <w:sz w:val="20"/>
        </w:rPr>
        <w:t xml:space="preserve"> […], cuando la cuestión relevante es bastante simple: la carga de la prueba </w:t>
      </w:r>
      <w:r>
        <w:rPr>
          <w:rFonts w:ascii="Cambria" w:hAnsi="Cambria"/>
          <w:sz w:val="20"/>
        </w:rPr>
        <w:lastRenderedPageBreak/>
        <w:t xml:space="preserve">recaía en el gobierno, que tenía la obligación de presentar un caso contra </w:t>
      </w:r>
      <w:proofErr w:type="spellStart"/>
      <w:r>
        <w:rPr>
          <w:rFonts w:ascii="Cambria" w:hAnsi="Cambria"/>
          <w:sz w:val="20"/>
        </w:rPr>
        <w:t>Hussain</w:t>
      </w:r>
      <w:proofErr w:type="spellEnd"/>
      <w:r>
        <w:rPr>
          <w:rFonts w:ascii="Cambria" w:hAnsi="Cambria"/>
          <w:sz w:val="20"/>
        </w:rPr>
        <w:t xml:space="preserve"> con base en evidencia preponderante”</w:t>
      </w:r>
      <w:r>
        <w:rPr>
          <w:rStyle w:val="FootnoteReference"/>
          <w:rFonts w:ascii="Cambria" w:hAnsi="Cambria"/>
          <w:sz w:val="20"/>
        </w:rPr>
        <w:footnoteReference w:id="196"/>
      </w:r>
      <w:r>
        <w:rPr>
          <w:rFonts w:ascii="Cambria" w:hAnsi="Cambria"/>
          <w:sz w:val="20"/>
        </w:rPr>
        <w:t xml:space="preserve">. </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Además de la legalidad de la detención, otros aspectos han sido objeto de recursos ante cortes federales, como el acceso a defensa letrada y los traslados de detenidos, que serán analizados más adelante, así como también asuntos relacionados con la prueba, el acceso a información protegida, y la admisibilidad de declaraciones obtenidas bajo tortura. </w:t>
      </w:r>
    </w:p>
    <w:p w:rsidR="00C8425A" w:rsidRPr="00FC2F1B" w:rsidRDefault="00C8425A" w:rsidP="00C8425A">
      <w:pPr>
        <w:rPr>
          <w:sz w:val="20"/>
          <w:szCs w:val="20"/>
        </w:rPr>
      </w:pPr>
    </w:p>
    <w:p w:rsidR="00C8425A" w:rsidRPr="0054243D" w:rsidRDefault="00C8425A" w:rsidP="0054243D">
      <w:pPr>
        <w:pStyle w:val="Style4"/>
        <w:ind w:left="907" w:hanging="360"/>
        <w:outlineLvl w:val="3"/>
        <w:rPr>
          <w:sz w:val="22"/>
          <w:szCs w:val="22"/>
        </w:rPr>
      </w:pPr>
      <w:bookmarkStart w:id="44" w:name="_Toc423072845"/>
      <w:r>
        <w:rPr>
          <w:sz w:val="22"/>
        </w:rPr>
        <w:t>Recursos en materia probatoria</w:t>
      </w:r>
      <w:bookmarkEnd w:id="44"/>
    </w:p>
    <w:p w:rsidR="00C8425A" w:rsidRPr="00FC2F1B" w:rsidRDefault="00C8425A" w:rsidP="00C8425A">
      <w:pPr>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En </w:t>
      </w:r>
      <w:proofErr w:type="spellStart"/>
      <w:r>
        <w:rPr>
          <w:rFonts w:ascii="Cambria" w:hAnsi="Cambria"/>
          <w:i/>
          <w:sz w:val="20"/>
        </w:rPr>
        <w:t>Boumediene</w:t>
      </w:r>
      <w:proofErr w:type="spellEnd"/>
      <w:r>
        <w:rPr>
          <w:rFonts w:ascii="Cambria" w:hAnsi="Cambria"/>
          <w:sz w:val="20"/>
        </w:rPr>
        <w:t>, la Corte Suprema decidió que “lo que se requiere demostrar por parte del gobierno [en los recursos de hábeas corpus a favor de detenidos de Guantánamo] es un asunto cuya determinación todavía está pendiente”</w:t>
      </w:r>
      <w:r>
        <w:rPr>
          <w:rStyle w:val="FootnoteReference"/>
          <w:rFonts w:ascii="Cambria" w:hAnsi="Cambria"/>
          <w:sz w:val="20"/>
        </w:rPr>
        <w:footnoteReference w:id="197"/>
      </w:r>
      <w:r>
        <w:rPr>
          <w:rFonts w:ascii="Cambria" w:hAnsi="Cambria"/>
          <w:sz w:val="20"/>
        </w:rPr>
        <w:t xml:space="preserve">, dejando varios asuntos probatorios explícitamente sin resolver. De tal forma, cuestiones como el estándar de la prueba y la admisión de testimonios referenciales o de oída, esto es, afirmaciones realizadas fuera de la corte introducidas como evidencia para demostrar la verdad de una afirmación, fueron dejadas “a la experiencia y competencia” de cortes inferiores. </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En noviembre de 2008, la Corte de Distrito de D.C. emitió una Orden de Manejo de Casos (“CMO” por sus siglas en inglés) relativa al tratamiento de los casos de Guantánamo en la que señaló, entre otras cosas, que “la carga de probar </w:t>
      </w:r>
      <w:r>
        <w:rPr>
          <w:rFonts w:ascii="Cambria" w:hAnsi="Cambria"/>
          <w:i/>
          <w:sz w:val="20"/>
        </w:rPr>
        <w:t>con base en evidencia preponderante</w:t>
      </w:r>
      <w:r>
        <w:rPr>
          <w:rFonts w:ascii="Cambria" w:hAnsi="Cambria"/>
          <w:sz w:val="20"/>
        </w:rPr>
        <w:t xml:space="preserve"> que la detención del accionante es legal, debe recaer sobre el gobierno” (énfasis añadido)</w:t>
      </w:r>
      <w:r>
        <w:rPr>
          <w:rStyle w:val="FootnoteReference"/>
          <w:rFonts w:ascii="Cambria" w:hAnsi="Cambria"/>
          <w:sz w:val="20"/>
        </w:rPr>
        <w:footnoteReference w:id="198"/>
      </w:r>
      <w:r>
        <w:rPr>
          <w:rFonts w:ascii="Cambria" w:hAnsi="Cambria"/>
          <w:sz w:val="20"/>
        </w:rPr>
        <w:t xml:space="preserve">. En el caso </w:t>
      </w:r>
      <w:r>
        <w:rPr>
          <w:rFonts w:ascii="Cambria" w:hAnsi="Cambria"/>
          <w:i/>
          <w:sz w:val="20"/>
        </w:rPr>
        <w:t>Al-</w:t>
      </w:r>
      <w:proofErr w:type="spellStart"/>
      <w:r>
        <w:rPr>
          <w:rFonts w:ascii="Cambria" w:hAnsi="Cambria"/>
          <w:i/>
          <w:sz w:val="20"/>
        </w:rPr>
        <w:t>Bihani</w:t>
      </w:r>
      <w:proofErr w:type="spellEnd"/>
      <w:r>
        <w:rPr>
          <w:rFonts w:ascii="Cambria" w:hAnsi="Cambria"/>
          <w:i/>
          <w:sz w:val="20"/>
        </w:rPr>
        <w:t xml:space="preserve"> v. Obama</w:t>
      </w:r>
      <w:r>
        <w:rPr>
          <w:rFonts w:ascii="Cambria" w:hAnsi="Cambria"/>
          <w:sz w:val="20"/>
        </w:rPr>
        <w:t xml:space="preserve">, el detenido alegó que la aplicación del estándar de evidencia preponderante en su recurso de hábeas corpus era inconstitucional. El detenido apeló la decisión de la Corte de Distrito de D.C. de rechazar el recurso. </w:t>
      </w:r>
    </w:p>
    <w:p w:rsidR="00C8425A" w:rsidRPr="00FC2F1B" w:rsidRDefault="00C8425A" w:rsidP="00C8425A">
      <w:pPr>
        <w:pStyle w:val="ListParagraph"/>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Al-</w:t>
      </w:r>
      <w:proofErr w:type="spellStart"/>
      <w:r>
        <w:rPr>
          <w:rFonts w:ascii="Cambria" w:hAnsi="Cambria"/>
          <w:sz w:val="20"/>
        </w:rPr>
        <w:t>Bihani</w:t>
      </w:r>
      <w:proofErr w:type="spellEnd"/>
      <w:r>
        <w:rPr>
          <w:rFonts w:ascii="Cambria" w:hAnsi="Cambria"/>
          <w:sz w:val="20"/>
        </w:rPr>
        <w:t xml:space="preserve"> alegó ante la Corte de Circuito de D.C. que “la probabilidad de detención indefinida en esta guerra no convencional augura a favor de un estándar de duda razonable o, alternativamente, al menos un estándar claro y convincente</w:t>
      </w:r>
      <w:r>
        <w:rPr>
          <w:rStyle w:val="FootnoteReference"/>
          <w:rFonts w:ascii="Cambria" w:hAnsi="Cambria"/>
          <w:sz w:val="20"/>
        </w:rPr>
        <w:footnoteReference w:id="199"/>
      </w:r>
      <w:r>
        <w:rPr>
          <w:rFonts w:ascii="Cambria" w:hAnsi="Cambria"/>
          <w:sz w:val="20"/>
        </w:rPr>
        <w:t xml:space="preserve">. En la primera decisión sobre el fondo de un recurso de hábeas corpus  adoptada por la Corte de Circuito de D.C. con posterioridad al caso </w:t>
      </w:r>
      <w:proofErr w:type="spellStart"/>
      <w:r>
        <w:rPr>
          <w:rFonts w:ascii="Cambria" w:hAnsi="Cambria"/>
          <w:i/>
          <w:sz w:val="20"/>
        </w:rPr>
        <w:t>Boumediene</w:t>
      </w:r>
      <w:proofErr w:type="spellEnd"/>
      <w:r>
        <w:rPr>
          <w:rFonts w:ascii="Cambria" w:hAnsi="Cambria"/>
          <w:sz w:val="20"/>
        </w:rPr>
        <w:t xml:space="preserve">, la corte rechazó la apelación, afirmando que no hay indicios de que un estándar de preponderancia sea inconstitucional. La corte se refirió a la decisión del caso </w:t>
      </w:r>
      <w:proofErr w:type="spellStart"/>
      <w:r>
        <w:rPr>
          <w:rFonts w:ascii="Cambria" w:hAnsi="Cambria"/>
          <w:i/>
          <w:sz w:val="20"/>
        </w:rPr>
        <w:t>Hamdi</w:t>
      </w:r>
      <w:proofErr w:type="spellEnd"/>
      <w:r>
        <w:rPr>
          <w:rFonts w:ascii="Cambria" w:hAnsi="Cambria"/>
          <w:i/>
          <w:sz w:val="20"/>
        </w:rPr>
        <w:t xml:space="preserve"> v. Rumsfeld </w:t>
      </w:r>
      <w:r>
        <w:rPr>
          <w:rFonts w:ascii="Cambria" w:hAnsi="Cambria"/>
          <w:sz w:val="20"/>
        </w:rPr>
        <w:t>emitida en 2004 en la que la Corte Suprema describió como acorde con la Constitución un “esquema de inversión de la carga de la prueba” según el cual el gobierno sólo requiere presentar “evidencia creíble de que quien presenta el recurso de hábeas corpus cumple el criterio de enemigo combatiente” antes de que “la carga pueda trasladarse al accionante para refutar tal evidencia con base en evidencia más persuasiva de que no se enmarca dentro de dicho criterio”</w:t>
      </w:r>
      <w:r>
        <w:rPr>
          <w:rStyle w:val="FootnoteReference"/>
          <w:rFonts w:ascii="Cambria" w:hAnsi="Cambria"/>
          <w:sz w:val="20"/>
        </w:rPr>
        <w:footnoteReference w:id="200"/>
      </w:r>
      <w:r>
        <w:rPr>
          <w:rFonts w:ascii="Cambria" w:hAnsi="Cambria"/>
          <w:sz w:val="20"/>
        </w:rPr>
        <w:t xml:space="preserve">.  </w:t>
      </w:r>
    </w:p>
    <w:p w:rsidR="00C8425A" w:rsidRPr="00FC2F1B" w:rsidRDefault="00C8425A" w:rsidP="00C8425A">
      <w:pPr>
        <w:pStyle w:val="ListParagraph"/>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lastRenderedPageBreak/>
        <w:t xml:space="preserve">Otro aspecto relacionado con el estándar de la prueba que ha sido litigado ante cortes federales es la validez de los informes de inteligencia con base en los cuales el gobierno justifica la detención de personas en Guantánamo. El 21 de julio de 2010, el Juez Distrital Henry H. Kennedy Jr. emitió una decisión concediendo un recurso de hábeas corpus a favor de </w:t>
      </w:r>
      <w:proofErr w:type="spellStart"/>
      <w:r>
        <w:rPr>
          <w:rFonts w:ascii="Cambria" w:hAnsi="Cambria"/>
          <w:sz w:val="20"/>
        </w:rPr>
        <w:t>Adnan</w:t>
      </w:r>
      <w:proofErr w:type="spellEnd"/>
      <w:r>
        <w:rPr>
          <w:rFonts w:ascii="Cambria" w:hAnsi="Cambria"/>
          <w:sz w:val="20"/>
        </w:rPr>
        <w:t xml:space="preserve"> </w:t>
      </w:r>
      <w:proofErr w:type="spellStart"/>
      <w:r>
        <w:rPr>
          <w:rFonts w:ascii="Cambria" w:hAnsi="Cambria"/>
          <w:sz w:val="20"/>
        </w:rPr>
        <w:t>Farhan</w:t>
      </w:r>
      <w:proofErr w:type="spellEnd"/>
      <w:r>
        <w:rPr>
          <w:rFonts w:ascii="Cambria" w:hAnsi="Cambria"/>
          <w:sz w:val="20"/>
        </w:rPr>
        <w:t xml:space="preserve"> </w:t>
      </w:r>
      <w:proofErr w:type="spellStart"/>
      <w:r>
        <w:rPr>
          <w:rFonts w:ascii="Cambria" w:hAnsi="Cambria"/>
          <w:sz w:val="20"/>
        </w:rPr>
        <w:t>Abd</w:t>
      </w:r>
      <w:proofErr w:type="spellEnd"/>
      <w:r>
        <w:rPr>
          <w:rFonts w:ascii="Cambria" w:hAnsi="Cambria"/>
          <w:sz w:val="20"/>
        </w:rPr>
        <w:t xml:space="preserve"> Al </w:t>
      </w:r>
      <w:proofErr w:type="spellStart"/>
      <w:r>
        <w:rPr>
          <w:rFonts w:ascii="Cambria" w:hAnsi="Cambria"/>
          <w:sz w:val="20"/>
        </w:rPr>
        <w:t>Latif</w:t>
      </w:r>
      <w:proofErr w:type="spellEnd"/>
      <w:r>
        <w:rPr>
          <w:rFonts w:ascii="Cambria" w:hAnsi="Cambria"/>
          <w:sz w:val="20"/>
        </w:rPr>
        <w:t xml:space="preserve">, cuyo caso fue examinado en el capítulo anterior. </w:t>
      </w:r>
      <w:proofErr w:type="spellStart"/>
      <w:r>
        <w:rPr>
          <w:rFonts w:ascii="Cambria" w:hAnsi="Cambria"/>
          <w:sz w:val="20"/>
        </w:rPr>
        <w:t>Latif</w:t>
      </w:r>
      <w:proofErr w:type="spellEnd"/>
      <w:r>
        <w:rPr>
          <w:rFonts w:ascii="Cambria" w:hAnsi="Cambria"/>
          <w:sz w:val="20"/>
        </w:rPr>
        <w:t xml:space="preserve">, junto a otros detenidos de Guantánamo, había presentado un recurso de hábeas corpus alegando que se encontraba detenido ilegalmente. En su decisión, el juez afirmó que, dado que el gobierno no había demostrado que </w:t>
      </w:r>
      <w:proofErr w:type="spellStart"/>
      <w:r>
        <w:rPr>
          <w:rFonts w:ascii="Cambria" w:hAnsi="Cambria"/>
          <w:sz w:val="20"/>
        </w:rPr>
        <w:t>Latif</w:t>
      </w:r>
      <w:proofErr w:type="spellEnd"/>
      <w:r>
        <w:rPr>
          <w:rFonts w:ascii="Cambria" w:hAnsi="Cambria"/>
          <w:sz w:val="20"/>
        </w:rPr>
        <w:t xml:space="preserve"> era parte de Al Qaeda o alguna fuerza asociada, su detención era ilegal según la AUMF, por lo que ordenó su liberación. </w:t>
      </w:r>
    </w:p>
    <w:p w:rsidR="00C8425A" w:rsidRPr="00FC2F1B" w:rsidRDefault="00C8425A" w:rsidP="00C8425A">
      <w:pPr>
        <w:pStyle w:val="ListParagraph"/>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El 14 de octubre de 2011, la Corte de Circuito de D.C. revocó la decisión de la Corte Distrital. Haciendo referencia a informes de inteligencia utilizados por el gobierno como evidencia en el caso, la corte concluyó que la corte de distrito “no aplicó una presunción de regularidad respecto de un documento oficial del gobierno”</w:t>
      </w:r>
      <w:r>
        <w:rPr>
          <w:rStyle w:val="FootnoteReference"/>
          <w:rFonts w:ascii="Cambria" w:hAnsi="Cambria"/>
          <w:sz w:val="20"/>
        </w:rPr>
        <w:footnoteReference w:id="201"/>
      </w:r>
      <w:r>
        <w:rPr>
          <w:rFonts w:ascii="Cambria" w:hAnsi="Cambria"/>
          <w:sz w:val="20"/>
        </w:rPr>
        <w:t xml:space="preserve">. El Juez </w:t>
      </w:r>
      <w:proofErr w:type="spellStart"/>
      <w:r>
        <w:rPr>
          <w:rFonts w:ascii="Cambria" w:hAnsi="Cambria"/>
          <w:sz w:val="20"/>
        </w:rPr>
        <w:t>Tatel</w:t>
      </w:r>
      <w:proofErr w:type="spellEnd"/>
      <w:r>
        <w:rPr>
          <w:rFonts w:ascii="Cambria" w:hAnsi="Cambria"/>
          <w:sz w:val="20"/>
        </w:rPr>
        <w:t xml:space="preserve"> de la Corte de Circuito de D.C. emitió un voto disidente afirmando que la corte “ahora que se enfrenta a evidencia de que [el informe del gobierno] es</w:t>
      </w:r>
      <w:r>
        <w:rPr>
          <w:rFonts w:ascii="Cambria" w:hAnsi="Cambria"/>
          <w:i/>
          <w:sz w:val="20"/>
        </w:rPr>
        <w:t xml:space="preserve"> poco confiable</w:t>
      </w:r>
      <w:r>
        <w:rPr>
          <w:rFonts w:ascii="Cambria" w:hAnsi="Cambria"/>
          <w:sz w:val="20"/>
        </w:rPr>
        <w:t xml:space="preserve">, está moviendo los postes del arco”. Al respecto, su voto señaló que: </w:t>
      </w:r>
    </w:p>
    <w:p w:rsidR="00C8425A" w:rsidRPr="00FC2F1B" w:rsidRDefault="00C8425A" w:rsidP="00C8425A">
      <w:pPr>
        <w:pStyle w:val="ListParagraph"/>
        <w:rPr>
          <w:sz w:val="20"/>
          <w:szCs w:val="20"/>
        </w:rPr>
      </w:pPr>
    </w:p>
    <w:p w:rsidR="00C8425A" w:rsidRPr="00FC2F1B" w:rsidRDefault="00C8425A" w:rsidP="001A0D7C">
      <w:pPr>
        <w:ind w:left="979"/>
        <w:jc w:val="both"/>
        <w:rPr>
          <w:rFonts w:ascii="Cambria" w:hAnsi="Cambria"/>
          <w:sz w:val="20"/>
          <w:szCs w:val="20"/>
        </w:rPr>
      </w:pPr>
      <w:r>
        <w:rPr>
          <w:rFonts w:ascii="Cambria" w:hAnsi="Cambria"/>
          <w:sz w:val="20"/>
        </w:rPr>
        <w:t>[</w:t>
      </w:r>
      <w:proofErr w:type="gramStart"/>
      <w:r>
        <w:rPr>
          <w:rFonts w:ascii="Cambria" w:hAnsi="Cambria"/>
          <w:sz w:val="20"/>
        </w:rPr>
        <w:t>s]</w:t>
      </w:r>
      <w:proofErr w:type="spellStart"/>
      <w:proofErr w:type="gramEnd"/>
      <w:r>
        <w:rPr>
          <w:rFonts w:ascii="Cambria" w:hAnsi="Cambria"/>
          <w:sz w:val="20"/>
        </w:rPr>
        <w:t>egún</w:t>
      </w:r>
      <w:proofErr w:type="spellEnd"/>
      <w:r>
        <w:rPr>
          <w:rFonts w:ascii="Cambria" w:hAnsi="Cambria"/>
          <w:sz w:val="20"/>
        </w:rPr>
        <w:t xml:space="preserve"> la corte, dado que el Informe es un documento producido por el gobierno, la corte de distrito debía presumir que era certero a menos que </w:t>
      </w:r>
      <w:proofErr w:type="spellStart"/>
      <w:r>
        <w:rPr>
          <w:rFonts w:ascii="Cambria" w:hAnsi="Cambria"/>
          <w:sz w:val="20"/>
        </w:rPr>
        <w:t>Latif</w:t>
      </w:r>
      <w:proofErr w:type="spellEnd"/>
      <w:r>
        <w:rPr>
          <w:rFonts w:ascii="Cambria" w:hAnsi="Cambria"/>
          <w:sz w:val="20"/>
        </w:rPr>
        <w:t xml:space="preserve"> lograra desvirtuar dicha presunción […]. Al imponer esta nueva presunción y posteriormente </w:t>
      </w:r>
      <w:r>
        <w:rPr>
          <w:rFonts w:ascii="Cambria" w:hAnsi="Cambria"/>
          <w:i/>
          <w:sz w:val="20"/>
        </w:rPr>
        <w:t>concluir</w:t>
      </w:r>
      <w:r>
        <w:rPr>
          <w:rFonts w:ascii="Cambria" w:hAnsi="Cambria"/>
          <w:sz w:val="20"/>
        </w:rPr>
        <w:t xml:space="preserve"> que no ha sido desvirtuada, la corte está negando a </w:t>
      </w:r>
      <w:proofErr w:type="spellStart"/>
      <w:r>
        <w:rPr>
          <w:rFonts w:ascii="Cambria" w:hAnsi="Cambria"/>
          <w:sz w:val="20"/>
        </w:rPr>
        <w:t>Latif</w:t>
      </w:r>
      <w:proofErr w:type="spellEnd"/>
      <w:r>
        <w:rPr>
          <w:rFonts w:ascii="Cambria" w:hAnsi="Cambria"/>
          <w:sz w:val="20"/>
        </w:rPr>
        <w:t xml:space="preserve"> una “oportunidad significativa” de contradecir la legalidad de su detención, lo cual está garantizado por el caso </w:t>
      </w:r>
      <w:proofErr w:type="spellStart"/>
      <w:r>
        <w:rPr>
          <w:rFonts w:ascii="Cambria" w:hAnsi="Cambria"/>
          <w:sz w:val="20"/>
        </w:rPr>
        <w:t>Boumediene</w:t>
      </w:r>
      <w:proofErr w:type="spellEnd"/>
      <w:r>
        <w:rPr>
          <w:rFonts w:ascii="Cambria" w:hAnsi="Cambria"/>
          <w:sz w:val="20"/>
        </w:rPr>
        <w:t xml:space="preserve"> v. Bush</w:t>
      </w:r>
      <w:r>
        <w:rPr>
          <w:rStyle w:val="FootnoteReference"/>
          <w:rFonts w:ascii="Cambria" w:hAnsi="Cambria"/>
          <w:sz w:val="20"/>
        </w:rPr>
        <w:footnoteReference w:id="202"/>
      </w:r>
      <w:r>
        <w:rPr>
          <w:rFonts w:ascii="Cambria" w:hAnsi="Cambria"/>
          <w:sz w:val="20"/>
        </w:rPr>
        <w:t>.</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El voto disidente también concluyó que “sumado a este error, la corte realiza una revisión comprehensiva de las cuidadosas determinaciones fácticas de la corte de distrito. Falencias del Informe que la corte de distrito encontró graves, esta corte ahora </w:t>
      </w:r>
      <w:r>
        <w:rPr>
          <w:rFonts w:ascii="Cambria" w:hAnsi="Cambria"/>
          <w:i/>
          <w:sz w:val="20"/>
        </w:rPr>
        <w:t>concluye</w:t>
      </w:r>
      <w:r>
        <w:rPr>
          <w:rFonts w:ascii="Cambria" w:hAnsi="Cambria"/>
          <w:sz w:val="20"/>
        </w:rPr>
        <w:t xml:space="preserve"> que son menores […] sin haber siquiera establecido que la valoración de la prueba por parte de la corte de distrito estaba claramente equivocada”</w:t>
      </w:r>
      <w:r>
        <w:rPr>
          <w:rStyle w:val="FootnoteReference"/>
          <w:rFonts w:ascii="Cambria" w:hAnsi="Cambria"/>
          <w:sz w:val="20"/>
        </w:rPr>
        <w:footnoteReference w:id="203"/>
      </w:r>
      <w:r>
        <w:rPr>
          <w:rFonts w:ascii="Cambria" w:hAnsi="Cambria"/>
          <w:sz w:val="20"/>
        </w:rPr>
        <w:t>. En junio de 2012, la Corte Suprema de EE.UU. se abstuvo de emitir un auto de avocación (</w:t>
      </w:r>
      <w:proofErr w:type="spellStart"/>
      <w:r>
        <w:rPr>
          <w:rFonts w:ascii="Cambria" w:hAnsi="Cambria"/>
          <w:i/>
          <w:sz w:val="20"/>
        </w:rPr>
        <w:t>certiorari</w:t>
      </w:r>
      <w:proofErr w:type="spellEnd"/>
      <w:r>
        <w:rPr>
          <w:rFonts w:ascii="Cambria" w:hAnsi="Cambria"/>
          <w:sz w:val="20"/>
        </w:rPr>
        <w:t xml:space="preserve">) para conocer este caso y múltiples apelaciones para determinar si supuestos terroristas están recibiendo una oportunidad significativa para cuestionar la legalidad de sus detenciones”. </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El Profesor </w:t>
      </w:r>
      <w:proofErr w:type="spellStart"/>
      <w:r>
        <w:rPr>
          <w:rFonts w:ascii="Cambria" w:hAnsi="Cambria"/>
          <w:sz w:val="20"/>
        </w:rPr>
        <w:t>Hafetz</w:t>
      </w:r>
      <w:proofErr w:type="spellEnd"/>
      <w:r>
        <w:rPr>
          <w:rFonts w:ascii="Cambria" w:hAnsi="Cambria"/>
          <w:sz w:val="20"/>
        </w:rPr>
        <w:t xml:space="preserve"> ha subrayado la división entre los jueces de distrito y los de circuito con respecto al estándar de la prueba, en los siguientes términos</w:t>
      </w:r>
      <w:r>
        <w:rPr>
          <w:rStyle w:val="FootnoteReference"/>
          <w:rFonts w:ascii="Cambria" w:hAnsi="Cambria"/>
          <w:sz w:val="20"/>
        </w:rPr>
        <w:footnoteReference w:id="204"/>
      </w:r>
      <w:r>
        <w:rPr>
          <w:rFonts w:ascii="Cambria" w:hAnsi="Cambria"/>
          <w:sz w:val="20"/>
        </w:rPr>
        <w:t xml:space="preserve">: </w:t>
      </w:r>
    </w:p>
    <w:p w:rsidR="00C8425A" w:rsidRPr="00FC2F1B" w:rsidRDefault="00C8425A" w:rsidP="00C8425A">
      <w:pPr>
        <w:ind w:left="720"/>
        <w:jc w:val="both"/>
        <w:rPr>
          <w:rFonts w:ascii="Cambria" w:hAnsi="Cambria"/>
          <w:sz w:val="20"/>
          <w:szCs w:val="20"/>
        </w:rPr>
      </w:pPr>
    </w:p>
    <w:p w:rsidR="00C8425A" w:rsidRPr="00FC2F1B" w:rsidRDefault="00C8425A" w:rsidP="001A0D7C">
      <w:pPr>
        <w:ind w:left="979"/>
        <w:jc w:val="both"/>
        <w:rPr>
          <w:rFonts w:ascii="Cambria" w:hAnsi="Cambria"/>
          <w:sz w:val="20"/>
          <w:szCs w:val="20"/>
        </w:rPr>
      </w:pPr>
      <w:r>
        <w:rPr>
          <w:rFonts w:ascii="Cambria" w:hAnsi="Cambria"/>
          <w:sz w:val="20"/>
        </w:rPr>
        <w:t xml:space="preserve">El debate sobre el estándar de la prueba refleja una gran división entre los jueces de circuito y los de distrito con respecto al tratamiento que debe darse a la prueba presentada por el gobierno. Un área de división se relaciona con la “teoría mosaico” del gobierno. Originalmente aplicada al análisis de </w:t>
      </w:r>
      <w:r>
        <w:rPr>
          <w:rFonts w:ascii="Cambria" w:hAnsi="Cambria"/>
          <w:sz w:val="20"/>
        </w:rPr>
        <w:lastRenderedPageBreak/>
        <w:t>información de inteligencia, la teoría del mosaico se fundamenta en la premisa de que los elementos probatorios deben ser evaluados como un todo en vez de ser examinados de manera independiente. Varios jueces distritales han rechazado que el gobierno se base en esta teoría en el marco de los recursos de hábeas corpus a favor de detenidos […].</w:t>
      </w:r>
    </w:p>
    <w:p w:rsidR="00C8425A" w:rsidRPr="00FC2F1B" w:rsidRDefault="00C8425A" w:rsidP="001A0D7C">
      <w:pPr>
        <w:ind w:left="979"/>
        <w:jc w:val="both"/>
        <w:rPr>
          <w:rFonts w:ascii="Cambria" w:hAnsi="Cambria"/>
          <w:sz w:val="20"/>
          <w:szCs w:val="20"/>
        </w:rPr>
      </w:pPr>
    </w:p>
    <w:p w:rsidR="00C8425A" w:rsidRPr="00FC2F1B" w:rsidRDefault="00C8425A" w:rsidP="001A0D7C">
      <w:pPr>
        <w:ind w:left="979"/>
        <w:jc w:val="both"/>
        <w:rPr>
          <w:rFonts w:ascii="Cambria" w:hAnsi="Cambria"/>
          <w:sz w:val="20"/>
          <w:szCs w:val="20"/>
        </w:rPr>
      </w:pPr>
      <w:r>
        <w:rPr>
          <w:rFonts w:ascii="Cambria" w:hAnsi="Cambria"/>
          <w:sz w:val="20"/>
        </w:rPr>
        <w:t xml:space="preserve">El Juez </w:t>
      </w:r>
      <w:proofErr w:type="spellStart"/>
      <w:r>
        <w:rPr>
          <w:rFonts w:ascii="Cambria" w:hAnsi="Cambria"/>
          <w:sz w:val="20"/>
        </w:rPr>
        <w:t>Randolph</w:t>
      </w:r>
      <w:proofErr w:type="spellEnd"/>
      <w:r>
        <w:rPr>
          <w:rFonts w:ascii="Cambria" w:hAnsi="Cambria"/>
          <w:sz w:val="20"/>
        </w:rPr>
        <w:t xml:space="preserve"> de la Corte de Circuito ha adoptado una de las posiciones más extremas sobre este asunto, afirmando que los jueces deben llevar a cabo un análisis de probabilidad de las circunstancias al revisar la prueba […], de forma tal que, incluso cuando un hecho determinado no constituya prueba de lo que en última instancia se afirma (por ejemplo, que el detenido es un enemigo combatiente), ese hecho hace que sea más probable que otros hechos permitan determinar la veracidad de la afirmación, lo que a su vez permite convalidar la facultad de detener al accionante con base en la AUMF. El Juez </w:t>
      </w:r>
      <w:proofErr w:type="spellStart"/>
      <w:r>
        <w:rPr>
          <w:rFonts w:ascii="Cambria" w:hAnsi="Cambria"/>
          <w:sz w:val="20"/>
        </w:rPr>
        <w:t>Silberman</w:t>
      </w:r>
      <w:proofErr w:type="spellEnd"/>
      <w:r>
        <w:rPr>
          <w:rFonts w:ascii="Cambria" w:hAnsi="Cambria"/>
          <w:sz w:val="20"/>
        </w:rPr>
        <w:t xml:space="preserve"> de la Corte de Circuito también ha defendido un enfoque similar, argumentando que un juez de Circuito de D.C. no debe ordenar la liberación de un detenido de Guantánamo si cree que “existe alguna posibilidad de que el peticionario sea un adherente de Al-Qaeda o apoye activamente esta organización”</w:t>
      </w:r>
      <w:r>
        <w:rPr>
          <w:rStyle w:val="FootnoteReference"/>
          <w:rFonts w:ascii="Cambria" w:hAnsi="Cambria"/>
          <w:sz w:val="20"/>
        </w:rPr>
        <w:footnoteReference w:id="205"/>
      </w:r>
      <w:r>
        <w:rPr>
          <w:rFonts w:ascii="Cambria" w:hAnsi="Cambria"/>
          <w:sz w:val="20"/>
        </w:rPr>
        <w:t xml:space="preserve">. </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Con respecto a las solicitudes de prueba adicional, en el caso </w:t>
      </w:r>
      <w:proofErr w:type="spellStart"/>
      <w:r>
        <w:rPr>
          <w:rFonts w:ascii="Cambria" w:hAnsi="Cambria"/>
          <w:i/>
          <w:sz w:val="20"/>
        </w:rPr>
        <w:t>Abdulmalik</w:t>
      </w:r>
      <w:proofErr w:type="spellEnd"/>
      <w:r>
        <w:rPr>
          <w:rFonts w:ascii="Cambria" w:hAnsi="Cambria"/>
          <w:i/>
          <w:sz w:val="20"/>
        </w:rPr>
        <w:t xml:space="preserve"> v. Obama</w:t>
      </w:r>
      <w:r>
        <w:rPr>
          <w:rFonts w:ascii="Cambria" w:hAnsi="Cambria"/>
          <w:sz w:val="20"/>
        </w:rPr>
        <w:t xml:space="preserve"> el detenido solicitó que la Corte de Distrito de D.C. ordene al gobierno revelar los nombres de quienes lo interrogaron y de los que estuvieron presentes en los interrogatorios antes de su traslado a Guantánamo; así como también que permita llamar como testigos a dichos individuos. Alegó que los testimonios eran necesarios para establecer que fue maltratado durante el interrogatorio, lo que incide sobre la falta de credibilidad de sus afirmaciones. Si bien la corte no se pronunció sobre el fondo del caso, el 26 de julio de 2011 decidió que el gobierno debía revelar toda la prueba disponible para contradecir las alegaciones de abuso realizadas por el detenido, con el fin de permitirle explicar por qué la prueba solicitada le permitiría contradecir la base fáctica de su detención. El gobierno debe también realizar una búsqueda en todas sus bases de datos con el objetivo de identificar pruebas de descargo respecto de las afirmaciones del detenido</w:t>
      </w:r>
      <w:r>
        <w:rPr>
          <w:rStyle w:val="FootnoteReference"/>
          <w:rFonts w:ascii="Cambria" w:hAnsi="Cambria"/>
          <w:sz w:val="20"/>
        </w:rPr>
        <w:footnoteReference w:id="206"/>
      </w:r>
      <w:r>
        <w:rPr>
          <w:rFonts w:ascii="Cambria" w:hAnsi="Cambria"/>
          <w:sz w:val="20"/>
        </w:rPr>
        <w:t xml:space="preserve">.  </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El centro de la controversia ha estado en el uso de testimonios referenciales como prueba por parte del gobierno, lo que resulta inadmisible según las Normas Federales sobre la Prueba (</w:t>
      </w:r>
      <w:r>
        <w:rPr>
          <w:rFonts w:ascii="Cambria" w:hAnsi="Cambria"/>
          <w:i/>
          <w:sz w:val="20"/>
        </w:rPr>
        <w:t xml:space="preserve">Federal Rules of </w:t>
      </w:r>
      <w:proofErr w:type="spellStart"/>
      <w:r>
        <w:rPr>
          <w:rFonts w:ascii="Cambria" w:hAnsi="Cambria"/>
          <w:i/>
          <w:sz w:val="20"/>
        </w:rPr>
        <w:t>Evidence</w:t>
      </w:r>
      <w:proofErr w:type="spellEnd"/>
      <w:r>
        <w:rPr>
          <w:rFonts w:ascii="Cambria" w:hAnsi="Cambria"/>
          <w:sz w:val="20"/>
        </w:rPr>
        <w:t xml:space="preserve">). En el caso </w:t>
      </w:r>
      <w:proofErr w:type="spellStart"/>
      <w:r>
        <w:rPr>
          <w:rFonts w:ascii="Cambria" w:hAnsi="Cambria"/>
          <w:i/>
          <w:sz w:val="20"/>
        </w:rPr>
        <w:t>Hamdi</w:t>
      </w:r>
      <w:proofErr w:type="spellEnd"/>
      <w:r>
        <w:rPr>
          <w:rFonts w:ascii="Cambria" w:hAnsi="Cambria"/>
          <w:i/>
          <w:sz w:val="20"/>
        </w:rPr>
        <w:t xml:space="preserve"> v. Rumsfeld, </w:t>
      </w:r>
      <w:r>
        <w:rPr>
          <w:rFonts w:ascii="Cambria" w:hAnsi="Cambria"/>
          <w:sz w:val="20"/>
        </w:rPr>
        <w:t>la Corte Suprema de Estados Unidos decidió que “podía ser necesario aceptar [testimonios referenciales] como la prueba disponible más confiable del gobierno” durante un conflicto militar en curso</w:t>
      </w:r>
      <w:r>
        <w:rPr>
          <w:rStyle w:val="FootnoteReference"/>
          <w:rFonts w:ascii="Cambria" w:hAnsi="Cambria"/>
          <w:sz w:val="20"/>
        </w:rPr>
        <w:footnoteReference w:id="207"/>
      </w:r>
      <w:r>
        <w:rPr>
          <w:rFonts w:ascii="Cambria" w:hAnsi="Cambria"/>
          <w:sz w:val="20"/>
        </w:rPr>
        <w:t>. En la misma línea de esa decisión, la CMO permite que jueces de distrito admitan como prueba testimonios referenciales que sean “confiables” así como “sustanciales y relevantes a la legalidad de la detención del accionante” cuando “la norma que impide el uso de testimonios referenciales como evidencia únicamente generaría una carga indebida en el recurrente o interfiera con los esfuerzos del gobierno de proteger la seguridad nacional”</w:t>
      </w:r>
      <w:r>
        <w:rPr>
          <w:rStyle w:val="FootnoteReference"/>
          <w:rFonts w:ascii="Cambria" w:hAnsi="Cambria"/>
          <w:sz w:val="20"/>
        </w:rPr>
        <w:footnoteReference w:id="208"/>
      </w:r>
      <w:r>
        <w:rPr>
          <w:rFonts w:ascii="Cambria" w:hAnsi="Cambria"/>
          <w:sz w:val="20"/>
        </w:rPr>
        <w:t xml:space="preserve">. En general, los jueces de distrito y de circuito han admitido como prueba testimonios </w:t>
      </w:r>
      <w:r>
        <w:rPr>
          <w:rFonts w:ascii="Cambria" w:hAnsi="Cambria"/>
          <w:sz w:val="20"/>
        </w:rPr>
        <w:lastRenderedPageBreak/>
        <w:t xml:space="preserve">referenciales, enfocándose en la cuestión de cuánto peso pueden asignar a esta evidencia. En </w:t>
      </w:r>
      <w:r>
        <w:rPr>
          <w:rFonts w:ascii="Cambria" w:hAnsi="Cambria"/>
          <w:i/>
          <w:sz w:val="20"/>
        </w:rPr>
        <w:t>Al-</w:t>
      </w:r>
      <w:proofErr w:type="spellStart"/>
      <w:r>
        <w:rPr>
          <w:rFonts w:ascii="Cambria" w:hAnsi="Cambria"/>
          <w:i/>
          <w:sz w:val="20"/>
        </w:rPr>
        <w:t>Bihani</w:t>
      </w:r>
      <w:proofErr w:type="spellEnd"/>
      <w:r>
        <w:rPr>
          <w:rFonts w:ascii="Cambria" w:hAnsi="Cambria"/>
          <w:i/>
          <w:sz w:val="20"/>
        </w:rPr>
        <w:t xml:space="preserve"> v. Obama, </w:t>
      </w:r>
      <w:r>
        <w:rPr>
          <w:rFonts w:ascii="Cambria" w:hAnsi="Cambria"/>
          <w:sz w:val="20"/>
        </w:rPr>
        <w:t>la Corte de Circuito de D.C. concluyó que “Al-</w:t>
      </w:r>
      <w:proofErr w:type="spellStart"/>
      <w:r>
        <w:rPr>
          <w:rFonts w:ascii="Cambria" w:hAnsi="Cambria"/>
          <w:sz w:val="20"/>
        </w:rPr>
        <w:t>Bihani</w:t>
      </w:r>
      <w:proofErr w:type="spellEnd"/>
      <w:r>
        <w:rPr>
          <w:rFonts w:ascii="Cambria" w:hAnsi="Cambria"/>
          <w:sz w:val="20"/>
        </w:rPr>
        <w:t xml:space="preserve"> no puede presentar la objeción tradicional basada en la Cláusula de Confrontación de la Sexta Enmienda [que garantiza el derecho del acusado a confrontar a quienes testifiquen en su contra] […] porque la Cláusula de Confrontación sólo es aplicable a los procedimientos penales” y no a los casos de hábeas corpus que cuestionan una detención militar”</w:t>
      </w:r>
      <w:r>
        <w:rPr>
          <w:rStyle w:val="FootnoteReference"/>
          <w:rFonts w:ascii="Cambria" w:hAnsi="Cambria"/>
          <w:sz w:val="20"/>
        </w:rPr>
        <w:footnoteReference w:id="209"/>
      </w:r>
      <w:r>
        <w:rPr>
          <w:rFonts w:ascii="Cambria" w:hAnsi="Cambria"/>
          <w:sz w:val="20"/>
        </w:rPr>
        <w:t xml:space="preserve">. </w:t>
      </w:r>
    </w:p>
    <w:p w:rsidR="00C8425A" w:rsidRPr="00FC2F1B" w:rsidRDefault="00C8425A" w:rsidP="00C8425A">
      <w:pPr>
        <w:jc w:val="both"/>
        <w:rPr>
          <w:rFonts w:ascii="Cambria" w:hAnsi="Cambria"/>
          <w:sz w:val="20"/>
          <w:szCs w:val="20"/>
        </w:rPr>
      </w:pPr>
    </w:p>
    <w:p w:rsidR="00C8425A" w:rsidRPr="0054243D" w:rsidRDefault="00C8425A" w:rsidP="0054243D">
      <w:pPr>
        <w:pStyle w:val="Style4"/>
        <w:ind w:left="907" w:hanging="360"/>
        <w:outlineLvl w:val="3"/>
        <w:rPr>
          <w:sz w:val="22"/>
          <w:szCs w:val="22"/>
        </w:rPr>
      </w:pPr>
      <w:bookmarkStart w:id="45" w:name="_Toc423072846"/>
      <w:r>
        <w:rPr>
          <w:sz w:val="22"/>
        </w:rPr>
        <w:t>Otros recursos</w:t>
      </w:r>
      <w:bookmarkEnd w:id="45"/>
    </w:p>
    <w:p w:rsidR="00C8425A" w:rsidRPr="00FC2F1B" w:rsidRDefault="00C8425A" w:rsidP="00C8425A">
      <w:pPr>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Respecto del acceso a información clasificada para su uso en recursos de hábeas corpus, el 9 de enero de 2013, la Corte de Circuito de D.C. estableció en el caso </w:t>
      </w:r>
      <w:proofErr w:type="spellStart"/>
      <w:r>
        <w:rPr>
          <w:rFonts w:ascii="Cambria" w:hAnsi="Cambria"/>
          <w:i/>
          <w:sz w:val="20"/>
        </w:rPr>
        <w:t>Mousovi</w:t>
      </w:r>
      <w:proofErr w:type="spellEnd"/>
      <w:r>
        <w:rPr>
          <w:rFonts w:ascii="Cambria" w:hAnsi="Cambria"/>
          <w:i/>
          <w:sz w:val="20"/>
        </w:rPr>
        <w:t xml:space="preserve"> v. Obama </w:t>
      </w:r>
      <w:r>
        <w:rPr>
          <w:rFonts w:ascii="Cambria" w:hAnsi="Cambria"/>
          <w:sz w:val="20"/>
        </w:rPr>
        <w:t>que el gobierno debía permitir una revisión de la corte</w:t>
      </w:r>
      <w:r>
        <w:rPr>
          <w:rFonts w:ascii="Cambria" w:hAnsi="Cambria"/>
          <w:i/>
          <w:sz w:val="20"/>
        </w:rPr>
        <w:t xml:space="preserve"> in-</w:t>
      </w:r>
      <w:proofErr w:type="spellStart"/>
      <w:r>
        <w:rPr>
          <w:rFonts w:ascii="Cambria" w:hAnsi="Cambria"/>
          <w:i/>
          <w:sz w:val="20"/>
        </w:rPr>
        <w:t>camara</w:t>
      </w:r>
      <w:proofErr w:type="spellEnd"/>
      <w:r>
        <w:rPr>
          <w:rFonts w:ascii="Cambria" w:hAnsi="Cambria"/>
          <w:sz w:val="20"/>
        </w:rPr>
        <w:t xml:space="preserve"> (de carácter confidencial) que permita concluir si un documento es admisible o no. Si bien se permitió al gobierno suprimir textos y editar documentos clasificados antes de ser revelados a la defensa del accionante, la corte debía poder revisar los documentos para valorar adecuadamente los actos del ejecutivo</w:t>
      </w:r>
      <w:r>
        <w:rPr>
          <w:rStyle w:val="FootnoteReference"/>
          <w:rFonts w:ascii="Cambria" w:hAnsi="Cambria"/>
          <w:sz w:val="20"/>
        </w:rPr>
        <w:footnoteReference w:id="210"/>
      </w:r>
      <w:r>
        <w:rPr>
          <w:rFonts w:ascii="Cambria" w:hAnsi="Cambria"/>
          <w:sz w:val="20"/>
        </w:rPr>
        <w:t xml:space="preserve">. </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Adicionalmente, la Corte de Distrito de D.C. en el caso </w:t>
      </w:r>
      <w:r>
        <w:rPr>
          <w:rFonts w:ascii="Cambria" w:hAnsi="Cambria"/>
          <w:i/>
          <w:sz w:val="20"/>
        </w:rPr>
        <w:t xml:space="preserve">International </w:t>
      </w:r>
      <w:proofErr w:type="spellStart"/>
      <w:r>
        <w:rPr>
          <w:rFonts w:ascii="Cambria" w:hAnsi="Cambria"/>
          <w:i/>
          <w:sz w:val="20"/>
        </w:rPr>
        <w:t>Counsel</w:t>
      </w:r>
      <w:proofErr w:type="spellEnd"/>
      <w:r>
        <w:rPr>
          <w:rFonts w:ascii="Cambria" w:hAnsi="Cambria"/>
          <w:i/>
          <w:sz w:val="20"/>
        </w:rPr>
        <w:t xml:space="preserve"> Bureau v. U.S. </w:t>
      </w:r>
      <w:proofErr w:type="spellStart"/>
      <w:r>
        <w:rPr>
          <w:rFonts w:ascii="Cambria" w:hAnsi="Cambria"/>
          <w:i/>
          <w:sz w:val="20"/>
        </w:rPr>
        <w:t>Dep’t</w:t>
      </w:r>
      <w:proofErr w:type="spellEnd"/>
      <w:r>
        <w:rPr>
          <w:rFonts w:ascii="Cambria" w:hAnsi="Cambria"/>
          <w:i/>
          <w:sz w:val="20"/>
        </w:rPr>
        <w:t xml:space="preserve"> of </w:t>
      </w:r>
      <w:proofErr w:type="spellStart"/>
      <w:r>
        <w:rPr>
          <w:rFonts w:ascii="Cambria" w:hAnsi="Cambria"/>
          <w:i/>
          <w:sz w:val="20"/>
        </w:rPr>
        <w:t>Defense</w:t>
      </w:r>
      <w:proofErr w:type="spellEnd"/>
      <w:r>
        <w:rPr>
          <w:rFonts w:ascii="Cambria" w:hAnsi="Cambria"/>
          <w:sz w:val="20"/>
        </w:rPr>
        <w:t xml:space="preserve"> rechazó una solicitud presentada con base en la Ley de Acceso a la Información (“FOIA” por sus siglas en inglés) para acceder a registros, videos e imágenes de cuatro detenidos de Guantánamo. La corte estableció que el Departamento de Defensa no estaba obligado a revelar la información con fundamento en la amplia Excepción 1 de la FOIA</w:t>
      </w:r>
      <w:r>
        <w:rPr>
          <w:rStyle w:val="FootnoteReference"/>
          <w:rFonts w:ascii="Cambria" w:hAnsi="Cambria"/>
          <w:sz w:val="20"/>
        </w:rPr>
        <w:footnoteReference w:id="211"/>
      </w:r>
      <w:r>
        <w:rPr>
          <w:rFonts w:ascii="Cambria" w:hAnsi="Cambria"/>
          <w:sz w:val="20"/>
        </w:rPr>
        <w:t xml:space="preserve">. Según esta excepción, la agencia no necesita revelar información si ha sido apropiadamente clasificada. En el caso en cuestión, distintos decretos ejecutivos contenían información clasificada de interés. </w:t>
      </w:r>
    </w:p>
    <w:p w:rsidR="00C8425A" w:rsidRPr="00FC2F1B" w:rsidRDefault="00C8425A" w:rsidP="00C8425A">
      <w:pPr>
        <w:pStyle w:val="ListParagraph"/>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Respecto de la información sensible pero no clasificada en los escritos de respuesta sobre los hechos (documentos que el gobierno debe presentar en respuesta a recursos de hábeas corpus), la Corte de Distrito de D.C. en el caso </w:t>
      </w:r>
      <w:r>
        <w:rPr>
          <w:rFonts w:ascii="Cambria" w:hAnsi="Cambria"/>
          <w:i/>
          <w:sz w:val="20"/>
        </w:rPr>
        <w:t xml:space="preserve">In re </w:t>
      </w:r>
      <w:proofErr w:type="spellStart"/>
      <w:r>
        <w:rPr>
          <w:rFonts w:ascii="Cambria" w:hAnsi="Cambria"/>
          <w:i/>
          <w:sz w:val="20"/>
        </w:rPr>
        <w:t>Guantanamo</w:t>
      </w:r>
      <w:proofErr w:type="spellEnd"/>
      <w:r>
        <w:rPr>
          <w:rFonts w:ascii="Cambria" w:hAnsi="Cambria"/>
          <w:i/>
          <w:sz w:val="20"/>
        </w:rPr>
        <w:t xml:space="preserve"> </w:t>
      </w:r>
      <w:proofErr w:type="spellStart"/>
      <w:r>
        <w:rPr>
          <w:rFonts w:ascii="Cambria" w:hAnsi="Cambria"/>
          <w:i/>
          <w:sz w:val="20"/>
        </w:rPr>
        <w:t>Bay</w:t>
      </w:r>
      <w:proofErr w:type="spellEnd"/>
      <w:r>
        <w:rPr>
          <w:rFonts w:ascii="Cambria" w:hAnsi="Cambria"/>
          <w:i/>
          <w:sz w:val="20"/>
        </w:rPr>
        <w:t xml:space="preserve"> </w:t>
      </w:r>
      <w:proofErr w:type="spellStart"/>
      <w:r>
        <w:rPr>
          <w:rFonts w:ascii="Cambria" w:hAnsi="Cambria"/>
          <w:i/>
          <w:sz w:val="20"/>
        </w:rPr>
        <w:t>Detainee</w:t>
      </w:r>
      <w:proofErr w:type="spellEnd"/>
      <w:r>
        <w:rPr>
          <w:rFonts w:ascii="Cambria" w:hAnsi="Cambria"/>
          <w:i/>
          <w:sz w:val="20"/>
        </w:rPr>
        <w:t xml:space="preserve"> </w:t>
      </w:r>
      <w:proofErr w:type="spellStart"/>
      <w:r>
        <w:rPr>
          <w:rFonts w:ascii="Cambria" w:hAnsi="Cambria"/>
          <w:i/>
          <w:sz w:val="20"/>
        </w:rPr>
        <w:t>Litig</w:t>
      </w:r>
      <w:proofErr w:type="spellEnd"/>
      <w:r>
        <w:rPr>
          <w:rFonts w:ascii="Cambria" w:hAnsi="Cambria"/>
          <w:i/>
          <w:sz w:val="20"/>
        </w:rPr>
        <w:t xml:space="preserve">. </w:t>
      </w:r>
      <w:r>
        <w:rPr>
          <w:rFonts w:ascii="Cambria" w:hAnsi="Cambria"/>
          <w:sz w:val="20"/>
        </w:rPr>
        <w:t xml:space="preserve">estableció que toda información que el gobierno quiera considerar “protegida” debe cumplir con el test de dos pasos establecido en el caso </w:t>
      </w:r>
      <w:proofErr w:type="spellStart"/>
      <w:r>
        <w:rPr>
          <w:rFonts w:ascii="Cambria" w:hAnsi="Cambria"/>
          <w:i/>
          <w:sz w:val="20"/>
        </w:rPr>
        <w:t>Parhat</w:t>
      </w:r>
      <w:proofErr w:type="spellEnd"/>
      <w:r>
        <w:rPr>
          <w:rFonts w:ascii="Cambria" w:hAnsi="Cambria"/>
          <w:sz w:val="20"/>
        </w:rPr>
        <w:t>. Primero, el gobierno debe identificar las categorías de información que busca proteger y proporcionar una base válida para retener información dentro de esas categorías. Segundo, la corte debe determinar si la información específica que el gobierno ha designado como protegida en efecto se enmarca dentro de la categoría identificada en el paso uno</w:t>
      </w:r>
      <w:r>
        <w:rPr>
          <w:rStyle w:val="FootnoteReference"/>
          <w:rFonts w:ascii="Cambria" w:hAnsi="Cambria"/>
          <w:sz w:val="20"/>
        </w:rPr>
        <w:footnoteReference w:id="212"/>
      </w:r>
      <w:r>
        <w:rPr>
          <w:rFonts w:ascii="Cambria" w:hAnsi="Cambria"/>
          <w:sz w:val="20"/>
        </w:rPr>
        <w:t xml:space="preserve">. </w:t>
      </w:r>
    </w:p>
    <w:p w:rsidR="00C8425A" w:rsidRPr="00FC2F1B" w:rsidRDefault="00C8425A" w:rsidP="00C8425A">
      <w:pPr>
        <w:pStyle w:val="ListParagraph"/>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Al referirse a la cuestión del consentimiento en las declaraciones de los detenidos, la Corte de Distrito de D.C. ha adoptado un marco básico. Los jueces de cortes distritales requieren el consentimiento como condición de admisibilidad, y cuando un detenido establece que hubo coerción o el gobierno no contradice un supuesto de falta de consentimiento, los jueces deben realizar un análisis atenuante, con base en un test de distintos factores, para determinar por cuánto tiempo el perjuicio de esa coerción continúa afectando las declaraciones realizadas posteriormente bajo </w:t>
      </w:r>
      <w:r>
        <w:rPr>
          <w:rFonts w:ascii="Cambria" w:hAnsi="Cambria"/>
          <w:sz w:val="20"/>
        </w:rPr>
        <w:lastRenderedPageBreak/>
        <w:t>condiciones libres de coerción. La Corte de Circuito de D.C., sin embargo, ha evitado referirse a este asunto</w:t>
      </w:r>
      <w:r>
        <w:rPr>
          <w:rStyle w:val="FootnoteReference"/>
          <w:rFonts w:ascii="Cambria" w:hAnsi="Cambria"/>
          <w:sz w:val="20"/>
        </w:rPr>
        <w:footnoteReference w:id="213"/>
      </w:r>
      <w:r>
        <w:rPr>
          <w:rFonts w:ascii="Cambria" w:hAnsi="Cambria"/>
          <w:sz w:val="20"/>
        </w:rPr>
        <w:t xml:space="preserve">. </w:t>
      </w:r>
    </w:p>
    <w:p w:rsidR="00C8425A" w:rsidRPr="00FC2F1B" w:rsidRDefault="00C8425A" w:rsidP="00C8425A">
      <w:pPr>
        <w:pStyle w:val="ListParagraph"/>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En el caso </w:t>
      </w:r>
      <w:r>
        <w:rPr>
          <w:rFonts w:ascii="Cambria" w:hAnsi="Cambria"/>
          <w:i/>
          <w:sz w:val="20"/>
        </w:rPr>
        <w:t>Al-</w:t>
      </w:r>
      <w:proofErr w:type="spellStart"/>
      <w:r>
        <w:rPr>
          <w:rFonts w:ascii="Cambria" w:hAnsi="Cambria"/>
          <w:i/>
          <w:sz w:val="20"/>
        </w:rPr>
        <w:t>Hajj</w:t>
      </w:r>
      <w:proofErr w:type="spellEnd"/>
      <w:r>
        <w:rPr>
          <w:rFonts w:ascii="Cambria" w:hAnsi="Cambria"/>
          <w:i/>
          <w:sz w:val="20"/>
        </w:rPr>
        <w:t xml:space="preserve"> v. Obama</w:t>
      </w:r>
      <w:r>
        <w:rPr>
          <w:rFonts w:ascii="Cambria" w:hAnsi="Cambria"/>
          <w:sz w:val="20"/>
        </w:rPr>
        <w:t>, el detenido alegó que las declaraciones inculpatorias fueron obtenidas bajo coerción o bajo la influencia de coerción previa. El 23 de mayo de 2011, la Corte de Distrito de D.C. aceptó la moción del detenido para inadmitir como prueba sus declaraciones realizadas mientras estaba bajo custodia en Guantánamo puesto que los demandados no demostraron que los efectos de la coerción ejercida durante su detención previa se habían desvanecido</w:t>
      </w:r>
      <w:r>
        <w:rPr>
          <w:rStyle w:val="FootnoteReference"/>
          <w:rFonts w:ascii="Cambria" w:hAnsi="Cambria"/>
          <w:sz w:val="20"/>
        </w:rPr>
        <w:footnoteReference w:id="214"/>
      </w:r>
      <w:r>
        <w:rPr>
          <w:rFonts w:ascii="Cambria" w:hAnsi="Cambria"/>
          <w:sz w:val="20"/>
        </w:rPr>
        <w:t xml:space="preserve">. El detenido afirmó, sin ser controvertido, que había sido sometido a torturas en Jordania y Afganistán antes de su llegada a Guantánamo. La corte aplicó el análisis atenuante con base en factores como el tiempo transcurrido entre las confesiones, el cambio de lugar de los interrogatorios, el cambio en la identidad de los agentes a cargo del interrogatorio, la duración de la detención, la naturaleza reiterada y prolongada de los interrogatorios, el uso de castigos físicos, y los efectos continuos de técnicas coercitivas previas respecto del consentimiento para confesiones subsiguientes. Sobre el gobierno recaía la carga de probar de manera preponderante que cada confesión fue voluntaria.     </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Según los estándares interamericanos, nadie puede ser privado de su libertad en ausencia de las garantías de debido proceso y, cualquiera sea su estatus, toda persona goza del derecho inderogable a la revisión judicial de su detención</w:t>
      </w:r>
      <w:r>
        <w:rPr>
          <w:rStyle w:val="FootnoteReference"/>
          <w:rFonts w:ascii="Cambria" w:hAnsi="Cambria"/>
          <w:sz w:val="20"/>
        </w:rPr>
        <w:footnoteReference w:id="215"/>
      </w:r>
      <w:r>
        <w:rPr>
          <w:rFonts w:ascii="Cambria" w:hAnsi="Cambria"/>
          <w:sz w:val="20"/>
        </w:rPr>
        <w:t>. La Comisión Interamericana ha reconocido desde hace mucho tiempo que el recurso de hábeas corpus es garantía esencial del derecho a no ser detenido arbitrariamente. De acuerdo a un principio fundamental establecido en el sistema interamericano, para que un recurso sea efectivo “debe en la práctica poder establecer efectivamente si se ha producido una violación de derechos humanos y repararla”. Adicionalmente, los recursos judiciales “no pueden ser reducidos a una mera formalidad” y “deben analizar los motivos invocados por el accionante” y realizar conclusiones explícitas en respuesta</w:t>
      </w:r>
      <w:r>
        <w:rPr>
          <w:rStyle w:val="FootnoteReference"/>
          <w:rFonts w:ascii="Cambria" w:hAnsi="Cambria"/>
          <w:sz w:val="20"/>
        </w:rPr>
        <w:footnoteReference w:id="216"/>
      </w:r>
      <w:r>
        <w:rPr>
          <w:rFonts w:ascii="Cambria" w:hAnsi="Cambria"/>
          <w:sz w:val="20"/>
        </w:rPr>
        <w:t>.</w:t>
      </w:r>
    </w:p>
    <w:p w:rsidR="00C8425A" w:rsidRPr="00FC2F1B" w:rsidRDefault="00C8425A" w:rsidP="00C8425A">
      <w:pPr>
        <w:pStyle w:val="ListParagraph"/>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Al analizar la compatibilidad del régimen de detención con los estándares del sistema interamericano, la aplicación de presunciones y cargas de la prueba puede jugar un rol decisivo con respecto a si el acceso a la protección judicial es efectivo en la práctica. Por tanto, habiendo analizado la evolución de la jurisprudencia, la Comisión debe subrayar que la aplicación de un estándar de “preponderancia de la prueba” en estos casos, sumado a la presunción de “regularidad” aplicada a los documentos gubernamentales, luego de lo cual la carga de la prueba respecto de si el detenido cumple los criterios para la detención se traslada al detenido, no ofrece la protección que el acceso al recurso de hábeas corpus busca garantizar. </w:t>
      </w:r>
    </w:p>
    <w:p w:rsidR="00C8425A" w:rsidRPr="00FC2F1B" w:rsidRDefault="00C8425A" w:rsidP="00C8425A">
      <w:pPr>
        <w:pStyle w:val="ListParagraph"/>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lastRenderedPageBreak/>
        <w:t xml:space="preserve">La afirmación realizada por el Juez </w:t>
      </w:r>
      <w:proofErr w:type="spellStart"/>
      <w:r>
        <w:rPr>
          <w:rFonts w:ascii="Cambria" w:hAnsi="Cambria"/>
          <w:sz w:val="20"/>
        </w:rPr>
        <w:t>Tatel</w:t>
      </w:r>
      <w:proofErr w:type="spellEnd"/>
      <w:r>
        <w:rPr>
          <w:rFonts w:ascii="Cambria" w:hAnsi="Cambria"/>
          <w:sz w:val="20"/>
        </w:rPr>
        <w:t xml:space="preserve"> de la Corte de Circuito en su voto disidente respecto a que la decisión en el caso </w:t>
      </w:r>
      <w:proofErr w:type="spellStart"/>
      <w:r>
        <w:rPr>
          <w:rFonts w:ascii="Cambria" w:hAnsi="Cambria"/>
          <w:i/>
          <w:sz w:val="20"/>
        </w:rPr>
        <w:t>Latif</w:t>
      </w:r>
      <w:proofErr w:type="spellEnd"/>
      <w:r>
        <w:rPr>
          <w:rFonts w:ascii="Cambria" w:hAnsi="Cambria"/>
          <w:i/>
          <w:sz w:val="20"/>
        </w:rPr>
        <w:t xml:space="preserve"> v. Obama, </w:t>
      </w:r>
      <w:r>
        <w:rPr>
          <w:rFonts w:ascii="Cambria" w:hAnsi="Cambria"/>
          <w:sz w:val="20"/>
        </w:rPr>
        <w:t>“está peligrosamente cerca de sugerir que lo que sea que el gobierno diga debe considerarse cierto” demuestra la gravedad de la cuestión</w:t>
      </w:r>
      <w:r>
        <w:rPr>
          <w:rStyle w:val="FootnoteReference"/>
          <w:rFonts w:ascii="Cambria" w:hAnsi="Cambria"/>
          <w:sz w:val="20"/>
        </w:rPr>
        <w:footnoteReference w:id="217"/>
      </w:r>
      <w:r>
        <w:rPr>
          <w:rFonts w:ascii="Cambria" w:hAnsi="Cambria"/>
          <w:sz w:val="20"/>
        </w:rPr>
        <w:t>. Mientras que los estándares fundamentales de derechos humanos establecen de manera uniforme que la detención debe ser comprendida y aplicada como una medida excepcional, los estándares que se están aplicando a los detenidos de Guantánamo claramente inclinan la presunción a favor de la detención continua y en contra de la libertad. Más aún, este régimen de presunciones y de inversión de la carga de la prueba pone al detenido en una situación de evidente desventaja al momento de procurar presentar su recurso y que este sea conocido plenamente sobre la base de sus méritos. Tomando en cuenta la duración de la detención y la severidad del régimen de privación de libertad, que en algunos casos ha llegado a superar una década de detención indefinida, resulta evidente que es necesario un estándar de revisión más alto para que los estándares sean compatibles con las obligaciones de derechos humanos.</w:t>
      </w:r>
    </w:p>
    <w:p w:rsidR="00B07B26" w:rsidRPr="00FC2F1B" w:rsidRDefault="00B07B26"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Adicionalmente, si bien la CMO que rige los casos de detenidos en Guantánamo establece que “el gobierno tiene la carga de la prueba al momento de demostrar con base en evidencia preponderante que la detención del accionante es legal”</w:t>
      </w:r>
      <w:r>
        <w:rPr>
          <w:rStyle w:val="FootnoteReference"/>
          <w:rFonts w:ascii="Cambria" w:hAnsi="Cambria"/>
          <w:sz w:val="20"/>
        </w:rPr>
        <w:footnoteReference w:id="218"/>
      </w:r>
      <w:r>
        <w:rPr>
          <w:rFonts w:ascii="Cambria" w:hAnsi="Cambria"/>
          <w:sz w:val="20"/>
        </w:rPr>
        <w:t xml:space="preserve">, las cortes federales han invertido esta carga del gobierno hacia los detenidos.  Las cortes federales aplican un test holístico para determinar si alguien fue parte de un grupo enemigo según la definición de la AUMF. La CIDH observa que la prueba muchas veces es circunstancial, basándose en circunstancias tales como si el individuo se quedó en cierto hospedaje supuestamente asociado con Al-Qaeda o los Talibanes, o si viajó a Afganistán o Paquistán utilizando una ruta particular. </w:t>
      </w:r>
    </w:p>
    <w:p w:rsidR="00C8425A" w:rsidRPr="00FC2F1B" w:rsidRDefault="00C8425A" w:rsidP="00C8425A">
      <w:pPr>
        <w:pStyle w:val="ListParagraph"/>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Preocupa a la Comisión Interamericana este cambio en el patrón de la investigación por parte de las cortes distritales, particularmente después de la decisión de la corte de Circuito de D.C. en el caso </w:t>
      </w:r>
      <w:r>
        <w:rPr>
          <w:rFonts w:ascii="Cambria" w:hAnsi="Cambria"/>
          <w:i/>
          <w:sz w:val="20"/>
        </w:rPr>
        <w:t>Al-</w:t>
      </w:r>
      <w:proofErr w:type="spellStart"/>
      <w:r>
        <w:rPr>
          <w:rFonts w:ascii="Cambria" w:hAnsi="Cambria"/>
          <w:i/>
          <w:sz w:val="20"/>
        </w:rPr>
        <w:t>Adahi</w:t>
      </w:r>
      <w:proofErr w:type="spellEnd"/>
      <w:r>
        <w:rPr>
          <w:rFonts w:ascii="Cambria" w:hAnsi="Cambria"/>
          <w:i/>
          <w:sz w:val="20"/>
        </w:rPr>
        <w:t xml:space="preserve"> v. </w:t>
      </w:r>
      <w:r>
        <w:rPr>
          <w:rFonts w:ascii="Cambria" w:hAnsi="Cambria"/>
          <w:sz w:val="20"/>
        </w:rPr>
        <w:t xml:space="preserve">Obama, que genera inquietudes sobre la correcta aplicación del precedente establecido en el caso </w:t>
      </w:r>
      <w:proofErr w:type="spellStart"/>
      <w:r>
        <w:rPr>
          <w:rFonts w:ascii="Cambria" w:hAnsi="Cambria"/>
          <w:i/>
          <w:sz w:val="20"/>
        </w:rPr>
        <w:t>Boumediene</w:t>
      </w:r>
      <w:proofErr w:type="spellEnd"/>
      <w:r>
        <w:rPr>
          <w:rFonts w:ascii="Cambria" w:hAnsi="Cambria"/>
          <w:sz w:val="20"/>
        </w:rPr>
        <w:t>. El artículo XXVI de la Declaración Americana incluye el derecho a la presunción de inocencia. El principio de presunción de inocencia ha sido extensamente analizado por la CIDH y la Corte Interamericana; esta última ha señalado que “el principio de presunción de inocencia –en tanto establece que una persona es inocente hasta que se demuestre su culpabilidad- se fundamenta en la existencia de garantías judiciales”</w:t>
      </w:r>
      <w:r>
        <w:rPr>
          <w:rStyle w:val="FootnoteReference"/>
          <w:rFonts w:ascii="Cambria" w:hAnsi="Cambria"/>
          <w:sz w:val="20"/>
        </w:rPr>
        <w:footnoteReference w:id="219"/>
      </w:r>
      <w:r>
        <w:rPr>
          <w:rFonts w:ascii="Cambria" w:hAnsi="Cambria"/>
          <w:sz w:val="20"/>
        </w:rPr>
        <w:t xml:space="preserve">. En consecuencia, el Estado tiene la carga de la prueba al momento de demostrar la legalidad de la detención. El derecho a la presunción de inocencia significa que el detenido “no requiere probar que no cometió el delito que se le imputa, puesto que el acusador tiene el </w:t>
      </w:r>
      <w:proofErr w:type="spellStart"/>
      <w:r>
        <w:rPr>
          <w:rFonts w:ascii="Cambria" w:hAnsi="Cambria"/>
          <w:i/>
          <w:sz w:val="20"/>
        </w:rPr>
        <w:t>onus</w:t>
      </w:r>
      <w:proofErr w:type="spellEnd"/>
      <w:r>
        <w:rPr>
          <w:rFonts w:ascii="Cambria" w:hAnsi="Cambria"/>
          <w:i/>
          <w:sz w:val="20"/>
        </w:rPr>
        <w:t xml:space="preserve"> </w:t>
      </w:r>
      <w:proofErr w:type="spellStart"/>
      <w:r>
        <w:rPr>
          <w:rFonts w:ascii="Cambria" w:hAnsi="Cambria"/>
          <w:i/>
          <w:sz w:val="20"/>
        </w:rPr>
        <w:t>probandi</w:t>
      </w:r>
      <w:proofErr w:type="spellEnd"/>
      <w:r>
        <w:rPr>
          <w:rFonts w:ascii="Cambria" w:hAnsi="Cambria"/>
          <w:sz w:val="20"/>
        </w:rPr>
        <w:t>”</w:t>
      </w:r>
      <w:r>
        <w:rPr>
          <w:rStyle w:val="FootnoteReference"/>
          <w:rFonts w:ascii="Cambria" w:hAnsi="Cambria"/>
          <w:sz w:val="20"/>
        </w:rPr>
        <w:footnoteReference w:id="220"/>
      </w:r>
      <w:r>
        <w:rPr>
          <w:rFonts w:ascii="Cambria" w:hAnsi="Cambria"/>
          <w:sz w:val="20"/>
        </w:rPr>
        <w:t>.</w:t>
      </w:r>
    </w:p>
    <w:p w:rsidR="00C8425A" w:rsidRPr="00FC2F1B" w:rsidRDefault="00C8425A" w:rsidP="00C8425A">
      <w:pPr>
        <w:pStyle w:val="ListParagraph"/>
        <w:rPr>
          <w:sz w:val="20"/>
          <w:szCs w:val="20"/>
          <w:highlight w:val="lightGray"/>
        </w:rPr>
      </w:pPr>
    </w:p>
    <w:p w:rsidR="00592F4B" w:rsidRDefault="00592F4B">
      <w:pPr>
        <w:rPr>
          <w:rFonts w:ascii="Cambria" w:hAnsi="Cambria"/>
          <w:sz w:val="20"/>
        </w:rPr>
      </w:pPr>
      <w:r>
        <w:rPr>
          <w:rFonts w:ascii="Cambria" w:hAnsi="Cambria"/>
          <w:sz w:val="20"/>
        </w:rPr>
        <w:br w:type="page"/>
      </w:r>
    </w:p>
    <w:p w:rsidR="00C8425A" w:rsidRPr="001A0D7C" w:rsidRDefault="00C8425A" w:rsidP="00D544D0">
      <w:pPr>
        <w:numPr>
          <w:ilvl w:val="0"/>
          <w:numId w:val="5"/>
        </w:numPr>
        <w:shd w:val="clear" w:color="auto" w:fill="D9D9D9" w:themeFill="background1" w:themeFillShade="D9"/>
        <w:ind w:left="547" w:hanging="547"/>
        <w:jc w:val="both"/>
        <w:rPr>
          <w:rFonts w:ascii="Cambria" w:hAnsi="Cambria"/>
          <w:sz w:val="20"/>
          <w:szCs w:val="20"/>
        </w:rPr>
      </w:pPr>
      <w:r>
        <w:rPr>
          <w:rFonts w:ascii="Cambria" w:hAnsi="Cambria"/>
          <w:sz w:val="20"/>
        </w:rPr>
        <w:lastRenderedPageBreak/>
        <w:t>La CIDH reitera, al respecto, que Estados Unidos tiene la obligación jurídica internacional de garantizar a todas las personas detenidas dentro de su jurisdicción, incluidas aquellas en la Bahía de Guantánamo, un procedimiento judicial adecuado que permita cuestionar la legalidad de su detención. El recurso de hábeas corpus se encuentra entre los recursos judiciales esenciales para la protección de los derechos  no derogables, necesarios para preservar la legalidad en una sociedad democrática</w:t>
      </w:r>
      <w:r>
        <w:rPr>
          <w:rStyle w:val="FootnoteReference"/>
          <w:rFonts w:ascii="Cambria" w:hAnsi="Cambria"/>
          <w:sz w:val="20"/>
        </w:rPr>
        <w:footnoteReference w:id="221"/>
      </w:r>
      <w:r>
        <w:rPr>
          <w:rFonts w:ascii="Cambria" w:hAnsi="Cambria"/>
          <w:sz w:val="20"/>
        </w:rPr>
        <w:t>. Con miras a respetar el derecho de los detenidos a una revisión sustancial, los recursos judiciales para la protección del derecho a la libertad personal deben estar disponibles, ser adecuados y efectivos. El objetivo esencial de la protección internacional de los derechos humanos es proteger a las personas frente al ejercicio arbitrario del poder del Estado. Por lo tanto, la inexistencia de recursos  internos efectivos pone a las personas detenidas en Guantánamo en una situación de indefensión</w:t>
      </w:r>
      <w:r>
        <w:rPr>
          <w:rStyle w:val="FootnoteReference"/>
          <w:rFonts w:ascii="Cambria" w:hAnsi="Cambria"/>
          <w:sz w:val="20"/>
        </w:rPr>
        <w:footnoteReference w:id="222"/>
      </w:r>
      <w:r>
        <w:rPr>
          <w:rFonts w:ascii="Cambria" w:hAnsi="Cambria"/>
          <w:sz w:val="20"/>
        </w:rPr>
        <w:t xml:space="preserve">. La CIDH lamenta al respecto que la Corte Suprema de EE.UU. haya declinado examinar si a los detenidos de Guantánamo se les está garantizando una oportunidad significativa de cuestionar la legalidad de su detención. </w:t>
      </w:r>
    </w:p>
    <w:p w:rsidR="00C8425A" w:rsidRPr="00FC2F1B" w:rsidRDefault="00C8425A" w:rsidP="00C8425A">
      <w:pPr>
        <w:jc w:val="both"/>
        <w:rPr>
          <w:rFonts w:ascii="Cambria" w:hAnsi="Cambria"/>
          <w:sz w:val="20"/>
          <w:szCs w:val="20"/>
        </w:rPr>
      </w:pPr>
    </w:p>
    <w:p w:rsidR="00C8425A" w:rsidRPr="00FC2F1B" w:rsidRDefault="00C8425A" w:rsidP="0054243D">
      <w:pPr>
        <w:pStyle w:val="Style3"/>
      </w:pPr>
      <w:bookmarkStart w:id="46" w:name="_Toc423072847"/>
      <w:r>
        <w:t>Procedimientos ante comisiones militares</w:t>
      </w:r>
      <w:bookmarkEnd w:id="46"/>
    </w:p>
    <w:p w:rsidR="00C8425A" w:rsidRPr="00FC2F1B" w:rsidRDefault="00C8425A" w:rsidP="00C8425A">
      <w:pPr>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El 13 de noviembre de 2001, en respuesta a los ataques del 11 de septiembre de 2001, el Presidente Bush emitió un Decreto Militar sobre “Detención, Tratamiento y Juicio de Ciertos No-Ciudadanos en la Guerra contra el Terrorismo”. Según este decreto, los no-ciudadanos sospechosos de terrorismo serían juzgados por comisiones militares que no están sujetas a “los principios del derecho y las reglas de la prueba generalmente reconocidas en los procedimientos penales ante cortes distritales en Estados Unidos”</w:t>
      </w:r>
      <w:r>
        <w:rPr>
          <w:rStyle w:val="FootnoteReference"/>
          <w:rFonts w:ascii="Cambria" w:hAnsi="Cambria"/>
          <w:sz w:val="20"/>
        </w:rPr>
        <w:footnoteReference w:id="223"/>
      </w:r>
      <w:r>
        <w:rPr>
          <w:rFonts w:ascii="Cambria" w:hAnsi="Cambria"/>
          <w:sz w:val="20"/>
        </w:rPr>
        <w:t>. Según la Constitución de Estados Unidos, el Congreso está facultado para declarar la guerra y “emitir normas relativas a capturas en tierra y agua” así como a definir y castigar violaciones al “Derecho de las Naciones”</w:t>
      </w:r>
      <w:r>
        <w:rPr>
          <w:rStyle w:val="FootnoteReference"/>
          <w:rFonts w:ascii="Cambria" w:hAnsi="Cambria"/>
          <w:sz w:val="20"/>
        </w:rPr>
        <w:footnoteReference w:id="224"/>
      </w:r>
      <w:r>
        <w:rPr>
          <w:rFonts w:ascii="Cambria" w:hAnsi="Cambria"/>
          <w:sz w:val="20"/>
        </w:rPr>
        <w:t>. El 21 de marzo de 2002, el Departamento de Defensa emitió el Decreto No. 1 sobre Comisiones Militares, estableciendo los procedimientos para los juicios ante comisiones militares</w:t>
      </w:r>
      <w:r>
        <w:rPr>
          <w:rStyle w:val="FootnoteReference"/>
          <w:rFonts w:ascii="Cambria" w:hAnsi="Cambria"/>
          <w:sz w:val="20"/>
        </w:rPr>
        <w:footnoteReference w:id="225"/>
      </w:r>
      <w:r>
        <w:rPr>
          <w:rFonts w:ascii="Cambria" w:hAnsi="Cambria"/>
          <w:sz w:val="20"/>
        </w:rPr>
        <w:t xml:space="preserve">.   </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proofErr w:type="spellStart"/>
      <w:r>
        <w:rPr>
          <w:rFonts w:ascii="Cambria" w:hAnsi="Cambria"/>
          <w:sz w:val="20"/>
        </w:rPr>
        <w:t>Salim</w:t>
      </w:r>
      <w:proofErr w:type="spellEnd"/>
      <w:r>
        <w:rPr>
          <w:rFonts w:ascii="Cambria" w:hAnsi="Cambria"/>
          <w:sz w:val="20"/>
        </w:rPr>
        <w:t xml:space="preserve"> Ahmed </w:t>
      </w:r>
      <w:proofErr w:type="spellStart"/>
      <w:r>
        <w:rPr>
          <w:rFonts w:ascii="Cambria" w:hAnsi="Cambria"/>
          <w:sz w:val="20"/>
        </w:rPr>
        <w:t>Hamdan</w:t>
      </w:r>
      <w:proofErr w:type="spellEnd"/>
      <w:r>
        <w:rPr>
          <w:rFonts w:ascii="Cambria" w:hAnsi="Cambria"/>
          <w:sz w:val="20"/>
        </w:rPr>
        <w:t xml:space="preserve">, un detenido de Guantánamo que había sido acusado ante una corte militar, presentó un recurso de hábeas corpus ante la Corte de Distrito de D.C. cuestionando la constitucionalidad de la comisión militar. Inicialmente el recurso fue concedido por la corte distrital, pero luego fue revocado por la Corte de Circuito de D.C. El 29 de junio de 2006, en el caso </w:t>
      </w:r>
      <w:proofErr w:type="spellStart"/>
      <w:r>
        <w:rPr>
          <w:rFonts w:ascii="Cambria" w:hAnsi="Cambria"/>
          <w:i/>
          <w:sz w:val="20"/>
        </w:rPr>
        <w:t>Hamdan</w:t>
      </w:r>
      <w:proofErr w:type="spellEnd"/>
      <w:r>
        <w:rPr>
          <w:rFonts w:ascii="Cambria" w:hAnsi="Cambria"/>
          <w:i/>
          <w:sz w:val="20"/>
        </w:rPr>
        <w:t xml:space="preserve"> v. Rumsfeld</w:t>
      </w:r>
      <w:r>
        <w:rPr>
          <w:rFonts w:ascii="Cambria" w:hAnsi="Cambria"/>
          <w:sz w:val="20"/>
        </w:rPr>
        <w:t>, la Corte Suprema de Estados Unidos revocó la decisión de la corte de apelaciones y estableció que la estructura y los procedimientos ante comisiones militares violaban el Código Uniforme de Justicia Militar (</w:t>
      </w:r>
      <w:proofErr w:type="spellStart"/>
      <w:r>
        <w:rPr>
          <w:rFonts w:ascii="Cambria" w:hAnsi="Cambria"/>
          <w:i/>
          <w:sz w:val="20"/>
        </w:rPr>
        <w:t>Uniform</w:t>
      </w:r>
      <w:proofErr w:type="spellEnd"/>
      <w:r>
        <w:rPr>
          <w:rFonts w:ascii="Cambria" w:hAnsi="Cambria"/>
          <w:i/>
          <w:sz w:val="20"/>
        </w:rPr>
        <w:t xml:space="preserve"> </w:t>
      </w:r>
      <w:proofErr w:type="spellStart"/>
      <w:r>
        <w:rPr>
          <w:rFonts w:ascii="Cambria" w:hAnsi="Cambria"/>
          <w:i/>
          <w:sz w:val="20"/>
        </w:rPr>
        <w:t>Code</w:t>
      </w:r>
      <w:proofErr w:type="spellEnd"/>
      <w:r>
        <w:rPr>
          <w:rFonts w:ascii="Cambria" w:hAnsi="Cambria"/>
          <w:i/>
          <w:sz w:val="20"/>
        </w:rPr>
        <w:t xml:space="preserve"> of </w:t>
      </w:r>
      <w:proofErr w:type="spellStart"/>
      <w:r>
        <w:rPr>
          <w:rFonts w:ascii="Cambria" w:hAnsi="Cambria"/>
          <w:i/>
          <w:sz w:val="20"/>
        </w:rPr>
        <w:t>Military</w:t>
      </w:r>
      <w:proofErr w:type="spellEnd"/>
      <w:r>
        <w:rPr>
          <w:rFonts w:ascii="Cambria" w:hAnsi="Cambria"/>
          <w:i/>
          <w:sz w:val="20"/>
        </w:rPr>
        <w:t xml:space="preserve"> </w:t>
      </w:r>
      <w:proofErr w:type="spellStart"/>
      <w:r>
        <w:rPr>
          <w:rFonts w:ascii="Cambria" w:hAnsi="Cambria"/>
          <w:i/>
          <w:sz w:val="20"/>
        </w:rPr>
        <w:t>Justice</w:t>
      </w:r>
      <w:proofErr w:type="spellEnd"/>
      <w:r>
        <w:rPr>
          <w:rFonts w:ascii="Cambria" w:hAnsi="Cambria"/>
          <w:sz w:val="20"/>
        </w:rPr>
        <w:t xml:space="preserve"> “UCMJ” por </w:t>
      </w:r>
      <w:r>
        <w:rPr>
          <w:rFonts w:ascii="Cambria" w:hAnsi="Cambria"/>
          <w:sz w:val="20"/>
        </w:rPr>
        <w:lastRenderedPageBreak/>
        <w:t xml:space="preserve">sus siglas en inglés) así como el artículo 3 común a los Convenios de Ginebra, que según la Corte se encuentra incorporado al UCMJ. En consecuencia, la Corte Suprema, con fundamento en la separación de poderes, invalidó las comisiones militares creadas por el ejecutivo. La decisión señala que “los procedimientos que rigen los juicios ante [las comisiones militares] históricamente han sido los mismos que aquellos que rigen las cortes marciales” y que, en este caso, nada “evidencia que sería impráctico aplicar las reglas de cortes marciales”. Así, el Presidente no estaba facultado para establecer estas comisiones militares sin la autorización del Congreso. </w:t>
      </w:r>
    </w:p>
    <w:p w:rsidR="00D241E8" w:rsidRPr="00FC2F1B" w:rsidRDefault="00D241E8" w:rsidP="00592F4B">
      <w:pPr>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La Corte Suprema afirmó que la frase “tribunal legítimamente constituido” definida en el artículo 3 se refiere a una “corte militar ordinaria” que se encuentra “establecida y organizada en concordancia con las normas y procedimientos vigentes en un país”. Según la Corte Suprema, estas son las cortes marciales establecidas por ley emitida por el Congreso. Por tanto, como mínimo, una comisión militar puede ser “regularmente constituida” sólo si existe alguna necesidad práctica que justifique apartarse de la práctica de las cortes marciales. La Corte concluyó que en el caso </w:t>
      </w:r>
      <w:proofErr w:type="spellStart"/>
      <w:r>
        <w:rPr>
          <w:rFonts w:ascii="Cambria" w:hAnsi="Cambria"/>
          <w:i/>
          <w:sz w:val="20"/>
        </w:rPr>
        <w:t>Hamdan</w:t>
      </w:r>
      <w:proofErr w:type="spellEnd"/>
      <w:r>
        <w:rPr>
          <w:rFonts w:ascii="Cambria" w:hAnsi="Cambria"/>
          <w:sz w:val="20"/>
        </w:rPr>
        <w:t xml:space="preserve"> dicha necesidad no había sido demostrada</w:t>
      </w:r>
      <w:r>
        <w:rPr>
          <w:rStyle w:val="FootnoteReference"/>
          <w:rFonts w:ascii="Cambria" w:hAnsi="Cambria"/>
          <w:sz w:val="20"/>
        </w:rPr>
        <w:footnoteReference w:id="226"/>
      </w:r>
      <w:r>
        <w:rPr>
          <w:rFonts w:ascii="Cambria" w:hAnsi="Cambria"/>
          <w:sz w:val="20"/>
        </w:rPr>
        <w:t xml:space="preserve">. La Corte Suprema concluyó al respecto que los procedimientos adoptados no habían garantizado a </w:t>
      </w:r>
      <w:proofErr w:type="spellStart"/>
      <w:r>
        <w:rPr>
          <w:rFonts w:ascii="Cambria" w:hAnsi="Cambria"/>
          <w:sz w:val="20"/>
        </w:rPr>
        <w:t>Hamdan</w:t>
      </w:r>
      <w:proofErr w:type="spellEnd"/>
      <w:r>
        <w:rPr>
          <w:rFonts w:ascii="Cambria" w:hAnsi="Cambria"/>
          <w:sz w:val="20"/>
        </w:rPr>
        <w:t xml:space="preserve"> “las garantías procesales mínimas reconocidas por la costumbre internacional” tales como el principio de que un acusado debe estar presente durante el juicio y tener la oportunidad de contradecir pruebas en su contra</w:t>
      </w:r>
      <w:r>
        <w:rPr>
          <w:rStyle w:val="FootnoteReference"/>
          <w:rFonts w:ascii="Cambria" w:hAnsi="Cambria"/>
          <w:sz w:val="20"/>
        </w:rPr>
        <w:footnoteReference w:id="227"/>
      </w:r>
      <w:r>
        <w:rPr>
          <w:rFonts w:ascii="Cambria" w:hAnsi="Cambria"/>
          <w:sz w:val="20"/>
        </w:rPr>
        <w:t>.</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En respuesta al caso </w:t>
      </w:r>
      <w:proofErr w:type="spellStart"/>
      <w:r>
        <w:rPr>
          <w:rFonts w:ascii="Cambria" w:hAnsi="Cambria"/>
          <w:i/>
          <w:sz w:val="20"/>
        </w:rPr>
        <w:t>Hamdan</w:t>
      </w:r>
      <w:proofErr w:type="spellEnd"/>
      <w:r>
        <w:rPr>
          <w:rFonts w:ascii="Cambria" w:hAnsi="Cambria"/>
          <w:i/>
          <w:sz w:val="20"/>
        </w:rPr>
        <w:t xml:space="preserve"> v. Rumsfeld</w:t>
      </w:r>
      <w:r>
        <w:rPr>
          <w:rFonts w:ascii="Cambria" w:hAnsi="Cambria"/>
          <w:sz w:val="20"/>
        </w:rPr>
        <w:t xml:space="preserve">, el 17 de octubre de 2006 el Congreso aprobó la Ley de Comisiones Militares de 2006 (“2006 MCA” por sus siglas en inglés) que establece los procedimientos aplicables al uso de comisiones militares para juzgar a extranjeros enemigos combatientes ilegales por infracciones cometidas el 11 de septiembre de 2001 o con posterioridad a esta fecha, sancionables por la MCA o el derecho de guerra. La Sección 7 impide que las cortes tengan jurisdicción para conocer o considerar recursos de hábeas corpus pendientes o presentados después de la vigencia de la MCA por extranjeros respecto de quienes se haya considerado que son enemigos combatientes, o cuya determinación sobre el estatus de enemigo combatiente continúe pendiente, en relación con su procesamiento, juicio o condena por parte de una comisión militar. Debido a esta restricción, todos los recursos de hábeas corpus pendientes fueron suspendidos. </w:t>
      </w:r>
    </w:p>
    <w:p w:rsidR="00C8425A" w:rsidRPr="00FC2F1B" w:rsidRDefault="00C8425A" w:rsidP="00C8425A">
      <w:pPr>
        <w:pStyle w:val="ListParagraph"/>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Como se explicó previamente, en </w:t>
      </w:r>
      <w:proofErr w:type="spellStart"/>
      <w:r>
        <w:rPr>
          <w:rFonts w:ascii="Cambria" w:hAnsi="Cambria"/>
          <w:i/>
          <w:sz w:val="20"/>
        </w:rPr>
        <w:t>Boumediene</w:t>
      </w:r>
      <w:proofErr w:type="spellEnd"/>
      <w:r>
        <w:rPr>
          <w:rFonts w:ascii="Cambria" w:hAnsi="Cambria"/>
          <w:i/>
          <w:sz w:val="20"/>
        </w:rPr>
        <w:t xml:space="preserve"> v. Bush</w:t>
      </w:r>
      <w:r>
        <w:rPr>
          <w:rFonts w:ascii="Cambria" w:hAnsi="Cambria"/>
          <w:sz w:val="20"/>
        </w:rPr>
        <w:t>, la Corte Suprema de Estados Unidos decidió que los detenidos de Guantánamo tienen derecho a presentar recursos de hábeas corpus ante cortes federales y que la sección 2241(e</w:t>
      </w:r>
      <w:proofErr w:type="gramStart"/>
      <w:r>
        <w:rPr>
          <w:rFonts w:ascii="Cambria" w:hAnsi="Cambria"/>
          <w:sz w:val="20"/>
        </w:rPr>
        <w:t>)(</w:t>
      </w:r>
      <w:proofErr w:type="gramEnd"/>
      <w:r>
        <w:rPr>
          <w:rFonts w:ascii="Cambria" w:hAnsi="Cambria"/>
          <w:sz w:val="20"/>
        </w:rPr>
        <w:t xml:space="preserve">1) de la MCA de 2006 constituyó, por tanto, una suspensión inconstitucional del recurso. Para responder a las preocupaciones que surgieron en el caso </w:t>
      </w:r>
      <w:proofErr w:type="spellStart"/>
      <w:r>
        <w:rPr>
          <w:rFonts w:ascii="Cambria" w:hAnsi="Cambria"/>
          <w:i/>
          <w:sz w:val="20"/>
        </w:rPr>
        <w:t>Boumediene</w:t>
      </w:r>
      <w:proofErr w:type="spellEnd"/>
      <w:r>
        <w:rPr>
          <w:rFonts w:ascii="Cambria" w:hAnsi="Cambria"/>
          <w:sz w:val="20"/>
        </w:rPr>
        <w:t>, el 8 de octubre de 2009, como parte de la Ley de Autorización de Defensa Nacional (“</w:t>
      </w:r>
      <w:proofErr w:type="spellStart"/>
      <w:r>
        <w:rPr>
          <w:rFonts w:ascii="Cambria" w:hAnsi="Cambria"/>
          <w:i/>
          <w:sz w:val="20"/>
        </w:rPr>
        <w:t>National</w:t>
      </w:r>
      <w:proofErr w:type="spellEnd"/>
      <w:r>
        <w:rPr>
          <w:rFonts w:ascii="Cambria" w:hAnsi="Cambria"/>
          <w:i/>
          <w:sz w:val="20"/>
        </w:rPr>
        <w:t xml:space="preserve"> </w:t>
      </w:r>
      <w:proofErr w:type="spellStart"/>
      <w:r>
        <w:rPr>
          <w:rFonts w:ascii="Cambria" w:hAnsi="Cambria"/>
          <w:i/>
          <w:sz w:val="20"/>
        </w:rPr>
        <w:t>Defense</w:t>
      </w:r>
      <w:proofErr w:type="spellEnd"/>
      <w:r>
        <w:rPr>
          <w:rFonts w:ascii="Cambria" w:hAnsi="Cambria"/>
          <w:i/>
          <w:sz w:val="20"/>
        </w:rPr>
        <w:t xml:space="preserve"> </w:t>
      </w:r>
      <w:proofErr w:type="spellStart"/>
      <w:r>
        <w:rPr>
          <w:rFonts w:ascii="Cambria" w:hAnsi="Cambria"/>
          <w:i/>
          <w:sz w:val="20"/>
        </w:rPr>
        <w:t>Authorization</w:t>
      </w:r>
      <w:proofErr w:type="spellEnd"/>
      <w:r>
        <w:rPr>
          <w:rFonts w:ascii="Cambria" w:hAnsi="Cambria"/>
          <w:i/>
          <w:sz w:val="20"/>
        </w:rPr>
        <w:t xml:space="preserve"> </w:t>
      </w:r>
      <w:proofErr w:type="spellStart"/>
      <w:r>
        <w:rPr>
          <w:rFonts w:ascii="Cambria" w:hAnsi="Cambria"/>
          <w:i/>
          <w:sz w:val="20"/>
        </w:rPr>
        <w:t>Act</w:t>
      </w:r>
      <w:proofErr w:type="spellEnd"/>
      <w:r>
        <w:rPr>
          <w:rFonts w:ascii="Cambria" w:hAnsi="Cambria"/>
          <w:sz w:val="20"/>
        </w:rPr>
        <w:t xml:space="preserve"> “NDAA” por sus siglas en inglés) del año fiscal 2010, el Congreso derogó la MCA de 2006 y emitió la Ley de Comisiones Militares de </w:t>
      </w:r>
      <w:r>
        <w:rPr>
          <w:rFonts w:ascii="Cambria" w:hAnsi="Cambria"/>
          <w:sz w:val="20"/>
        </w:rPr>
        <w:lastRenderedPageBreak/>
        <w:t>2009 (“MCA” de 2009, por sus siglas en inglés), que garantiza la revisión judicial federal de ciertos asuntos, aunque mantiene la prohibición de la revisión de las condiciones generales de detención.</w:t>
      </w:r>
    </w:p>
    <w:p w:rsidR="00C8425A" w:rsidRPr="00FC2F1B" w:rsidRDefault="00C8425A" w:rsidP="00C8425A">
      <w:pPr>
        <w:pStyle w:val="ListParagraph"/>
        <w:rPr>
          <w:sz w:val="20"/>
          <w:szCs w:val="20"/>
        </w:rPr>
      </w:pPr>
    </w:p>
    <w:p w:rsidR="00C8425A" w:rsidRPr="0054243D" w:rsidRDefault="00C8425A" w:rsidP="0054243D">
      <w:pPr>
        <w:pStyle w:val="Style4"/>
        <w:numPr>
          <w:ilvl w:val="0"/>
          <w:numId w:val="13"/>
        </w:numPr>
        <w:ind w:left="907"/>
        <w:outlineLvl w:val="3"/>
        <w:rPr>
          <w:sz w:val="22"/>
          <w:szCs w:val="22"/>
        </w:rPr>
      </w:pPr>
      <w:bookmarkStart w:id="47" w:name="_Toc423072848"/>
      <w:r>
        <w:rPr>
          <w:sz w:val="22"/>
        </w:rPr>
        <w:t>La Ley de Comisiones Militares de 2009</w:t>
      </w:r>
      <w:bookmarkEnd w:id="47"/>
    </w:p>
    <w:p w:rsidR="00C8425A" w:rsidRPr="00FC2F1B" w:rsidRDefault="00C8425A" w:rsidP="00C8425A">
      <w:pPr>
        <w:pStyle w:val="ListParagraph"/>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Las comisiones militares y la práctica procesal ante las cortes militares están reguladas por cuatro fuentes principales: la Ley de Comisiones Militares de 2009, el Manual de Comisiones Miliares de 2012, el Reglamento para Juicios ante Comisiones Militares de 2011, y las Reglas de Procedimiento Judicial ante Comisiones Militares de 2013. </w:t>
      </w:r>
    </w:p>
    <w:p w:rsidR="00D241E8" w:rsidRPr="00FC2F1B" w:rsidRDefault="00D241E8"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La MCA de 2009 generó una la reforma de las comisiones militares, garantizando muchas de las protecciones procesales básicas existentes en los procedimientos ante cortes marciales</w:t>
      </w:r>
      <w:r>
        <w:rPr>
          <w:rStyle w:val="FootnoteReference"/>
          <w:rFonts w:ascii="Cambria" w:hAnsi="Cambria"/>
          <w:sz w:val="20"/>
        </w:rPr>
        <w:footnoteReference w:id="228"/>
      </w:r>
      <w:r>
        <w:rPr>
          <w:rFonts w:ascii="Cambria" w:hAnsi="Cambria"/>
          <w:sz w:val="20"/>
        </w:rPr>
        <w:t xml:space="preserve">. La ley estableció jurisdicción respecto de 32 infracciones enumeradas, dos artículos del UCMJ y las violaciones al derecho de guerra tradicional, siempre y cuando estén codificadas en la Ley. Adicionalmente, la MCA de 2009 introdujo nuevo lenguaje para referirse a los individuos sometidos a las comisiones militares, sustituyendo el término “enemigo combatiente ilegal” por “enemigo beligerante sin privilegios”. </w:t>
      </w:r>
    </w:p>
    <w:p w:rsidR="00C8425A" w:rsidRPr="00FC2F1B" w:rsidRDefault="00C8425A" w:rsidP="00C8425A">
      <w:pPr>
        <w:tabs>
          <w:tab w:val="num" w:pos="5010"/>
        </w:tabs>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El Juez Supremo de los Juzgados de las Comisiones Militares, designado por el Secretario de Defensa, asigna un juez militar a cada caso que se remite para enjuiciamiento. Los jueces militares son oficiales militares sénior y abogados entrenados y certificados para actuar como jueces militares. Cada comisión militar consiste de un juez militar y un panel de al menos cinco “miembros” que son oficiales comisionados en servicio activo para la fuerza militar estadounidense y juegan un papel similar a aquel del jurado en los juicios civiles. En casos de pena capital, se requiere un mínimo de 12 miembros y consenso unánime sobre la sentencia y la condena. En otros casos, el veredicto de culpable y la imposición de una condena deben contar con el voto concurrente de al menos dos tercios de los miembros, conforme a lo requerido para los miembros del servicio estadounidense en cortes marciales. Las condenas que incluyan privación de libertad por diez o más años deben ser acordadas por al menos tres cuartos de los miembros. </w:t>
      </w:r>
    </w:p>
    <w:p w:rsidR="00C8425A" w:rsidRPr="00FC2F1B" w:rsidRDefault="00C8425A" w:rsidP="00C8425A">
      <w:pPr>
        <w:pStyle w:val="ListParagraph"/>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Las sentencias emitidas por una comisión militar pueden llegar a tener hasta cuatro niveles de revisión. Primero, la Autoridad Convocada para Comisiones Militares (</w:t>
      </w:r>
      <w:proofErr w:type="spellStart"/>
      <w:r>
        <w:rPr>
          <w:rFonts w:ascii="Cambria" w:hAnsi="Cambria"/>
          <w:i/>
          <w:sz w:val="20"/>
        </w:rPr>
        <w:t>Convening</w:t>
      </w:r>
      <w:proofErr w:type="spellEnd"/>
      <w:r>
        <w:rPr>
          <w:rFonts w:ascii="Cambria" w:hAnsi="Cambria"/>
          <w:i/>
          <w:sz w:val="20"/>
        </w:rPr>
        <w:t xml:space="preserve"> </w:t>
      </w:r>
      <w:proofErr w:type="spellStart"/>
      <w:r>
        <w:rPr>
          <w:rFonts w:ascii="Cambria" w:hAnsi="Cambria"/>
          <w:i/>
          <w:sz w:val="20"/>
        </w:rPr>
        <w:t>Authority</w:t>
      </w:r>
      <w:proofErr w:type="spellEnd"/>
      <w:r>
        <w:rPr>
          <w:rFonts w:ascii="Cambria" w:hAnsi="Cambria"/>
          <w:i/>
          <w:sz w:val="20"/>
        </w:rPr>
        <w:t xml:space="preserve"> </w:t>
      </w:r>
      <w:proofErr w:type="spellStart"/>
      <w:r>
        <w:rPr>
          <w:rFonts w:ascii="Cambria" w:hAnsi="Cambria"/>
          <w:i/>
          <w:sz w:val="20"/>
        </w:rPr>
        <w:t>for</w:t>
      </w:r>
      <w:proofErr w:type="spellEnd"/>
      <w:r>
        <w:rPr>
          <w:rFonts w:ascii="Cambria" w:hAnsi="Cambria"/>
          <w:i/>
          <w:sz w:val="20"/>
        </w:rPr>
        <w:t xml:space="preserve"> </w:t>
      </w:r>
      <w:proofErr w:type="spellStart"/>
      <w:r>
        <w:rPr>
          <w:rFonts w:ascii="Cambria" w:hAnsi="Cambria"/>
          <w:i/>
          <w:sz w:val="20"/>
        </w:rPr>
        <w:t>Military</w:t>
      </w:r>
      <w:proofErr w:type="spellEnd"/>
      <w:r>
        <w:rPr>
          <w:rFonts w:ascii="Cambria" w:hAnsi="Cambria"/>
          <w:i/>
          <w:sz w:val="20"/>
        </w:rPr>
        <w:t xml:space="preserve"> </w:t>
      </w:r>
      <w:proofErr w:type="spellStart"/>
      <w:r>
        <w:rPr>
          <w:rFonts w:ascii="Cambria" w:hAnsi="Cambria"/>
          <w:i/>
          <w:sz w:val="20"/>
        </w:rPr>
        <w:t>Commissions</w:t>
      </w:r>
      <w:proofErr w:type="spellEnd"/>
      <w:r>
        <w:rPr>
          <w:rFonts w:ascii="Cambria" w:hAnsi="Cambria"/>
          <w:sz w:val="20"/>
        </w:rPr>
        <w:t>) revisa la decisión y la condena, que sólo puede ser reducida. Después, la sentencia puede ser automáticamente revisada por la Corte de Revisión de Comisiones Militares de Estados Unidos (</w:t>
      </w:r>
      <w:r>
        <w:rPr>
          <w:rFonts w:ascii="Cambria" w:hAnsi="Cambria"/>
          <w:i/>
          <w:sz w:val="20"/>
        </w:rPr>
        <w:t xml:space="preserve">U.S. </w:t>
      </w:r>
      <w:proofErr w:type="spellStart"/>
      <w:r>
        <w:rPr>
          <w:rFonts w:ascii="Cambria" w:hAnsi="Cambria"/>
          <w:i/>
          <w:sz w:val="20"/>
        </w:rPr>
        <w:t>Court</w:t>
      </w:r>
      <w:proofErr w:type="spellEnd"/>
      <w:r>
        <w:rPr>
          <w:rFonts w:ascii="Cambria" w:hAnsi="Cambria"/>
          <w:i/>
          <w:sz w:val="20"/>
        </w:rPr>
        <w:t xml:space="preserve"> of </w:t>
      </w:r>
      <w:proofErr w:type="spellStart"/>
      <w:r>
        <w:rPr>
          <w:rFonts w:ascii="Cambria" w:hAnsi="Cambria"/>
          <w:i/>
          <w:sz w:val="20"/>
        </w:rPr>
        <w:t>Military</w:t>
      </w:r>
      <w:proofErr w:type="spellEnd"/>
      <w:r>
        <w:rPr>
          <w:rFonts w:ascii="Cambria" w:hAnsi="Cambria"/>
          <w:i/>
          <w:sz w:val="20"/>
        </w:rPr>
        <w:t xml:space="preserve"> </w:t>
      </w:r>
      <w:proofErr w:type="spellStart"/>
      <w:r>
        <w:rPr>
          <w:rFonts w:ascii="Cambria" w:hAnsi="Cambria"/>
          <w:i/>
          <w:sz w:val="20"/>
        </w:rPr>
        <w:t>Commission</w:t>
      </w:r>
      <w:proofErr w:type="spellEnd"/>
      <w:r>
        <w:rPr>
          <w:rFonts w:ascii="Cambria" w:hAnsi="Cambria"/>
          <w:i/>
          <w:sz w:val="20"/>
        </w:rPr>
        <w:t xml:space="preserve"> </w:t>
      </w:r>
      <w:proofErr w:type="spellStart"/>
      <w:r>
        <w:rPr>
          <w:rFonts w:ascii="Cambria" w:hAnsi="Cambria"/>
          <w:i/>
          <w:sz w:val="20"/>
        </w:rPr>
        <w:t>Review</w:t>
      </w:r>
      <w:proofErr w:type="spellEnd"/>
      <w:r>
        <w:rPr>
          <w:rFonts w:ascii="Cambria" w:hAnsi="Cambria"/>
          <w:sz w:val="20"/>
        </w:rPr>
        <w:t>, “CMCR” por sus siglas en inglés). El acusado puede desistir de esta revisión en apelación, excepto en casos de pena capital. Debe señalarse que la MCA de 2009 expandió la jurisdicción de la Corte para incluir la facultad de revisar la suficiencia de la evidencia fáctica, equiparando el ámbito de revisión a aquel de las Cortes de Servicio de Apelaciones Penales (</w:t>
      </w:r>
      <w:proofErr w:type="spellStart"/>
      <w:r>
        <w:rPr>
          <w:rFonts w:ascii="Cambria" w:hAnsi="Cambria"/>
          <w:i/>
          <w:sz w:val="20"/>
        </w:rPr>
        <w:t>Service</w:t>
      </w:r>
      <w:proofErr w:type="spellEnd"/>
      <w:r>
        <w:rPr>
          <w:rFonts w:ascii="Cambria" w:hAnsi="Cambria"/>
          <w:i/>
          <w:sz w:val="20"/>
        </w:rPr>
        <w:t xml:space="preserve"> </w:t>
      </w:r>
      <w:proofErr w:type="spellStart"/>
      <w:r>
        <w:rPr>
          <w:rFonts w:ascii="Cambria" w:hAnsi="Cambria"/>
          <w:i/>
          <w:sz w:val="20"/>
        </w:rPr>
        <w:t>Courts</w:t>
      </w:r>
      <w:proofErr w:type="spellEnd"/>
      <w:r>
        <w:rPr>
          <w:rFonts w:ascii="Cambria" w:hAnsi="Cambria"/>
          <w:i/>
          <w:sz w:val="20"/>
        </w:rPr>
        <w:t xml:space="preserve"> of Criminal Appeals</w:t>
      </w:r>
      <w:r>
        <w:rPr>
          <w:rFonts w:ascii="Cambria" w:hAnsi="Cambria"/>
          <w:sz w:val="20"/>
        </w:rPr>
        <w:t xml:space="preserve">) creadas por el UCMJ. En consecuencia, la CMCR está facultada </w:t>
      </w:r>
      <w:r>
        <w:rPr>
          <w:rFonts w:ascii="Cambria" w:hAnsi="Cambria"/>
          <w:sz w:val="20"/>
        </w:rPr>
        <w:lastRenderedPageBreak/>
        <w:t>para revisar cuestiones de derecho y cuestiones sobre la suficiencia de la prueba. Ambas partes pueden apelar la decisión de la CMCR ante el Circuito de D.C. y después presentar una solicitud para que la Corte Suprema de EE.UU. emita un auto de avocación (</w:t>
      </w:r>
      <w:proofErr w:type="spellStart"/>
      <w:r>
        <w:rPr>
          <w:rFonts w:ascii="Cambria" w:hAnsi="Cambria"/>
          <w:i/>
          <w:sz w:val="20"/>
        </w:rPr>
        <w:t>writ</w:t>
      </w:r>
      <w:proofErr w:type="spellEnd"/>
      <w:r>
        <w:rPr>
          <w:rFonts w:ascii="Cambria" w:hAnsi="Cambria"/>
          <w:i/>
          <w:sz w:val="20"/>
        </w:rPr>
        <w:t xml:space="preserve"> of </w:t>
      </w:r>
      <w:proofErr w:type="spellStart"/>
      <w:r>
        <w:rPr>
          <w:rFonts w:ascii="Cambria" w:hAnsi="Cambria"/>
          <w:i/>
          <w:sz w:val="20"/>
        </w:rPr>
        <w:t>certiorari</w:t>
      </w:r>
      <w:proofErr w:type="spellEnd"/>
      <w:r>
        <w:rPr>
          <w:rFonts w:ascii="Cambria" w:hAnsi="Cambria"/>
          <w:sz w:val="20"/>
        </w:rPr>
        <w:t xml:space="preserve">). Antes de que una persona condenada a pena de muerte pueda ser ejecutada luego de agotado el proceso de revisión, el Presidente debe autorizar su ejecución.   </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Los procedimientos de las comisiones militares son abiertos al público. El Departamento de Defensa y la Oficina de Comisiones Militares asignan un número limitado de asientos para la prensa en los vuelos chárter militares que viajan desde la Base Andrew de la Fuerza Aérea, en Maryland, hacia la Bahía de Guantánamo, con el objetivo de que puedan cubrir los procedimientos ante comisiones militares. Las audiencias son televisadas por circuito cerrado de televisión desde un centro de trabajo de prensa en Fort George G. </w:t>
      </w:r>
      <w:proofErr w:type="spellStart"/>
      <w:r>
        <w:rPr>
          <w:rFonts w:ascii="Cambria" w:hAnsi="Cambria"/>
          <w:sz w:val="20"/>
        </w:rPr>
        <w:t>Meade</w:t>
      </w:r>
      <w:proofErr w:type="spellEnd"/>
      <w:r>
        <w:rPr>
          <w:rFonts w:ascii="Cambria" w:hAnsi="Cambria"/>
          <w:sz w:val="20"/>
        </w:rPr>
        <w:t>, Maryland. Los medios que desean viajar a Guantánamo para presenciar las audiencias deben enviar una solicitud al Departamento de Defensa</w:t>
      </w:r>
      <w:r>
        <w:rPr>
          <w:rStyle w:val="FootnoteReference"/>
          <w:rFonts w:ascii="Cambria" w:hAnsi="Cambria"/>
          <w:sz w:val="20"/>
        </w:rPr>
        <w:footnoteReference w:id="229"/>
      </w:r>
      <w:r>
        <w:rPr>
          <w:rFonts w:ascii="Cambria" w:hAnsi="Cambria"/>
          <w:sz w:val="20"/>
        </w:rPr>
        <w:t xml:space="preserve">. </w:t>
      </w:r>
    </w:p>
    <w:p w:rsidR="00C8425A" w:rsidRPr="00FC2F1B" w:rsidRDefault="00C8425A" w:rsidP="00C8425A">
      <w:pPr>
        <w:pStyle w:val="ListParagraph"/>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El cambio en las reglas sobre testimonios referenciales fue una de las enmiendas más sustantivas. Las reglas probatorias de la MCA de 2009 admiten testimonios referenciales como evidencia sólo si serían admitidos bajo las reglas probatorias aplicables a los juicios ante cortes marciales generales</w:t>
      </w:r>
      <w:r>
        <w:rPr>
          <w:rStyle w:val="FootnoteReference"/>
          <w:rFonts w:ascii="Cambria" w:hAnsi="Cambria"/>
          <w:sz w:val="20"/>
        </w:rPr>
        <w:footnoteReference w:id="230"/>
      </w:r>
      <w:r>
        <w:rPr>
          <w:rFonts w:ascii="Cambria" w:hAnsi="Cambria"/>
          <w:sz w:val="20"/>
        </w:rPr>
        <w:t>. Las reglas establecen que en la evaluación sobre la admisibilidad de un testimonio referencial o de oídas, el juez debe tomar en consideración “hasta qué grado la afirmación está corroborada, los indicios de confiabilidad del testimonio en sí mismo, si la voluntad del declarante estaba comprometida”</w:t>
      </w:r>
      <w:r>
        <w:rPr>
          <w:rStyle w:val="FootnoteReference"/>
          <w:rFonts w:ascii="Cambria" w:hAnsi="Cambria"/>
          <w:sz w:val="20"/>
        </w:rPr>
        <w:footnoteReference w:id="231"/>
      </w:r>
      <w:r>
        <w:rPr>
          <w:rFonts w:ascii="Cambria" w:hAnsi="Cambria"/>
          <w:sz w:val="20"/>
        </w:rPr>
        <w:t>, y si en la práctica el testigo está disponible. En consecuencia, se permite tanto a la acusación como a la defensa utilizar testimonios referenciales siempre y cuando un juez militar encuentre que el testigo no está disponible para declarar, así como que el testimonio referencial en sí mismo es confiable, material, probatorio, y la admisibilidad del testimonio referencial como prueba sirve mejor “los propósitos generales de las reglas probatorias y el interés de la justicia”</w:t>
      </w:r>
      <w:r>
        <w:rPr>
          <w:rStyle w:val="FootnoteReference"/>
          <w:rFonts w:ascii="Cambria" w:hAnsi="Cambria"/>
          <w:sz w:val="20"/>
        </w:rPr>
        <w:footnoteReference w:id="232"/>
      </w:r>
      <w:r>
        <w:rPr>
          <w:rFonts w:ascii="Cambria" w:hAnsi="Cambria"/>
          <w:sz w:val="20"/>
        </w:rPr>
        <w:t>. Por tanto, la carga sobre la introducción de testimonio referencial recae sobre el que lo propone como evidencia, en contraposición con las normas de la MCA de 2006.</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Adicionalmente, la MCA de 2009 revocó una excepción existente relativa a las declaraciones del acusado bajo coerción, prohibiendo la admisibilidad de declaraciones obtenidas bajo tortura o tratos crueles, inhumanos o degradantes. No obstante, las normas establecen una excepción a la regla de la voluntad que es aplicable cuando la declaración se haya realizado “en el marco de conductas permitidas durante operaciones militares al momento de la captura o durante la </w:t>
      </w:r>
      <w:r>
        <w:rPr>
          <w:rFonts w:ascii="Cambria" w:hAnsi="Cambria"/>
          <w:sz w:val="20"/>
        </w:rPr>
        <w:lastRenderedPageBreak/>
        <w:t>participación activa en un combate íntimamente vinculado”</w:t>
      </w:r>
      <w:r>
        <w:rPr>
          <w:rStyle w:val="FootnoteReference"/>
          <w:rFonts w:ascii="Cambria" w:hAnsi="Cambria"/>
          <w:sz w:val="20"/>
        </w:rPr>
        <w:footnoteReference w:id="233"/>
      </w:r>
      <w:r>
        <w:rPr>
          <w:rFonts w:ascii="Cambria" w:hAnsi="Cambria"/>
          <w:sz w:val="20"/>
        </w:rPr>
        <w:t>. Con respecto a la información clasificada, la MCA de 2009 incluye reglas esencialmente similares a las aplicables en las cortes federales de distrito según la Ley de Procedimientos de Información Clasificada, excepto cuando “sean inconsistentes con los requisitos específicos del [Subcapítulo V de la MCA de 2009]”</w:t>
      </w:r>
      <w:r>
        <w:rPr>
          <w:rStyle w:val="FootnoteReference"/>
          <w:rFonts w:ascii="Cambria" w:hAnsi="Cambria"/>
          <w:sz w:val="20"/>
        </w:rPr>
        <w:footnoteReference w:id="234"/>
      </w:r>
      <w:r>
        <w:rPr>
          <w:rFonts w:ascii="Cambria" w:hAnsi="Cambria"/>
          <w:sz w:val="20"/>
        </w:rPr>
        <w:t>.</w:t>
      </w:r>
    </w:p>
    <w:p w:rsidR="00C8425A" w:rsidRPr="00FC2F1B" w:rsidRDefault="00C8425A" w:rsidP="00C8425A">
      <w:pPr>
        <w:pStyle w:val="ListParagraph"/>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Las normas de descubrimiento de la prueba están establecidas en la Regla 701 del Reglamento para Comisiones Militares. La defensa tiene derecho a recibir cualquier prueba exculpatoria, impugnatoria o atenuante que la parte acusatoria tenga, sea que la tenga bajo su posesión o que tenga conocimiento de su existencia. Según las reglas, el abogado acusador debe proporcionar a la defensa cualquier documento que haya sustentado los cargos, la convocatoria a juicio o cualquier afirmación relativa a una infracción por la que se acuse en el caso, los nombres de los testigos que pretende convocar, toda condena penal anterior del acusado que pueda ser tomada en consideración durante el fondo del caso para cualquier propósito, incluyendo impugnaciones, y la existencia de pruebas de descargo. De ser solicitado, el gobierno debe proporcionar a la defensa acceso a todo documento bajo su control que sea relevante a la preparación de la defensa o que se pretenda utilizar por el abogado del juicio como evidencia para acusar a una persona. Adicionalmente, si la defensa lo solicita, el abogado del juicio debe proporcionar a la defensa la información que pretenda presentar en la etapa de determinación de la condena.  </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Con respecto a la revelación de información clasificada, las reglas establecen que “el juez militar puede emitir una orden de protección para limitar que prueba clasificada sea distribuida o revelada a la defensa, incluyendo las fuentes, métodos o actividades a través de los cuales Estados Unidos adquirió dicha evidencia</w:t>
      </w:r>
      <w:r>
        <w:rPr>
          <w:rStyle w:val="FootnoteReference"/>
          <w:rFonts w:ascii="Cambria" w:hAnsi="Cambria"/>
          <w:sz w:val="20"/>
        </w:rPr>
        <w:footnoteReference w:id="235"/>
      </w:r>
      <w:r>
        <w:rPr>
          <w:rFonts w:ascii="Cambria" w:hAnsi="Cambria"/>
          <w:sz w:val="20"/>
        </w:rPr>
        <w:t>. En esos casos, el juez militar puede autorizar alternativas como “(A) la supresión de partes específicas de la información clasificada de los documentos que se ponen a disposición de la defensa; (B) la sustitución de una parte o el resumen de la información de los documentos clasificados; (C) la sustitución de una afirmación admitiendo hechos relevantes que se pretenda probar a través de la información clasificada</w:t>
      </w:r>
      <w:r>
        <w:rPr>
          <w:rStyle w:val="FootnoteReference"/>
          <w:rFonts w:ascii="Cambria" w:hAnsi="Cambria"/>
          <w:sz w:val="20"/>
        </w:rPr>
        <w:footnoteReference w:id="236"/>
      </w:r>
      <w:r>
        <w:rPr>
          <w:rFonts w:ascii="Cambria" w:hAnsi="Cambria"/>
          <w:sz w:val="20"/>
        </w:rPr>
        <w:t>. Según la acusación, esta Ley estuvo diseñada para balancear los intereses en conflicto entre la protección de la seguridad nacional y la necesidad de proporcionar a la defensa la información necesaria, además de que esencialmente constituye un reflejo de las normas y prácticas de las cortes federales y las cortes militares según el UCMJ</w:t>
      </w:r>
      <w:r>
        <w:rPr>
          <w:rStyle w:val="FootnoteReference"/>
          <w:rFonts w:ascii="Cambria" w:hAnsi="Cambria"/>
          <w:sz w:val="20"/>
        </w:rPr>
        <w:footnoteReference w:id="237"/>
      </w:r>
      <w:r>
        <w:rPr>
          <w:rFonts w:ascii="Cambria" w:hAnsi="Cambria"/>
          <w:sz w:val="20"/>
        </w:rPr>
        <w:t>.</w:t>
      </w:r>
    </w:p>
    <w:p w:rsidR="0054243D" w:rsidRDefault="0054243D">
      <w:pPr>
        <w:rPr>
          <w:rFonts w:ascii="Cambria" w:hAnsi="Cambria"/>
          <w:b/>
          <w:sz w:val="22"/>
          <w:szCs w:val="22"/>
        </w:rPr>
      </w:pPr>
    </w:p>
    <w:p w:rsidR="00C8425A" w:rsidRPr="0054243D" w:rsidRDefault="00C8425A" w:rsidP="0054243D">
      <w:pPr>
        <w:pStyle w:val="Style4"/>
        <w:ind w:left="907" w:hanging="360"/>
        <w:outlineLvl w:val="3"/>
        <w:rPr>
          <w:sz w:val="22"/>
          <w:szCs w:val="22"/>
        </w:rPr>
      </w:pPr>
      <w:bookmarkStart w:id="48" w:name="_Toc423072849"/>
      <w:r>
        <w:rPr>
          <w:sz w:val="22"/>
        </w:rPr>
        <w:t>La implementación de las comisiones militares</w:t>
      </w:r>
      <w:bookmarkEnd w:id="48"/>
    </w:p>
    <w:p w:rsidR="00C8425A" w:rsidRPr="00FC2F1B" w:rsidRDefault="00C8425A" w:rsidP="00C8425A">
      <w:pPr>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En la reunión de expertos celebrada por la Comisión Interamericana el 3 de octubre de 2013, abogados defensores expresaron varias preocupaciones relativas a la implementación del sistema de comisiones militares en Guantánamo, particularmente respecto de defectos estructurales y limitaciones prácticas. Uno de </w:t>
      </w:r>
      <w:r>
        <w:rPr>
          <w:rFonts w:ascii="Cambria" w:hAnsi="Cambria"/>
          <w:sz w:val="20"/>
        </w:rPr>
        <w:lastRenderedPageBreak/>
        <w:t xml:space="preserve">los asuntos estructurales mencionados por los abogados militares defensores se refiere a la aplicabilidad de la Constitución en la Bahía de Guantánamo, aspecto que fue litigado en una ronda de audiencias previas al juicio. El juez militar no se pronunció sobre esta cuestión y decidió considerarla con base en un análisis caso a caso, en vez de realizar una determinación generalizada.  </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Al respecto, abogados defensores han subrayado que, si bien existen similitudes con los procedimientos de juicio ante cortes marciales, el Congreso específicamente se apartó de varias garantías procesales en la MCA. Esas garantías procesales son: el derecho a un procedimiento rápido; el derecho a guardar silencio; el derecho a que la formulación de cargos y la acusación sean garantizadas por un gran jurado o un proceso equivalente; el derecho a no ser sometido a registros e incautaciones irrazonables considerando que la evidencia obtenida sin una orden de allanamiento o alguna otra autorización legal podría ser admisible; la prohibición contra leyes </w:t>
      </w:r>
      <w:r>
        <w:rPr>
          <w:rFonts w:ascii="Cambria" w:hAnsi="Cambria"/>
          <w:i/>
          <w:sz w:val="20"/>
        </w:rPr>
        <w:t xml:space="preserve">ex post facto; </w:t>
      </w:r>
      <w:r>
        <w:rPr>
          <w:rFonts w:ascii="Cambria" w:hAnsi="Cambria"/>
          <w:sz w:val="20"/>
        </w:rPr>
        <w:t>la admisibilidad de testimonio referencial; y la independencia judicial. Adicionalmente, los abogados militares defensores alegan que no se les permite el acceso a los testigos y a la prueba “en las mismas condiciones” que en la práctica ante cortes marciales, sino únicamente un acceso “razonable”. Adicionalmente, la Regla de Comisiones Militares 1(5) establece que “un Juez Militar puede modificar, cambiar o determinar que ciertas disposiciones del Reglamento de la Corte o ciertas partes de tal disposición no son aplicables a determinados juicios ante Comisiones Militares”, lo que convierte a las reglas de la corte en un blanco en movimiento que permite a los jueces apartarse de las normas si lo estiman pertinente</w:t>
      </w:r>
      <w:r>
        <w:rPr>
          <w:rStyle w:val="FootnoteReference"/>
          <w:rFonts w:ascii="Cambria" w:hAnsi="Cambria"/>
          <w:sz w:val="20"/>
        </w:rPr>
        <w:footnoteReference w:id="238"/>
      </w:r>
      <w:r>
        <w:rPr>
          <w:rFonts w:ascii="Cambria" w:hAnsi="Cambria"/>
          <w:sz w:val="20"/>
        </w:rPr>
        <w:t>.</w:t>
      </w:r>
    </w:p>
    <w:p w:rsidR="00C8425A" w:rsidRPr="00FC2F1B" w:rsidRDefault="00C8425A" w:rsidP="00C8425A">
      <w:pPr>
        <w:ind w:left="720"/>
        <w:jc w:val="both"/>
        <w:rPr>
          <w:rFonts w:ascii="Cambria" w:hAnsi="Cambria"/>
          <w:sz w:val="20"/>
          <w:szCs w:val="20"/>
        </w:rPr>
      </w:pPr>
    </w:p>
    <w:p w:rsidR="005E76BE" w:rsidRPr="002E2C5C" w:rsidRDefault="00C8425A" w:rsidP="00724CD2">
      <w:pPr>
        <w:numPr>
          <w:ilvl w:val="0"/>
          <w:numId w:val="5"/>
        </w:numPr>
        <w:ind w:left="547" w:hanging="547"/>
        <w:jc w:val="both"/>
        <w:rPr>
          <w:rFonts w:ascii="Cambria" w:hAnsi="Cambria"/>
          <w:sz w:val="20"/>
          <w:szCs w:val="20"/>
        </w:rPr>
      </w:pPr>
      <w:r w:rsidRPr="002E2C5C">
        <w:rPr>
          <w:rFonts w:ascii="Cambria" w:hAnsi="Cambria"/>
          <w:sz w:val="20"/>
        </w:rPr>
        <w:t>Si bien existió una modificación en el lenguaje de la MCA de 2009 a efectos de que las declaraciones directamente derivadas de tortura no sean utilizadas, los abogados defensores aún tienen ciertas preocupaciones al respecto. En una audiencia pública de la CIDH celebrada el 16 de marzo de 2015, el aboga</w:t>
      </w:r>
      <w:r w:rsidR="00B340B5" w:rsidRPr="002E2C5C">
        <w:rPr>
          <w:rFonts w:ascii="Cambria" w:hAnsi="Cambria"/>
          <w:sz w:val="20"/>
        </w:rPr>
        <w:t>do militar alegó que las actuales Reglas de Evidencia de las</w:t>
      </w:r>
      <w:r w:rsidRPr="002E2C5C">
        <w:rPr>
          <w:rFonts w:ascii="Cambria" w:hAnsi="Cambria"/>
          <w:sz w:val="20"/>
        </w:rPr>
        <w:t xml:space="preserve"> Comisi</w:t>
      </w:r>
      <w:r w:rsidR="00B340B5" w:rsidRPr="002E2C5C">
        <w:rPr>
          <w:rFonts w:ascii="Cambria" w:hAnsi="Cambria"/>
          <w:sz w:val="20"/>
        </w:rPr>
        <w:t>ones Militares</w:t>
      </w:r>
      <w:r w:rsidRPr="002E2C5C">
        <w:rPr>
          <w:rFonts w:ascii="Cambria" w:hAnsi="Cambria"/>
          <w:sz w:val="20"/>
        </w:rPr>
        <w:t xml:space="preserve"> </w:t>
      </w:r>
      <w:r w:rsidR="00B340B5" w:rsidRPr="002E2C5C">
        <w:rPr>
          <w:rFonts w:ascii="Cambria" w:hAnsi="Cambria"/>
          <w:sz w:val="20"/>
        </w:rPr>
        <w:t>siguen permitiendo</w:t>
      </w:r>
      <w:r w:rsidRPr="002E2C5C">
        <w:rPr>
          <w:rFonts w:ascii="Cambria" w:hAnsi="Cambria"/>
          <w:sz w:val="20"/>
        </w:rPr>
        <w:t xml:space="preserve"> la admisibilidad de prueba</w:t>
      </w:r>
      <w:r w:rsidR="00B340B5" w:rsidRPr="002E2C5C">
        <w:rPr>
          <w:rFonts w:ascii="Cambria" w:hAnsi="Cambria"/>
          <w:sz w:val="20"/>
        </w:rPr>
        <w:t xml:space="preserve"> derivada de la</w:t>
      </w:r>
      <w:r w:rsidRPr="002E2C5C">
        <w:rPr>
          <w:rFonts w:ascii="Cambria" w:hAnsi="Cambria"/>
          <w:sz w:val="20"/>
        </w:rPr>
        <w:t xml:space="preserve"> tortura y coerción, contrario a lo que se ha dicho durante años</w:t>
      </w:r>
      <w:r w:rsidRPr="002E2C5C">
        <w:rPr>
          <w:rStyle w:val="FootnoteReference"/>
          <w:rFonts w:ascii="Cambria" w:hAnsi="Cambria"/>
          <w:sz w:val="20"/>
        </w:rPr>
        <w:footnoteReference w:id="239"/>
      </w:r>
      <w:r w:rsidR="00B340B5" w:rsidRPr="002E2C5C">
        <w:rPr>
          <w:rFonts w:ascii="Cambria" w:hAnsi="Cambria"/>
          <w:sz w:val="20"/>
        </w:rPr>
        <w:t>.</w:t>
      </w:r>
      <w:r w:rsidRPr="002E2C5C">
        <w:rPr>
          <w:rFonts w:ascii="Cambria" w:hAnsi="Cambria"/>
          <w:sz w:val="20"/>
        </w:rPr>
        <w:t xml:space="preserve">  </w:t>
      </w:r>
    </w:p>
    <w:p w:rsidR="005E76BE" w:rsidRPr="005E76BE" w:rsidRDefault="005E76BE" w:rsidP="005E76BE">
      <w:pPr>
        <w:pStyle w:val="ListParagrap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Para que la defensa pueda convencer a un juez de rechazar una declaración por ser el producto de tratamientos abusivos, la defensa necesita conocer bajo qué condiciones se proporcionó tal declaración. No obstante, dado que dichas circunstancias pueden estar sujetas a restricciones sobre información clasificada, es posible que la defensa no pueda acceder a la información necesaria para demostrar ese argumento. Más aún, las declaraciones involuntarias bajo coerción realizadas por testigos distintos al acusado son admisibles si el juez encuentra que tales declaraciones son confiables y relevantes para la prueba, así como que permitirlas está en el “interés de la justicia”</w:t>
      </w:r>
      <w:r>
        <w:rPr>
          <w:rStyle w:val="FootnoteReference"/>
          <w:rFonts w:ascii="Cambria" w:hAnsi="Cambria"/>
          <w:sz w:val="20"/>
        </w:rPr>
        <w:footnoteReference w:id="240"/>
      </w:r>
      <w:r>
        <w:rPr>
          <w:rFonts w:ascii="Cambria" w:hAnsi="Cambria"/>
          <w:sz w:val="20"/>
        </w:rPr>
        <w:t xml:space="preserve">. Otro asunto pendiente que podría ser litigado es la cuestión de la prueba derivada de actos de tortura. En las comisiones militares de Guantánamo, admisiones del acusado realizadas fuera de la corte no requieren ser corroboradas, lo que deja abierta la posibilidad de que un detenido sea condenado </w:t>
      </w:r>
      <w:r>
        <w:rPr>
          <w:rFonts w:ascii="Cambria" w:hAnsi="Cambria"/>
          <w:sz w:val="20"/>
        </w:rPr>
        <w:lastRenderedPageBreak/>
        <w:t xml:space="preserve">con base en una única “confesión” sin corroborar, que pudo o no haber sido el producto de abusos o tortura. </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Los abogados defensores militares también alegan que las normas extremadamente amplias sobre testimonios referenciales impiden que los abogados interroguen a los testigos de la contraparte. Ante las cortes federales se requiere demostrar que los testigos “no estén disponibles” mientras que en las comisiones militares de Guantánamo, el gobierno puede utilizar evidencia referencial cuando demuestre que no resulta “práctico” traer al testigo a Guantánamo. Según los abogados defensores, esto implica que pierden la posibilidad de confrontar e interrogar a los testigos. Subrayan que, si bien el testimonio referencial debe cumplir algún grado de estándares de confiabilidad, todavía puede ser admisible. El juez decide si admitir o no la evidencia después de considerar las circunstancias y tomando en consideración si admitir la declaración sirve “el interés de la justicia”.  Como expresó en términos más generales el Juez </w:t>
      </w:r>
      <w:proofErr w:type="spellStart"/>
      <w:r>
        <w:rPr>
          <w:rFonts w:ascii="Cambria" w:hAnsi="Cambria"/>
          <w:sz w:val="20"/>
        </w:rPr>
        <w:t>Scalia</w:t>
      </w:r>
      <w:proofErr w:type="spellEnd"/>
      <w:r>
        <w:rPr>
          <w:rFonts w:ascii="Cambria" w:hAnsi="Cambria"/>
          <w:sz w:val="20"/>
        </w:rPr>
        <w:t>, “admitir declaraciones que un juez considere confiables está en plena contradicción con el derecho a confrontar la evidencia”</w:t>
      </w:r>
      <w:r>
        <w:rPr>
          <w:rStyle w:val="FootnoteReference"/>
          <w:rFonts w:ascii="Cambria" w:hAnsi="Cambria"/>
          <w:sz w:val="20"/>
        </w:rPr>
        <w:footnoteReference w:id="241"/>
      </w:r>
      <w:r>
        <w:rPr>
          <w:rFonts w:ascii="Cambria" w:hAnsi="Cambria"/>
          <w:sz w:val="20"/>
        </w:rPr>
        <w:t xml:space="preserve">. Los abogados defensores también alegan que no se les permite un acceso igualitario a los testigos y a la evidencia sino únicamente un acceso “razonable” sometido al control de la acusación, lo que se aparta significativamente del artículo 46 del UCMJ. Alegan también que el artículo 13 del UCMJ, disposición que prohíbe castigos ilegales previos al juicio, no se aplica en las comisiones militares. </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Según los abogados defensores militares, la prohibición contra leyes </w:t>
      </w:r>
      <w:r>
        <w:rPr>
          <w:rFonts w:ascii="Cambria" w:hAnsi="Cambria"/>
          <w:i/>
          <w:sz w:val="20"/>
        </w:rPr>
        <w:t>ex post facto</w:t>
      </w:r>
      <w:r>
        <w:rPr>
          <w:rFonts w:ascii="Cambria" w:hAnsi="Cambria"/>
          <w:sz w:val="20"/>
        </w:rPr>
        <w:t>, un principio de legalidad según el derecho internacional, raramente se aplica por las comisiones militares. Si bien el gobierno de EE.UU. inicialmente admitió que los delitos de guerra especificados por la MCA de 2006 no constituían violaciones a norma alguna del derecho de guerra ni al derecho de guerra establecido por el derecho internacional consuetudinario, más adelante argumentó la existencia de un cuarto cuerpo de derecho penal conocido como el “derecho de guerra interno”. Según el gobierno, la MCA de 2006 no creó nuevas infracciones sino que únicamente codificó infracciones bien establecidas que desde hace mucho habían sido juzgadas por comisiones militares. El gobierno presenta la teoría del derecho de guerra interno como una noción de derecho común (</w:t>
      </w:r>
      <w:proofErr w:type="spellStart"/>
      <w:r>
        <w:rPr>
          <w:rFonts w:ascii="Cambria" w:hAnsi="Cambria"/>
          <w:i/>
          <w:sz w:val="20"/>
        </w:rPr>
        <w:t>common</w:t>
      </w:r>
      <w:proofErr w:type="spellEnd"/>
      <w:r>
        <w:rPr>
          <w:rFonts w:ascii="Cambria" w:hAnsi="Cambria"/>
          <w:i/>
          <w:sz w:val="20"/>
        </w:rPr>
        <w:t xml:space="preserve"> </w:t>
      </w:r>
      <w:proofErr w:type="spellStart"/>
      <w:r>
        <w:rPr>
          <w:rFonts w:ascii="Cambria" w:hAnsi="Cambria"/>
          <w:i/>
          <w:sz w:val="20"/>
        </w:rPr>
        <w:t>law</w:t>
      </w:r>
      <w:proofErr w:type="spellEnd"/>
      <w:r>
        <w:rPr>
          <w:rFonts w:ascii="Cambria" w:hAnsi="Cambria"/>
          <w:sz w:val="20"/>
        </w:rPr>
        <w:t>) no codificado</w:t>
      </w:r>
      <w:r>
        <w:rPr>
          <w:rStyle w:val="FootnoteReference"/>
          <w:rFonts w:ascii="Cambria" w:hAnsi="Cambria"/>
          <w:sz w:val="20"/>
        </w:rPr>
        <w:footnoteReference w:id="242"/>
      </w:r>
      <w:r>
        <w:rPr>
          <w:rFonts w:ascii="Cambria" w:hAnsi="Cambria"/>
          <w:sz w:val="20"/>
        </w:rPr>
        <w:t>.</w:t>
      </w:r>
    </w:p>
    <w:p w:rsidR="00C8425A" w:rsidRPr="00FC2F1B" w:rsidRDefault="00C8425A" w:rsidP="00C8425A">
      <w:pPr>
        <w:pStyle w:val="ListParagraph"/>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La cuestión de las leyes </w:t>
      </w:r>
      <w:r>
        <w:rPr>
          <w:rFonts w:ascii="Cambria" w:hAnsi="Cambria"/>
          <w:i/>
          <w:sz w:val="20"/>
        </w:rPr>
        <w:t>ex post facto</w:t>
      </w:r>
      <w:r>
        <w:rPr>
          <w:rFonts w:ascii="Cambria" w:hAnsi="Cambria"/>
          <w:sz w:val="20"/>
        </w:rPr>
        <w:t xml:space="preserve"> también fue litigada ante la Corte de Circuito de D.C. en el caso </w:t>
      </w:r>
      <w:proofErr w:type="spellStart"/>
      <w:r>
        <w:rPr>
          <w:rFonts w:ascii="Cambria" w:hAnsi="Cambria"/>
          <w:i/>
          <w:sz w:val="20"/>
        </w:rPr>
        <w:t>Hamdan</w:t>
      </w:r>
      <w:proofErr w:type="spellEnd"/>
      <w:r>
        <w:rPr>
          <w:rFonts w:ascii="Cambria" w:hAnsi="Cambria"/>
          <w:i/>
          <w:sz w:val="20"/>
        </w:rPr>
        <w:t xml:space="preserve"> v. </w:t>
      </w:r>
      <w:proofErr w:type="spellStart"/>
      <w:r>
        <w:rPr>
          <w:rFonts w:ascii="Cambria" w:hAnsi="Cambria"/>
          <w:i/>
          <w:sz w:val="20"/>
        </w:rPr>
        <w:t>United</w:t>
      </w:r>
      <w:proofErr w:type="spellEnd"/>
      <w:r>
        <w:rPr>
          <w:rFonts w:ascii="Cambria" w:hAnsi="Cambria"/>
          <w:i/>
          <w:sz w:val="20"/>
        </w:rPr>
        <w:t xml:space="preserve"> </w:t>
      </w:r>
      <w:proofErr w:type="spellStart"/>
      <w:r>
        <w:rPr>
          <w:rFonts w:ascii="Cambria" w:hAnsi="Cambria"/>
          <w:i/>
          <w:sz w:val="20"/>
        </w:rPr>
        <w:t>States</w:t>
      </w:r>
      <w:proofErr w:type="spellEnd"/>
      <w:r>
        <w:rPr>
          <w:rFonts w:ascii="Cambria" w:hAnsi="Cambria"/>
          <w:sz w:val="20"/>
        </w:rPr>
        <w:t xml:space="preserve">. </w:t>
      </w:r>
      <w:proofErr w:type="spellStart"/>
      <w:r>
        <w:rPr>
          <w:rFonts w:ascii="Cambria" w:hAnsi="Cambria"/>
          <w:sz w:val="20"/>
        </w:rPr>
        <w:t>Salim</w:t>
      </w:r>
      <w:proofErr w:type="spellEnd"/>
      <w:r>
        <w:rPr>
          <w:rFonts w:ascii="Cambria" w:hAnsi="Cambria"/>
          <w:sz w:val="20"/>
        </w:rPr>
        <w:t xml:space="preserve"> Ahmed </w:t>
      </w:r>
      <w:proofErr w:type="spellStart"/>
      <w:r>
        <w:rPr>
          <w:rFonts w:ascii="Cambria" w:hAnsi="Cambria"/>
          <w:sz w:val="20"/>
        </w:rPr>
        <w:t>Hamdan</w:t>
      </w:r>
      <w:proofErr w:type="spellEnd"/>
      <w:r>
        <w:rPr>
          <w:rFonts w:ascii="Cambria" w:hAnsi="Cambria"/>
          <w:sz w:val="20"/>
        </w:rPr>
        <w:t xml:space="preserve">, a cuyo caso se hizo referencia más arriba, fue declarado culpable por una comisión militar respecto de cinco cargos relacionados con proporcionar apoyo material al terrorismo, un delito de guerra especificado en la MCA de 2006, con fundamento en hechos ocurridos antes de la vigencia de la MCA. Luego de que la sentencia fuera confirmada por la Corte de Revisión de Comisiones Militares, él presentó ante la Corte de Circuito de D.C. cuestionando aspectos relativos al alcance de la facultad del ejecutivo de procesar penalmente supuestos delitos de guerra que cuando ocurrieron no estaban codificados como tales bajo el derecho estadounidense. Después de haber cumplido </w:t>
      </w:r>
      <w:r>
        <w:rPr>
          <w:rFonts w:ascii="Cambria" w:hAnsi="Cambria"/>
          <w:sz w:val="20"/>
        </w:rPr>
        <w:lastRenderedPageBreak/>
        <w:t xml:space="preserve">su sentencia, </w:t>
      </w:r>
      <w:proofErr w:type="spellStart"/>
      <w:r>
        <w:rPr>
          <w:rFonts w:ascii="Cambria" w:hAnsi="Cambria"/>
          <w:sz w:val="20"/>
        </w:rPr>
        <w:t>Hamdan</w:t>
      </w:r>
      <w:proofErr w:type="spellEnd"/>
      <w:r>
        <w:rPr>
          <w:rFonts w:ascii="Cambria" w:hAnsi="Cambria"/>
          <w:sz w:val="20"/>
        </w:rPr>
        <w:t xml:space="preserve"> fue trasladado a Yemen en 2008 y allí liberado. No obstante, aún después de su liberación, continuó apelando su condena basada en supuestos delitos de guerra. El 16 de octubre de 2012, la Corte de Circuito de D.C. concluyó que la MCA de 2006 no autoriza el procesamiento penal retroactivo por hechos que no constituyan delitos de guerra de conformidad con el derecho estadounidense vigente al momento de su comisión, y que el apoyo material al terrorismo no era un delito pre-existente según el derecho de guerra. En consecuencia, la Corte revocó la decisión y ordenó la anulación de la condena por apoyo material al terrorismo</w:t>
      </w:r>
      <w:r>
        <w:rPr>
          <w:rStyle w:val="FootnoteReference"/>
          <w:rFonts w:ascii="Cambria" w:hAnsi="Cambria"/>
          <w:sz w:val="20"/>
        </w:rPr>
        <w:footnoteReference w:id="243"/>
      </w:r>
      <w:r>
        <w:rPr>
          <w:rFonts w:ascii="Cambria" w:hAnsi="Cambria"/>
          <w:sz w:val="20"/>
        </w:rPr>
        <w:t xml:space="preserve">.  </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La cuestión de las leyes </w:t>
      </w:r>
      <w:r>
        <w:rPr>
          <w:rFonts w:ascii="Cambria" w:hAnsi="Cambria"/>
          <w:i/>
          <w:sz w:val="20"/>
        </w:rPr>
        <w:t>ex post facto</w:t>
      </w:r>
      <w:r>
        <w:rPr>
          <w:rFonts w:ascii="Cambria" w:hAnsi="Cambria"/>
          <w:sz w:val="20"/>
        </w:rPr>
        <w:t xml:space="preserve"> fue considerada nuevamente por la Corte de Circuito de D.C. en el caso </w:t>
      </w:r>
      <w:proofErr w:type="spellStart"/>
      <w:r>
        <w:rPr>
          <w:rFonts w:ascii="Cambria" w:hAnsi="Cambria"/>
          <w:i/>
          <w:sz w:val="20"/>
        </w:rPr>
        <w:t>Bahlul</w:t>
      </w:r>
      <w:proofErr w:type="spellEnd"/>
      <w:r>
        <w:rPr>
          <w:rFonts w:ascii="Cambria" w:hAnsi="Cambria"/>
          <w:sz w:val="20"/>
        </w:rPr>
        <w:t xml:space="preserve">. Ahmad </w:t>
      </w:r>
      <w:proofErr w:type="spellStart"/>
      <w:r>
        <w:rPr>
          <w:rFonts w:ascii="Cambria" w:hAnsi="Cambria"/>
          <w:sz w:val="20"/>
        </w:rPr>
        <w:t>Suliman</w:t>
      </w:r>
      <w:proofErr w:type="spellEnd"/>
      <w:r>
        <w:rPr>
          <w:rFonts w:ascii="Cambria" w:hAnsi="Cambria"/>
          <w:sz w:val="20"/>
        </w:rPr>
        <w:t xml:space="preserve"> Al </w:t>
      </w:r>
      <w:proofErr w:type="spellStart"/>
      <w:r>
        <w:rPr>
          <w:rFonts w:ascii="Cambria" w:hAnsi="Cambria"/>
          <w:sz w:val="20"/>
        </w:rPr>
        <w:t>Bahlul</w:t>
      </w:r>
      <w:proofErr w:type="spellEnd"/>
      <w:r>
        <w:rPr>
          <w:rFonts w:ascii="Cambria" w:hAnsi="Cambria"/>
          <w:sz w:val="20"/>
        </w:rPr>
        <w:t xml:space="preserve"> fue condenado a cadena perpetua por una comisión militar con fundamento en la comisión de tres delitos: conspirar para la comisión de delitos de guerra, proporcionar apoyo material para el terrorismo, y solicitar que terceros cometan delitos de guerra, todos los cuales no constituyen delitos de guerra según el derecho internacional. La CMCR confirmó la sentencia y la pena, y </w:t>
      </w:r>
      <w:proofErr w:type="spellStart"/>
      <w:r>
        <w:rPr>
          <w:rFonts w:ascii="Cambria" w:hAnsi="Cambria"/>
          <w:sz w:val="20"/>
        </w:rPr>
        <w:t>Bahlul</w:t>
      </w:r>
      <w:proofErr w:type="spellEnd"/>
      <w:r>
        <w:rPr>
          <w:rFonts w:ascii="Cambria" w:hAnsi="Cambria"/>
          <w:sz w:val="20"/>
        </w:rPr>
        <w:t xml:space="preserve"> apeló ante la Corte de Circuito de D.C. En julio de 2014, la Corte anuló las condenas basadas en los delitos de apoyo material y solicitud a terceros, y confirmó la condena basada en conspiración, rechazando los cuestionamientos sobre aplicación de leyes </w:t>
      </w:r>
      <w:r>
        <w:rPr>
          <w:rFonts w:ascii="Cambria" w:hAnsi="Cambria"/>
          <w:i/>
          <w:sz w:val="20"/>
        </w:rPr>
        <w:t>ex post facto</w:t>
      </w:r>
      <w:r>
        <w:rPr>
          <w:rStyle w:val="FootnoteReference"/>
          <w:rFonts w:ascii="Cambria" w:hAnsi="Cambria"/>
          <w:sz w:val="20"/>
        </w:rPr>
        <w:footnoteReference w:id="244"/>
      </w:r>
      <w:r>
        <w:rPr>
          <w:rFonts w:ascii="Cambria" w:hAnsi="Cambria"/>
          <w:sz w:val="20"/>
        </w:rPr>
        <w:t xml:space="preserve">. La Corte de Circuito remitió dicha condena al panel original de la Corte para que resuelva sobre los asuntos pendientes. </w:t>
      </w:r>
    </w:p>
    <w:p w:rsidR="00C8425A" w:rsidRPr="00FC2F1B" w:rsidRDefault="00C8425A" w:rsidP="00C8425A">
      <w:pPr>
        <w:pStyle w:val="ListParagraph"/>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Los jueces decidieron de manera uniforme que los cargos por terrorismo y solicitud a terceros debían ser anulados en tanto constituyen violaciones al principio de legalidad, tomando en consideración que los hechos en los que se fundamenta la sentencia ocurrieron antes de la vigencia de la Ley de Comisiones Militares de 2006. Sin embargo, la decisión del caso </w:t>
      </w:r>
      <w:proofErr w:type="spellStart"/>
      <w:r>
        <w:rPr>
          <w:rFonts w:ascii="Cambria" w:hAnsi="Cambria"/>
          <w:sz w:val="20"/>
        </w:rPr>
        <w:t>Bahlul</w:t>
      </w:r>
      <w:proofErr w:type="spellEnd"/>
      <w:r>
        <w:rPr>
          <w:rFonts w:ascii="Cambria" w:hAnsi="Cambria"/>
          <w:sz w:val="20"/>
        </w:rPr>
        <w:t xml:space="preserve"> no resolvió plenamente sobre la viabilidad de la acusación por conspiración como una infracción autónoma puesto que, según el razonamiento de la mayoría, al omitir cuestionar este aspecto durante la apelación, </w:t>
      </w:r>
      <w:proofErr w:type="spellStart"/>
      <w:r>
        <w:rPr>
          <w:rFonts w:ascii="Cambria" w:hAnsi="Cambria"/>
          <w:sz w:val="20"/>
        </w:rPr>
        <w:t>Bahlul</w:t>
      </w:r>
      <w:proofErr w:type="spellEnd"/>
      <w:r>
        <w:rPr>
          <w:rFonts w:ascii="Cambria" w:hAnsi="Cambria"/>
          <w:sz w:val="20"/>
        </w:rPr>
        <w:t xml:space="preserve"> había renunciado a su posibilidad de objetar la condena con base en el principio de legalidad, por lo que la decisión sobre este aspecto sólo se basó en el estándar de “error básico”. En consecuencia, el eventual destino de la conspiración como infracción autónoma, y la teoría del gobierno sobre los delitos del derecho de guerra interno, continúan a la espera de una revisión completa. Más aún, las distintas opiniones contenidas en la decisión expresan diferentes visiones sobre el papel de las comisiones militares y el significado de lo que el gobierno interpreta como crímenes de guerra internos</w:t>
      </w:r>
      <w:r>
        <w:rPr>
          <w:rStyle w:val="FootnoteReference"/>
          <w:rFonts w:ascii="Cambria" w:hAnsi="Cambria"/>
          <w:sz w:val="20"/>
        </w:rPr>
        <w:footnoteReference w:id="245"/>
      </w:r>
      <w:r>
        <w:rPr>
          <w:rFonts w:ascii="Cambria" w:hAnsi="Cambria"/>
          <w:sz w:val="20"/>
        </w:rPr>
        <w:t xml:space="preserve">. </w:t>
      </w:r>
    </w:p>
    <w:p w:rsidR="00C8425A" w:rsidRPr="00FC2F1B" w:rsidRDefault="00C8425A" w:rsidP="00C8425A">
      <w:pPr>
        <w:jc w:val="both"/>
        <w:rPr>
          <w:rFonts w:ascii="Cambria" w:hAnsi="Cambria"/>
          <w:sz w:val="20"/>
          <w:szCs w:val="20"/>
        </w:rPr>
      </w:pPr>
    </w:p>
    <w:p w:rsidR="00C8425A" w:rsidRPr="0054243D" w:rsidRDefault="00C8425A" w:rsidP="0054243D">
      <w:pPr>
        <w:pStyle w:val="Style4"/>
        <w:ind w:left="907" w:hanging="360"/>
        <w:outlineLvl w:val="3"/>
        <w:rPr>
          <w:sz w:val="22"/>
          <w:szCs w:val="22"/>
        </w:rPr>
      </w:pPr>
      <w:bookmarkStart w:id="49" w:name="_Toc423072850"/>
      <w:r>
        <w:rPr>
          <w:sz w:val="22"/>
        </w:rPr>
        <w:t>Preocupaciones relativas al debido proceso</w:t>
      </w:r>
      <w:bookmarkEnd w:id="49"/>
      <w:r>
        <w:rPr>
          <w:sz w:val="22"/>
        </w:rPr>
        <w:t xml:space="preserve"> </w:t>
      </w:r>
    </w:p>
    <w:p w:rsidR="00C8425A" w:rsidRPr="00FC2F1B" w:rsidRDefault="00C8425A" w:rsidP="00C8425A">
      <w:pPr>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La Comisión Interamericana saluda las importantes enmiendas realizadas a la MCA en 2009, a través de las cuales se eliminaron algunas graves violaciones al debido </w:t>
      </w:r>
      <w:r>
        <w:rPr>
          <w:rFonts w:ascii="Cambria" w:hAnsi="Cambria"/>
          <w:sz w:val="20"/>
        </w:rPr>
        <w:lastRenderedPageBreak/>
        <w:t xml:space="preserve">proceso establecidas en la MCA de 2006 y se incluyeron cambios importantes a las comisiones militares, específicamente al reconocer algunas garantías procesales básicas que se aplican en los procedimientos ante cortes marciales. A pesar de estos importantes avances, la CIDH continúa profundamente preocupada respecto de, </w:t>
      </w:r>
      <w:r>
        <w:rPr>
          <w:rFonts w:ascii="Cambria" w:hAnsi="Cambria"/>
          <w:i/>
          <w:sz w:val="20"/>
        </w:rPr>
        <w:t xml:space="preserve">inter </w:t>
      </w:r>
      <w:proofErr w:type="spellStart"/>
      <w:r>
        <w:rPr>
          <w:rFonts w:ascii="Cambria" w:hAnsi="Cambria"/>
          <w:i/>
          <w:sz w:val="20"/>
        </w:rPr>
        <w:t>alia</w:t>
      </w:r>
      <w:proofErr w:type="spellEnd"/>
      <w:r>
        <w:rPr>
          <w:rFonts w:ascii="Cambria" w:hAnsi="Cambria"/>
          <w:sz w:val="20"/>
        </w:rPr>
        <w:t xml:space="preserve">: la independencia e imparcialidad de las comisiones militares; la incertidumbre respecto de la aplicabilidad de la Constitución de Estados Unidos; el respeto a los derechos a la igualdad ante la ley, a contradecir la prueba, y a un juicio rápido; la observancia del principio de legalidad; y el procesamiento penal retroactivo de delitos.  </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La CIDH ha reconocido que las cortes de Estados Unidos en general ofrecen una amplia gama de garantías de debido proceso a las personas sometidas a procedimientos penales</w:t>
      </w:r>
      <w:r>
        <w:rPr>
          <w:rStyle w:val="FootnoteReference"/>
          <w:rFonts w:ascii="Cambria" w:hAnsi="Cambria"/>
          <w:sz w:val="20"/>
        </w:rPr>
        <w:footnoteReference w:id="246"/>
      </w:r>
      <w:r>
        <w:rPr>
          <w:rFonts w:ascii="Cambria" w:hAnsi="Cambria"/>
          <w:sz w:val="20"/>
        </w:rPr>
        <w:t>. Las cortes federales de Estados Unidos han respondido exitosamente frente a casos de alto perfil relacionados con terrorismo y habrían decidido cerca de 500 casos relacionados con terrorismo internacional desde el 11 de septiembre de 2001</w:t>
      </w:r>
      <w:r>
        <w:rPr>
          <w:rStyle w:val="FootnoteReference"/>
          <w:rFonts w:ascii="Cambria" w:hAnsi="Cambria"/>
          <w:sz w:val="20"/>
        </w:rPr>
        <w:footnoteReference w:id="247"/>
      </w:r>
      <w:r>
        <w:rPr>
          <w:rFonts w:ascii="Cambria" w:hAnsi="Cambria"/>
          <w:sz w:val="20"/>
        </w:rPr>
        <w:t xml:space="preserve">. Ahmed </w:t>
      </w:r>
      <w:proofErr w:type="spellStart"/>
      <w:r>
        <w:rPr>
          <w:rFonts w:ascii="Cambria" w:hAnsi="Cambria"/>
          <w:sz w:val="20"/>
        </w:rPr>
        <w:t>Ghailani</w:t>
      </w:r>
      <w:proofErr w:type="spellEnd"/>
      <w:r>
        <w:rPr>
          <w:rFonts w:ascii="Cambria" w:hAnsi="Cambria"/>
          <w:sz w:val="20"/>
        </w:rPr>
        <w:t xml:space="preserve">, quien participó en los bombardeos a las embajadas estadounidenses  en </w:t>
      </w:r>
      <w:proofErr w:type="spellStart"/>
      <w:r>
        <w:rPr>
          <w:rFonts w:ascii="Cambria" w:hAnsi="Cambria"/>
          <w:sz w:val="20"/>
        </w:rPr>
        <w:t>Kenya</w:t>
      </w:r>
      <w:proofErr w:type="spellEnd"/>
      <w:r>
        <w:rPr>
          <w:rFonts w:ascii="Cambria" w:hAnsi="Cambria"/>
          <w:sz w:val="20"/>
        </w:rPr>
        <w:t xml:space="preserve"> y Tanzania en 1998, fue trasladado desde Guantánamo en junio de 2009 y juzgado ante la Corte de Distrito de EE.UU. para el Distrito Sur de Nueva York. El 25 de enero de 2011, fue condenado a cadena perpetua y actualmente está detenido en la prisión ADX </w:t>
      </w:r>
      <w:proofErr w:type="spellStart"/>
      <w:r>
        <w:rPr>
          <w:rFonts w:ascii="Cambria" w:hAnsi="Cambria"/>
          <w:sz w:val="20"/>
        </w:rPr>
        <w:t>Supermax</w:t>
      </w:r>
      <w:proofErr w:type="spellEnd"/>
      <w:r>
        <w:rPr>
          <w:rFonts w:ascii="Cambria" w:hAnsi="Cambria"/>
          <w:sz w:val="20"/>
        </w:rPr>
        <w:t xml:space="preserve"> en Florence, Colorado. </w:t>
      </w:r>
      <w:proofErr w:type="spellStart"/>
      <w:r>
        <w:rPr>
          <w:rFonts w:ascii="Cambria" w:hAnsi="Cambria"/>
          <w:sz w:val="20"/>
        </w:rPr>
        <w:t>Sulaiman</w:t>
      </w:r>
      <w:proofErr w:type="spellEnd"/>
      <w:r>
        <w:rPr>
          <w:rFonts w:ascii="Cambria" w:hAnsi="Cambria"/>
          <w:sz w:val="20"/>
        </w:rPr>
        <w:t xml:space="preserve"> Abu </w:t>
      </w:r>
      <w:proofErr w:type="spellStart"/>
      <w:r>
        <w:rPr>
          <w:rFonts w:ascii="Cambria" w:hAnsi="Cambria"/>
          <w:sz w:val="20"/>
        </w:rPr>
        <w:t>Ghaith</w:t>
      </w:r>
      <w:proofErr w:type="spellEnd"/>
      <w:r>
        <w:rPr>
          <w:rFonts w:ascii="Cambria" w:hAnsi="Cambria"/>
          <w:sz w:val="20"/>
        </w:rPr>
        <w:t xml:space="preserve">, yerno de </w:t>
      </w:r>
      <w:proofErr w:type="spellStart"/>
      <w:r>
        <w:rPr>
          <w:rFonts w:ascii="Cambria" w:hAnsi="Cambria"/>
          <w:sz w:val="20"/>
        </w:rPr>
        <w:t>Bin</w:t>
      </w:r>
      <w:proofErr w:type="spellEnd"/>
      <w:r>
        <w:rPr>
          <w:rFonts w:ascii="Cambria" w:hAnsi="Cambria"/>
          <w:sz w:val="20"/>
        </w:rPr>
        <w:t xml:space="preserve"> Laden y vocero de Al-Qaeda después de los ataques de 2001, fue el miembro de Al-Qaeda con más antigüedad a ser sentenciado por cortes federales. El 23 de septiembre de 2014, la misma Corte de Distrito lo condenó a cadena perpetua por conspiración para asesinar a estadounidenses, proporcionar apoyo material a terroristas y conspirar para lo anterior. En mayo de 2014, </w:t>
      </w:r>
      <w:proofErr w:type="spellStart"/>
      <w:r>
        <w:rPr>
          <w:rFonts w:ascii="Cambria" w:hAnsi="Cambria"/>
          <w:sz w:val="20"/>
        </w:rPr>
        <w:t>Mostafa</w:t>
      </w:r>
      <w:proofErr w:type="spellEnd"/>
      <w:r>
        <w:rPr>
          <w:rFonts w:ascii="Cambria" w:hAnsi="Cambria"/>
          <w:sz w:val="20"/>
        </w:rPr>
        <w:t xml:space="preserve"> </w:t>
      </w:r>
      <w:proofErr w:type="spellStart"/>
      <w:r>
        <w:rPr>
          <w:rFonts w:ascii="Cambria" w:hAnsi="Cambria"/>
          <w:sz w:val="20"/>
        </w:rPr>
        <w:t>Kamel</w:t>
      </w:r>
      <w:proofErr w:type="spellEnd"/>
      <w:r>
        <w:rPr>
          <w:rFonts w:ascii="Cambria" w:hAnsi="Cambria"/>
          <w:sz w:val="20"/>
        </w:rPr>
        <w:t xml:space="preserve"> </w:t>
      </w:r>
      <w:proofErr w:type="spellStart"/>
      <w:r>
        <w:rPr>
          <w:rFonts w:ascii="Cambria" w:hAnsi="Cambria"/>
          <w:sz w:val="20"/>
        </w:rPr>
        <w:t>Mostafa</w:t>
      </w:r>
      <w:proofErr w:type="spellEnd"/>
      <w:r>
        <w:rPr>
          <w:rFonts w:ascii="Cambria" w:hAnsi="Cambria"/>
          <w:sz w:val="20"/>
        </w:rPr>
        <w:t xml:space="preserve">, conocido como Abu </w:t>
      </w:r>
      <w:proofErr w:type="spellStart"/>
      <w:r>
        <w:rPr>
          <w:rFonts w:ascii="Cambria" w:hAnsi="Cambria"/>
          <w:sz w:val="20"/>
        </w:rPr>
        <w:t>Hamza</w:t>
      </w:r>
      <w:proofErr w:type="spellEnd"/>
      <w:r>
        <w:rPr>
          <w:rFonts w:ascii="Cambria" w:hAnsi="Cambria"/>
          <w:sz w:val="20"/>
        </w:rPr>
        <w:t xml:space="preserve"> Al-</w:t>
      </w:r>
      <w:proofErr w:type="spellStart"/>
      <w:r>
        <w:rPr>
          <w:rFonts w:ascii="Cambria" w:hAnsi="Cambria"/>
          <w:sz w:val="20"/>
        </w:rPr>
        <w:t>Masri</w:t>
      </w:r>
      <w:proofErr w:type="spellEnd"/>
      <w:r>
        <w:rPr>
          <w:rFonts w:ascii="Cambria" w:hAnsi="Cambria"/>
          <w:sz w:val="20"/>
        </w:rPr>
        <w:t xml:space="preserve">, fue condenado por la misma corte con base en 11 cargos de terrorismo. Por tanto, se ha demostrado que las cortes federales tienen la experiencia, capacidad y recursos para juzgar casos de terrorismo de alto perfil. </w:t>
      </w:r>
    </w:p>
    <w:p w:rsidR="00C8425A" w:rsidRPr="00FC2F1B" w:rsidRDefault="00C8425A" w:rsidP="00C8425A">
      <w:pPr>
        <w:ind w:left="720"/>
        <w:jc w:val="both"/>
        <w:rPr>
          <w:rFonts w:ascii="Cambria" w:hAnsi="Cambria"/>
          <w:sz w:val="20"/>
          <w:szCs w:val="20"/>
        </w:rPr>
      </w:pPr>
    </w:p>
    <w:p w:rsidR="005950F0" w:rsidRPr="005950F0" w:rsidRDefault="00C8425A" w:rsidP="00724CD2">
      <w:pPr>
        <w:numPr>
          <w:ilvl w:val="0"/>
          <w:numId w:val="5"/>
        </w:numPr>
        <w:ind w:left="547" w:hanging="547"/>
        <w:jc w:val="both"/>
        <w:rPr>
          <w:rFonts w:ascii="Cambria" w:hAnsi="Cambria"/>
          <w:sz w:val="20"/>
          <w:szCs w:val="20"/>
        </w:rPr>
      </w:pPr>
      <w:r>
        <w:rPr>
          <w:rFonts w:ascii="Cambria" w:hAnsi="Cambria"/>
          <w:sz w:val="20"/>
        </w:rPr>
        <w:t xml:space="preserve">No obstante, en los casos bajo análisis, Estados Unidos decidió no aplicar el sistema civil de cortes penales establecido, sino crear una nueva estructura fuera del territorio estadounidense para juzgar a extranjeros sospechosos de haber participado en actos de terrorismo. Esto ha sido interpretado por muchos como una movida para crear un sistema que proporcione un velo de legitimidad, al tiempo que permita </w:t>
      </w:r>
      <w:r w:rsidRPr="002E2C5C">
        <w:rPr>
          <w:rFonts w:ascii="Cambria" w:hAnsi="Cambria"/>
          <w:sz w:val="20"/>
        </w:rPr>
        <w:t>esconder la complicidad por delitos de guerra supuestamente cometidos por el gobierno de Estados Unidos</w:t>
      </w:r>
      <w:r w:rsidRPr="002E2C5C">
        <w:rPr>
          <w:rStyle w:val="FootnoteReference"/>
          <w:rFonts w:ascii="Cambria" w:hAnsi="Cambria"/>
          <w:sz w:val="20"/>
        </w:rPr>
        <w:footnoteReference w:id="248"/>
      </w:r>
      <w:r w:rsidRPr="002E2C5C">
        <w:rPr>
          <w:rFonts w:ascii="Cambria" w:hAnsi="Cambria"/>
          <w:sz w:val="20"/>
        </w:rPr>
        <w:t xml:space="preserve">. Según el Gobierno de Estados Unidos, las comisiones militares son la instancia adecuada para procesar a los detenidos de Guantánamo dado que incorporan salvaguardas fundamentales para un juicio justo, incluida la presunción de inocencia y la imposibilidad de admitir en un juicio cualquier declaración obtenida mediante la tortura o tratos crueles, inhumanos o </w:t>
      </w:r>
      <w:r w:rsidRPr="002E2C5C">
        <w:rPr>
          <w:rFonts w:ascii="Cambria" w:hAnsi="Cambria"/>
          <w:sz w:val="20"/>
        </w:rPr>
        <w:lastRenderedPageBreak/>
        <w:t>degradantes.  En lo que respecta a la publicación del resumen ejecutivo desclasificado del</w:t>
      </w:r>
      <w:r w:rsidRPr="002E2C5C">
        <w:rPr>
          <w:rFonts w:ascii="Cambria" w:hAnsi="Cambria"/>
          <w:i/>
          <w:sz w:val="20"/>
        </w:rPr>
        <w:t xml:space="preserve"> estudio sobre el Programa de Detención e Interrogatorio de la CIA, </w:t>
      </w:r>
      <w:r w:rsidRPr="002E2C5C">
        <w:rPr>
          <w:rFonts w:ascii="Cambria" w:hAnsi="Cambria"/>
          <w:sz w:val="20"/>
        </w:rPr>
        <w:t xml:space="preserve">mencionado anteriormente en lo relacionado con las comisiones militares, el Gobierno ha indicado que los fragmentos no editados del resumen ejecutivo, </w:t>
      </w:r>
      <w:r w:rsidR="009B0A9C" w:rsidRPr="002E2C5C">
        <w:rPr>
          <w:rFonts w:ascii="Cambria" w:hAnsi="Cambria"/>
          <w:sz w:val="20"/>
        </w:rPr>
        <w:t>los cuales constituyen</w:t>
      </w:r>
      <w:r w:rsidRPr="002E2C5C">
        <w:rPr>
          <w:rFonts w:ascii="Cambria" w:hAnsi="Cambria"/>
          <w:sz w:val="20"/>
        </w:rPr>
        <w:t xml:space="preserve"> la gran mayoría del documento, fueron desclasificados y que la Oficina del Fiscal se encuentra examinando el informe completo para ver si hay alguna prueba de descargo que pudiera favorecer a los detenidos</w:t>
      </w:r>
      <w:r w:rsidRPr="002E2C5C">
        <w:rPr>
          <w:rStyle w:val="FootnoteReference"/>
          <w:rFonts w:ascii="Cambria" w:hAnsi="Cambria"/>
          <w:sz w:val="20"/>
        </w:rPr>
        <w:footnoteReference w:id="249"/>
      </w:r>
      <w:r w:rsidR="00F0543E" w:rsidRPr="002E2C5C">
        <w:rPr>
          <w:rFonts w:ascii="Cambria" w:hAnsi="Cambria"/>
          <w:sz w:val="20"/>
        </w:rPr>
        <w:t>.</w:t>
      </w:r>
      <w:r>
        <w:rPr>
          <w:rFonts w:ascii="Cambria" w:hAnsi="Cambria"/>
          <w:sz w:val="20"/>
        </w:rPr>
        <w:t xml:space="preserve"> </w:t>
      </w:r>
    </w:p>
    <w:p w:rsidR="005950F0" w:rsidRPr="005950F0" w:rsidRDefault="005950F0" w:rsidP="005950F0">
      <w:pPr>
        <w:pStyle w:val="ListParagrap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Para muchos, sin embargo, las comisiones militares de Guantánamo representan un mal sustituto de los procedimientos penales ante cortes civiles para los casos en los </w:t>
      </w:r>
      <w:r w:rsidRPr="002E2C5C">
        <w:rPr>
          <w:rFonts w:ascii="Cambria" w:hAnsi="Cambria"/>
          <w:sz w:val="20"/>
        </w:rPr>
        <w:t xml:space="preserve">que la prueba resulta insuficiente para producir una condena ante una corte federal. Por estas razones, son percibidas por muchos como un sistema controversial y desacreditado. Los abogados militares consideran que el sistema de comisiones militares de Guantánamo no </w:t>
      </w:r>
      <w:r w:rsidR="00A16F7D" w:rsidRPr="002E2C5C">
        <w:rPr>
          <w:rFonts w:ascii="Cambria" w:hAnsi="Cambria"/>
          <w:sz w:val="20"/>
        </w:rPr>
        <w:t>es competente,</w:t>
      </w:r>
      <w:r w:rsidRPr="002E2C5C">
        <w:rPr>
          <w:rFonts w:ascii="Cambria" w:hAnsi="Cambria"/>
          <w:sz w:val="20"/>
        </w:rPr>
        <w:t xml:space="preserve"> independiente ni legítimo dado que fue creado con el propósito expreso de condenar y matar a personas detenidas en Guantánamo </w:t>
      </w:r>
      <w:r w:rsidR="00A16F7D" w:rsidRPr="002E2C5C">
        <w:rPr>
          <w:rFonts w:ascii="Cambria" w:hAnsi="Cambria"/>
          <w:sz w:val="20"/>
        </w:rPr>
        <w:t>bajo la apariencia de una</w:t>
      </w:r>
      <w:r w:rsidRPr="002E2C5C">
        <w:rPr>
          <w:rFonts w:ascii="Cambria" w:hAnsi="Cambria"/>
          <w:sz w:val="20"/>
        </w:rPr>
        <w:t xml:space="preserve"> autoridad judicial.  Argumentan que el sistema de comisiones militares fue diseñado para garantizar el silencio permanente de las víctimas de tortura con el afán de reprimir y ocultar la conducta delic</w:t>
      </w:r>
      <w:r w:rsidR="00A16F7D" w:rsidRPr="002E2C5C">
        <w:rPr>
          <w:rFonts w:ascii="Cambria" w:hAnsi="Cambria"/>
          <w:sz w:val="20"/>
        </w:rPr>
        <w:t>tiva de agentes del Gobierno.  “</w:t>
      </w:r>
      <w:r w:rsidRPr="002E2C5C">
        <w:rPr>
          <w:rFonts w:ascii="Cambria" w:hAnsi="Cambria"/>
          <w:sz w:val="20"/>
        </w:rPr>
        <w:t>Un crimen de Estado no</w:t>
      </w:r>
      <w:r w:rsidR="00A16F7D" w:rsidRPr="002E2C5C">
        <w:rPr>
          <w:rFonts w:ascii="Cambria" w:hAnsi="Cambria"/>
          <w:sz w:val="20"/>
        </w:rPr>
        <w:t xml:space="preserve"> puede ser un secreto de Estado”</w:t>
      </w:r>
      <w:r w:rsidRPr="002E2C5C">
        <w:rPr>
          <w:rFonts w:ascii="Cambria" w:hAnsi="Cambria"/>
          <w:sz w:val="20"/>
        </w:rPr>
        <w:t xml:space="preserve">, </w:t>
      </w:r>
      <w:r w:rsidR="00A16F7D" w:rsidRPr="002E2C5C">
        <w:rPr>
          <w:rFonts w:ascii="Cambria" w:hAnsi="Cambria"/>
          <w:sz w:val="20"/>
        </w:rPr>
        <w:t>expresó</w:t>
      </w:r>
      <w:r w:rsidRPr="002E2C5C">
        <w:rPr>
          <w:rFonts w:ascii="Cambria" w:hAnsi="Cambria"/>
          <w:sz w:val="20"/>
        </w:rPr>
        <w:t xml:space="preserve"> uno de los abogados en una audiencia pública de la CIDH</w:t>
      </w:r>
      <w:r w:rsidRPr="002E2C5C">
        <w:rPr>
          <w:rStyle w:val="FootnoteReference"/>
          <w:rFonts w:ascii="Cambria" w:hAnsi="Cambria"/>
          <w:sz w:val="20"/>
        </w:rPr>
        <w:footnoteReference w:id="250"/>
      </w:r>
      <w:r w:rsidR="00A16F7D" w:rsidRPr="002E2C5C">
        <w:rPr>
          <w:rFonts w:ascii="Cambria" w:hAnsi="Cambria"/>
          <w:sz w:val="20"/>
        </w:rPr>
        <w:t>.</w:t>
      </w:r>
      <w:r w:rsidRPr="002E2C5C">
        <w:rPr>
          <w:rFonts w:ascii="Cambria" w:hAnsi="Cambria"/>
          <w:sz w:val="20"/>
        </w:rPr>
        <w:t xml:space="preserve"> La American Civil </w:t>
      </w:r>
      <w:proofErr w:type="spellStart"/>
      <w:r w:rsidRPr="002E2C5C">
        <w:rPr>
          <w:rFonts w:ascii="Cambria" w:hAnsi="Cambria"/>
          <w:sz w:val="20"/>
        </w:rPr>
        <w:t>Liberties</w:t>
      </w:r>
      <w:proofErr w:type="spellEnd"/>
      <w:r w:rsidRPr="002E2C5C">
        <w:rPr>
          <w:rFonts w:ascii="Cambria" w:hAnsi="Cambria"/>
          <w:sz w:val="20"/>
        </w:rPr>
        <w:t xml:space="preserve"> </w:t>
      </w:r>
      <w:proofErr w:type="spellStart"/>
      <w:r w:rsidRPr="002E2C5C">
        <w:rPr>
          <w:rFonts w:ascii="Cambria" w:hAnsi="Cambria"/>
          <w:sz w:val="20"/>
        </w:rPr>
        <w:t>Union</w:t>
      </w:r>
      <w:proofErr w:type="spellEnd"/>
      <w:r w:rsidRPr="002E2C5C">
        <w:rPr>
          <w:rFonts w:ascii="Cambria" w:hAnsi="Cambria"/>
          <w:sz w:val="20"/>
        </w:rPr>
        <w:t xml:space="preserve"> ha señalado al respecto que “las comisiones militares fueron creadas para evadir la Constitución y producir sentencias rápidas, no para alcanzar una verdadera</w:t>
      </w:r>
      <w:r>
        <w:rPr>
          <w:rFonts w:ascii="Cambria" w:hAnsi="Cambria"/>
          <w:sz w:val="20"/>
        </w:rPr>
        <w:t xml:space="preserve"> justicia”</w:t>
      </w:r>
      <w:r>
        <w:rPr>
          <w:rStyle w:val="FootnoteReference"/>
          <w:rFonts w:ascii="Cambria" w:hAnsi="Cambria"/>
          <w:sz w:val="20"/>
        </w:rPr>
        <w:footnoteReference w:id="251"/>
      </w:r>
      <w:r>
        <w:rPr>
          <w:rFonts w:ascii="Cambria" w:hAnsi="Cambria"/>
          <w:sz w:val="20"/>
        </w:rPr>
        <w:t xml:space="preserve">.  </w:t>
      </w:r>
    </w:p>
    <w:p w:rsidR="00C8425A" w:rsidRPr="00FC2F1B" w:rsidRDefault="00C8425A" w:rsidP="00C8425A">
      <w:pPr>
        <w:pStyle w:val="ListParagraph"/>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Adicionalmente, el sistema de comisiones militares ha demostrado ser lento e ineficiente. Como se analizará en el capítulo siguiente, 13 años después de que el gobierno de EE.UU. abrió el centro de detención en la Bahía de Guantánamo, sólo ocho detenidos han sido condenados por una comisión militar, y dos de esas condenas han sido revocadas en apelación. En el caso de </w:t>
      </w:r>
      <w:proofErr w:type="spellStart"/>
      <w:r>
        <w:rPr>
          <w:rFonts w:ascii="Cambria" w:hAnsi="Cambria"/>
          <w:sz w:val="20"/>
        </w:rPr>
        <w:t>Khalid</w:t>
      </w:r>
      <w:proofErr w:type="spellEnd"/>
      <w:r>
        <w:rPr>
          <w:rFonts w:ascii="Cambria" w:hAnsi="Cambria"/>
          <w:sz w:val="20"/>
        </w:rPr>
        <w:t xml:space="preserve"> </w:t>
      </w:r>
      <w:proofErr w:type="spellStart"/>
      <w:r>
        <w:rPr>
          <w:rFonts w:ascii="Cambria" w:hAnsi="Cambria"/>
          <w:sz w:val="20"/>
        </w:rPr>
        <w:t>Sheikh</w:t>
      </w:r>
      <w:proofErr w:type="spellEnd"/>
      <w:r>
        <w:rPr>
          <w:rFonts w:ascii="Cambria" w:hAnsi="Cambria"/>
          <w:sz w:val="20"/>
        </w:rPr>
        <w:t xml:space="preserve"> Mohammed, supuesto autor intelectual de los ataques del 11 de septiembre de 2001, le tomó alrededor de 11 años a la acusación presentar cargos en su contra. En contraste, los procedimientos contra </w:t>
      </w:r>
      <w:proofErr w:type="spellStart"/>
      <w:r>
        <w:rPr>
          <w:rFonts w:ascii="Cambria" w:hAnsi="Cambria"/>
          <w:sz w:val="20"/>
        </w:rPr>
        <w:t>Sulaiman</w:t>
      </w:r>
      <w:proofErr w:type="spellEnd"/>
      <w:r>
        <w:rPr>
          <w:rFonts w:ascii="Cambria" w:hAnsi="Cambria"/>
          <w:sz w:val="20"/>
        </w:rPr>
        <w:t xml:space="preserve"> Abu </w:t>
      </w:r>
      <w:proofErr w:type="spellStart"/>
      <w:r>
        <w:rPr>
          <w:rFonts w:ascii="Cambria" w:hAnsi="Cambria"/>
          <w:sz w:val="20"/>
        </w:rPr>
        <w:t>Ghaith</w:t>
      </w:r>
      <w:proofErr w:type="spellEnd"/>
      <w:r>
        <w:rPr>
          <w:rFonts w:ascii="Cambria" w:hAnsi="Cambria"/>
          <w:sz w:val="20"/>
        </w:rPr>
        <w:t xml:space="preserve"> ante la corte federal de Nueva York tomaron un año desde la extradición hasta la condena. Adicionalmente, no existe certeza respecto de qué casos la acusación puede presentar ante comisiones militares, dado que las cortes todavía no han resuelto si es viable la acusación por conspiración como infracción autónoma.   </w:t>
      </w:r>
    </w:p>
    <w:p w:rsidR="00C8425A" w:rsidRPr="00FC2F1B" w:rsidRDefault="00C8425A" w:rsidP="00C8425A">
      <w:pPr>
        <w:pStyle w:val="ListParagraph"/>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La Declaración Americana establece que toda persona tiene el derecho a la justicia, a la protección contra la detención arbitraria, y al debido proceso</w:t>
      </w:r>
      <w:r>
        <w:rPr>
          <w:rStyle w:val="FootnoteReference"/>
          <w:rFonts w:ascii="Cambria" w:hAnsi="Cambria"/>
          <w:sz w:val="20"/>
        </w:rPr>
        <w:footnoteReference w:id="252"/>
      </w:r>
      <w:r>
        <w:rPr>
          <w:rFonts w:ascii="Cambria" w:hAnsi="Cambria"/>
          <w:sz w:val="20"/>
        </w:rPr>
        <w:t xml:space="preserve">. Estos derechos son parte de las garantías fundamentales del debido proceso y constituyen garantías mínimas reconocidas a todas las personas sometidas a cualquier tipo de </w:t>
      </w:r>
      <w:r>
        <w:rPr>
          <w:rFonts w:ascii="Cambria" w:hAnsi="Cambria"/>
          <w:sz w:val="20"/>
        </w:rPr>
        <w:lastRenderedPageBreak/>
        <w:t>procedimiento judicial</w:t>
      </w:r>
      <w:r>
        <w:rPr>
          <w:rStyle w:val="FootnoteReference"/>
          <w:rFonts w:ascii="Cambria" w:hAnsi="Cambria"/>
          <w:sz w:val="20"/>
        </w:rPr>
        <w:footnoteReference w:id="253"/>
      </w:r>
      <w:r>
        <w:rPr>
          <w:rFonts w:ascii="Cambria" w:hAnsi="Cambria"/>
          <w:sz w:val="20"/>
        </w:rPr>
        <w:t>. Al respecto, la jurisprudencia de la CIDH ha establecido que el principio del “juez natural” es una garantía fundamental del debido proceso</w:t>
      </w:r>
      <w:r>
        <w:rPr>
          <w:rStyle w:val="FootnoteReference"/>
          <w:rFonts w:ascii="Cambria" w:hAnsi="Cambria"/>
          <w:sz w:val="20"/>
        </w:rPr>
        <w:footnoteReference w:id="254"/>
      </w:r>
      <w:r>
        <w:rPr>
          <w:rFonts w:ascii="Cambria" w:hAnsi="Cambria"/>
          <w:sz w:val="20"/>
        </w:rPr>
        <w:t xml:space="preserve">. </w:t>
      </w:r>
    </w:p>
    <w:p w:rsidR="00C8425A" w:rsidRPr="00FC2F1B" w:rsidRDefault="00C8425A" w:rsidP="00C8425A">
      <w:pPr>
        <w:pStyle w:val="ListParagraph"/>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La Comisión y Corte Interamericanas han interpretado que el derecho a ser juzgado por un tribunal competente, independiente e imparcial, previamente establecido por la ley, incluye ciertas condiciones y estándares que deben ser cumplidos por los tribunales encargados de decidir respecto de una acusación de naturaleza penal</w:t>
      </w:r>
      <w:r>
        <w:rPr>
          <w:rStyle w:val="FootnoteReference"/>
          <w:rFonts w:ascii="Cambria" w:hAnsi="Cambria"/>
          <w:sz w:val="20"/>
        </w:rPr>
        <w:footnoteReference w:id="255"/>
      </w:r>
      <w:r>
        <w:rPr>
          <w:rFonts w:ascii="Cambria" w:hAnsi="Cambria"/>
          <w:sz w:val="20"/>
        </w:rPr>
        <w:t>. Por otra parte, las garantías internas deben estar en armonía con los estándares internacionales aplicables y no pueden ser suspendidas en aplicación del derecho internacional de los derechos humanos ni del derecho internacional humanitario. Esta protección es aplicable a la investigación, procesamiento y sanción de delitos, incluyendo aquellos relacionados con el terrorismo, independientemente de si tales iniciativas se llevan a cabo durante tiempos de paz, emergencia nacional o conflicto armado</w:t>
      </w:r>
      <w:r>
        <w:rPr>
          <w:rStyle w:val="FootnoteReference"/>
          <w:rFonts w:ascii="Cambria" w:hAnsi="Cambria"/>
          <w:color w:val="000000"/>
          <w:sz w:val="20"/>
        </w:rPr>
        <w:footnoteReference w:id="256"/>
      </w:r>
      <w:r>
        <w:rPr>
          <w:rFonts w:ascii="Cambria" w:hAnsi="Cambria"/>
          <w:sz w:val="20"/>
        </w:rPr>
        <w:t xml:space="preserve">.  </w:t>
      </w:r>
    </w:p>
    <w:p w:rsidR="00C8425A" w:rsidRPr="00FC2F1B" w:rsidRDefault="00C8425A" w:rsidP="00C8425A">
      <w:pPr>
        <w:pStyle w:val="ListParagraph"/>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Cuando las comisiones militares en Guantánamo ejercen jurisdicción sobre un asunto que las cortes federales deben y pueden conocer, se produce una violación al derecho de la persona a ser juzgada por un tribunal competente, independiente e imparcial, previamente establecido por la ley y </w:t>
      </w:r>
      <w:r>
        <w:rPr>
          <w:rFonts w:ascii="Cambria" w:hAnsi="Cambria"/>
          <w:i/>
          <w:sz w:val="20"/>
        </w:rPr>
        <w:t>a fortiori</w:t>
      </w:r>
      <w:r>
        <w:rPr>
          <w:rFonts w:ascii="Cambria" w:hAnsi="Cambria"/>
          <w:sz w:val="20"/>
        </w:rPr>
        <w:t>, de su derecho al debido proceso. El derecho al debido proceso está, a su vez, íntimamente vinculado con el derecho de acceso a la justicia</w:t>
      </w:r>
      <w:r>
        <w:rPr>
          <w:rStyle w:val="FootnoteReference"/>
          <w:rFonts w:ascii="Cambria" w:hAnsi="Cambria"/>
          <w:sz w:val="20"/>
        </w:rPr>
        <w:footnoteReference w:id="257"/>
      </w:r>
      <w:r>
        <w:rPr>
          <w:rFonts w:ascii="Cambria" w:hAnsi="Cambria"/>
          <w:sz w:val="20"/>
        </w:rPr>
        <w:t>. En sus observaciones finales al cuarto informe periódico de Estados Unidos, el Comité de Derechos Humanos solicitó al Estado “velar por que las causas contra reclusos que se encuentran en Guantánamo […] sean sustanciadas dentro del sistema de justicia penal y no en comisiones militares y que los reclusos gocen de las garantías de un juicio imparcial consagradas en el artículo 14 del Pacto”</w:t>
      </w:r>
      <w:r>
        <w:rPr>
          <w:rStyle w:val="FootnoteReference"/>
          <w:rFonts w:ascii="Cambria" w:hAnsi="Cambria"/>
          <w:sz w:val="20"/>
        </w:rPr>
        <w:footnoteReference w:id="258"/>
      </w:r>
      <w:r>
        <w:rPr>
          <w:rFonts w:ascii="Cambria" w:hAnsi="Cambria"/>
          <w:sz w:val="20"/>
        </w:rPr>
        <w:t xml:space="preserve">.  </w:t>
      </w:r>
    </w:p>
    <w:p w:rsidR="00C8425A" w:rsidRPr="00FC2F1B" w:rsidRDefault="00C8425A" w:rsidP="00C8425A">
      <w:pPr>
        <w:pStyle w:val="ListParagraph"/>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La CIDH está además seriamente preocupada por el hecho de que las instalaciones y el régimen de detención en Guantánamo estuvieron diseñados y de hecho están siendo aplicados a una categoría específica de individuos: hombres extranjeros musulmanes. Las leyes que regulan la detención en Guantánamo sólo cubren a extranjeros. Según la Sección 948c de la MCA DE 2009, “cualquier extranjero enemigo beligerante sin privilegios puede ser sometido a juicio ante una comisión militar”. La Sección 948a detalla que el término “extranjero” se refiere a personas que no son ciudadanas de Estados Unidos. Ninguna de las 779 personas que habrían </w:t>
      </w:r>
      <w:r>
        <w:rPr>
          <w:rFonts w:ascii="Cambria" w:hAnsi="Cambria"/>
          <w:sz w:val="20"/>
        </w:rPr>
        <w:lastRenderedPageBreak/>
        <w:t>estado detenidas en Guantánamo son ciudadanos estadounidenses o no musulmanes</w:t>
      </w:r>
      <w:r>
        <w:rPr>
          <w:rStyle w:val="FootnoteReference"/>
          <w:rFonts w:ascii="Cambria" w:hAnsi="Cambria"/>
          <w:sz w:val="20"/>
        </w:rPr>
        <w:footnoteReference w:id="259"/>
      </w:r>
      <w:r>
        <w:rPr>
          <w:rFonts w:ascii="Cambria" w:hAnsi="Cambria"/>
          <w:sz w:val="20"/>
        </w:rPr>
        <w:t>.</w:t>
      </w:r>
    </w:p>
    <w:p w:rsidR="00B07B26" w:rsidRPr="00FC2F1B" w:rsidRDefault="00B07B26" w:rsidP="00C8425A">
      <w:pPr>
        <w:pStyle w:val="ListParagraph"/>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Ni la Declaración Americana ni la Convención Americana prohíben toda distinción de tratamiento. Una distinción razonable y objetiva puede ser compatible con los instrumentos interamericanos de derechos humanos; en contraposición, las distinciones injustificadas o arbitrarias violan los derechos humanos. La CIDH y la Corte Interamericana evalúan si una distinción es razonable y objetiva sobre la base de un análisis caso por caso aplicando como estándar un test que incluye varios elementos. Cuando las distinciones se basan en categorías expresamente incluidas en las cláusulas contra la discriminación de los tratados internacionales de derechos humanos, el test aplicado debe ser particularmente estricto. En consecuencia, la mera existencia de un objetivo legítimo no es suficiente para justificar una distinción con base en una categoría sospechosa. Adicionalmente, la medida debe ser estrictamente necesaria para alcanzar el objetivo, lo que significa que no existe una alternativa menos nociva</w:t>
      </w:r>
      <w:r>
        <w:rPr>
          <w:rStyle w:val="FootnoteReference"/>
          <w:rFonts w:ascii="Cambria" w:hAnsi="Cambria"/>
          <w:sz w:val="20"/>
        </w:rPr>
        <w:footnoteReference w:id="260"/>
      </w:r>
      <w:r>
        <w:rPr>
          <w:rFonts w:ascii="Cambria" w:hAnsi="Cambria"/>
          <w:sz w:val="20"/>
        </w:rPr>
        <w:t>.</w:t>
      </w:r>
    </w:p>
    <w:p w:rsidR="00C8425A" w:rsidRPr="00FC2F1B" w:rsidRDefault="00C8425A" w:rsidP="00C8425A">
      <w:pPr>
        <w:pStyle w:val="ListParagraph"/>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Según el artículo II de la Declaración Americana, “[t]odas las personas son iguales ante la Ley y tienen los derechos y deberes consagrados en esta declaración sin distinción de raza, sexo, idioma, credo ni otra alguna”. La CIDH observa que el origen nacional no está expresamente mencionado en el texto de la cláusula de no discriminación contenida en la Declaración Americana, aunque puede enmarcarse dentro de la mención “ni otra alguna”. El origen nacional está expresamente definido como un motivo prohibido en las cláusulas contra la discriminación de muchos tratados internacionales de derechos humanos, incluso el Pacto Internacional de Derechos Civiles y Políticos del cual Estados Unidos es parte. Como se establece claramente en el objeto y fin del PIDCP, y como ha expresado la Comisión con respecto a la Declaración Americana, uno de los objetivos fundamentales de estos instrumentos “es el de asegurar en principio ‘la igual protección ante la ley de los nacionales y extranjeros en igualdad de condiciones, respecto de los derechos ahí establecidos’”</w:t>
      </w:r>
      <w:r>
        <w:rPr>
          <w:rFonts w:ascii="Cambria" w:hAnsi="Cambria"/>
          <w:sz w:val="20"/>
          <w:vertAlign w:val="superscript"/>
        </w:rPr>
        <w:footnoteReference w:id="261"/>
      </w:r>
      <w:r>
        <w:rPr>
          <w:rFonts w:ascii="Cambria" w:hAnsi="Cambria"/>
          <w:sz w:val="20"/>
        </w:rPr>
        <w:t xml:space="preserve">. Si bien los estándares internacionales de derechos humanos admiten que pueden existir diferencias legítimas en el tratamiento entre ciudadanos y no ciudadanos con fines limitados como la entrada en las fronteras o la concesión de nacionalidad, o para propósitos de residencia o voto, estos estándares no reconocen ni permiten distinciones en el respeto de otros derechos fundamentales, incluyendo el derecho a la vida, a la integridad personal, a la igual protección ante la ley y al debido proceso. </w:t>
      </w:r>
    </w:p>
    <w:p w:rsidR="00C8425A" w:rsidRPr="00FC2F1B" w:rsidRDefault="00C8425A" w:rsidP="00C8425A">
      <w:pPr>
        <w:ind w:left="720"/>
        <w:jc w:val="both"/>
        <w:rPr>
          <w:rFonts w:ascii="Cambria" w:hAnsi="Cambria"/>
          <w:sz w:val="20"/>
          <w:szCs w:val="20"/>
        </w:rPr>
      </w:pPr>
    </w:p>
    <w:p w:rsidR="00592F4B" w:rsidRDefault="00592F4B">
      <w:pPr>
        <w:rPr>
          <w:rFonts w:ascii="Cambria" w:hAnsi="Cambria"/>
          <w:sz w:val="20"/>
        </w:rPr>
      </w:pPr>
      <w:r>
        <w:rPr>
          <w:rFonts w:ascii="Cambria" w:hAnsi="Cambria"/>
          <w:sz w:val="20"/>
        </w:rPr>
        <w:br w:type="page"/>
      </w:r>
    </w:p>
    <w:p w:rsidR="00C8425A" w:rsidRPr="00734E08" w:rsidRDefault="00C8425A" w:rsidP="00D544D0">
      <w:pPr>
        <w:numPr>
          <w:ilvl w:val="0"/>
          <w:numId w:val="5"/>
        </w:numPr>
        <w:shd w:val="clear" w:color="auto" w:fill="D9D9D9" w:themeFill="background1" w:themeFillShade="D9"/>
        <w:ind w:left="547" w:hanging="547"/>
        <w:jc w:val="both"/>
        <w:rPr>
          <w:rFonts w:ascii="Cambria" w:hAnsi="Cambria"/>
          <w:sz w:val="20"/>
          <w:szCs w:val="20"/>
        </w:rPr>
      </w:pPr>
      <w:r>
        <w:rPr>
          <w:rFonts w:ascii="Cambria" w:hAnsi="Cambria"/>
          <w:sz w:val="20"/>
        </w:rPr>
        <w:lastRenderedPageBreak/>
        <w:t>En la situación bajo análisis, el gobierno de Estados Unidos decidió abrir un centro de detención fuera del territorio estadounidense con el único propósito de detener a extranjeros sospechosos de terrorismo, los cuales son todos musulmanes. Además, diseñó un sistema especial de comisiones militares para juzgarlos, en ausencia de las garantías procesales disponibles ante las cortes federales. Por tanto, es un hecho que Estados Unidos otorga a estos detenidos un tratamiento distinto de aquel que reciben otros detenidos bajo su custodia, sean nacionales o extranjeros. Invocando las exigencias de la guerra contra el terrorismo, Estados Unidos ha justificado la creación de este régimen particular, caracterizado por la detención indefinida, el acceso limitado o la falta de acceso a la protección judicial, y el juicio en ausencia de elementos básicos de debido proceso. Estados Unidos no ha proporcionado una</w:t>
      </w:r>
      <w:r w:rsidR="000C2C94">
        <w:rPr>
          <w:rFonts w:ascii="Cambria" w:hAnsi="Cambria"/>
          <w:sz w:val="20"/>
        </w:rPr>
        <w:t xml:space="preserve"> </w:t>
      </w:r>
      <w:r>
        <w:rPr>
          <w:rFonts w:ascii="Cambria" w:hAnsi="Cambria"/>
          <w:sz w:val="20"/>
        </w:rPr>
        <w:t xml:space="preserve">justificación clara respecto de este régimen aplicado exclusivamente a hombres extranjeros musulmanes, lo que genera la apariencia de que está dirigido a ciertas personas en razón de su nacionalidad, etnia y religión. </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Considerando que las cortes federales han demostrado su capacidad de respuesta efectiva frente a casos de alto perfil sobre terrorismo, algunos de ellos relacionados con Al-Qaeda y la “guerra contra el terrorismo”, y que más de 300 personas se encuentran detenidas en prisiones federales seguras, condenados por delitos relacionados con terrorismo</w:t>
      </w:r>
      <w:r>
        <w:rPr>
          <w:rStyle w:val="FootnoteReference"/>
          <w:rFonts w:ascii="Cambria" w:hAnsi="Cambria"/>
          <w:sz w:val="20"/>
        </w:rPr>
        <w:footnoteReference w:id="262"/>
      </w:r>
      <w:r>
        <w:rPr>
          <w:rFonts w:ascii="Cambria" w:hAnsi="Cambria"/>
          <w:sz w:val="20"/>
        </w:rPr>
        <w:t xml:space="preserve">, existe una alternativa menos restrictiva.  </w:t>
      </w:r>
    </w:p>
    <w:p w:rsidR="00C8425A" w:rsidRPr="00FC2F1B" w:rsidRDefault="00C8425A" w:rsidP="00C8425A">
      <w:pPr>
        <w:pStyle w:val="ListParagraph"/>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Tras haber monitoreado la situación desde el inicio, la CIDH concluye que la existencia de un régimen particular y severo de detención, así como un sistema de justicia extremadamente restrictivo, diseñados exclusivamente para detener y juzgar a extranjeros, todos ellos musulmanes, constituye una violación de la cláusula de no discriminación de la Declaración Americana. La igual protección ante la ley y la no discriminación se encuentran entre los derechos humanos más básicos. Los Estados deben asegurar que sus leyes, políticas y prácticas respeten esos derechos. La CIDH reitera que “el derecho internacional de los derechos humanos no sólo prohíbe políticas y prácticas deliberadamente discriminatorias, sino también aquéllas cuyo impacto sea discriminatorio contra cierta categoría de personas, </w:t>
      </w:r>
      <w:proofErr w:type="spellStart"/>
      <w:r>
        <w:rPr>
          <w:rFonts w:ascii="Cambria" w:hAnsi="Cambria"/>
          <w:sz w:val="20"/>
        </w:rPr>
        <w:t>aún</w:t>
      </w:r>
      <w:proofErr w:type="spellEnd"/>
      <w:r>
        <w:rPr>
          <w:rFonts w:ascii="Cambria" w:hAnsi="Cambria"/>
          <w:sz w:val="20"/>
        </w:rPr>
        <w:t xml:space="preserve"> cuando no se pueda probar la intención discriminatoria”</w:t>
      </w:r>
      <w:r>
        <w:rPr>
          <w:rStyle w:val="FootnoteReference"/>
          <w:rFonts w:ascii="Cambria" w:hAnsi="Cambria"/>
          <w:sz w:val="20"/>
        </w:rPr>
        <w:footnoteReference w:id="263"/>
      </w:r>
      <w:r>
        <w:rPr>
          <w:rFonts w:ascii="Cambria" w:hAnsi="Cambria"/>
          <w:sz w:val="20"/>
        </w:rPr>
        <w:t xml:space="preserve">.    </w:t>
      </w:r>
    </w:p>
    <w:p w:rsidR="00C8425A" w:rsidRPr="00FC2F1B" w:rsidRDefault="00C8425A" w:rsidP="00C8425A">
      <w:pPr>
        <w:pStyle w:val="ListParagraph"/>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Al respecto, el Comité de Derechos Humanos de la ONU ha señalado que el derecho de acceso a los tribunales y cortes de justicia y a la igualdad ante ellos “no está limitado a los ciudadanos de los Estados Partes, sino que deben poder gozar de él todas las personas, independientemente de la nacionalidad o de la condición de apátrida […] y otras personas que puedan encontrarse en el territorio o sujetas a la jurisdicción del Estado Parte”</w:t>
      </w:r>
      <w:r>
        <w:rPr>
          <w:rStyle w:val="FootnoteReference"/>
          <w:rFonts w:ascii="Cambria" w:hAnsi="Cambria"/>
          <w:sz w:val="20"/>
        </w:rPr>
        <w:footnoteReference w:id="264"/>
      </w:r>
      <w:r>
        <w:rPr>
          <w:rFonts w:ascii="Cambria" w:hAnsi="Cambria"/>
          <w:sz w:val="20"/>
        </w:rPr>
        <w:t xml:space="preserve">. De conformidad con lo anterior, “una situación en la que los intentos del individuo de acceder a las cortes o tribunales competentes se vean sistemáticamente frustrados de jure o de facto va en contra de la garantía [de igualdad ante las cortes y tribunales]”. </w:t>
      </w: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lastRenderedPageBreak/>
        <w:t xml:space="preserve">En el caso de A. y Otros contra el Reino Unido, la Corte Europea de Derechos Humanos concluyó que la detención indefinida bajo condiciones de alta seguridad de 11 extranjeros sospechosos de participación en actos de terrorismo, en aplicación de un esquema legal que permitía la detención indefinida de extranjeros, constituyó una medida desproporcionada que discriminaba injustificadamente entre nacionales y extranjeros. La Corte Europea de Derechos Humanos consideró que: </w:t>
      </w:r>
    </w:p>
    <w:p w:rsidR="00C8425A" w:rsidRPr="00FC2F1B" w:rsidRDefault="00C8425A" w:rsidP="00C8425A">
      <w:pPr>
        <w:jc w:val="both"/>
        <w:rPr>
          <w:rFonts w:ascii="Cambria" w:hAnsi="Cambria"/>
          <w:sz w:val="20"/>
          <w:szCs w:val="20"/>
        </w:rPr>
      </w:pPr>
    </w:p>
    <w:p w:rsidR="00C8425A" w:rsidRPr="00FC2F1B" w:rsidRDefault="00C8425A" w:rsidP="00195A17">
      <w:pPr>
        <w:ind w:left="979"/>
        <w:jc w:val="both"/>
        <w:rPr>
          <w:rFonts w:ascii="Cambria" w:hAnsi="Cambria"/>
          <w:sz w:val="20"/>
          <w:szCs w:val="20"/>
        </w:rPr>
      </w:pPr>
      <w:r>
        <w:rPr>
          <w:rFonts w:ascii="Cambria" w:hAnsi="Cambria"/>
          <w:sz w:val="20"/>
        </w:rPr>
        <w:t>La Cámara de los Lores estimó de manera correcta que las medidas impugnadas no podían considerarse como medidas migratorias, donde una distinción entre nacionales y extranjeros hubiera sido legítima, sino como derivadas de la seguridad nacional. El capítulo 4 de la ley de 2001 tenía como objetivo evitar una amenaza efectiva, real e inminente de atentados terroristas que, evidentemente, emanaba tanto de la jurisdicción británica como extranjera. La opción tomada por el Gobierno y el Parlamento de adoptar una medida migratoria para tratar un problema esencialmente de seguridad pública, aportó una respuesta inadecuada y llevó a un grupo particular de presuntos terroristas al riesgo desproporcionado y discriminatorio de una detención de duración indeterminada. Como lo indicó la Cámara de los Lores, no había una diferencia significativa en los posibles efectos adversos de la detención sin cargos de un nacional o un extranjero que en la práctica no podía abandonar el país por temor a la tortura en el extranjero</w:t>
      </w:r>
      <w:r>
        <w:rPr>
          <w:rStyle w:val="FootnoteReference"/>
          <w:rFonts w:ascii="Cambria" w:hAnsi="Cambria"/>
          <w:sz w:val="20"/>
        </w:rPr>
        <w:footnoteReference w:id="265"/>
      </w:r>
      <w:r>
        <w:rPr>
          <w:rFonts w:ascii="Cambria" w:hAnsi="Cambria"/>
          <w:sz w:val="20"/>
        </w:rPr>
        <w:t>.</w:t>
      </w:r>
    </w:p>
    <w:p w:rsidR="00C8425A" w:rsidRPr="00FC2F1B" w:rsidRDefault="00C8425A" w:rsidP="00C8425A">
      <w:pPr>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La CIDH manifiesta además su profunda preocupación respecto de la incertidumbre sobre la aplicabilidad de la Constitución de EE.UU. en la Bahía de Guantánamo, y el hecho de que no todas las garantías del debido proceso son aplicables ante las comisiones militares. El artículo 3 común de los Convenios de Ginebra prohíbe que se expidan condenas sin “un juicio previo pronunciado por un tribunal establecido de manera regular, en respeto de todas las garantías judiciales”. El derecho a ser juzgado por un tribunal competente, independiente e imparcial, mencionado más arriba, y el principio de legalidad, constituyen parte de esos requisitos básicos que no están siendo cumplidos por las comisiones militares.</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Si bien las condenas emitidas por las comisiones militares pueden ser revisadas hasta en cuatro niveles distintos, ni la Judicatura de Juicio (</w:t>
      </w:r>
      <w:r>
        <w:rPr>
          <w:rFonts w:ascii="Cambria" w:hAnsi="Cambria"/>
          <w:i/>
          <w:sz w:val="20"/>
        </w:rPr>
        <w:t xml:space="preserve">Trial </w:t>
      </w:r>
      <w:proofErr w:type="spellStart"/>
      <w:r>
        <w:rPr>
          <w:rFonts w:ascii="Cambria" w:hAnsi="Cambria"/>
          <w:i/>
          <w:sz w:val="20"/>
        </w:rPr>
        <w:t>Judiciary</w:t>
      </w:r>
      <w:proofErr w:type="spellEnd"/>
      <w:r>
        <w:rPr>
          <w:rFonts w:ascii="Cambria" w:hAnsi="Cambria"/>
          <w:sz w:val="20"/>
        </w:rPr>
        <w:t>) ni la CMCR son parte de un poder judicial independiente, sino que están sometidas al control y a la designación por parte del ejecutivo. La primera ocasión en la que un caso puede ser conocido, en apelación, por un juez independiente, sería durante la apelación ante la Corte de Circuito de D.C. Según los estándares interamericanos, un procedimiento penal es un procedimiento único en distintas etapas, desde la primera hasta la última instancia. El concepto de tribunal independiente e imparcial, y el principio del debido proceso se aplican a lo largo de todas esas fases, y deben ser observados por todas las distintas etapas procesales. Por tanto, el derecho a la apelación no se satisface únicamente con la existencia de una corte superior</w:t>
      </w:r>
      <w:r>
        <w:rPr>
          <w:rStyle w:val="FootnoteReference"/>
          <w:rFonts w:ascii="Cambria" w:hAnsi="Cambria"/>
          <w:sz w:val="20"/>
        </w:rPr>
        <w:footnoteReference w:id="266"/>
      </w:r>
      <w:r>
        <w:rPr>
          <w:rFonts w:ascii="Cambria" w:hAnsi="Cambria"/>
          <w:sz w:val="20"/>
        </w:rPr>
        <w:t xml:space="preserve">. </w:t>
      </w:r>
    </w:p>
    <w:p w:rsidR="00C8425A" w:rsidRPr="00FC2F1B" w:rsidRDefault="00C8425A" w:rsidP="00C8425A">
      <w:pPr>
        <w:pStyle w:val="ListParagraph"/>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lastRenderedPageBreak/>
        <w:t>La CIDH manifiesta también su preocupación respecto del alcance de las comisiones militares. La MCA de 2009 sanciona infracciones cometidas “antes, durante o después del 11 de septiembre de 2001”</w:t>
      </w:r>
      <w:r>
        <w:rPr>
          <w:rStyle w:val="FootnoteReference"/>
          <w:rFonts w:ascii="Cambria" w:hAnsi="Cambria"/>
          <w:sz w:val="20"/>
        </w:rPr>
        <w:footnoteReference w:id="267"/>
      </w:r>
      <w:r>
        <w:rPr>
          <w:rFonts w:ascii="Cambria" w:hAnsi="Cambria"/>
          <w:sz w:val="20"/>
        </w:rPr>
        <w:t xml:space="preserve"> y define a los “enemigos beligerantes sin privilegios” como toda persona que “(A) haya participado en hostilidades contra Estados Unidos o sus aliados de la coalición; (B) haya apoyado intencional y materialmente las hostilidades contra Estados Unidos o sus aliados de la coalición; o (C) haya sido parte de Al-Qaeda al momento de la supuesta infracción determinada en este capítulo”</w:t>
      </w:r>
      <w:r>
        <w:rPr>
          <w:rStyle w:val="FootnoteReference"/>
          <w:rFonts w:ascii="Cambria" w:hAnsi="Cambria"/>
          <w:sz w:val="20"/>
        </w:rPr>
        <w:footnoteReference w:id="268"/>
      </w:r>
      <w:r>
        <w:rPr>
          <w:rFonts w:ascii="Cambria" w:hAnsi="Cambria"/>
          <w:sz w:val="20"/>
        </w:rPr>
        <w:t>. Así, la MCA adopta una visión amplia de lo que constituyen “hostilidades”, abarcando infracciones cometidas antes del 11 de septiembre de 2001, e incluye una definición amplia de las personas sometidas a la jurisdicción de las comisiones militares, ampliando su alcance respecto de personas que no hayan participado de hostilidades.</w:t>
      </w:r>
    </w:p>
    <w:p w:rsidR="00C8425A" w:rsidRPr="00FC2F1B" w:rsidRDefault="00C8425A" w:rsidP="00C8425A">
      <w:pPr>
        <w:pStyle w:val="ListParagraph"/>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La Comisión Interamericana ha interpretado el principio de legalidad como la necesidad de que los delitos se encuentren descritos en un lenguaje preciso y sin ambigüedad que de manera específica defina la infracción sancionable. Esto a su vez exige una definición clara de la conducta punible, estableciendo sus elementos y los factores que la distinguen de otros comportamientos que no constituyen infracciones sancionables o que son sancionadas con otras penas. La ambigüedad en la descripción de los delitos genera dudas así como espacios para abuso de poder. Como ha señalado la CIDH en su Informe sobre Terrorismo y Derechos Humanos, “estos principios son particularmente importantes en el contexto de leyes internas que prohíben delitos relacionados con el terrorismo”</w:t>
      </w:r>
      <w:r>
        <w:rPr>
          <w:rStyle w:val="FootnoteReference"/>
          <w:rFonts w:ascii="Cambria" w:hAnsi="Cambria"/>
          <w:sz w:val="20"/>
        </w:rPr>
        <w:footnoteReference w:id="269"/>
      </w:r>
      <w:r>
        <w:rPr>
          <w:rFonts w:ascii="Cambria" w:hAnsi="Cambria"/>
          <w:sz w:val="20"/>
        </w:rPr>
        <w:t>. La Comisión y la Corte han determinado que ciertas leyes anti-terrorismo violan el principio de legalidad porque intentan prescribir una definición extensa de terrorismo que es demasiado amplia e imprecisa</w:t>
      </w:r>
      <w:r>
        <w:rPr>
          <w:rStyle w:val="FootnoteReference"/>
          <w:rFonts w:ascii="Cambria" w:hAnsi="Cambria"/>
          <w:sz w:val="20"/>
        </w:rPr>
        <w:footnoteReference w:id="270"/>
      </w:r>
      <w:r>
        <w:rPr>
          <w:rFonts w:ascii="Cambria" w:hAnsi="Cambria"/>
          <w:sz w:val="20"/>
        </w:rPr>
        <w:t xml:space="preserve">. La CIDH considera, al respecto, que las definiciones amplias e imprecisas contenidas en la MCA de 2009 no satisfacen el principio de legalidad. </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La MCA de 2009 también omite excluir expresamente del ámbito de competencia a personas que hayan cometido la infracción mientras eran menores de 18 años. Si bien no existen indicios de que en la actualidad personas en esa situación estén detenidas en Guantánamo, la CIDH observa que al menos 22 jóvenes que tenían entre 13 y 17 años al momento de su captura, han estado detenidos en Guantánamo</w:t>
      </w:r>
      <w:r>
        <w:rPr>
          <w:rStyle w:val="FootnoteReference"/>
          <w:rFonts w:ascii="Cambria" w:hAnsi="Cambria"/>
          <w:sz w:val="20"/>
        </w:rPr>
        <w:footnoteReference w:id="271"/>
      </w:r>
      <w:r>
        <w:rPr>
          <w:rFonts w:ascii="Cambria" w:hAnsi="Cambria"/>
          <w:sz w:val="20"/>
        </w:rPr>
        <w:t xml:space="preserve">, dos de ellos, Omar </w:t>
      </w:r>
      <w:proofErr w:type="spellStart"/>
      <w:r>
        <w:rPr>
          <w:rFonts w:ascii="Cambria" w:hAnsi="Cambria"/>
          <w:sz w:val="20"/>
        </w:rPr>
        <w:t>Khadr</w:t>
      </w:r>
      <w:proofErr w:type="spellEnd"/>
      <w:r>
        <w:rPr>
          <w:rFonts w:ascii="Cambria" w:hAnsi="Cambria"/>
          <w:sz w:val="20"/>
        </w:rPr>
        <w:t xml:space="preserve"> y Mohamed </w:t>
      </w:r>
      <w:proofErr w:type="spellStart"/>
      <w:r>
        <w:rPr>
          <w:rFonts w:ascii="Cambria" w:hAnsi="Cambria"/>
          <w:sz w:val="20"/>
        </w:rPr>
        <w:t>Jawad</w:t>
      </w:r>
      <w:proofErr w:type="spellEnd"/>
      <w:r>
        <w:rPr>
          <w:rFonts w:ascii="Cambria" w:hAnsi="Cambria"/>
          <w:sz w:val="20"/>
        </w:rPr>
        <w:t xml:space="preserve">, fueron juzgados por comisiones militares. Según la información recibida por la CIDH en 2006, Omar </w:t>
      </w:r>
      <w:proofErr w:type="spellStart"/>
      <w:r>
        <w:rPr>
          <w:rFonts w:ascii="Cambria" w:hAnsi="Cambria"/>
          <w:sz w:val="20"/>
        </w:rPr>
        <w:t>Khadr</w:t>
      </w:r>
      <w:proofErr w:type="spellEnd"/>
      <w:r>
        <w:rPr>
          <w:rFonts w:ascii="Cambria" w:hAnsi="Cambria"/>
          <w:sz w:val="20"/>
        </w:rPr>
        <w:t xml:space="preserve">, un ciudadano canadiense, fue juzgado por un delito que habría cometido en Afganistán a los 15 años de edad. Durante su detención e interrogatorio por agentes militares, supuestamente se le negó atención médica; sus pies y manos estuvieron esposados por largos períodos de tiempo; se lo mantuvo en una celda con perros feroces; se lo amenazó con abuso sexual; y su cabeza estuvo cubierta con una bolsa de plástico. El 21 de marzo de 2006, la CIDH otorgó medidas cautelares a favor de </w:t>
      </w:r>
      <w:r>
        <w:rPr>
          <w:rFonts w:ascii="Cambria" w:hAnsi="Cambria"/>
          <w:sz w:val="20"/>
        </w:rPr>
        <w:lastRenderedPageBreak/>
        <w:t xml:space="preserve">Omar </w:t>
      </w:r>
      <w:proofErr w:type="spellStart"/>
      <w:r>
        <w:rPr>
          <w:rFonts w:ascii="Cambria" w:hAnsi="Cambria"/>
          <w:sz w:val="20"/>
        </w:rPr>
        <w:t>Khadr</w:t>
      </w:r>
      <w:proofErr w:type="spellEnd"/>
      <w:r>
        <w:rPr>
          <w:rFonts w:ascii="Cambria" w:hAnsi="Cambria"/>
          <w:sz w:val="20"/>
        </w:rPr>
        <w:t xml:space="preserve">. En octubre de 2010, </w:t>
      </w:r>
      <w:proofErr w:type="spellStart"/>
      <w:r>
        <w:rPr>
          <w:rFonts w:ascii="Cambria" w:hAnsi="Cambria"/>
          <w:sz w:val="20"/>
        </w:rPr>
        <w:t>Khadr</w:t>
      </w:r>
      <w:proofErr w:type="spellEnd"/>
      <w:r>
        <w:rPr>
          <w:rFonts w:ascii="Cambria" w:hAnsi="Cambria"/>
          <w:sz w:val="20"/>
        </w:rPr>
        <w:t xml:space="preserve"> se declaró culpable de cinco delitos y acordó una sentencia de ocho años. A cambio de este acuerdo, se lo transfirió a un centro de detención de máxima seguridad en Edmonton, Alberta, Canadá</w:t>
      </w:r>
      <w:r>
        <w:rPr>
          <w:rStyle w:val="FootnoteReference"/>
          <w:rFonts w:ascii="Cambria" w:hAnsi="Cambria"/>
          <w:sz w:val="20"/>
        </w:rPr>
        <w:footnoteReference w:id="272"/>
      </w:r>
      <w:r>
        <w:rPr>
          <w:rFonts w:ascii="Cambria" w:hAnsi="Cambria"/>
          <w:sz w:val="20"/>
        </w:rPr>
        <w:t>. En febrero de 2014, se lo transfirió a un centro de detención de seguridad media en la misma provincia</w:t>
      </w:r>
      <w:r>
        <w:rPr>
          <w:rStyle w:val="FootnoteReference"/>
          <w:rFonts w:ascii="Cambria" w:hAnsi="Cambria"/>
          <w:sz w:val="20"/>
        </w:rPr>
        <w:footnoteReference w:id="273"/>
      </w:r>
      <w:r>
        <w:rPr>
          <w:rFonts w:ascii="Cambria" w:hAnsi="Cambria"/>
          <w:sz w:val="20"/>
        </w:rPr>
        <w:t>.</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Según el </w:t>
      </w:r>
      <w:r>
        <w:rPr>
          <w:rFonts w:ascii="Cambria" w:hAnsi="Cambria"/>
          <w:i/>
          <w:sz w:val="20"/>
        </w:rPr>
        <w:t>corpus iuris</w:t>
      </w:r>
      <w:r>
        <w:rPr>
          <w:rFonts w:ascii="Cambria" w:hAnsi="Cambria"/>
          <w:sz w:val="20"/>
        </w:rPr>
        <w:t xml:space="preserve"> para la protección de los derechos de los niños, niñas y adolescentes, debe existir un sistema de justicia juvenil para procesar a niños, niñas y adolescentes que violen leyes penales. Los castigos corporales, el aislamiento y otros tratos crueles, inhumanos y degradantes, están estrictamente prohibidos según el derecho internacional de los derechos humanos. Además, durante la detención deben permanecer separados de los adultos</w:t>
      </w:r>
      <w:r>
        <w:rPr>
          <w:rStyle w:val="FootnoteReference"/>
          <w:rFonts w:ascii="Cambria" w:hAnsi="Cambria"/>
          <w:sz w:val="20"/>
        </w:rPr>
        <w:footnoteReference w:id="274"/>
      </w:r>
      <w:r>
        <w:rPr>
          <w:rFonts w:ascii="Cambria" w:hAnsi="Cambria"/>
          <w:sz w:val="20"/>
        </w:rPr>
        <w:t>. Según el derecho internacional, se entiende que los niños, niñas y adolescentes que hayan sido reclutados o utilizados durante conflictos armados se encuentran en una situación especial. El Protocolo Facultativo de la Convención sobre los Derechos del Niño relativo a la Participación de los Niños en Conflictos Armados, ratificado por Estados Unidos en 2002, explícitamente exige la rehabilitación de los ex niños soldados, incluyendo “toda la asistencia adecuada para su recuperación física y psicológica, así como para su reintegración social”. El Comité sobre los Derechos del Niño, que monitorea el cumplimiento del Protocolo Facultativo, ha criticado a Estados Unidos por el tratamiento y procesamiento militar de los niños en Guantánamo, haciendo un llamado a Estados Unidos a tratar a los niños niñas y adolescentes bajo su custodia de conformidad con los estándares de justicia juvenil</w:t>
      </w:r>
      <w:r>
        <w:rPr>
          <w:rStyle w:val="FootnoteReference"/>
          <w:rFonts w:ascii="Cambria" w:hAnsi="Cambria"/>
          <w:sz w:val="20"/>
        </w:rPr>
        <w:footnoteReference w:id="275"/>
      </w:r>
      <w:r>
        <w:rPr>
          <w:rFonts w:ascii="Cambria" w:hAnsi="Cambria"/>
          <w:sz w:val="20"/>
        </w:rPr>
        <w:t>.</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La Comisión Interamericana manifiesta además su profunda preocupación por la facultad de las comisiones militares de juzgar a detenidos por actos que no están definidos como delitos de guerra según el derecho internacional, y que no constituían infracciones al momento de su supuesta comisión. La CIDH reitera al respecto que los Estados no pueden suspender las garantías del debido proceso necesarias para la protección de otros derechos humanos fundamentales no derogables. Además, la CIDH ha establecido claramente que estas garantías “se aplican en la investigación, procesamiento y sanción de delitos, inclusive los vinculados al terrorismo, independientemente de que esas iniciativas puedan adoptarse en tiempos de paz o de emergencia nacional, incluido el conflicto armado”</w:t>
      </w:r>
      <w:r>
        <w:rPr>
          <w:rStyle w:val="FootnoteReference"/>
          <w:rFonts w:ascii="Cambria" w:hAnsi="Cambria"/>
          <w:color w:val="000000"/>
          <w:sz w:val="20"/>
        </w:rPr>
        <w:footnoteReference w:id="276"/>
      </w:r>
      <w:r>
        <w:rPr>
          <w:rFonts w:ascii="Cambria" w:hAnsi="Cambria"/>
          <w:sz w:val="20"/>
        </w:rPr>
        <w:t xml:space="preserve">. Estas garantías incluyen el derecho al respeto de los principios fundamentales del derecho penal, incluyendo los principios de </w:t>
      </w:r>
      <w:r>
        <w:rPr>
          <w:rFonts w:ascii="Cambria" w:hAnsi="Cambria"/>
          <w:i/>
          <w:color w:val="000000"/>
          <w:sz w:val="20"/>
        </w:rPr>
        <w:t>non-bis-in-</w:t>
      </w:r>
      <w:proofErr w:type="spellStart"/>
      <w:r>
        <w:rPr>
          <w:rFonts w:ascii="Cambria" w:hAnsi="Cambria"/>
          <w:i/>
          <w:color w:val="000000"/>
          <w:sz w:val="20"/>
        </w:rPr>
        <w:t>idem</w:t>
      </w:r>
      <w:proofErr w:type="spellEnd"/>
      <w:r>
        <w:rPr>
          <w:rFonts w:ascii="Cambria" w:hAnsi="Cambria"/>
          <w:color w:val="000000"/>
          <w:sz w:val="20"/>
        </w:rPr>
        <w:t xml:space="preserve">, </w:t>
      </w:r>
      <w:proofErr w:type="spellStart"/>
      <w:r>
        <w:rPr>
          <w:rFonts w:ascii="Cambria" w:hAnsi="Cambria"/>
          <w:i/>
          <w:color w:val="000000"/>
          <w:sz w:val="20"/>
        </w:rPr>
        <w:t>nullum</w:t>
      </w:r>
      <w:proofErr w:type="spellEnd"/>
      <w:r>
        <w:rPr>
          <w:rFonts w:ascii="Cambria" w:hAnsi="Cambria"/>
          <w:i/>
          <w:color w:val="000000"/>
          <w:sz w:val="20"/>
        </w:rPr>
        <w:t xml:space="preserve"> crimen sine </w:t>
      </w:r>
      <w:proofErr w:type="spellStart"/>
      <w:r>
        <w:rPr>
          <w:rFonts w:ascii="Cambria" w:hAnsi="Cambria"/>
          <w:i/>
          <w:color w:val="000000"/>
          <w:sz w:val="20"/>
        </w:rPr>
        <w:t>lege</w:t>
      </w:r>
      <w:proofErr w:type="spellEnd"/>
      <w:r>
        <w:rPr>
          <w:rFonts w:ascii="Cambria" w:hAnsi="Cambria"/>
          <w:color w:val="000000"/>
          <w:sz w:val="20"/>
        </w:rPr>
        <w:t> y </w:t>
      </w:r>
      <w:proofErr w:type="spellStart"/>
      <w:r>
        <w:rPr>
          <w:rFonts w:ascii="Cambria" w:hAnsi="Cambria"/>
          <w:i/>
          <w:color w:val="000000"/>
          <w:sz w:val="20"/>
        </w:rPr>
        <w:t>nulla</w:t>
      </w:r>
      <w:proofErr w:type="spellEnd"/>
      <w:r>
        <w:rPr>
          <w:rFonts w:ascii="Cambria" w:hAnsi="Cambria"/>
          <w:i/>
          <w:color w:val="000000"/>
          <w:sz w:val="20"/>
        </w:rPr>
        <w:t xml:space="preserve"> </w:t>
      </w:r>
      <w:proofErr w:type="spellStart"/>
      <w:r>
        <w:rPr>
          <w:rFonts w:ascii="Cambria" w:hAnsi="Cambria"/>
          <w:i/>
          <w:color w:val="000000"/>
          <w:sz w:val="20"/>
        </w:rPr>
        <w:t>poena</w:t>
      </w:r>
      <w:proofErr w:type="spellEnd"/>
      <w:r>
        <w:rPr>
          <w:rFonts w:ascii="Cambria" w:hAnsi="Cambria"/>
          <w:i/>
          <w:color w:val="000000"/>
          <w:sz w:val="20"/>
        </w:rPr>
        <w:t xml:space="preserve"> sine </w:t>
      </w:r>
      <w:proofErr w:type="spellStart"/>
      <w:r>
        <w:rPr>
          <w:rFonts w:ascii="Cambria" w:hAnsi="Cambria"/>
          <w:i/>
          <w:color w:val="000000"/>
          <w:sz w:val="20"/>
        </w:rPr>
        <w:t>lege</w:t>
      </w:r>
      <w:proofErr w:type="spellEnd"/>
      <w:r>
        <w:rPr>
          <w:rFonts w:ascii="Cambria" w:hAnsi="Cambria"/>
          <w:color w:val="000000"/>
          <w:sz w:val="20"/>
        </w:rPr>
        <w:t xml:space="preserve">, la presunción de inocencia y el </w:t>
      </w:r>
      <w:r>
        <w:rPr>
          <w:rFonts w:ascii="Cambria" w:hAnsi="Cambria"/>
          <w:color w:val="000000"/>
          <w:sz w:val="20"/>
        </w:rPr>
        <w:lastRenderedPageBreak/>
        <w:t>derecho a no ser condenado por una infracción si no es sobre la base de responsabilidad penal individual</w:t>
      </w:r>
      <w:r>
        <w:rPr>
          <w:rStyle w:val="FootnoteReference"/>
          <w:rFonts w:ascii="Cambria" w:hAnsi="Cambria"/>
          <w:color w:val="000000"/>
          <w:sz w:val="20"/>
        </w:rPr>
        <w:footnoteReference w:id="277"/>
      </w:r>
      <w:r>
        <w:rPr>
          <w:rFonts w:ascii="Cambria" w:hAnsi="Cambria"/>
          <w:color w:val="000000"/>
          <w:sz w:val="20"/>
        </w:rPr>
        <w:t>.</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Otro aspecto preocupante se refiere a la existencia de disposiciones relativas al testimonio referencial que, a pesar de las restricciones introducidas por la MCA de 2009, continúan impidiendo que los abogados contra-examinen a los testigos. La CIDH observa al respecto que el principio del contradictorio y el derecho a la confrontación están entre los pilares del derecho a la defensa. Estos constituyen una parte del principio de igualdad de armas, que ha sido reconocido por la CIDH como uno de los elementos integrales de la garantía del debido proceso y el juicio justo</w:t>
      </w:r>
      <w:r>
        <w:rPr>
          <w:rStyle w:val="FootnoteReference"/>
          <w:rFonts w:ascii="Cambria" w:hAnsi="Cambria"/>
          <w:color w:val="000000"/>
          <w:sz w:val="20"/>
        </w:rPr>
        <w:footnoteReference w:id="278"/>
      </w:r>
      <w:r>
        <w:rPr>
          <w:rFonts w:ascii="Cambria" w:hAnsi="Cambria"/>
          <w:sz w:val="20"/>
        </w:rPr>
        <w:t xml:space="preserve">. Al respecto, la CIDH ha señalado que “en todo proceso deben concurrir los elementos necesarios para que exista el mayor equilibrio entre las partes, para la debida defensa de sus intereses y derechos. Esto implica, entre otras cosas, que rija el principio del contradictorio </w:t>
      </w:r>
      <w:r>
        <w:rPr>
          <w:rFonts w:ascii="Cambria" w:hAnsi="Cambria"/>
          <w:color w:val="000000"/>
          <w:sz w:val="20"/>
        </w:rPr>
        <w:t>[…]</w:t>
      </w:r>
      <w:r>
        <w:rPr>
          <w:rFonts w:ascii="Cambria" w:hAnsi="Cambria"/>
          <w:sz w:val="20"/>
        </w:rPr>
        <w:t xml:space="preserve"> en virtud de lo cual cada parte debe tener una oportunidad razonable de presentar su caso bajo condiciones que no la sitúen en una condición de desventaja frente a su oponente”</w:t>
      </w:r>
      <w:r>
        <w:rPr>
          <w:rStyle w:val="FootnoteReference"/>
          <w:rFonts w:ascii="Cambria" w:hAnsi="Cambria"/>
          <w:color w:val="000000"/>
        </w:rPr>
        <w:footnoteReference w:id="279"/>
      </w:r>
      <w:r>
        <w:rPr>
          <w:rFonts w:ascii="Cambria" w:hAnsi="Cambria"/>
          <w:sz w:val="20"/>
        </w:rPr>
        <w:t>. Las garantías establecidas en la Cláusula del Contradictorio de la Sexta Enmienda de la Constitución de los Estados Unidos son indispensables para asegurar juicios justos a los detenidos de Guantánamo</w:t>
      </w:r>
      <w:r>
        <w:rPr>
          <w:rStyle w:val="FootnoteReference"/>
          <w:rFonts w:ascii="Cambria" w:hAnsi="Cambria"/>
          <w:sz w:val="20"/>
        </w:rPr>
        <w:footnoteReference w:id="280"/>
      </w:r>
      <w:r>
        <w:rPr>
          <w:rFonts w:ascii="Cambria" w:hAnsi="Cambria"/>
          <w:sz w:val="20"/>
        </w:rPr>
        <w:t xml:space="preserve">. </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Finalmente, la MCA de 2006 estableció expresamente la inaplicabilidad del Artículo 10 del UCMJ respecto del derecho a un juicio rápido, lo que se mantuvo en la MCA de 2009 bajo la Sección 948(b</w:t>
      </w:r>
      <w:proofErr w:type="gramStart"/>
      <w:r>
        <w:rPr>
          <w:rFonts w:ascii="Cambria" w:hAnsi="Cambria"/>
          <w:sz w:val="20"/>
        </w:rPr>
        <w:t>)(</w:t>
      </w:r>
      <w:proofErr w:type="gramEnd"/>
      <w:r>
        <w:rPr>
          <w:rFonts w:ascii="Cambria" w:hAnsi="Cambria"/>
          <w:sz w:val="20"/>
        </w:rPr>
        <w:t>d). El derecho a un juicio rápido es una garantía básica del debido proceso y es crucial para la protección del derecho a un juicio justo. La CIDH ha subrayado que “si bien para establecer la extensión del "plazo razonable" […] se puede tomar en consideración la complejidad del caso y la diligencia en la investigación”, en el caso de la prisión como medida cautelar la determinación debe ser mucho más estricta y limitada debido a la privación de la libertad que subyace</w:t>
      </w:r>
      <w:r>
        <w:rPr>
          <w:rStyle w:val="FootnoteReference"/>
          <w:rFonts w:ascii="Cambria" w:hAnsi="Cambria"/>
          <w:sz w:val="20"/>
        </w:rPr>
        <w:footnoteReference w:id="281"/>
      </w:r>
      <w:r>
        <w:rPr>
          <w:rFonts w:ascii="Cambria" w:hAnsi="Cambria"/>
          <w:sz w:val="20"/>
        </w:rPr>
        <w:t>. Es a la luz de la presunción de libertad y seguridad personales establecida en el artículo I de la Declaración Americana que la detención no debe exceder el tiempo razonable</w:t>
      </w:r>
      <w:r>
        <w:rPr>
          <w:rStyle w:val="FootnoteReference"/>
          <w:rFonts w:ascii="Cambria" w:hAnsi="Cambria"/>
          <w:sz w:val="20"/>
        </w:rPr>
        <w:footnoteReference w:id="282"/>
      </w:r>
      <w:r>
        <w:rPr>
          <w:rFonts w:ascii="Cambria" w:hAnsi="Cambria"/>
          <w:sz w:val="20"/>
        </w:rPr>
        <w:t xml:space="preserve">. Con la excepción de un puñado de juicios ante comisiones militares, los detenidos de Guantánamo han permanecido privados de libertad por más de una década sin haber sido acusados. Esto constituye una clara violación del “derecho a que el juez verifique sin demora la legalidad de la medida y a ser juzgado sin dilación injustificada, o, de lo contrario, a ser puesto en libertad” reconocido por el artículo XXV de la Declaración Americana. </w:t>
      </w:r>
    </w:p>
    <w:p w:rsidR="00C8425A" w:rsidRPr="00FC2F1B" w:rsidRDefault="00C8425A" w:rsidP="00C8425A">
      <w:pPr>
        <w:jc w:val="both"/>
        <w:rPr>
          <w:rFonts w:ascii="Cambria" w:hAnsi="Cambria"/>
          <w:sz w:val="20"/>
          <w:szCs w:val="20"/>
        </w:rPr>
      </w:pPr>
    </w:p>
    <w:p w:rsidR="00C8425A" w:rsidRPr="00FC2F1B" w:rsidRDefault="00C8425A" w:rsidP="0054243D">
      <w:pPr>
        <w:pStyle w:val="Style3"/>
      </w:pPr>
      <w:bookmarkStart w:id="50" w:name="_Toc423072851"/>
      <w:r>
        <w:lastRenderedPageBreak/>
        <w:t>Derecho a la representación legal</w:t>
      </w:r>
      <w:bookmarkEnd w:id="50"/>
    </w:p>
    <w:p w:rsidR="00C8425A" w:rsidRPr="00FC2F1B" w:rsidRDefault="00C8425A" w:rsidP="00C8425A">
      <w:pPr>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La MCA de 2009 garantiza a los detenidos la representación por abogados militares a costa del gobierno o les da la opción de contratar abogados civiles que cumplan ciertos requisitos específicos. Cuando el detenido opta por un abogado civil, el abogado militar designado actúa como un abogado asociado</w:t>
      </w:r>
      <w:r>
        <w:rPr>
          <w:rStyle w:val="FootnoteReference"/>
          <w:rFonts w:ascii="Cambria" w:hAnsi="Cambria"/>
          <w:sz w:val="20"/>
        </w:rPr>
        <w:footnoteReference w:id="283"/>
      </w:r>
      <w:r>
        <w:rPr>
          <w:rFonts w:ascii="Cambria" w:hAnsi="Cambria"/>
          <w:sz w:val="20"/>
        </w:rPr>
        <w:t>. La MCA también establece el derecho a representarse a sí mismo, en cuyo caso el abogado designado actúa como un “abogado en espera” y es posible que se requiera su presencia durante el juicio.</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Entre los avances incluidos en la MCA de 2009 se encuentra el requisito de que en los casos de pena de muerte actúen abogados defensores con experiencia en casos de pena capital, así como la asignación de más recursos a los abogados defensores. La Oficina del Jefe de la Defensa proporciona abogados defensores gratuitos. La MCA de 2009 incluye el derecho a ser defendido “hasta el máximo posible, por al menos un abogado adicional con experticia en la normativa aplicable a los casos de pena de muerte” cuando alguno de los cargos por los que se les acusa puede ser penado con pena de muerte</w:t>
      </w:r>
      <w:r>
        <w:rPr>
          <w:rStyle w:val="FootnoteReference"/>
          <w:rFonts w:ascii="Cambria" w:hAnsi="Cambria"/>
          <w:sz w:val="20"/>
        </w:rPr>
        <w:footnoteReference w:id="284"/>
      </w:r>
      <w:r>
        <w:rPr>
          <w:rFonts w:ascii="Cambria" w:hAnsi="Cambria"/>
          <w:sz w:val="20"/>
        </w:rPr>
        <w:t>. Por tanto, los detenidos que se enfrentan a una posible pena de muerte tendrían derecho a dos abogados pagados por el gobierno. La CIDH observa que este derecho no se garantiza a los miembros del servicio en la justicia militar</w:t>
      </w:r>
      <w:r>
        <w:rPr>
          <w:rStyle w:val="FootnoteReference"/>
          <w:rFonts w:ascii="Cambria" w:hAnsi="Cambria"/>
          <w:sz w:val="20"/>
        </w:rPr>
        <w:footnoteReference w:id="285"/>
      </w:r>
      <w:r>
        <w:rPr>
          <w:rFonts w:ascii="Cambria" w:hAnsi="Cambria"/>
          <w:sz w:val="20"/>
        </w:rPr>
        <w:t xml:space="preserve">. </w:t>
      </w:r>
    </w:p>
    <w:p w:rsidR="00C8425A" w:rsidRDefault="00C8425A" w:rsidP="00C8425A">
      <w:pPr>
        <w:pStyle w:val="ListParagraph"/>
        <w:rPr>
          <w:sz w:val="20"/>
          <w:szCs w:val="20"/>
        </w:rPr>
      </w:pPr>
    </w:p>
    <w:p w:rsidR="00195A17" w:rsidRPr="00FC2F1B" w:rsidRDefault="00195A17" w:rsidP="00C8425A">
      <w:pPr>
        <w:pStyle w:val="ListParagraph"/>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Adicionalmente, una de las reformas introducidas por la MCA de 2009 establece que el acusado tiene la oportunidad de requerir un abogado militar específico para que actúe como su representante, si el abogado se encuentra razonablemente disponible. El acusado puede además solicitar a la Oficina del Jefe de la Defensa que el abogado sea reemplazado si considera que el abogado designado ha sido ineficiente o si por algún otro motivo se encuentra insatisfecho con el abogado defensor asignado. </w:t>
      </w:r>
    </w:p>
    <w:p w:rsidR="00C8425A" w:rsidRPr="00FC2F1B" w:rsidRDefault="00C8425A" w:rsidP="00C8425A">
      <w:pPr>
        <w:pStyle w:val="ListParagraph"/>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A pesar de estos desarrollos positivos, la CIDH observa que el derecho de los detenidos de Guantánamo a la representación legal enfrenta aún varios desafíos importantes. En diciembre de 2011, el entonces Comandante del Grupo de Trabajo para la Revisión de Guantánamo (</w:t>
      </w:r>
      <w:proofErr w:type="spellStart"/>
      <w:r>
        <w:rPr>
          <w:rFonts w:ascii="Cambria" w:hAnsi="Cambria"/>
          <w:i/>
          <w:sz w:val="20"/>
        </w:rPr>
        <w:t>Joint</w:t>
      </w:r>
      <w:proofErr w:type="spellEnd"/>
      <w:r>
        <w:rPr>
          <w:rFonts w:ascii="Cambria" w:hAnsi="Cambria"/>
          <w:i/>
          <w:sz w:val="20"/>
        </w:rPr>
        <w:t xml:space="preserve"> </w:t>
      </w:r>
      <w:proofErr w:type="spellStart"/>
      <w:r>
        <w:rPr>
          <w:rFonts w:ascii="Cambria" w:hAnsi="Cambria"/>
          <w:i/>
          <w:sz w:val="20"/>
        </w:rPr>
        <w:t>Task</w:t>
      </w:r>
      <w:proofErr w:type="spellEnd"/>
      <w:r>
        <w:rPr>
          <w:rFonts w:ascii="Cambria" w:hAnsi="Cambria"/>
          <w:i/>
          <w:sz w:val="20"/>
        </w:rPr>
        <w:t xml:space="preserve"> </w:t>
      </w:r>
      <w:proofErr w:type="spellStart"/>
      <w:r>
        <w:rPr>
          <w:rFonts w:ascii="Cambria" w:hAnsi="Cambria"/>
          <w:i/>
          <w:sz w:val="20"/>
        </w:rPr>
        <w:t>Force</w:t>
      </w:r>
      <w:proofErr w:type="spellEnd"/>
      <w:r>
        <w:rPr>
          <w:rFonts w:ascii="Cambria" w:hAnsi="Cambria"/>
          <w:i/>
          <w:sz w:val="20"/>
        </w:rPr>
        <w:t xml:space="preserve"> </w:t>
      </w:r>
      <w:proofErr w:type="spellStart"/>
      <w:r>
        <w:rPr>
          <w:rFonts w:ascii="Cambria" w:hAnsi="Cambria"/>
          <w:sz w:val="20"/>
        </w:rPr>
        <w:t>Commander</w:t>
      </w:r>
      <w:proofErr w:type="spellEnd"/>
      <w:r>
        <w:rPr>
          <w:rFonts w:ascii="Cambria" w:hAnsi="Cambria"/>
          <w:i/>
          <w:sz w:val="20"/>
        </w:rPr>
        <w:t xml:space="preserve"> at </w:t>
      </w:r>
      <w:proofErr w:type="spellStart"/>
      <w:r>
        <w:rPr>
          <w:rFonts w:ascii="Cambria" w:hAnsi="Cambria"/>
          <w:i/>
          <w:sz w:val="20"/>
        </w:rPr>
        <w:t>Guantanamo</w:t>
      </w:r>
      <w:proofErr w:type="spellEnd"/>
      <w:r>
        <w:rPr>
          <w:rFonts w:ascii="Cambria" w:hAnsi="Cambria"/>
          <w:sz w:val="20"/>
        </w:rPr>
        <w:t>) emitió dos órdenes estableciendo que todo escrito confidencial entre clientes y abogados debía pasar por un equipo de revisión especial privilegiada integrado por funcionarios policiales, de inteligencia y de seguridad que están bajo su supervisión. Desde esa fecha, se alega que los abogados defensores han estado impedidos de mantener comunicaciones confidenciales con sus clientes en la Bahía de Guantánamo. Informes señalan que estas órdenes estaban dirigidas a controlar lo que se conoce como contrabando de información. Las órdenes instruyeron a los representantes legales que estaba prohibido conversar sobre ciertos temas con sus clientes, tales como la perspectiva histórica sobre la guerra santa (</w:t>
      </w:r>
      <w:proofErr w:type="spellStart"/>
      <w:r>
        <w:rPr>
          <w:rFonts w:ascii="Cambria" w:hAnsi="Cambria"/>
          <w:i/>
          <w:sz w:val="20"/>
        </w:rPr>
        <w:t>jihad</w:t>
      </w:r>
      <w:proofErr w:type="spellEnd"/>
      <w:r>
        <w:rPr>
          <w:rFonts w:ascii="Cambria" w:hAnsi="Cambria"/>
          <w:sz w:val="20"/>
        </w:rPr>
        <w:t xml:space="preserve">), la situación de los otros detenidos, detalles sobre funcionarios estadounidenses que habrían torturado o abusado de los detenidos, y las condiciones de detención </w:t>
      </w:r>
      <w:r>
        <w:rPr>
          <w:rFonts w:ascii="Cambria" w:hAnsi="Cambria"/>
          <w:sz w:val="20"/>
        </w:rPr>
        <w:lastRenderedPageBreak/>
        <w:t>actuales. Estas disposiciones sobre información de contrabando y la falta de confidencialidad en las comunicaciones entre cliente y abogado son actualmente objeto de litigios ante comisiones militares</w:t>
      </w:r>
      <w:r>
        <w:rPr>
          <w:rStyle w:val="FootnoteReference"/>
          <w:rFonts w:ascii="Cambria" w:hAnsi="Cambria"/>
          <w:sz w:val="20"/>
        </w:rPr>
        <w:footnoteReference w:id="286"/>
      </w:r>
      <w:r>
        <w:rPr>
          <w:rFonts w:ascii="Cambria" w:hAnsi="Cambria"/>
          <w:sz w:val="20"/>
        </w:rPr>
        <w:t>.</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El contrabando de información no es la única restricción que afecta las comunicaciones entre detenidos y sus equipos de defensa. La logística es otra restricción importante. Según se informa, a los abogados defensores militares no  se les permite hablar con sus clientes por teléfono; de forma tal que necesitan viajar a la Bahía de Guantánamo personalmente para hablar con ellos. Esto a su vez requiere una enorme inversión de tiempo; los vuelos a la base naval por lo general son semanales, sea de lunes a viernes o de martes a jueves. Por tanto, consultar con el cliente sobre cualquier asunto normalmente consume de dos a cinco días de trabajo de los abogados defensores militares. El derecho a comunicarse telefónicamente con los clientes está siendo litigado actualmente por los abogados defensores militares. Se alega que esta restricción no abarca a los abogados en procesos de hábeas corpus</w:t>
      </w:r>
      <w:r>
        <w:rPr>
          <w:rStyle w:val="FootnoteReference"/>
          <w:rFonts w:ascii="Cambria" w:hAnsi="Cambria"/>
          <w:sz w:val="20"/>
        </w:rPr>
        <w:footnoteReference w:id="287"/>
      </w:r>
      <w:r>
        <w:rPr>
          <w:rFonts w:ascii="Cambria" w:hAnsi="Cambria"/>
          <w:sz w:val="20"/>
        </w:rPr>
        <w:t xml:space="preserve">. </w:t>
      </w:r>
    </w:p>
    <w:p w:rsidR="00D241E8" w:rsidRPr="00FC2F1B" w:rsidRDefault="00D241E8" w:rsidP="00C8425A">
      <w:pPr>
        <w:pStyle w:val="ListParagraph"/>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Según información proporcionada por abogados defensores, en 2012 hubo dos incidentes que perjudicaron la confianza en las comisiones militares</w:t>
      </w:r>
      <w:r>
        <w:rPr>
          <w:rStyle w:val="FootnoteReference"/>
          <w:rFonts w:ascii="Cambria" w:hAnsi="Cambria"/>
          <w:sz w:val="20"/>
        </w:rPr>
        <w:footnoteReference w:id="288"/>
      </w:r>
      <w:r>
        <w:rPr>
          <w:rFonts w:ascii="Cambria" w:hAnsi="Cambria"/>
          <w:sz w:val="20"/>
        </w:rPr>
        <w:t xml:space="preserve">. El 28 de enero de 2012, durante una audiencia preliminar, el sistema de sonido repentinamente se cortó. Más adelante el juez reveló que un oficial gubernamental (no especificó para qué agencia trabajaba) estaba siguiendo los procedimientos desde afuera de la sala de audiencia, e intervino para impedir la difusión de información. El juez que presidía la audiencia era </w:t>
      </w:r>
      <w:proofErr w:type="spellStart"/>
      <w:r>
        <w:rPr>
          <w:rFonts w:ascii="Cambria" w:hAnsi="Cambria"/>
          <w:sz w:val="20"/>
        </w:rPr>
        <w:t>alegadamente</w:t>
      </w:r>
      <w:proofErr w:type="spellEnd"/>
      <w:r>
        <w:rPr>
          <w:rFonts w:ascii="Cambria" w:hAnsi="Cambria"/>
          <w:sz w:val="20"/>
        </w:rPr>
        <w:t xml:space="preserve"> la única autoridad facultada para censurar los procedimientos. Después de determinar que la información no era clasificada, el juez hizo pública la transcripción de las afirmaciones censuradas y ordenó a la agencia desconectar los equipos. Por otra parte, cerca de la misma fecha, durante una reunión con un detenido, el abogado militar defensor encontró que un detector de humo en la sala de reuniones del complejo conocido como Echo 2, tenía escondido un micrófono. El oficial a cargo de la seguridad de la prisión habría asegurado al abogado defensor que no se estaba monitoreando las reuniones privadas entre los detenidos y sus abogados o los representantes del CICR, y que el micrófono escondido estaba deshabilitado</w:t>
      </w:r>
      <w:r>
        <w:rPr>
          <w:rStyle w:val="FootnoteReference"/>
          <w:rFonts w:ascii="Cambria" w:hAnsi="Cambria"/>
          <w:sz w:val="20"/>
        </w:rPr>
        <w:footnoteReference w:id="289"/>
      </w:r>
      <w:r>
        <w:rPr>
          <w:rFonts w:ascii="Cambria" w:hAnsi="Cambria"/>
          <w:sz w:val="20"/>
        </w:rPr>
        <w:t>. Asimismo, en febrero de 2013, guardias de Guantánamo se habrían apoderado de documentos legales confidenciales que estaban en las celdas de ciertos detenidos, mientras ellos estaban en la sala de audiencia durante una audiencia preliminar</w:t>
      </w:r>
      <w:r>
        <w:rPr>
          <w:rStyle w:val="FootnoteReference"/>
          <w:rFonts w:ascii="Cambria" w:hAnsi="Cambria"/>
          <w:sz w:val="20"/>
        </w:rPr>
        <w:footnoteReference w:id="290"/>
      </w:r>
      <w:r>
        <w:rPr>
          <w:rFonts w:ascii="Cambria" w:hAnsi="Cambria"/>
          <w:sz w:val="20"/>
        </w:rPr>
        <w:t xml:space="preserve">. </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lastRenderedPageBreak/>
        <w:t>En respuesta a la huelga de hambre masiva que tuvo lugar en 2013, los militares reinstituyeron un protocolo de registros invasivos para los detenidos antes y después de sus reuniones con representantes legales, lo que fue considerado por los detenidos como una forma de discriminación y humillación</w:t>
      </w:r>
      <w:r>
        <w:rPr>
          <w:rStyle w:val="FootnoteReference"/>
          <w:rFonts w:ascii="Cambria" w:hAnsi="Cambria"/>
          <w:sz w:val="20"/>
        </w:rPr>
        <w:footnoteReference w:id="291"/>
      </w:r>
      <w:r>
        <w:rPr>
          <w:rFonts w:ascii="Cambria" w:hAnsi="Cambria"/>
          <w:sz w:val="20"/>
        </w:rPr>
        <w:t>. El 11 de julio de 2013, en el marco de procesos de habeas corpus, un juez federal distrital decidió que las restricciones al acceso a la representación judicial de los detenidos de Guantánamo constituía una violación de los derechos procesales de los detenidos. La decisión prohibió el protocolo de registros, las restricciones a los lugares donde ciertos detenidos podían reunirse con sus abogados dentro de las instalaciones, así como los nuevos vehículos que los guardias utilizaban para transportar a los detenidos hacia las reuniones con sus representantes legales (los detenidos tenían que sentarse en posiciones de estrés durante el viaje para reunirse con sus abogados)</w:t>
      </w:r>
      <w:r>
        <w:rPr>
          <w:rStyle w:val="FootnoteReference"/>
          <w:rFonts w:ascii="Cambria" w:hAnsi="Cambria"/>
          <w:sz w:val="20"/>
        </w:rPr>
        <w:footnoteReference w:id="292"/>
      </w:r>
      <w:r>
        <w:rPr>
          <w:rFonts w:ascii="Cambria" w:hAnsi="Cambria"/>
          <w:sz w:val="20"/>
        </w:rPr>
        <w:t xml:space="preserve">. La decisión fue apelada por el gobierno de Estados Unidos. </w:t>
      </w:r>
    </w:p>
    <w:p w:rsidR="00C8425A" w:rsidRPr="00FC2F1B" w:rsidRDefault="00C8425A" w:rsidP="00C8425A">
      <w:pPr>
        <w:pStyle w:val="ListParagraph"/>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Adicionalmente, según información pública disponible, en abril de 2014 los abogados defensores de detenidos de Guantánamo en el caso de los cinco supuestos autores intelectuales de los ataques del 11 de septiembre informaron a la comisión militar que el FBI estaba espiando a sus colegas. La investigación del FBI habría incluido el intento por convertir al oficial de seguridad del equipo jurídico de </w:t>
      </w:r>
      <w:proofErr w:type="spellStart"/>
      <w:r>
        <w:rPr>
          <w:rFonts w:ascii="Cambria" w:hAnsi="Cambria"/>
          <w:sz w:val="20"/>
        </w:rPr>
        <w:t>Ramzi</w:t>
      </w:r>
      <w:proofErr w:type="spellEnd"/>
      <w:r>
        <w:rPr>
          <w:rFonts w:ascii="Cambria" w:hAnsi="Cambria"/>
          <w:sz w:val="20"/>
        </w:rPr>
        <w:t xml:space="preserve"> </w:t>
      </w:r>
      <w:proofErr w:type="spellStart"/>
      <w:r>
        <w:rPr>
          <w:rFonts w:ascii="Cambria" w:hAnsi="Cambria"/>
          <w:sz w:val="20"/>
        </w:rPr>
        <w:t>Bin</w:t>
      </w:r>
      <w:proofErr w:type="spellEnd"/>
      <w:r>
        <w:rPr>
          <w:rFonts w:ascii="Cambria" w:hAnsi="Cambria"/>
          <w:sz w:val="20"/>
        </w:rPr>
        <w:t xml:space="preserve"> Al </w:t>
      </w:r>
      <w:proofErr w:type="spellStart"/>
      <w:r>
        <w:rPr>
          <w:rFonts w:ascii="Cambria" w:hAnsi="Cambria"/>
          <w:sz w:val="20"/>
        </w:rPr>
        <w:t>Shibh</w:t>
      </w:r>
      <w:proofErr w:type="spellEnd"/>
      <w:r>
        <w:rPr>
          <w:rFonts w:ascii="Cambria" w:hAnsi="Cambria"/>
          <w:sz w:val="20"/>
        </w:rPr>
        <w:t xml:space="preserve"> en un informante del FBI. El gobierno de Estados Unidos se ha negado a responder a la solicitud del equipo de la defensa para que se entregue información sobre qué personas y asuntos estaban siendo investigados por el FBI. Según el Departamento de Justicia, la investigación secreta del FBI ya fue cerrada y referida al Departamento de Defensa. David </w:t>
      </w:r>
      <w:proofErr w:type="spellStart"/>
      <w:r>
        <w:rPr>
          <w:rFonts w:ascii="Cambria" w:hAnsi="Cambria"/>
          <w:sz w:val="20"/>
        </w:rPr>
        <w:t>Nevins</w:t>
      </w:r>
      <w:proofErr w:type="spellEnd"/>
      <w:r>
        <w:rPr>
          <w:rFonts w:ascii="Cambria" w:hAnsi="Cambria"/>
          <w:sz w:val="20"/>
        </w:rPr>
        <w:t xml:space="preserve">, abogado principal de la defensa de </w:t>
      </w:r>
      <w:proofErr w:type="spellStart"/>
      <w:r>
        <w:rPr>
          <w:rFonts w:ascii="Cambria" w:hAnsi="Cambria"/>
          <w:sz w:val="20"/>
        </w:rPr>
        <w:t>Khalid</w:t>
      </w:r>
      <w:proofErr w:type="spellEnd"/>
      <w:r>
        <w:rPr>
          <w:rFonts w:ascii="Cambria" w:hAnsi="Cambria"/>
          <w:sz w:val="20"/>
        </w:rPr>
        <w:t xml:space="preserve"> </w:t>
      </w:r>
      <w:proofErr w:type="spellStart"/>
      <w:r>
        <w:rPr>
          <w:rFonts w:ascii="Cambria" w:hAnsi="Cambria"/>
          <w:sz w:val="20"/>
        </w:rPr>
        <w:t>Sheikh</w:t>
      </w:r>
      <w:proofErr w:type="spellEnd"/>
      <w:r>
        <w:rPr>
          <w:rFonts w:ascii="Cambria" w:hAnsi="Cambria"/>
          <w:sz w:val="20"/>
        </w:rPr>
        <w:t xml:space="preserve"> Mohammed, afirmó que el temor de persecución por parte del FBI con base en actividades relacionadas con la defensa jurídica les inhibe de cumplir con su obligación ética de representar diligentemente los intereses de sus clientes</w:t>
      </w:r>
      <w:r>
        <w:rPr>
          <w:rStyle w:val="FootnoteReference"/>
          <w:rFonts w:ascii="Cambria" w:hAnsi="Cambria"/>
          <w:sz w:val="20"/>
        </w:rPr>
        <w:footnoteReference w:id="293"/>
      </w:r>
      <w:r>
        <w:rPr>
          <w:rFonts w:ascii="Cambria" w:hAnsi="Cambria"/>
          <w:sz w:val="20"/>
        </w:rPr>
        <w:t xml:space="preserve">. El litigio sobre los potenciales conflictos de interés ha retrasado aún más los procedimientos preliminares, lo que aumenta las demoras existentes, asunto que será examinado en el siguiente capítulo. </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La CIDH también ha recibido información preocupante relativa a las restricciones al acceso a prueba y disposiciones irrazonables sobre información clasificada</w:t>
      </w:r>
      <w:r>
        <w:rPr>
          <w:rStyle w:val="FootnoteReference"/>
          <w:rFonts w:ascii="Cambria" w:hAnsi="Cambria"/>
          <w:sz w:val="20"/>
        </w:rPr>
        <w:footnoteReference w:id="294"/>
      </w:r>
      <w:r>
        <w:rPr>
          <w:rFonts w:ascii="Cambria" w:hAnsi="Cambria"/>
          <w:sz w:val="20"/>
        </w:rPr>
        <w:t>. Según los estándares desarrollados por la Corte Suprema de Estados Unidos, como cuestión de práctica general los fiscales deben revelar toda la prueba “material” favorable, concepto que es más amplio que el de la prueba exculpatoria</w:t>
      </w:r>
      <w:r>
        <w:rPr>
          <w:rStyle w:val="FootnoteReference"/>
          <w:rFonts w:ascii="Cambria" w:hAnsi="Cambria"/>
          <w:sz w:val="20"/>
        </w:rPr>
        <w:footnoteReference w:id="295"/>
      </w:r>
      <w:r>
        <w:rPr>
          <w:rFonts w:ascii="Cambria" w:hAnsi="Cambria"/>
          <w:sz w:val="20"/>
        </w:rPr>
        <w:t xml:space="preserve">. Al respecto, la Corte Suprema ha establecido que, aún en ausencia de una solicitud por </w:t>
      </w:r>
      <w:r>
        <w:rPr>
          <w:rFonts w:ascii="Cambria" w:hAnsi="Cambria"/>
          <w:sz w:val="20"/>
        </w:rPr>
        <w:lastRenderedPageBreak/>
        <w:t>parte de la defensa, la prueba es material y debe ser revelada cuando “genera una duda razonable que de otra forma no existía”</w:t>
      </w:r>
      <w:r>
        <w:rPr>
          <w:rStyle w:val="FootnoteReference"/>
          <w:rFonts w:ascii="Cambria" w:hAnsi="Cambria"/>
          <w:sz w:val="20"/>
        </w:rPr>
        <w:footnoteReference w:id="296"/>
      </w:r>
      <w:r>
        <w:rPr>
          <w:rFonts w:ascii="Cambria" w:hAnsi="Cambria"/>
          <w:sz w:val="20"/>
        </w:rPr>
        <w:t>. En contraste, ante las comisiones militares la obligación de revelar prueba exculpatoria se limita a “toda evidencia que razonablemente tienda a […] negar que el acusado es culpable”</w:t>
      </w:r>
      <w:r>
        <w:rPr>
          <w:rStyle w:val="FootnoteReference"/>
          <w:rFonts w:ascii="Cambria" w:hAnsi="Cambria"/>
          <w:sz w:val="20"/>
        </w:rPr>
        <w:footnoteReference w:id="297"/>
      </w:r>
      <w:r>
        <w:rPr>
          <w:rFonts w:ascii="Cambria" w:hAnsi="Cambria"/>
          <w:sz w:val="20"/>
        </w:rPr>
        <w:t>. Adicionalmente, según la práctica general, las cortes federales presumen que la prueba clasificada puede ser producida como prueba a menos que y hasta que el gobierno demuestre lo contrario. Según la MCA de 2009, sin embargo, la defensa tiene la carga de demostrar que cierta evidencia puede ser producida, incluso cuando podrían no conocer que existe</w:t>
      </w:r>
      <w:r>
        <w:rPr>
          <w:rStyle w:val="FootnoteReference"/>
          <w:rFonts w:ascii="Cambria" w:hAnsi="Cambria"/>
          <w:sz w:val="20"/>
        </w:rPr>
        <w:footnoteReference w:id="298"/>
      </w:r>
      <w:r>
        <w:rPr>
          <w:rFonts w:ascii="Cambria" w:hAnsi="Cambria"/>
          <w:sz w:val="20"/>
        </w:rPr>
        <w:t xml:space="preserve">. Finalmente, los abogados acusadores ante una comisión militar pueden retener prueba con base en la existencia de motivos de seguridad nacional, realizada durante una audiencia secreta. La decisión del juez estableciendo que el gobierno puede retener la información no está sometida a revisión judicial. </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En el caso de </w:t>
      </w:r>
      <w:proofErr w:type="spellStart"/>
      <w:r>
        <w:rPr>
          <w:rFonts w:ascii="Cambria" w:hAnsi="Cambria"/>
          <w:sz w:val="20"/>
        </w:rPr>
        <w:t>Khalid</w:t>
      </w:r>
      <w:proofErr w:type="spellEnd"/>
      <w:r>
        <w:rPr>
          <w:rFonts w:ascii="Cambria" w:hAnsi="Cambria"/>
          <w:sz w:val="20"/>
        </w:rPr>
        <w:t xml:space="preserve"> </w:t>
      </w:r>
      <w:proofErr w:type="spellStart"/>
      <w:r>
        <w:rPr>
          <w:rFonts w:ascii="Cambria" w:hAnsi="Cambria"/>
          <w:sz w:val="20"/>
        </w:rPr>
        <w:t>Shaikh</w:t>
      </w:r>
      <w:proofErr w:type="spellEnd"/>
      <w:r>
        <w:rPr>
          <w:rFonts w:ascii="Cambria" w:hAnsi="Cambria"/>
          <w:sz w:val="20"/>
        </w:rPr>
        <w:t xml:space="preserve"> Mohammed, la comisión militar estableció que información clasificada incluye, entre otros: información que podría revelar o tender a revelar detalles que rodean la captura del acusado, distintas del lugar y la fecha de captura; información que podría revelar o tender a revelar los países extranjeros en los que el acusado fue detenido desde el momento de su captura; los nombres, identidades y descripciones físicas de todas las personas involucradas en la captura, traslado, detención o interrogatorio del acusado; las técnicas mejoradas de interrogatorio que fueron aplicadas al acusado; y las descripciones de las condiciones de detención</w:t>
      </w:r>
      <w:r>
        <w:rPr>
          <w:rStyle w:val="FootnoteReference"/>
          <w:rFonts w:ascii="Cambria" w:hAnsi="Cambria"/>
          <w:sz w:val="20"/>
        </w:rPr>
        <w:footnoteReference w:id="299"/>
      </w:r>
      <w:r>
        <w:rPr>
          <w:rFonts w:ascii="Cambria" w:hAnsi="Cambria"/>
          <w:sz w:val="20"/>
        </w:rPr>
        <w:t xml:space="preserve">. El Relator Especial sobre la promoción y protección de los derechos humanos y las libertades fundamentales en la lucha contra el terrorismo, Ben </w:t>
      </w:r>
      <w:proofErr w:type="spellStart"/>
      <w:r>
        <w:rPr>
          <w:rFonts w:ascii="Cambria" w:hAnsi="Cambria"/>
          <w:sz w:val="20"/>
        </w:rPr>
        <w:t>Emmerson</w:t>
      </w:r>
      <w:proofErr w:type="spellEnd"/>
      <w:r>
        <w:rPr>
          <w:rFonts w:ascii="Cambria" w:hAnsi="Cambria"/>
          <w:sz w:val="20"/>
        </w:rPr>
        <w:t xml:space="preserve">, ha descrito esta situación restrictiva como “particularmente atroz”. Al respecto, el Relator Especial señaló que: </w:t>
      </w:r>
    </w:p>
    <w:p w:rsidR="00C8425A" w:rsidRPr="00FC2F1B" w:rsidRDefault="00C8425A" w:rsidP="00C8425A">
      <w:pPr>
        <w:pStyle w:val="ListParagraph"/>
        <w:rPr>
          <w:sz w:val="20"/>
          <w:szCs w:val="20"/>
        </w:rPr>
      </w:pPr>
    </w:p>
    <w:p w:rsidR="00C8425A" w:rsidRPr="002E2C5C" w:rsidRDefault="00C8425A" w:rsidP="00195A17">
      <w:pPr>
        <w:ind w:left="979"/>
        <w:jc w:val="both"/>
        <w:rPr>
          <w:rFonts w:ascii="Cambria" w:hAnsi="Cambria"/>
          <w:sz w:val="20"/>
          <w:szCs w:val="20"/>
        </w:rPr>
      </w:pPr>
      <w:proofErr w:type="gramStart"/>
      <w:r>
        <w:rPr>
          <w:rFonts w:ascii="Cambria" w:hAnsi="Cambria"/>
          <w:sz w:val="20"/>
        </w:rPr>
        <w:t>tratar</w:t>
      </w:r>
      <w:proofErr w:type="gramEnd"/>
      <w:r>
        <w:rPr>
          <w:rFonts w:ascii="Cambria" w:hAnsi="Cambria"/>
          <w:sz w:val="20"/>
        </w:rPr>
        <w:t xml:space="preserve"> como “información clasificada” a pruebas que confirman la tortura de “detenidos de alto valor” por parte de la CIA con el pretexto espurio de que un acusado sometido a la práctica del submarino y otras formas de tortura, tenía conocimiento de técnicas clasificadas de interrogatorio que no pueden revelarse en procesos públicos, hasta el punto de no permitirse a sus abogados facilitar a los acusados material clasificado del Gobierno sobre los malos tratos a que se los </w:t>
      </w:r>
      <w:r w:rsidRPr="002E2C5C">
        <w:rPr>
          <w:rFonts w:ascii="Cambria" w:hAnsi="Cambria"/>
          <w:sz w:val="20"/>
        </w:rPr>
        <w:t>sometió</w:t>
      </w:r>
      <w:r w:rsidRPr="002E2C5C">
        <w:rPr>
          <w:rStyle w:val="FootnoteReference"/>
          <w:rFonts w:ascii="Cambria" w:hAnsi="Cambria"/>
          <w:sz w:val="20"/>
        </w:rPr>
        <w:footnoteReference w:id="300"/>
      </w:r>
      <w:r w:rsidRPr="002E2C5C">
        <w:rPr>
          <w:rFonts w:ascii="Cambria" w:hAnsi="Cambria"/>
          <w:sz w:val="20"/>
        </w:rPr>
        <w:t>.</w:t>
      </w:r>
    </w:p>
    <w:p w:rsidR="00C8425A" w:rsidRPr="002E2C5C" w:rsidRDefault="00C8425A" w:rsidP="00C8425A">
      <w:pPr>
        <w:ind w:left="720"/>
        <w:jc w:val="both"/>
        <w:rPr>
          <w:rFonts w:ascii="Cambria" w:hAnsi="Cambria"/>
          <w:sz w:val="20"/>
          <w:szCs w:val="20"/>
        </w:rPr>
      </w:pPr>
    </w:p>
    <w:p w:rsidR="00E909D3" w:rsidRPr="002E2C5C" w:rsidRDefault="00E909D3" w:rsidP="00E909D3">
      <w:pPr>
        <w:numPr>
          <w:ilvl w:val="0"/>
          <w:numId w:val="5"/>
        </w:numPr>
        <w:ind w:left="547" w:hanging="547"/>
        <w:jc w:val="both"/>
        <w:rPr>
          <w:rFonts w:ascii="Cambria" w:hAnsi="Cambria"/>
          <w:sz w:val="20"/>
          <w:szCs w:val="20"/>
        </w:rPr>
      </w:pPr>
      <w:r w:rsidRPr="002E2C5C">
        <w:rPr>
          <w:rFonts w:ascii="Cambria" w:hAnsi="Cambria"/>
          <w:sz w:val="20"/>
        </w:rPr>
        <w:t xml:space="preserve">Asimismo, la CIDH ha recibido información </w:t>
      </w:r>
      <w:r w:rsidR="00536AC0" w:rsidRPr="002E2C5C">
        <w:rPr>
          <w:rFonts w:ascii="Cambria" w:hAnsi="Cambria"/>
          <w:sz w:val="20"/>
        </w:rPr>
        <w:t>respecto a la negación al</w:t>
      </w:r>
      <w:r w:rsidRPr="002E2C5C">
        <w:rPr>
          <w:rFonts w:ascii="Cambria" w:hAnsi="Cambria"/>
          <w:sz w:val="20"/>
        </w:rPr>
        <w:t xml:space="preserve"> acceso a la asistencia consular.  En una audiencia pública de la CIDH, el abogado militar alegó que el señor a</w:t>
      </w:r>
      <w:r w:rsidR="00536AC0" w:rsidRPr="002E2C5C">
        <w:rPr>
          <w:rFonts w:ascii="Cambria" w:hAnsi="Cambria"/>
          <w:sz w:val="20"/>
        </w:rPr>
        <w:t xml:space="preserve">l </w:t>
      </w:r>
      <w:proofErr w:type="spellStart"/>
      <w:r w:rsidR="00536AC0" w:rsidRPr="002E2C5C">
        <w:rPr>
          <w:rFonts w:ascii="Cambria" w:hAnsi="Cambria"/>
          <w:sz w:val="20"/>
        </w:rPr>
        <w:t>Hawsawi</w:t>
      </w:r>
      <w:proofErr w:type="spellEnd"/>
      <w:r w:rsidR="00536AC0" w:rsidRPr="002E2C5C">
        <w:rPr>
          <w:rFonts w:ascii="Cambria" w:hAnsi="Cambria"/>
          <w:sz w:val="20"/>
        </w:rPr>
        <w:t>, un detenido saudita “</w:t>
      </w:r>
      <w:r w:rsidR="00107953" w:rsidRPr="002E2C5C">
        <w:rPr>
          <w:rFonts w:ascii="Cambria" w:hAnsi="Cambria"/>
          <w:sz w:val="20"/>
        </w:rPr>
        <w:t xml:space="preserve">altamente </w:t>
      </w:r>
      <w:r w:rsidRPr="002E2C5C">
        <w:rPr>
          <w:rFonts w:ascii="Cambria" w:hAnsi="Cambria"/>
          <w:sz w:val="20"/>
        </w:rPr>
        <w:t>valor</w:t>
      </w:r>
      <w:r w:rsidR="00107953" w:rsidRPr="002E2C5C">
        <w:rPr>
          <w:rFonts w:ascii="Cambria" w:hAnsi="Cambria"/>
          <w:sz w:val="20"/>
        </w:rPr>
        <w:t>ado</w:t>
      </w:r>
      <w:r w:rsidR="00536AC0" w:rsidRPr="002E2C5C">
        <w:rPr>
          <w:rFonts w:ascii="Cambria" w:hAnsi="Cambria"/>
          <w:sz w:val="20"/>
        </w:rPr>
        <w:t>”</w:t>
      </w:r>
      <w:r w:rsidRPr="002E2C5C">
        <w:rPr>
          <w:rFonts w:ascii="Cambria" w:hAnsi="Cambria"/>
          <w:sz w:val="20"/>
        </w:rPr>
        <w:t xml:space="preserve"> ha intentado en </w:t>
      </w:r>
      <w:r w:rsidRPr="002E2C5C">
        <w:rPr>
          <w:rFonts w:ascii="Cambria" w:hAnsi="Cambria"/>
          <w:sz w:val="20"/>
        </w:rPr>
        <w:lastRenderedPageBreak/>
        <w:t xml:space="preserve">vano comunicarse con el Gobierno de Arabia Saudita.  </w:t>
      </w:r>
      <w:r w:rsidR="00536AC0" w:rsidRPr="002E2C5C">
        <w:rPr>
          <w:rFonts w:ascii="Cambria" w:hAnsi="Cambria"/>
          <w:sz w:val="20"/>
        </w:rPr>
        <w:t>E</w:t>
      </w:r>
      <w:r w:rsidRPr="002E2C5C">
        <w:rPr>
          <w:rFonts w:ascii="Cambria" w:hAnsi="Cambria"/>
          <w:sz w:val="20"/>
        </w:rPr>
        <w:t xml:space="preserve">l Gobierno de dicho país </w:t>
      </w:r>
      <w:r w:rsidR="00536AC0" w:rsidRPr="002E2C5C">
        <w:rPr>
          <w:rFonts w:ascii="Cambria" w:hAnsi="Cambria"/>
          <w:sz w:val="20"/>
        </w:rPr>
        <w:t>habría además</w:t>
      </w:r>
      <w:r w:rsidRPr="002E2C5C">
        <w:rPr>
          <w:rFonts w:ascii="Cambria" w:hAnsi="Cambria"/>
          <w:sz w:val="20"/>
        </w:rPr>
        <w:t xml:space="preserve"> solicitado reunirse con el señor al </w:t>
      </w:r>
      <w:proofErr w:type="spellStart"/>
      <w:r w:rsidRPr="002E2C5C">
        <w:rPr>
          <w:rFonts w:ascii="Cambria" w:hAnsi="Cambria"/>
          <w:sz w:val="20"/>
        </w:rPr>
        <w:t>Hawsawi</w:t>
      </w:r>
      <w:proofErr w:type="spellEnd"/>
      <w:r w:rsidRPr="002E2C5C">
        <w:rPr>
          <w:rFonts w:ascii="Cambria" w:hAnsi="Cambria"/>
          <w:sz w:val="20"/>
        </w:rPr>
        <w:t xml:space="preserve">.  El Fiscal en Jefe de las Comisiones Militares </w:t>
      </w:r>
      <w:proofErr w:type="spellStart"/>
      <w:r w:rsidR="00536AC0" w:rsidRPr="002E2C5C">
        <w:rPr>
          <w:rFonts w:ascii="Cambria" w:hAnsi="Cambria"/>
          <w:sz w:val="20"/>
        </w:rPr>
        <w:t>alegadamente</w:t>
      </w:r>
      <w:proofErr w:type="spellEnd"/>
      <w:r w:rsidRPr="002E2C5C">
        <w:rPr>
          <w:rFonts w:ascii="Cambria" w:hAnsi="Cambria"/>
          <w:sz w:val="20"/>
        </w:rPr>
        <w:t xml:space="preserve"> determinó que el señor al </w:t>
      </w:r>
      <w:proofErr w:type="spellStart"/>
      <w:r w:rsidRPr="002E2C5C">
        <w:rPr>
          <w:rFonts w:ascii="Cambria" w:hAnsi="Cambria"/>
          <w:sz w:val="20"/>
        </w:rPr>
        <w:t>Hawsawi</w:t>
      </w:r>
      <w:proofErr w:type="spellEnd"/>
      <w:r w:rsidRPr="002E2C5C">
        <w:rPr>
          <w:rFonts w:ascii="Cambria" w:hAnsi="Cambria"/>
          <w:sz w:val="20"/>
        </w:rPr>
        <w:t xml:space="preserve"> no debería tener acceso a los representantes de su Gobierno con arreglo a la Convención de Viena sobre Relaciones Consulares </w:t>
      </w:r>
      <w:r w:rsidR="00536AC0" w:rsidRPr="002E2C5C">
        <w:rPr>
          <w:rFonts w:ascii="Cambria" w:hAnsi="Cambria"/>
          <w:sz w:val="20"/>
        </w:rPr>
        <w:t>dado que el Gobierno de Arabia Saudita po</w:t>
      </w:r>
      <w:r w:rsidR="00C92EA1" w:rsidRPr="002E2C5C">
        <w:rPr>
          <w:rFonts w:ascii="Cambria" w:hAnsi="Cambria"/>
          <w:sz w:val="20"/>
        </w:rPr>
        <w:t>d</w:t>
      </w:r>
      <w:r w:rsidRPr="002E2C5C">
        <w:rPr>
          <w:rFonts w:ascii="Cambria" w:hAnsi="Cambria"/>
          <w:sz w:val="20"/>
        </w:rPr>
        <w:t>ría seguir el proceso a través de la televisión</w:t>
      </w:r>
      <w:r w:rsidRPr="002E2C5C">
        <w:rPr>
          <w:rStyle w:val="FootnoteReference"/>
          <w:rFonts w:ascii="Cambria" w:hAnsi="Cambria"/>
          <w:sz w:val="20"/>
        </w:rPr>
        <w:footnoteReference w:id="301"/>
      </w:r>
      <w:r w:rsidR="00536AC0" w:rsidRPr="002E2C5C">
        <w:rPr>
          <w:rFonts w:ascii="Cambria" w:hAnsi="Cambria"/>
          <w:sz w:val="20"/>
        </w:rPr>
        <w:t>.</w:t>
      </w:r>
    </w:p>
    <w:p w:rsidR="00E909D3" w:rsidRPr="002E2C5C" w:rsidRDefault="00E909D3" w:rsidP="00E909D3">
      <w:pPr>
        <w:ind w:left="547"/>
        <w:jc w:val="both"/>
        <w:rPr>
          <w:rFonts w:ascii="Cambria" w:hAnsi="Cambria"/>
          <w:sz w:val="20"/>
          <w:szCs w:val="20"/>
        </w:rPr>
      </w:pPr>
    </w:p>
    <w:p w:rsidR="00C8425A" w:rsidRPr="002E2C5C" w:rsidRDefault="00C8425A" w:rsidP="00724CD2">
      <w:pPr>
        <w:numPr>
          <w:ilvl w:val="0"/>
          <w:numId w:val="5"/>
        </w:numPr>
        <w:ind w:left="547" w:hanging="547"/>
        <w:jc w:val="both"/>
        <w:rPr>
          <w:rFonts w:ascii="Cambria" w:hAnsi="Cambria"/>
          <w:sz w:val="20"/>
          <w:szCs w:val="20"/>
        </w:rPr>
      </w:pPr>
      <w:r w:rsidRPr="002E2C5C">
        <w:rPr>
          <w:rFonts w:ascii="Cambria" w:hAnsi="Cambria"/>
          <w:sz w:val="20"/>
        </w:rPr>
        <w:t>El derecho al tiempo y las condiciones adecuadas para preparar la defensa es uno de</w:t>
      </w:r>
      <w:r>
        <w:rPr>
          <w:rFonts w:ascii="Cambria" w:hAnsi="Cambria"/>
          <w:sz w:val="20"/>
        </w:rPr>
        <w:t xml:space="preserve"> los componentes básicos del derecho a un juicio justo cuya suspensión no puede justificarse. Al definir esta garantía inderogable, la CIDH ha señalado que “el derecho a la asistencia de un abogado está a su vez íntimamente relacionado con el derecho del acusado a disponer de tiempo y medios suficientes para la preparación de su defensa, lo que requiere que todos los arrestados, detenidos o encarcelados dispongan de oportunidades, tiempo y facilidades adecuadas para ser visitados y para </w:t>
      </w:r>
      <w:r w:rsidRPr="002E2C5C">
        <w:rPr>
          <w:rFonts w:ascii="Cambria" w:hAnsi="Cambria"/>
          <w:sz w:val="20"/>
        </w:rPr>
        <w:t>comunicarse y consultar a su abogado, sin demora, intercepción o censura y con total confidencialidad”. Además, “debe otorgarse al acusado acceso a los documentos y demás pruebas en posesión y control de las autoridades, necesarias para la preparación de su caso”</w:t>
      </w:r>
      <w:r w:rsidRPr="002E2C5C">
        <w:rPr>
          <w:rStyle w:val="FootnoteReference"/>
          <w:rFonts w:ascii="Cambria" w:hAnsi="Cambria"/>
          <w:sz w:val="20"/>
        </w:rPr>
        <w:footnoteReference w:id="302"/>
      </w:r>
      <w:r w:rsidRPr="002E2C5C">
        <w:rPr>
          <w:rFonts w:ascii="Cambria" w:hAnsi="Cambria"/>
          <w:sz w:val="20"/>
        </w:rPr>
        <w:t xml:space="preserve">. Asimismo, la CIDH recuerda a Estados Unidos que, </w:t>
      </w:r>
      <w:r w:rsidR="00E3098E" w:rsidRPr="002E2C5C">
        <w:rPr>
          <w:rFonts w:ascii="Cambria" w:hAnsi="Cambria"/>
          <w:sz w:val="20"/>
        </w:rPr>
        <w:t>a fin de evaluar el cumplimiento</w:t>
      </w:r>
      <w:r w:rsidRPr="002E2C5C">
        <w:rPr>
          <w:rFonts w:ascii="Cambria" w:hAnsi="Cambria"/>
          <w:sz w:val="20"/>
        </w:rPr>
        <w:t xml:space="preserve"> </w:t>
      </w:r>
      <w:r w:rsidR="00E3098E" w:rsidRPr="002E2C5C">
        <w:rPr>
          <w:rFonts w:ascii="Cambria" w:hAnsi="Cambria"/>
          <w:sz w:val="20"/>
        </w:rPr>
        <w:t xml:space="preserve">de </w:t>
      </w:r>
      <w:r w:rsidRPr="002E2C5C">
        <w:rPr>
          <w:rFonts w:ascii="Cambria" w:hAnsi="Cambria"/>
          <w:sz w:val="20"/>
        </w:rPr>
        <w:t xml:space="preserve">un Estado </w:t>
      </w:r>
      <w:r w:rsidR="00E3098E" w:rsidRPr="002E2C5C">
        <w:rPr>
          <w:rFonts w:ascii="Cambria" w:hAnsi="Cambria"/>
          <w:sz w:val="20"/>
        </w:rPr>
        <w:t xml:space="preserve">con el derecho al debido proceso de un ciudadano extranjero en virtud de </w:t>
      </w:r>
      <w:r w:rsidRPr="002E2C5C">
        <w:rPr>
          <w:rFonts w:ascii="Cambria" w:hAnsi="Cambria"/>
          <w:sz w:val="20"/>
        </w:rPr>
        <w:t xml:space="preserve">los artículos XVIII y XXVI de la Declaración Americana, se toma en cuenta la medida en que </w:t>
      </w:r>
      <w:r w:rsidR="00E3098E" w:rsidRPr="002E2C5C">
        <w:rPr>
          <w:rFonts w:ascii="Cambria" w:hAnsi="Cambria"/>
          <w:sz w:val="20"/>
        </w:rPr>
        <w:t>el</w:t>
      </w:r>
      <w:r w:rsidRPr="002E2C5C">
        <w:rPr>
          <w:rFonts w:ascii="Cambria" w:hAnsi="Cambria"/>
          <w:sz w:val="20"/>
        </w:rPr>
        <w:t xml:space="preserve"> Estado parte cumple efectivamente los requerimientos del artículo 36 de la Convención de Viena</w:t>
      </w:r>
      <w:r w:rsidRPr="002E2C5C">
        <w:rPr>
          <w:rStyle w:val="FootnoteReference"/>
          <w:rFonts w:ascii="Cambria" w:hAnsi="Cambria"/>
          <w:sz w:val="20"/>
        </w:rPr>
        <w:footnoteReference w:id="303"/>
      </w:r>
      <w:r w:rsidR="005A2646" w:rsidRPr="002E2C5C">
        <w:rPr>
          <w:rFonts w:ascii="Cambria" w:hAnsi="Cambria"/>
          <w:sz w:val="20"/>
        </w:rPr>
        <w:t>.</w:t>
      </w:r>
    </w:p>
    <w:p w:rsidR="00C8425A" w:rsidRPr="004C74ED" w:rsidRDefault="00C8425A" w:rsidP="00C8425A">
      <w:pPr>
        <w:ind w:left="720"/>
        <w:jc w:val="both"/>
        <w:rPr>
          <w:rFonts w:ascii="Cambria" w:hAnsi="Cambria"/>
          <w:sz w:val="20"/>
          <w:szCs w:val="20"/>
        </w:rPr>
      </w:pPr>
    </w:p>
    <w:p w:rsidR="00C8425A" w:rsidRPr="00734E08" w:rsidRDefault="00C8425A" w:rsidP="00D544D0">
      <w:pPr>
        <w:numPr>
          <w:ilvl w:val="0"/>
          <w:numId w:val="5"/>
        </w:numPr>
        <w:shd w:val="clear" w:color="auto" w:fill="D9D9D9" w:themeFill="background1" w:themeFillShade="D9"/>
        <w:ind w:left="547" w:hanging="547"/>
        <w:jc w:val="both"/>
        <w:rPr>
          <w:rFonts w:ascii="Cambria" w:hAnsi="Cambria"/>
          <w:sz w:val="20"/>
          <w:szCs w:val="20"/>
        </w:rPr>
      </w:pPr>
      <w:r>
        <w:rPr>
          <w:rFonts w:ascii="Cambria" w:hAnsi="Cambria"/>
          <w:sz w:val="20"/>
        </w:rPr>
        <w:t xml:space="preserve">La CIDH observa con profunda preocupación la falta de respeto a los privilegios entre abogado y cliente en la Bahía de Guantánamo. Las autoridades del centro de detención tienen acceso a correos privados con la representación jurídica, se prohíbe ciertos temas de conversación entre los abogados defensores y sus clientes, y los abogados defensores militares no pueden tener conversaciones telefónicas con sus representados. Más aún, la CIDH manifiesta su gran preocupación por el hecho de que reglas estrictas sobre la información clasificada podrían llevar a la acusación a retener prueba clave, y que reglas irrazonables sobre la información clasificada trasladen a la defensa la carga de demostrar que la prueba puede ser producida. Con base en los estándares mencionados anteriormente, estas restricciones claramente constituyen una violación al derecho a una defensa adecuada. A su vez, esto no sólo afecta la confianza de los detenidos en las comisiones militares, sino también la confianza del público en el sistema.  </w:t>
      </w:r>
    </w:p>
    <w:p w:rsidR="00C8425A" w:rsidRPr="00FC2F1B" w:rsidRDefault="00C8425A" w:rsidP="00C8425A">
      <w:pPr>
        <w:pStyle w:val="ListParagraph"/>
        <w:rPr>
          <w:sz w:val="20"/>
          <w:szCs w:val="20"/>
        </w:rPr>
      </w:pPr>
    </w:p>
    <w:p w:rsidR="00C8425A" w:rsidRPr="00FC2F1B" w:rsidRDefault="00C8425A" w:rsidP="0043424D">
      <w:pPr>
        <w:pStyle w:val="Heading2"/>
      </w:pPr>
      <w:bookmarkStart w:id="51" w:name="_Toc423072852"/>
      <w:r>
        <w:t>Derecho a la revisión periódica de la detención</w:t>
      </w:r>
      <w:bookmarkEnd w:id="51"/>
    </w:p>
    <w:p w:rsidR="00C8425A" w:rsidRPr="00FC2F1B" w:rsidRDefault="00C8425A" w:rsidP="00C8425A">
      <w:pPr>
        <w:pStyle w:val="ListParagraph"/>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En seguimiento a la decisión de la Corte Suprema en los casos </w:t>
      </w:r>
      <w:proofErr w:type="spellStart"/>
      <w:r>
        <w:rPr>
          <w:rFonts w:ascii="Cambria" w:hAnsi="Cambria"/>
          <w:i/>
          <w:sz w:val="20"/>
        </w:rPr>
        <w:t>Hamdi</w:t>
      </w:r>
      <w:proofErr w:type="spellEnd"/>
      <w:r>
        <w:rPr>
          <w:rFonts w:ascii="Cambria" w:hAnsi="Cambria"/>
          <w:i/>
          <w:sz w:val="20"/>
        </w:rPr>
        <w:t xml:space="preserve"> v. Rumsfeld</w:t>
      </w:r>
      <w:r>
        <w:rPr>
          <w:rFonts w:ascii="Cambria" w:hAnsi="Cambria"/>
          <w:sz w:val="20"/>
        </w:rPr>
        <w:t xml:space="preserve"> y </w:t>
      </w:r>
      <w:proofErr w:type="spellStart"/>
      <w:r>
        <w:rPr>
          <w:rFonts w:ascii="Cambria" w:hAnsi="Cambria"/>
          <w:i/>
          <w:sz w:val="20"/>
        </w:rPr>
        <w:t>Rasul</w:t>
      </w:r>
      <w:proofErr w:type="spellEnd"/>
      <w:r>
        <w:rPr>
          <w:rFonts w:ascii="Cambria" w:hAnsi="Cambria"/>
          <w:i/>
          <w:sz w:val="20"/>
        </w:rPr>
        <w:t xml:space="preserve"> v. Bush</w:t>
      </w:r>
      <w:r>
        <w:rPr>
          <w:rFonts w:ascii="Cambria" w:hAnsi="Cambria"/>
          <w:sz w:val="20"/>
        </w:rPr>
        <w:t xml:space="preserve"> a los que se hizo referencia anteriormente, el 7 de julio de 2004, el </w:t>
      </w:r>
      <w:r>
        <w:rPr>
          <w:rFonts w:ascii="Cambria" w:hAnsi="Cambria"/>
          <w:sz w:val="20"/>
        </w:rPr>
        <w:lastRenderedPageBreak/>
        <w:t>Departamento de Defensa emitió un decreto para la creación de Tribunales de Revisión del Estatus de Combatientes (</w:t>
      </w:r>
      <w:proofErr w:type="spellStart"/>
      <w:r>
        <w:rPr>
          <w:rFonts w:ascii="Cambria" w:hAnsi="Cambria"/>
          <w:i/>
          <w:sz w:val="20"/>
        </w:rPr>
        <w:t>Combatant</w:t>
      </w:r>
      <w:proofErr w:type="spellEnd"/>
      <w:r>
        <w:rPr>
          <w:rFonts w:ascii="Cambria" w:hAnsi="Cambria"/>
          <w:i/>
          <w:sz w:val="20"/>
        </w:rPr>
        <w:t xml:space="preserve"> Status </w:t>
      </w:r>
      <w:proofErr w:type="spellStart"/>
      <w:r>
        <w:rPr>
          <w:rFonts w:ascii="Cambria" w:hAnsi="Cambria"/>
          <w:i/>
          <w:sz w:val="20"/>
        </w:rPr>
        <w:t>Review</w:t>
      </w:r>
      <w:proofErr w:type="spellEnd"/>
      <w:r>
        <w:rPr>
          <w:rFonts w:ascii="Cambria" w:hAnsi="Cambria"/>
          <w:i/>
          <w:sz w:val="20"/>
        </w:rPr>
        <w:t xml:space="preserve"> </w:t>
      </w:r>
      <w:proofErr w:type="spellStart"/>
      <w:r>
        <w:rPr>
          <w:rFonts w:ascii="Cambria" w:hAnsi="Cambria"/>
          <w:i/>
          <w:sz w:val="20"/>
        </w:rPr>
        <w:t>Tribunals</w:t>
      </w:r>
      <w:proofErr w:type="spellEnd"/>
      <w:r>
        <w:rPr>
          <w:rFonts w:ascii="Cambria" w:hAnsi="Cambria"/>
          <w:sz w:val="20"/>
        </w:rPr>
        <w:t xml:space="preserve"> “CSRT” por sus siglas en inglés) estableciendo un proceso de revisión administrativa para determinar si los detenidos de Guantánamo estaban adecuadamente clasificados como “enemigos combatientes”. Cada tribunal estaba compuesto de tres oficiales de nivel medio de las Fuerzas Armadas de EE.UU. El procedimiento permitió que el gobierno utilice como prueba testimonios referenciales, así como pruebas obtenidas bajo tortura. No se permitió a los detenidos ver la prueba clasificada</w:t>
      </w:r>
      <w:r>
        <w:rPr>
          <w:rStyle w:val="FootnoteReference"/>
          <w:rFonts w:ascii="Cambria" w:hAnsi="Cambria"/>
          <w:sz w:val="20"/>
        </w:rPr>
        <w:footnoteReference w:id="304"/>
      </w:r>
      <w:r>
        <w:rPr>
          <w:rFonts w:ascii="Cambria" w:hAnsi="Cambria"/>
          <w:sz w:val="20"/>
        </w:rPr>
        <w:t>.</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Entre julio de 2004 y junio de 2007, los CSRT revisaron la situación de 572 detenidos y determinaron que 534 eran enemigos combatientes sometidos a detención militar continua. Como se señaló en la sección sobre procedimientos ante cortes federales, la Ley de Tratamiento a los Detenidos (</w:t>
      </w:r>
      <w:proofErr w:type="spellStart"/>
      <w:r>
        <w:rPr>
          <w:rFonts w:ascii="Cambria" w:hAnsi="Cambria"/>
          <w:i/>
          <w:sz w:val="20"/>
        </w:rPr>
        <w:t>Detainee</w:t>
      </w:r>
      <w:proofErr w:type="spellEnd"/>
      <w:r>
        <w:rPr>
          <w:rFonts w:ascii="Cambria" w:hAnsi="Cambria"/>
          <w:i/>
          <w:sz w:val="20"/>
        </w:rPr>
        <w:t xml:space="preserve"> </w:t>
      </w:r>
      <w:proofErr w:type="spellStart"/>
      <w:r>
        <w:rPr>
          <w:rFonts w:ascii="Cambria" w:hAnsi="Cambria"/>
          <w:sz w:val="20"/>
        </w:rPr>
        <w:t>Treatment</w:t>
      </w:r>
      <w:proofErr w:type="spellEnd"/>
      <w:r>
        <w:rPr>
          <w:rFonts w:ascii="Cambria" w:hAnsi="Cambria"/>
          <w:i/>
          <w:sz w:val="20"/>
        </w:rPr>
        <w:t xml:space="preserve"> </w:t>
      </w:r>
      <w:proofErr w:type="spellStart"/>
      <w:r>
        <w:rPr>
          <w:rFonts w:ascii="Cambria" w:hAnsi="Cambria"/>
          <w:i/>
          <w:sz w:val="20"/>
        </w:rPr>
        <w:t>Act</w:t>
      </w:r>
      <w:proofErr w:type="spellEnd"/>
      <w:r>
        <w:rPr>
          <w:rFonts w:ascii="Cambria" w:hAnsi="Cambria"/>
          <w:i/>
          <w:sz w:val="20"/>
        </w:rPr>
        <w:t>,</w:t>
      </w:r>
      <w:r>
        <w:rPr>
          <w:rFonts w:ascii="Cambria" w:hAnsi="Cambria"/>
          <w:sz w:val="20"/>
        </w:rPr>
        <w:t xml:space="preserve"> “DTA” por sus siglas en inglés) de 2005 estableció que la Corte de Circuito de D.C. tenía jurisdicción exclusiva para revisar ciertos aspectos de las determinaciones definitivas de los CSRT. Como también se detalló, en </w:t>
      </w:r>
      <w:proofErr w:type="spellStart"/>
      <w:r>
        <w:rPr>
          <w:rFonts w:ascii="Cambria" w:hAnsi="Cambria"/>
          <w:i/>
          <w:sz w:val="20"/>
        </w:rPr>
        <w:t>Boumediene</w:t>
      </w:r>
      <w:proofErr w:type="spellEnd"/>
      <w:r>
        <w:rPr>
          <w:rFonts w:ascii="Cambria" w:hAnsi="Cambria"/>
          <w:i/>
          <w:sz w:val="20"/>
        </w:rPr>
        <w:t xml:space="preserve"> </w:t>
      </w:r>
      <w:r>
        <w:rPr>
          <w:rFonts w:ascii="Cambria" w:hAnsi="Cambria"/>
          <w:sz w:val="20"/>
        </w:rPr>
        <w:t>la Corte Suprema decidió que los CSRT sometían a los detenidos a “un riesgo considerable de error de los tribunales en las determinaciones fácticas” y que la disposición de la DTA que establecía una revisión limitada “constituía un sustituto inadecuado del hábeas corpus”</w:t>
      </w:r>
      <w:r>
        <w:rPr>
          <w:rStyle w:val="FootnoteReference"/>
          <w:rFonts w:ascii="Cambria" w:hAnsi="Cambria"/>
          <w:sz w:val="20"/>
        </w:rPr>
        <w:footnoteReference w:id="305"/>
      </w:r>
      <w:r>
        <w:rPr>
          <w:rFonts w:ascii="Cambria" w:hAnsi="Cambria"/>
          <w:sz w:val="20"/>
        </w:rPr>
        <w:t xml:space="preserve">. </w:t>
      </w:r>
    </w:p>
    <w:p w:rsidR="00C8425A" w:rsidRPr="00FC2F1B" w:rsidRDefault="00C8425A" w:rsidP="00C8425A">
      <w:pPr>
        <w:pStyle w:val="ListParagraph"/>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Desde 2009, Estados Unidos ha tenido el propósito de determinar el estatus jurídico de los detenidos en la Bahía de Guantánamo a través de un proceso de revisión llevado a cabo por un grupo de trabajo especial del Ejecutivo</w:t>
      </w:r>
      <w:r>
        <w:rPr>
          <w:rStyle w:val="FootnoteReference"/>
          <w:rFonts w:ascii="Cambria" w:hAnsi="Cambria"/>
          <w:sz w:val="20"/>
        </w:rPr>
        <w:footnoteReference w:id="306"/>
      </w:r>
      <w:r>
        <w:rPr>
          <w:rFonts w:ascii="Cambria" w:hAnsi="Cambria"/>
          <w:sz w:val="20"/>
        </w:rPr>
        <w:t xml:space="preserve"> y, con posterioridad a la decisión del caso </w:t>
      </w:r>
      <w:proofErr w:type="spellStart"/>
      <w:r>
        <w:rPr>
          <w:rFonts w:ascii="Cambria" w:hAnsi="Cambria"/>
          <w:i/>
          <w:sz w:val="20"/>
        </w:rPr>
        <w:t>Boumediene</w:t>
      </w:r>
      <w:proofErr w:type="spellEnd"/>
      <w:r>
        <w:rPr>
          <w:rFonts w:ascii="Cambria" w:hAnsi="Cambria"/>
          <w:sz w:val="20"/>
        </w:rPr>
        <w:t>, a través de la revisión de los recursos de hábeas corpus por parte de las cortes federales. El Ejecutivo determinó que de las 240 personas que estaban detenidas en 2009, 48 podían permanecer indefinidamente bajo custodia sin cargos penales con base en la supuesta amenaza que constituían para la seguridad nacional de Estados Unidos.</w:t>
      </w:r>
    </w:p>
    <w:p w:rsidR="00C8425A" w:rsidRPr="00FC2F1B" w:rsidRDefault="00C8425A" w:rsidP="00C8425A">
      <w:pPr>
        <w:pStyle w:val="ListParagraph"/>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 El 7 de marzo de 2011, el Presidente Obama firmó el Decreto Ejecutivo 13567 ordenando que el Departamento de Defensa establezca un proceso de Junta de Revisión Periódica (</w:t>
      </w:r>
      <w:proofErr w:type="spellStart"/>
      <w:r>
        <w:rPr>
          <w:rFonts w:ascii="Cambria" w:hAnsi="Cambria"/>
          <w:i/>
          <w:sz w:val="20"/>
        </w:rPr>
        <w:t>Periodic</w:t>
      </w:r>
      <w:proofErr w:type="spellEnd"/>
      <w:r>
        <w:rPr>
          <w:rFonts w:ascii="Cambria" w:hAnsi="Cambria"/>
          <w:i/>
          <w:sz w:val="20"/>
        </w:rPr>
        <w:t xml:space="preserve"> </w:t>
      </w:r>
      <w:proofErr w:type="spellStart"/>
      <w:r>
        <w:rPr>
          <w:rFonts w:ascii="Cambria" w:hAnsi="Cambria"/>
          <w:i/>
          <w:sz w:val="20"/>
        </w:rPr>
        <w:t>Review</w:t>
      </w:r>
      <w:proofErr w:type="spellEnd"/>
      <w:r>
        <w:rPr>
          <w:rFonts w:ascii="Cambria" w:hAnsi="Cambria"/>
          <w:i/>
          <w:sz w:val="20"/>
        </w:rPr>
        <w:t xml:space="preserve"> </w:t>
      </w:r>
      <w:proofErr w:type="spellStart"/>
      <w:r>
        <w:rPr>
          <w:rFonts w:ascii="Cambria" w:hAnsi="Cambria"/>
          <w:i/>
          <w:sz w:val="20"/>
        </w:rPr>
        <w:t>Board</w:t>
      </w:r>
      <w:proofErr w:type="spellEnd"/>
      <w:r>
        <w:rPr>
          <w:rFonts w:ascii="Cambria" w:hAnsi="Cambria"/>
          <w:i/>
          <w:sz w:val="20"/>
        </w:rPr>
        <w:t>,</w:t>
      </w:r>
      <w:r>
        <w:rPr>
          <w:rFonts w:ascii="Cambria" w:hAnsi="Cambria"/>
          <w:sz w:val="20"/>
        </w:rPr>
        <w:t xml:space="preserve"> “PRB” por sus siglas en inglés) con miras a “determinar si ciertos individuos detenidos en la Base Naval Estadounidense de la Bahía de Guantánamo en Cuba representan una amenaza continua significativa a la seguridad de los Estados Unidos”</w:t>
      </w:r>
      <w:r>
        <w:rPr>
          <w:rStyle w:val="FootnoteReference"/>
          <w:rFonts w:ascii="Cambria" w:hAnsi="Cambria"/>
          <w:sz w:val="20"/>
        </w:rPr>
        <w:footnoteReference w:id="307"/>
      </w:r>
      <w:r>
        <w:rPr>
          <w:rFonts w:ascii="Cambria" w:hAnsi="Cambria"/>
          <w:sz w:val="20"/>
        </w:rPr>
        <w:t xml:space="preserve">. El proceso de PRB es un proceso discrecional, administrativo e </w:t>
      </w:r>
      <w:proofErr w:type="spellStart"/>
      <w:r>
        <w:rPr>
          <w:rFonts w:ascii="Cambria" w:hAnsi="Cambria"/>
          <w:sz w:val="20"/>
        </w:rPr>
        <w:t>interagencial</w:t>
      </w:r>
      <w:proofErr w:type="spellEnd"/>
      <w:r>
        <w:rPr>
          <w:rFonts w:ascii="Cambria" w:hAnsi="Cambria"/>
          <w:sz w:val="20"/>
        </w:rPr>
        <w:t xml:space="preserve"> para asistir al poder ejecutivo en la determinación de si los detenidos de la Bahía de Guantánamo deben permanecer bajo detención continua. Este proceso se aplica a los detenidos que han sido identificados para detención continua según el derecho de guerra, o remitidos a procesamiento penal, excepto para aquellos detenidos respecto de quienes existen cargos pendientes o se </w:t>
      </w:r>
      <w:r>
        <w:rPr>
          <w:rFonts w:ascii="Cambria" w:hAnsi="Cambria"/>
          <w:sz w:val="20"/>
        </w:rPr>
        <w:lastRenderedPageBreak/>
        <w:t>ha emitido una sentencia o condena</w:t>
      </w:r>
      <w:r>
        <w:rPr>
          <w:rStyle w:val="FootnoteReference"/>
          <w:rFonts w:ascii="Cambria" w:hAnsi="Cambria"/>
          <w:sz w:val="20"/>
        </w:rPr>
        <w:footnoteReference w:id="308"/>
      </w:r>
      <w:r>
        <w:rPr>
          <w:rFonts w:ascii="Cambria" w:hAnsi="Cambria"/>
          <w:sz w:val="20"/>
        </w:rPr>
        <w:t xml:space="preserve">. El panel de PRB está conformado por oficiales sénior de los Departamentos de Defensa, Seguridad Nacional, Justicia y Estado; el Presidente del Estado Mayor Conjunto; y la Oficina del Director de Inteligencia Nacional.   </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El proceso de PRB no determina la legalidad de la detención, asunto que puede ser cuestionado ante cortes federales a través de recursos de hábeas corpus. Según información oficial, para determinar la amenaza que cada individuo sometido a revisión constituye, la Junta puede acceder a toda la información bajo posesión del detenido, así como a toda la información relevante que se haya hecho disponible. La PRB también puede tener en cuenta consideraciones de índole diplomático o afirmaciones sobre seguridad relativas al potencial traslado del detenido, la salud física y mental del detenido, y otra información relevante. La PRB también tendría en consideración toda la información mitigante relevante para determinar si el detenido constituye una amenaza continua significativa. La PRB no se basaría en información obtenida como resultados de tortura, tratos crueles, inhumanos o degradantes, como fundamento de la determinación de la necesidad de que el detenido continúe bajo detención según el derecho de guerra.  </w:t>
      </w:r>
    </w:p>
    <w:p w:rsidR="00C8425A" w:rsidRPr="00FC2F1B" w:rsidRDefault="00C8425A" w:rsidP="00C8425A">
      <w:pPr>
        <w:pStyle w:val="ListParagraph"/>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Los detenidos reciben un resumen escrito desclasificado de la información tomada en consideración por la PRB, pueden presentar alegatos escritos y presentarse ante la PRB a través de conferencias telefónicas o de vídeo. A los detenidos se les proporciona un representante personal (un oficial militar uniformado) para asistirlos durante el proceso. En los casos en los que se impide el acceso del representante personal o el abogado particular del detenido a la información considerada por la PRB, se les proporciona sustitutos o resúmenes de la información no revelada. </w:t>
      </w:r>
    </w:p>
    <w:p w:rsidR="00C8425A" w:rsidRPr="00FC2F1B" w:rsidRDefault="00C8425A" w:rsidP="00C8425A">
      <w:pPr>
        <w:pStyle w:val="ListParagraph"/>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Cada tres años se llevan a cabo revisiones completas de cada detenido. La PRB puede recomendar que continúe la detención según el derecho de guerra, o que el detenido sea trasladado, incluyendo el establecimiento de las condiciones para el traslado. La determinación puede ser revisada por un Comité de Revisión si un miembro del Comité solicita la revisión dentro de 30 días, o si la PRB no llega a un consenso. Una vez que la determinación de la PRB está firme, el detenido no puede apelar. Si la PRB determina que la detención continua es necesaria, llevará a cabo revisiones semestrales del expediente enfocándose en toda información nueva o cambio de circunstancias. </w:t>
      </w:r>
    </w:p>
    <w:p w:rsidR="00C8425A" w:rsidRPr="00FC2F1B" w:rsidRDefault="00C8425A" w:rsidP="00C8425A">
      <w:pPr>
        <w:pStyle w:val="ListParagraph"/>
        <w:rPr>
          <w:sz w:val="20"/>
          <w:szCs w:val="20"/>
        </w:rPr>
      </w:pPr>
    </w:p>
    <w:p w:rsidR="00C8425A" w:rsidRPr="006B5BEA" w:rsidRDefault="00C8425A" w:rsidP="00724CD2">
      <w:pPr>
        <w:numPr>
          <w:ilvl w:val="0"/>
          <w:numId w:val="5"/>
        </w:numPr>
        <w:ind w:left="547" w:hanging="547"/>
        <w:jc w:val="both"/>
        <w:rPr>
          <w:rFonts w:ascii="Cambria" w:hAnsi="Cambria"/>
          <w:sz w:val="20"/>
          <w:szCs w:val="20"/>
        </w:rPr>
      </w:pPr>
      <w:r>
        <w:rPr>
          <w:rFonts w:ascii="Cambria" w:hAnsi="Cambria"/>
          <w:sz w:val="20"/>
        </w:rPr>
        <w:t xml:space="preserve">Según información pública disponible, el primer detenido en ser sometido a revisión de la PRB fue </w:t>
      </w:r>
      <w:r>
        <w:rPr>
          <w:rFonts w:ascii="Cambria" w:hAnsi="Cambria"/>
          <w:color w:val="000000"/>
          <w:sz w:val="20"/>
        </w:rPr>
        <w:t xml:space="preserve">Mahmud </w:t>
      </w:r>
      <w:proofErr w:type="spellStart"/>
      <w:r>
        <w:rPr>
          <w:rFonts w:ascii="Cambria" w:hAnsi="Cambria"/>
          <w:sz w:val="20"/>
        </w:rPr>
        <w:t>Abd</w:t>
      </w:r>
      <w:proofErr w:type="spellEnd"/>
      <w:r>
        <w:rPr>
          <w:rFonts w:ascii="Cambria" w:hAnsi="Cambria"/>
          <w:color w:val="000000"/>
          <w:sz w:val="20"/>
        </w:rPr>
        <w:t xml:space="preserve"> Al </w:t>
      </w:r>
      <w:proofErr w:type="spellStart"/>
      <w:r>
        <w:rPr>
          <w:rFonts w:ascii="Cambria" w:hAnsi="Cambria"/>
          <w:color w:val="000000"/>
          <w:sz w:val="20"/>
        </w:rPr>
        <w:t>Aziz</w:t>
      </w:r>
      <w:proofErr w:type="spellEnd"/>
      <w:r>
        <w:rPr>
          <w:rFonts w:ascii="Cambria" w:hAnsi="Cambria"/>
          <w:color w:val="000000"/>
          <w:sz w:val="20"/>
        </w:rPr>
        <w:t xml:space="preserve"> Al </w:t>
      </w:r>
      <w:proofErr w:type="spellStart"/>
      <w:r>
        <w:rPr>
          <w:rFonts w:ascii="Cambria" w:hAnsi="Cambria"/>
          <w:color w:val="000000"/>
          <w:sz w:val="20"/>
        </w:rPr>
        <w:t>Mujahid</w:t>
      </w:r>
      <w:proofErr w:type="spellEnd"/>
      <w:r>
        <w:rPr>
          <w:rFonts w:ascii="Cambria" w:hAnsi="Cambria"/>
          <w:color w:val="000000"/>
          <w:sz w:val="20"/>
        </w:rPr>
        <w:t xml:space="preserve">. El 20 de noviembre de 2013, la PRB determinó que podía ser trasladado, bajo condiciones adecuadas de seguridad y trato humano. La PRB aplicó las mismas condiciones que se imponen al traslado de otros ciudadanos de Yemen, específicamente: “que la situación de seguridad mejore </w:t>
      </w:r>
      <w:r>
        <w:rPr>
          <w:rFonts w:ascii="Cambria" w:hAnsi="Cambria"/>
          <w:color w:val="000000"/>
          <w:sz w:val="20"/>
        </w:rPr>
        <w:lastRenderedPageBreak/>
        <w:t xml:space="preserve">en Yemen, que un programa adecuado de rehabilitación esté disponible, o que exista una </w:t>
      </w:r>
      <w:r w:rsidRPr="006B5BEA">
        <w:rPr>
          <w:rFonts w:ascii="Cambria" w:hAnsi="Cambria"/>
          <w:color w:val="000000"/>
          <w:sz w:val="20"/>
        </w:rPr>
        <w:t>opción de reasentamiento a un tercer país adecuado”</w:t>
      </w:r>
      <w:r w:rsidRPr="006B5BEA">
        <w:rPr>
          <w:rStyle w:val="FootnoteReference"/>
          <w:rFonts w:ascii="Cambria" w:hAnsi="Cambria"/>
          <w:color w:val="000000"/>
          <w:sz w:val="20"/>
        </w:rPr>
        <w:footnoteReference w:id="309"/>
      </w:r>
      <w:r w:rsidRPr="006B5BEA">
        <w:rPr>
          <w:rFonts w:ascii="Cambria" w:hAnsi="Cambria"/>
          <w:color w:val="000000"/>
          <w:sz w:val="20"/>
        </w:rPr>
        <w:t xml:space="preserve">. </w:t>
      </w:r>
    </w:p>
    <w:p w:rsidR="00C8425A" w:rsidRPr="006B5BEA" w:rsidRDefault="00C8425A" w:rsidP="00C8425A">
      <w:pPr>
        <w:pStyle w:val="ListParagraph"/>
        <w:rPr>
          <w:sz w:val="20"/>
          <w:szCs w:val="20"/>
        </w:rPr>
      </w:pPr>
    </w:p>
    <w:p w:rsidR="00C8425A" w:rsidRPr="00FC2F1B" w:rsidRDefault="00AE4FDD" w:rsidP="00724CD2">
      <w:pPr>
        <w:numPr>
          <w:ilvl w:val="0"/>
          <w:numId w:val="5"/>
        </w:numPr>
        <w:ind w:left="547" w:hanging="547"/>
        <w:jc w:val="both"/>
        <w:rPr>
          <w:rFonts w:ascii="Cambria" w:hAnsi="Cambria"/>
          <w:sz w:val="20"/>
          <w:szCs w:val="20"/>
        </w:rPr>
      </w:pPr>
      <w:r w:rsidRPr="006B5BEA">
        <w:rPr>
          <w:rFonts w:ascii="Cambria" w:hAnsi="Cambria"/>
          <w:color w:val="000000"/>
          <w:sz w:val="20"/>
        </w:rPr>
        <w:t>Según la información proporcionada por el Gobierno de Estados Unidos, a marzo de 2015 la PRB ha realizado catorce audiencias y tres revisiones de expedientes semestrales</w:t>
      </w:r>
      <w:r w:rsidRPr="006B5BEA">
        <w:rPr>
          <w:rStyle w:val="FootnoteReference"/>
          <w:rFonts w:ascii="Cambria" w:hAnsi="Cambria"/>
          <w:color w:val="000000"/>
          <w:sz w:val="20"/>
        </w:rPr>
        <w:footnoteReference w:id="310"/>
      </w:r>
      <w:r w:rsidR="00BD0AC3" w:rsidRPr="006B5BEA">
        <w:rPr>
          <w:rFonts w:ascii="Cambria" w:hAnsi="Cambria"/>
          <w:color w:val="000000"/>
          <w:sz w:val="20"/>
        </w:rPr>
        <w:t>.</w:t>
      </w:r>
      <w:r w:rsidRPr="006B5BEA">
        <w:rPr>
          <w:rFonts w:ascii="Cambria" w:hAnsi="Cambria"/>
          <w:color w:val="000000"/>
          <w:sz w:val="20"/>
        </w:rPr>
        <w:t xml:space="preserve"> </w:t>
      </w:r>
      <w:r w:rsidRPr="006B5BEA">
        <w:rPr>
          <w:rFonts w:ascii="Cambria" w:hAnsi="Cambria"/>
          <w:sz w:val="20"/>
        </w:rPr>
        <w:t>En ocho de las audiencias se determinó que “seguía siendo necesaria la detención continua del detenido según el derecho de guerra para la protección frente a una amenaza continua significativa contra la seguridad de Estados Unidos”</w:t>
      </w:r>
      <w:r w:rsidRPr="006B5BEA">
        <w:rPr>
          <w:rStyle w:val="FootnoteReference"/>
          <w:rFonts w:ascii="Cambria" w:hAnsi="Cambria"/>
          <w:sz w:val="20"/>
        </w:rPr>
        <w:footnoteReference w:id="311"/>
      </w:r>
      <w:r w:rsidRPr="006B5BEA">
        <w:rPr>
          <w:rFonts w:ascii="Cambria" w:hAnsi="Cambria"/>
          <w:sz w:val="20"/>
        </w:rPr>
        <w:t>. En otros cinco casos, determinó que “la detención continua del detenido según el derecho de guerra ya no es necesaria”</w:t>
      </w:r>
      <w:r w:rsidRPr="006B5BEA">
        <w:rPr>
          <w:rStyle w:val="FootnoteReference"/>
          <w:rFonts w:ascii="Cambria" w:hAnsi="Cambria"/>
          <w:sz w:val="20"/>
        </w:rPr>
        <w:footnoteReference w:id="312"/>
      </w:r>
      <w:r w:rsidRPr="006B5BEA">
        <w:rPr>
          <w:rFonts w:ascii="Cambria" w:hAnsi="Cambria"/>
          <w:sz w:val="20"/>
        </w:rPr>
        <w:t>, y dos casos continuaban pendientes de</w:t>
      </w:r>
      <w:r>
        <w:rPr>
          <w:rFonts w:ascii="Cambria" w:hAnsi="Cambria"/>
          <w:sz w:val="20"/>
        </w:rPr>
        <w:t xml:space="preserve"> determinación definitiva. La CIDH observa que, al realizar esta determinación, la Junta tomó en consideración, entre otros factores, la potencial amenaza contra el detenido en caso de traslado, sus planes a futuro, el apoyo familiar, sus habilidades y posibilidades de conseguir empleo, su comportamiento durante la detención, la eficacia de los programas de rehabilitación en el país de destino, y su compromiso de abstenerse de apoyar a grupos extremistas. </w:t>
      </w:r>
    </w:p>
    <w:p w:rsidR="00C8425A" w:rsidRPr="00FC2F1B" w:rsidRDefault="00C8425A" w:rsidP="00C8425A">
      <w:pPr>
        <w:pStyle w:val="ListParagraph"/>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Según los estándares interamericanos, las personas bajo prisión preventiva tienen derecho a una revisión judicial periódica de los fundamentos para su detención, de conformidad con las garantías al debido proceso. Al respecto, la CIDH ha establecido que:</w:t>
      </w:r>
    </w:p>
    <w:p w:rsidR="00C8425A" w:rsidRPr="00FC2F1B" w:rsidRDefault="00C8425A" w:rsidP="00C8425A">
      <w:pPr>
        <w:ind w:right="720"/>
        <w:jc w:val="both"/>
        <w:rPr>
          <w:rFonts w:ascii="Cambria" w:hAnsi="Cambria" w:cs="Arial"/>
          <w:color w:val="000000"/>
          <w:sz w:val="20"/>
          <w:szCs w:val="20"/>
        </w:rPr>
      </w:pPr>
    </w:p>
    <w:p w:rsidR="00C8425A" w:rsidRPr="00FC2F1B" w:rsidRDefault="00C8425A" w:rsidP="00195A17">
      <w:pPr>
        <w:ind w:left="979"/>
        <w:jc w:val="both"/>
        <w:rPr>
          <w:rFonts w:ascii="Cambria" w:hAnsi="Cambria" w:cs="Arial"/>
          <w:color w:val="000000"/>
          <w:sz w:val="20"/>
          <w:szCs w:val="20"/>
        </w:rPr>
      </w:pPr>
      <w:proofErr w:type="gramStart"/>
      <w:r>
        <w:rPr>
          <w:rFonts w:ascii="Cambria" w:hAnsi="Cambria"/>
          <w:color w:val="000000"/>
          <w:sz w:val="20"/>
        </w:rPr>
        <w:t>en</w:t>
      </w:r>
      <w:proofErr w:type="gramEnd"/>
      <w:r>
        <w:rPr>
          <w:rFonts w:ascii="Cambria" w:hAnsi="Cambria"/>
          <w:color w:val="000000"/>
          <w:sz w:val="20"/>
        </w:rPr>
        <w:t xml:space="preserve"> atención al derecho a la presunción de inocencia y al carácter excepcional de la prisión preventiva surge el deber del Estado de revisar periódicamente la vigencia de las circunstancias que motivaron su aplicación inicial. Este ejercicio de valoración posterior se caracteriza por el hecho de que, salvo evidencia en contrario, el riesgo procesal tiende a disminuir con el paso del tiempo. Por eso, la explicación que ofrezca el Estado de la necesidad de mantener a una persona en prisión preventiva debe ser más convincente y mejor sustentada a medida que pasa el tiempo</w:t>
      </w:r>
      <w:r>
        <w:rPr>
          <w:rStyle w:val="FootnoteReference"/>
          <w:rFonts w:ascii="Cambria" w:hAnsi="Cambria"/>
          <w:color w:val="000000"/>
          <w:sz w:val="20"/>
        </w:rPr>
        <w:footnoteReference w:id="313"/>
      </w:r>
      <w:r>
        <w:rPr>
          <w:rFonts w:ascii="Cambria" w:hAnsi="Cambria"/>
          <w:color w:val="000000"/>
          <w:sz w:val="20"/>
        </w:rPr>
        <w:t>.</w:t>
      </w:r>
    </w:p>
    <w:p w:rsidR="00C8425A" w:rsidRPr="00FC2F1B" w:rsidRDefault="00C8425A" w:rsidP="00C8425A">
      <w:pPr>
        <w:ind w:left="720"/>
        <w:jc w:val="both"/>
        <w:rPr>
          <w:rFonts w:ascii="Cambria" w:hAnsi="Cambria" w:cs="Arial"/>
          <w:color w:val="000000"/>
          <w:sz w:val="20"/>
          <w:szCs w:val="20"/>
        </w:rPr>
      </w:pPr>
    </w:p>
    <w:p w:rsidR="00C8425A" w:rsidRPr="00FC2F1B" w:rsidRDefault="00C8425A" w:rsidP="00724CD2">
      <w:pPr>
        <w:numPr>
          <w:ilvl w:val="0"/>
          <w:numId w:val="5"/>
        </w:numPr>
        <w:ind w:left="547" w:hanging="547"/>
        <w:jc w:val="both"/>
        <w:rPr>
          <w:rFonts w:ascii="Cambria" w:hAnsi="Cambria" w:cs="Arial"/>
          <w:color w:val="000000"/>
          <w:sz w:val="20"/>
          <w:szCs w:val="20"/>
        </w:rPr>
      </w:pPr>
      <w:r>
        <w:rPr>
          <w:rFonts w:ascii="Cambria" w:hAnsi="Cambria"/>
          <w:color w:val="000000"/>
          <w:sz w:val="20"/>
        </w:rPr>
        <w:t xml:space="preserve">La Comisión Interamericana ha además señalado que las autoridades judiciales deben garantizar efectivamente la posibilidad de presentar argumentos y que la fundamentación ofrecida por el juez debe mostrar claramente que han sido </w:t>
      </w:r>
      <w:r>
        <w:rPr>
          <w:rFonts w:ascii="Cambria" w:hAnsi="Cambria"/>
          <w:color w:val="000000"/>
          <w:sz w:val="20"/>
        </w:rPr>
        <w:lastRenderedPageBreak/>
        <w:t>debidamente tomados en cuenta los argumentos de las partes y que el conjunto de pruebas ha sido analizado rigurosamente</w:t>
      </w:r>
      <w:r>
        <w:rPr>
          <w:rStyle w:val="FootnoteReference"/>
          <w:rFonts w:ascii="Cambria" w:hAnsi="Cambria"/>
          <w:color w:val="000000"/>
          <w:sz w:val="20"/>
        </w:rPr>
        <w:footnoteReference w:id="314"/>
      </w:r>
      <w:r>
        <w:rPr>
          <w:rFonts w:ascii="Cambria" w:hAnsi="Cambria"/>
          <w:color w:val="000000"/>
          <w:sz w:val="20"/>
        </w:rPr>
        <w:t>.</w:t>
      </w:r>
    </w:p>
    <w:p w:rsidR="00C8425A" w:rsidRPr="00FC2F1B" w:rsidRDefault="00C8425A" w:rsidP="00C8425A">
      <w:pPr>
        <w:ind w:left="720"/>
        <w:jc w:val="both"/>
        <w:rPr>
          <w:rFonts w:ascii="Cambria" w:hAnsi="Cambria" w:cs="Arial"/>
          <w:color w:val="000000"/>
          <w:sz w:val="20"/>
          <w:szCs w:val="20"/>
        </w:rPr>
      </w:pPr>
    </w:p>
    <w:p w:rsidR="00C8425A" w:rsidRPr="00FC2F1B" w:rsidRDefault="00C8425A" w:rsidP="00724CD2">
      <w:pPr>
        <w:numPr>
          <w:ilvl w:val="0"/>
          <w:numId w:val="5"/>
        </w:numPr>
        <w:ind w:left="547" w:hanging="547"/>
        <w:jc w:val="both"/>
        <w:rPr>
          <w:rFonts w:ascii="Cambria" w:hAnsi="Cambria" w:cs="Arial"/>
          <w:color w:val="000000"/>
          <w:sz w:val="20"/>
          <w:szCs w:val="20"/>
        </w:rPr>
      </w:pPr>
      <w:r>
        <w:rPr>
          <w:rFonts w:ascii="Cambria" w:hAnsi="Cambria"/>
          <w:color w:val="000000"/>
          <w:sz w:val="20"/>
        </w:rPr>
        <w:t xml:space="preserve">La CIDH observa que el proceso de revisión de la PRB no constituye un procedimiento judicial sino un proceso administrativo discrecional. Si bien es preferible que la revisión de la detención en el contexto de conflictos armados sea realizada por un órgano judicial, los Estados pueden escoger que una junta administrativa actúe como órgano de revisión en ese contexto. Según el CICR, “lo principal es </w:t>
      </w:r>
      <w:r>
        <w:rPr>
          <w:rFonts w:ascii="Cambria" w:hAnsi="Cambria"/>
          <w:sz w:val="20"/>
        </w:rPr>
        <w:t>que</w:t>
      </w:r>
      <w:r>
        <w:rPr>
          <w:rFonts w:ascii="Cambria" w:hAnsi="Cambria"/>
          <w:color w:val="000000"/>
          <w:sz w:val="20"/>
        </w:rPr>
        <w:t xml:space="preserve"> las personas no sean detenidas arbitrariamente y que su detención sea revisada por un organismo que efectivamente esté facultado para realizar esta revisión así como ordenar la liberación tan pronto como la detención ya no esté justificada”. Por tanto, independientemente de la naturaleza del organismo, la revisión debe ser realizada por un organismo independiente e imparcial</w:t>
      </w:r>
      <w:r>
        <w:rPr>
          <w:rStyle w:val="FootnoteReference"/>
          <w:rFonts w:ascii="Cambria" w:hAnsi="Cambria"/>
          <w:sz w:val="20"/>
        </w:rPr>
        <w:footnoteReference w:id="315"/>
      </w:r>
      <w:r>
        <w:rPr>
          <w:rFonts w:ascii="Cambria" w:hAnsi="Cambria"/>
          <w:color w:val="000000"/>
          <w:sz w:val="20"/>
        </w:rPr>
        <w:t>.</w:t>
      </w:r>
    </w:p>
    <w:p w:rsidR="00C8425A" w:rsidRPr="00FC2F1B" w:rsidRDefault="00C8425A" w:rsidP="00C8425A">
      <w:pPr>
        <w:pStyle w:val="ListParagraph"/>
        <w:rPr>
          <w:sz w:val="20"/>
          <w:szCs w:val="20"/>
        </w:rPr>
      </w:pPr>
    </w:p>
    <w:p w:rsidR="00C8425A" w:rsidRPr="00FC2F1B" w:rsidRDefault="00C8425A" w:rsidP="00724CD2">
      <w:pPr>
        <w:numPr>
          <w:ilvl w:val="0"/>
          <w:numId w:val="5"/>
        </w:numPr>
        <w:ind w:left="547" w:hanging="547"/>
        <w:jc w:val="both"/>
        <w:rPr>
          <w:rFonts w:ascii="Cambria" w:hAnsi="Cambria" w:cs="Arial"/>
          <w:color w:val="000000"/>
          <w:sz w:val="20"/>
          <w:szCs w:val="20"/>
        </w:rPr>
      </w:pPr>
      <w:r>
        <w:rPr>
          <w:rFonts w:ascii="Cambria" w:hAnsi="Cambria"/>
          <w:sz w:val="20"/>
        </w:rPr>
        <w:t>Tomando en consideración el contexto de un conflicto armado, para ser independiente e imparcial, un órgano de revisión debe cumplir, entre otros, con los siguientes requisitos: transparencia de los procedimientos y de su implementación; facultad directa de toma de decisiones (por ejemplo, facultad para ordenar la liberación sin que esa decisión esté sujeta a posteriores confirmaciones por comandos operativos); acceso a toda la información disponible; designación de los miembros del órgano de revisión por fuera de la cadena de comando o al menos con independencia efectiva de la influencia de dicha cadena; composición del órgano de revisión por miembros permanentes cuya única tarea sea la revisión de la detención; y existencia de al menos un abogado como parte del órgano de revisión</w:t>
      </w:r>
      <w:r>
        <w:rPr>
          <w:rStyle w:val="FootnoteReference"/>
          <w:rFonts w:ascii="Cambria" w:hAnsi="Cambria"/>
          <w:color w:val="000000"/>
          <w:sz w:val="20"/>
        </w:rPr>
        <w:footnoteReference w:id="316"/>
      </w:r>
      <w:r>
        <w:rPr>
          <w:rFonts w:ascii="Cambria" w:hAnsi="Cambria"/>
          <w:sz w:val="20"/>
        </w:rPr>
        <w:t xml:space="preserve">. </w:t>
      </w:r>
    </w:p>
    <w:p w:rsidR="00C8425A" w:rsidRPr="00FC2F1B" w:rsidRDefault="00C8425A" w:rsidP="00C8425A">
      <w:pPr>
        <w:pStyle w:val="ListParagraph"/>
        <w:rPr>
          <w:rFonts w:cs="Arial"/>
          <w:sz w:val="20"/>
          <w:szCs w:val="20"/>
        </w:rPr>
      </w:pPr>
    </w:p>
    <w:p w:rsidR="00C8425A" w:rsidRPr="00FC2F1B" w:rsidRDefault="00C8425A" w:rsidP="00724CD2">
      <w:pPr>
        <w:numPr>
          <w:ilvl w:val="0"/>
          <w:numId w:val="5"/>
        </w:numPr>
        <w:ind w:left="547" w:hanging="547"/>
        <w:jc w:val="both"/>
        <w:rPr>
          <w:rFonts w:ascii="Cambria" w:hAnsi="Cambria" w:cs="Arial"/>
          <w:color w:val="000000"/>
          <w:sz w:val="20"/>
          <w:szCs w:val="20"/>
        </w:rPr>
      </w:pPr>
      <w:r>
        <w:rPr>
          <w:rFonts w:ascii="Cambria" w:hAnsi="Cambria"/>
          <w:color w:val="000000"/>
          <w:sz w:val="20"/>
        </w:rPr>
        <w:t xml:space="preserve">El proceso de PRB no parece cumplir algunos de los criterios mencionados anteriormente. Si bien la </w:t>
      </w:r>
      <w:r>
        <w:rPr>
          <w:rFonts w:ascii="Cambria" w:hAnsi="Cambria"/>
          <w:sz w:val="20"/>
        </w:rPr>
        <w:t>Junta</w:t>
      </w:r>
      <w:r>
        <w:rPr>
          <w:rFonts w:ascii="Cambria" w:hAnsi="Cambria"/>
          <w:color w:val="000000"/>
          <w:sz w:val="20"/>
        </w:rPr>
        <w:t xml:space="preserve"> emite “decisiones definitivas”, la información oficial disponible indica que “el proceso de PRB está diseñado para </w:t>
      </w:r>
      <w:r>
        <w:rPr>
          <w:rFonts w:ascii="Cambria" w:hAnsi="Cambria"/>
          <w:i/>
          <w:color w:val="000000"/>
          <w:sz w:val="20"/>
        </w:rPr>
        <w:t>asistir al poder ejecutivo</w:t>
      </w:r>
      <w:r>
        <w:rPr>
          <w:rFonts w:ascii="Cambria" w:hAnsi="Cambria"/>
          <w:color w:val="000000"/>
          <w:sz w:val="20"/>
        </w:rPr>
        <w:t xml:space="preserve"> en la toma de decisiones informadas sobre si las personas que permanecen detenidas en la Bahía de Guantánamo deben permanecer bajo detención según el derecho de guerra” (énfasis añadido)</w:t>
      </w:r>
      <w:r>
        <w:rPr>
          <w:rStyle w:val="FootnoteReference"/>
          <w:rFonts w:ascii="Cambria" w:hAnsi="Cambria"/>
          <w:color w:val="000000"/>
          <w:sz w:val="20"/>
        </w:rPr>
        <w:footnoteReference w:id="317"/>
      </w:r>
      <w:r>
        <w:rPr>
          <w:rFonts w:ascii="Cambria" w:hAnsi="Cambria"/>
          <w:color w:val="000000"/>
          <w:sz w:val="20"/>
        </w:rPr>
        <w:t xml:space="preserve">. En consecuencia, la PRB no sería un órgano de toma de decisión directa. Adicionalmente, algunos miembros de la PRB son designados al interior de la cadena de comando operativo, como el Departamento de Defensa o el Estado Mayor Conjunto. Finalmente, no existe información pública disponible respecto a si se permite a veedores externos observar los procedimientos, si la revisión de la detención es la única tarea de los miembros de la PRB, y si alguno de ellos es un abogado calificado. La CIDH observa también que no </w:t>
      </w:r>
      <w:r>
        <w:rPr>
          <w:rFonts w:ascii="Cambria" w:hAnsi="Cambria"/>
          <w:color w:val="000000"/>
          <w:sz w:val="20"/>
        </w:rPr>
        <w:lastRenderedPageBreak/>
        <w:t xml:space="preserve">está claro si los privilegios entre abogado y cliente se respetan en los procedimientos ante la PRB. </w:t>
      </w:r>
    </w:p>
    <w:p w:rsidR="00D544D0" w:rsidRPr="00FC2F1B" w:rsidRDefault="00D544D0" w:rsidP="00C8425A">
      <w:pPr>
        <w:pStyle w:val="ListParagraph"/>
        <w:rPr>
          <w:rFonts w:cs="Arial"/>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color w:val="000000"/>
          <w:sz w:val="20"/>
        </w:rPr>
        <w:t xml:space="preserve">La CIDH concluye que, si bien el proceso de revisión de la PRB establecido en 2011 es un avance importante </w:t>
      </w:r>
      <w:r>
        <w:rPr>
          <w:rFonts w:ascii="Cambria" w:hAnsi="Cambria"/>
          <w:sz w:val="20"/>
        </w:rPr>
        <w:t>respecto</w:t>
      </w:r>
      <w:r>
        <w:rPr>
          <w:rFonts w:ascii="Cambria" w:hAnsi="Cambria"/>
          <w:color w:val="000000"/>
          <w:sz w:val="20"/>
        </w:rPr>
        <w:t xml:space="preserve"> de los sistemas de revisión anteriores, no cumple los requisitos establecidos por los estándares del CICR respecto de la revisión de la detención en el contexto de conflictos armados. Además nota que la PRB no puede “efectivamente […] ordenar la liberación tan pronto como no se justifique la detención”</w:t>
      </w:r>
      <w:r>
        <w:rPr>
          <w:rStyle w:val="FootnoteReference"/>
          <w:rFonts w:ascii="Cambria" w:hAnsi="Cambria"/>
          <w:sz w:val="20"/>
        </w:rPr>
        <w:t xml:space="preserve"> </w:t>
      </w:r>
      <w:r>
        <w:rPr>
          <w:rStyle w:val="FootnoteReference"/>
          <w:rFonts w:ascii="Cambria" w:hAnsi="Cambria"/>
          <w:sz w:val="20"/>
        </w:rPr>
        <w:footnoteReference w:id="318"/>
      </w:r>
      <w:r>
        <w:rPr>
          <w:rFonts w:ascii="Cambria" w:hAnsi="Cambria"/>
          <w:color w:val="000000"/>
          <w:sz w:val="20"/>
        </w:rPr>
        <w:t xml:space="preserve">, aspecto que será discutido en el próximo capítulo. </w:t>
      </w:r>
    </w:p>
    <w:p w:rsidR="00C8425A" w:rsidRPr="00FC2F1B" w:rsidRDefault="00C8425A" w:rsidP="00C8425A">
      <w:pPr>
        <w:pStyle w:val="ListParagraph"/>
        <w:rPr>
          <w:rFonts w:cs="Arial"/>
          <w:sz w:val="20"/>
          <w:szCs w:val="20"/>
        </w:rPr>
      </w:pPr>
    </w:p>
    <w:p w:rsidR="00C8425A" w:rsidRPr="006B5BEA" w:rsidRDefault="00C8425A" w:rsidP="00724CD2">
      <w:pPr>
        <w:numPr>
          <w:ilvl w:val="0"/>
          <w:numId w:val="5"/>
        </w:numPr>
        <w:ind w:left="547" w:hanging="547"/>
        <w:jc w:val="both"/>
        <w:rPr>
          <w:rFonts w:ascii="Cambria" w:hAnsi="Cambria"/>
          <w:sz w:val="20"/>
          <w:szCs w:val="20"/>
        </w:rPr>
      </w:pPr>
      <w:r>
        <w:rPr>
          <w:rFonts w:ascii="Cambria" w:hAnsi="Cambria"/>
          <w:color w:val="000000"/>
          <w:sz w:val="20"/>
        </w:rPr>
        <w:t xml:space="preserve">A pesar de estas deficiencias, la CIDH estima que el gobierno de Estados Unidos está proporcionando una revisión más significativa, sobre la base de un análisis caso por caso, con respecto a si los detenidos constituyen una amenaza permanente. La revisión periódica de la detención podría ser un apoyo en los importantes avances hacia el cierre de Guantánamo, considerando que muchos de los detenidos podrían </w:t>
      </w:r>
      <w:r w:rsidRPr="006B5BEA">
        <w:rPr>
          <w:rFonts w:ascii="Cambria" w:hAnsi="Cambria"/>
          <w:color w:val="000000"/>
          <w:sz w:val="20"/>
        </w:rPr>
        <w:t xml:space="preserve">cambiar de una categoría de detención indefinida a una categoría de procesamiento penal o a una categoría de autorización para liberación. No obstante, un asunto de preocupación se relaciona con el hecho de que tomó a la PRB más de dos años iniciar los procedimientos de revisión y, a marzo de 2015, solo catorce casos habían tenido revisión completa. Por tanto, la existencia del proceso de revisión ante la PRB no disminuye la urgente necesidad de ofrecer una respuesta a la detención arbitraria continua indefinida en Guantánamo. </w:t>
      </w:r>
    </w:p>
    <w:p w:rsidR="00C8425A" w:rsidRDefault="00C8425A" w:rsidP="00C8425A">
      <w:pPr>
        <w:rPr>
          <w:sz w:val="20"/>
          <w:szCs w:val="20"/>
        </w:rPr>
      </w:pPr>
    </w:p>
    <w:p w:rsidR="00C8425A" w:rsidRPr="00FC2F1B" w:rsidRDefault="00C8425A" w:rsidP="0043424D">
      <w:pPr>
        <w:pStyle w:val="Heading2"/>
      </w:pPr>
      <w:bookmarkStart w:id="52" w:name="_Toc423072853"/>
      <w:r>
        <w:t xml:space="preserve">Condiciones de </w:t>
      </w:r>
      <w:r w:rsidR="00AF130B">
        <w:t>d</w:t>
      </w:r>
      <w:r>
        <w:t xml:space="preserve">etención y </w:t>
      </w:r>
      <w:r w:rsidR="00AF130B">
        <w:t>a</w:t>
      </w:r>
      <w:r>
        <w:t xml:space="preserve">cceso a la </w:t>
      </w:r>
      <w:r w:rsidR="00AF130B">
        <w:t>j</w:t>
      </w:r>
      <w:r>
        <w:t>usticia</w:t>
      </w:r>
      <w:bookmarkEnd w:id="52"/>
    </w:p>
    <w:p w:rsidR="00C8425A" w:rsidRPr="00FC2F1B" w:rsidRDefault="00C8425A" w:rsidP="00C8425A">
      <w:pPr>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En el caso </w:t>
      </w:r>
      <w:proofErr w:type="spellStart"/>
      <w:r>
        <w:rPr>
          <w:rFonts w:ascii="Cambria" w:hAnsi="Cambria"/>
          <w:i/>
          <w:sz w:val="20"/>
        </w:rPr>
        <w:t>Boumediene</w:t>
      </w:r>
      <w:proofErr w:type="spellEnd"/>
      <w:r>
        <w:rPr>
          <w:rFonts w:ascii="Cambria" w:hAnsi="Cambria"/>
          <w:i/>
          <w:sz w:val="20"/>
        </w:rPr>
        <w:t xml:space="preserve">, </w:t>
      </w:r>
      <w:r>
        <w:rPr>
          <w:rFonts w:ascii="Cambria" w:hAnsi="Cambria"/>
          <w:sz w:val="20"/>
        </w:rPr>
        <w:t xml:space="preserve">la Corte Suprema de Estados Unidos se abstuvo de referirse al alcance de los recursos relativos a las condiciones de detención. En consecuencia, con posterioridad al caso </w:t>
      </w:r>
      <w:proofErr w:type="spellStart"/>
      <w:r>
        <w:rPr>
          <w:rFonts w:ascii="Cambria" w:hAnsi="Cambria"/>
          <w:i/>
          <w:sz w:val="20"/>
        </w:rPr>
        <w:t>Boumediene</w:t>
      </w:r>
      <w:proofErr w:type="spellEnd"/>
      <w:r>
        <w:rPr>
          <w:rFonts w:ascii="Cambria" w:hAnsi="Cambria"/>
          <w:sz w:val="20"/>
        </w:rPr>
        <w:t>, los jueces de cortes distritales continuaron aplicando la Sección 7(a</w:t>
      </w:r>
      <w:proofErr w:type="gramStart"/>
      <w:r>
        <w:rPr>
          <w:rFonts w:ascii="Cambria" w:hAnsi="Cambria"/>
          <w:sz w:val="20"/>
        </w:rPr>
        <w:t>)(</w:t>
      </w:r>
      <w:proofErr w:type="gramEnd"/>
      <w:r>
        <w:rPr>
          <w:rFonts w:ascii="Cambria" w:hAnsi="Cambria"/>
          <w:sz w:val="20"/>
        </w:rPr>
        <w:t>2) de la MCA que impide la revisión judicial de reclamos relativos a las condiciones de detención</w:t>
      </w:r>
      <w:r>
        <w:rPr>
          <w:rStyle w:val="FootnoteReference"/>
          <w:rFonts w:ascii="Cambria" w:hAnsi="Cambria"/>
          <w:sz w:val="20"/>
        </w:rPr>
        <w:footnoteReference w:id="319"/>
      </w:r>
      <w:r>
        <w:rPr>
          <w:rFonts w:ascii="Cambria" w:hAnsi="Cambria"/>
          <w:sz w:val="20"/>
        </w:rPr>
        <w:t xml:space="preserve">. En </w:t>
      </w:r>
      <w:proofErr w:type="spellStart"/>
      <w:r>
        <w:rPr>
          <w:rFonts w:ascii="Cambria" w:hAnsi="Cambria"/>
          <w:i/>
          <w:sz w:val="20"/>
        </w:rPr>
        <w:t>Khadr</w:t>
      </w:r>
      <w:proofErr w:type="spellEnd"/>
      <w:r>
        <w:rPr>
          <w:rFonts w:ascii="Cambria" w:hAnsi="Cambria"/>
          <w:i/>
          <w:sz w:val="20"/>
        </w:rPr>
        <w:t xml:space="preserve"> v. Bush</w:t>
      </w:r>
      <w:r>
        <w:rPr>
          <w:rFonts w:ascii="Cambria" w:hAnsi="Cambria"/>
          <w:sz w:val="20"/>
        </w:rPr>
        <w:t>, la Corte de Distrito de D.C. afirmó que “aparentemente, la Corte Suprema dejó intacta [la prohibición de revisión judicial relativa a las condiciones de detención establecida en la MCA]”</w:t>
      </w:r>
      <w:r>
        <w:rPr>
          <w:rStyle w:val="FootnoteReference"/>
          <w:rFonts w:ascii="Cambria" w:hAnsi="Cambria"/>
          <w:sz w:val="20"/>
        </w:rPr>
        <w:footnoteReference w:id="320"/>
      </w:r>
      <w:r>
        <w:rPr>
          <w:rFonts w:ascii="Cambria" w:hAnsi="Cambria"/>
          <w:sz w:val="20"/>
        </w:rPr>
        <w:t xml:space="preserve">. Adicionalmente, en el caso </w:t>
      </w:r>
      <w:r>
        <w:rPr>
          <w:rFonts w:ascii="Cambria" w:hAnsi="Cambria"/>
          <w:i/>
          <w:sz w:val="20"/>
        </w:rPr>
        <w:t xml:space="preserve">re </w:t>
      </w:r>
      <w:proofErr w:type="spellStart"/>
      <w:r>
        <w:rPr>
          <w:rFonts w:ascii="Cambria" w:hAnsi="Cambria"/>
          <w:i/>
          <w:sz w:val="20"/>
        </w:rPr>
        <w:t>Guantanamo</w:t>
      </w:r>
      <w:proofErr w:type="spellEnd"/>
      <w:r>
        <w:rPr>
          <w:rFonts w:ascii="Cambria" w:hAnsi="Cambria"/>
          <w:i/>
          <w:sz w:val="20"/>
        </w:rPr>
        <w:t xml:space="preserve"> </w:t>
      </w:r>
      <w:proofErr w:type="spellStart"/>
      <w:r>
        <w:rPr>
          <w:rFonts w:ascii="Cambria" w:hAnsi="Cambria"/>
          <w:i/>
          <w:sz w:val="20"/>
        </w:rPr>
        <w:t>Bay</w:t>
      </w:r>
      <w:proofErr w:type="spellEnd"/>
      <w:r>
        <w:rPr>
          <w:rFonts w:ascii="Cambria" w:hAnsi="Cambria"/>
          <w:i/>
          <w:sz w:val="20"/>
        </w:rPr>
        <w:t xml:space="preserve"> </w:t>
      </w:r>
      <w:proofErr w:type="spellStart"/>
      <w:r>
        <w:rPr>
          <w:rFonts w:ascii="Cambria" w:hAnsi="Cambria"/>
          <w:i/>
          <w:sz w:val="20"/>
        </w:rPr>
        <w:t>Detainee</w:t>
      </w:r>
      <w:proofErr w:type="spellEnd"/>
      <w:r>
        <w:rPr>
          <w:rFonts w:ascii="Cambria" w:hAnsi="Cambria"/>
          <w:i/>
          <w:sz w:val="20"/>
        </w:rPr>
        <w:t xml:space="preserve"> </w:t>
      </w:r>
      <w:proofErr w:type="spellStart"/>
      <w:r>
        <w:rPr>
          <w:rFonts w:ascii="Cambria" w:hAnsi="Cambria"/>
          <w:i/>
          <w:sz w:val="20"/>
        </w:rPr>
        <w:t>Litigation</w:t>
      </w:r>
      <w:proofErr w:type="spellEnd"/>
      <w:r>
        <w:rPr>
          <w:rFonts w:ascii="Cambria" w:hAnsi="Cambria"/>
          <w:sz w:val="20"/>
        </w:rPr>
        <w:t xml:space="preserve"> la Corte estableció que la Sección 7(a</w:t>
      </w:r>
      <w:proofErr w:type="gramStart"/>
      <w:r>
        <w:rPr>
          <w:rFonts w:ascii="Cambria" w:hAnsi="Cambria"/>
          <w:sz w:val="20"/>
        </w:rPr>
        <w:t>)(</w:t>
      </w:r>
      <w:proofErr w:type="gramEnd"/>
      <w:r>
        <w:rPr>
          <w:rFonts w:ascii="Cambria" w:hAnsi="Cambria"/>
          <w:sz w:val="20"/>
        </w:rPr>
        <w:t>2) de la MCA continúa en efecto y excluye su jurisdicción para conocer alegatos de los detenidos que “se refieran a cualquier aspecto de la detención, traslado, tratamiento, juicio o condiciones de privación de libertad”</w:t>
      </w:r>
      <w:r>
        <w:rPr>
          <w:rStyle w:val="FootnoteReference"/>
          <w:rFonts w:ascii="Cambria" w:hAnsi="Cambria"/>
          <w:sz w:val="20"/>
        </w:rPr>
        <w:footnoteReference w:id="321"/>
      </w:r>
      <w:r>
        <w:rPr>
          <w:rFonts w:ascii="Cambria" w:hAnsi="Cambria"/>
          <w:sz w:val="20"/>
        </w:rPr>
        <w:t xml:space="preserve">. En consecuencia, hasta ahora las cortes que han conocido recursos de hábeas corpus han rechazado los alegatos de los detenidos de Guantánamo sobre sus condiciones de detención. </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No obstante, debe tomarse en cuenta que recientemente las cortes federales han empezado a referirse a algunos aspectos de las condiciones de detención. El 11 de febrero de 2014, una corte federal de apelaciones por primera vez decidió que los detenidos de Guantánamo podían presentar un recurso de hábeas corpus para cuestionar sus condiciones de detención. La Corte de Circuito de D.C. decidió en el caso </w:t>
      </w:r>
      <w:proofErr w:type="spellStart"/>
      <w:r>
        <w:rPr>
          <w:rFonts w:ascii="Cambria" w:hAnsi="Cambria"/>
          <w:i/>
          <w:sz w:val="20"/>
        </w:rPr>
        <w:t>Aamer</w:t>
      </w:r>
      <w:proofErr w:type="spellEnd"/>
      <w:r>
        <w:rPr>
          <w:rFonts w:ascii="Cambria" w:hAnsi="Cambria"/>
          <w:i/>
          <w:sz w:val="20"/>
        </w:rPr>
        <w:t xml:space="preserve"> v. Obama</w:t>
      </w:r>
      <w:r>
        <w:rPr>
          <w:rFonts w:ascii="Cambria" w:hAnsi="Cambria"/>
          <w:sz w:val="20"/>
        </w:rPr>
        <w:t xml:space="preserve"> que los detenidos de Guantánamo podían presentar recursos de hábeas corpus ante cortes federales cuestionando su alimentación forzada por parte del gobierno</w:t>
      </w:r>
      <w:r>
        <w:rPr>
          <w:rStyle w:val="FootnoteReference"/>
          <w:rFonts w:ascii="Cambria" w:hAnsi="Cambria"/>
          <w:sz w:val="20"/>
        </w:rPr>
        <w:footnoteReference w:id="322"/>
      </w:r>
      <w:r>
        <w:rPr>
          <w:rFonts w:ascii="Cambria" w:hAnsi="Cambria"/>
          <w:sz w:val="20"/>
        </w:rPr>
        <w:t>. La Corte volvió a pronunciarse sobre la disposición de la MCA que pretende excluir a las cortes de jurisdicción para conocer alegatos relativos a condiciones de detención. Decidió que la Sección 2241(e</w:t>
      </w:r>
      <w:proofErr w:type="gramStart"/>
      <w:r>
        <w:rPr>
          <w:rFonts w:ascii="Cambria" w:hAnsi="Cambria"/>
          <w:sz w:val="20"/>
        </w:rPr>
        <w:t>)(</w:t>
      </w:r>
      <w:proofErr w:type="gramEnd"/>
      <w:r>
        <w:rPr>
          <w:rFonts w:ascii="Cambria" w:hAnsi="Cambria"/>
          <w:sz w:val="20"/>
        </w:rPr>
        <w:t xml:space="preserve">2) que continúa vigente después del caso </w:t>
      </w:r>
      <w:proofErr w:type="spellStart"/>
      <w:r>
        <w:rPr>
          <w:rFonts w:ascii="Cambria" w:hAnsi="Cambria"/>
          <w:i/>
          <w:sz w:val="20"/>
        </w:rPr>
        <w:t>Boumediene</w:t>
      </w:r>
      <w:proofErr w:type="spellEnd"/>
      <w:r>
        <w:rPr>
          <w:rFonts w:ascii="Cambria" w:hAnsi="Cambria"/>
          <w:i/>
          <w:sz w:val="20"/>
        </w:rPr>
        <w:t xml:space="preserve">, </w:t>
      </w:r>
      <w:r>
        <w:rPr>
          <w:rFonts w:ascii="Cambria" w:hAnsi="Cambria"/>
          <w:sz w:val="20"/>
        </w:rPr>
        <w:t xml:space="preserve">únicamente prohíbe los recursos distintos al hábeas corpus relacionados con las condiciones de detención, y que por tanto no tiene efectos sobre los recursos de hábeas corpus. Dado que los detenidos presentaron un recurso de hábeas corpus garantizado por la Sección 2241 (e)(1), que fue anulada por el caso </w:t>
      </w:r>
      <w:proofErr w:type="spellStart"/>
      <w:r>
        <w:rPr>
          <w:rFonts w:ascii="Cambria" w:hAnsi="Cambria"/>
          <w:i/>
          <w:sz w:val="20"/>
        </w:rPr>
        <w:t>Boumediene</w:t>
      </w:r>
      <w:proofErr w:type="spellEnd"/>
      <w:r>
        <w:rPr>
          <w:rFonts w:ascii="Cambria" w:hAnsi="Cambria"/>
          <w:i/>
          <w:sz w:val="20"/>
        </w:rPr>
        <w:t xml:space="preserve">, </w:t>
      </w:r>
      <w:r>
        <w:rPr>
          <w:rFonts w:ascii="Cambria" w:hAnsi="Cambria"/>
          <w:sz w:val="20"/>
        </w:rPr>
        <w:t xml:space="preserve">la Corte decidió que la solicitud de hábeas corpus subsiste y devolvió el caso a la corte de distrito para que continúe conociéndolo. </w:t>
      </w:r>
    </w:p>
    <w:p w:rsidR="00C8425A" w:rsidRPr="00FC2F1B" w:rsidRDefault="00C8425A" w:rsidP="00C8425A">
      <w:pPr>
        <w:ind w:left="720"/>
        <w:jc w:val="both"/>
        <w:rPr>
          <w:rFonts w:ascii="Cambria" w:hAnsi="Cambria"/>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Asimismo, como se señaló en el capítulo anterior, el 16 de mayo de 2014, la Jueza Distrital de Estados Unidos Gladys </w:t>
      </w:r>
      <w:proofErr w:type="spellStart"/>
      <w:r>
        <w:rPr>
          <w:rFonts w:ascii="Cambria" w:hAnsi="Cambria"/>
          <w:sz w:val="20"/>
        </w:rPr>
        <w:t>Kessler</w:t>
      </w:r>
      <w:proofErr w:type="spellEnd"/>
      <w:r>
        <w:rPr>
          <w:rFonts w:ascii="Cambria" w:hAnsi="Cambria"/>
          <w:sz w:val="20"/>
        </w:rPr>
        <w:t xml:space="preserve"> ordenó al gobierno de Estados Unidos que suspenda temporalmente la alimentación forzada de Mohammed Abu </w:t>
      </w:r>
      <w:proofErr w:type="spellStart"/>
      <w:r>
        <w:rPr>
          <w:rFonts w:ascii="Cambria" w:hAnsi="Cambria"/>
          <w:sz w:val="20"/>
        </w:rPr>
        <w:t>Wa’el</w:t>
      </w:r>
      <w:proofErr w:type="spellEnd"/>
      <w:r>
        <w:rPr>
          <w:rFonts w:ascii="Cambria" w:hAnsi="Cambria"/>
          <w:sz w:val="20"/>
        </w:rPr>
        <w:t xml:space="preserve"> </w:t>
      </w:r>
      <w:proofErr w:type="spellStart"/>
      <w:r>
        <w:rPr>
          <w:rFonts w:ascii="Cambria" w:hAnsi="Cambria"/>
          <w:sz w:val="20"/>
        </w:rPr>
        <w:t>Dhiab</w:t>
      </w:r>
      <w:proofErr w:type="spellEnd"/>
      <w:r>
        <w:rPr>
          <w:rFonts w:ascii="Cambria" w:hAnsi="Cambria"/>
          <w:sz w:val="20"/>
        </w:rPr>
        <w:t xml:space="preserve"> y que preserve todas las cintas de video sobre las alimentaciones forzadas y las extracciones de la celda a las que se forzó al detenido</w:t>
      </w:r>
      <w:r>
        <w:rPr>
          <w:rStyle w:val="FootnoteReference"/>
          <w:rFonts w:ascii="Cambria" w:hAnsi="Cambria"/>
          <w:sz w:val="20"/>
        </w:rPr>
        <w:footnoteReference w:id="323"/>
      </w:r>
      <w:r>
        <w:rPr>
          <w:rFonts w:ascii="Cambria" w:hAnsi="Cambria"/>
          <w:sz w:val="20"/>
        </w:rPr>
        <w:t xml:space="preserve">. Si bien más adelante se levantó esta suspensión, fue la primera vez que una decisión de este tipo fue ordenada por un juez federal. </w:t>
      </w:r>
    </w:p>
    <w:p w:rsidR="00C8425A" w:rsidRPr="00FC2F1B" w:rsidRDefault="00C8425A" w:rsidP="00C8425A">
      <w:pPr>
        <w:pStyle w:val="ListParagraph"/>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rFonts w:ascii="Cambria" w:hAnsi="Cambria"/>
          <w:sz w:val="20"/>
        </w:rPr>
        <w:t xml:space="preserve">La CIDH observa con profunda preocupación que hasta recientemente a los detenidos de Guantánamo se les impedía litigar ante cortes federales cualquier aspecto relacionado con las condiciones de detención, lo que constituye </w:t>
      </w:r>
      <w:r>
        <w:rPr>
          <w:rFonts w:ascii="Cambria" w:hAnsi="Cambria"/>
          <w:i/>
          <w:sz w:val="20"/>
        </w:rPr>
        <w:t>per se</w:t>
      </w:r>
      <w:r>
        <w:rPr>
          <w:rFonts w:ascii="Cambria" w:hAnsi="Cambria"/>
          <w:sz w:val="20"/>
        </w:rPr>
        <w:t xml:space="preserve"> una violación a uno de sus derechos humanos más fundamentales. La CIDH saluda el cambio en la jurisprudencia reciente relativa a la competencia material de las cortes federales para supervisar las condiciones de detención en Guantánamo. Como se señaló en el capítulo anterior, para garantizar la protección efectiva de los derechos de los detenidos de conformidad con los estándares internacionales de derechos humanos aplicables, el Estado debe garantizar que todas las personas privadas de libertad tengan acceso a recursos judiciales</w:t>
      </w:r>
      <w:r>
        <w:rPr>
          <w:rStyle w:val="FootnoteReference"/>
          <w:rFonts w:ascii="Cambria" w:hAnsi="Cambria"/>
          <w:sz w:val="20"/>
        </w:rPr>
        <w:footnoteReference w:id="324"/>
      </w:r>
      <w:r>
        <w:rPr>
          <w:rFonts w:ascii="Cambria" w:hAnsi="Cambria"/>
          <w:sz w:val="20"/>
        </w:rPr>
        <w:t xml:space="preserve">. </w:t>
      </w:r>
    </w:p>
    <w:p w:rsidR="00C8425A" w:rsidRPr="00FC2F1B" w:rsidRDefault="00C8425A" w:rsidP="00C8425A">
      <w:pPr>
        <w:pStyle w:val="ListParagraph"/>
        <w:rPr>
          <w:sz w:val="20"/>
          <w:szCs w:val="20"/>
        </w:rPr>
      </w:pPr>
    </w:p>
    <w:p w:rsidR="00C8425A" w:rsidRPr="00FC2F1B" w:rsidRDefault="00C8425A" w:rsidP="00724CD2">
      <w:pPr>
        <w:numPr>
          <w:ilvl w:val="0"/>
          <w:numId w:val="5"/>
        </w:numPr>
        <w:ind w:left="547" w:hanging="547"/>
        <w:jc w:val="both"/>
        <w:rPr>
          <w:rFonts w:ascii="Cambria" w:hAnsi="Cambria"/>
          <w:sz w:val="20"/>
          <w:szCs w:val="20"/>
        </w:rPr>
      </w:pPr>
      <w:r>
        <w:rPr>
          <w:sz w:val="20"/>
        </w:rPr>
        <w:lastRenderedPageBreak/>
        <w:t xml:space="preserve">En su </w:t>
      </w:r>
      <w:r>
        <w:rPr>
          <w:i/>
          <w:sz w:val="20"/>
        </w:rPr>
        <w:t>Informe sobre los Derechos Humanos de las Personas Privadas de Libertad en las Américas</w:t>
      </w:r>
      <w:r>
        <w:rPr>
          <w:sz w:val="20"/>
        </w:rPr>
        <w:t xml:space="preserve">, la CIDH subrayó que “dos recursos básicos deben estar disponibles para la protección de los derechos fundamentales de </w:t>
      </w:r>
      <w:r>
        <w:rPr>
          <w:rFonts w:ascii="Cambria" w:hAnsi="Cambria"/>
          <w:sz w:val="20"/>
        </w:rPr>
        <w:t>l</w:t>
      </w:r>
      <w:r>
        <w:rPr>
          <w:sz w:val="20"/>
        </w:rPr>
        <w:t>as personas privadas de libertad”</w:t>
      </w:r>
      <w:r>
        <w:rPr>
          <w:rStyle w:val="FootnoteReference"/>
          <w:rFonts w:ascii="Cambria" w:hAnsi="Cambria"/>
          <w:sz w:val="20"/>
        </w:rPr>
        <w:footnoteReference w:id="325"/>
      </w:r>
      <w:r>
        <w:rPr>
          <w:sz w:val="20"/>
        </w:rPr>
        <w:t xml:space="preserve">. Por un lado, un recurso para garantizar el derecho a no ser sometido a detención ilegal o arbitraria y, por otro, un recurso adecuado, efectivo y sin demora para garantizar que las condiciones de detención no violen la integridad física de los detenidos. En los Principios y Buenas Prácticas para la Protección de las Personas Privadas de Libertad en las Américas, la CIDH estableció estándares </w:t>
      </w:r>
      <w:r>
        <w:rPr>
          <w:rFonts w:ascii="Cambria" w:hAnsi="Cambria"/>
          <w:sz w:val="20"/>
        </w:rPr>
        <w:t>relativos</w:t>
      </w:r>
      <w:r>
        <w:rPr>
          <w:sz w:val="20"/>
        </w:rPr>
        <w:t xml:space="preserve"> a la naturaleza y el alcance de esos recursos. El Principio V establece que “toda persona privada de libertad, por sí o por medio de terceros, tendrá derecho a interponer un recurso sencillo, rápido y eficaz, ante autoridades competentes, independientes e imparciales […] por las condiciones de reclusión o internamiento, por la falta de atención médica o psicológica, y de alimentación adecuadas”</w:t>
      </w:r>
      <w:r>
        <w:rPr>
          <w:rStyle w:val="FootnoteReference"/>
          <w:rFonts w:ascii="Cambria" w:hAnsi="Cambria"/>
          <w:sz w:val="20"/>
        </w:rPr>
        <w:footnoteReference w:id="326"/>
      </w:r>
      <w:r>
        <w:rPr>
          <w:sz w:val="20"/>
        </w:rPr>
        <w:t>.</w:t>
      </w:r>
    </w:p>
    <w:p w:rsidR="00405F38" w:rsidRPr="00FC2F1B" w:rsidRDefault="00405F38" w:rsidP="00BA4F54">
      <w:pPr>
        <w:rPr>
          <w:rFonts w:ascii="Cambria" w:hAnsi="Cambria"/>
          <w:sz w:val="20"/>
          <w:szCs w:val="20"/>
        </w:rPr>
      </w:pPr>
    </w:p>
    <w:p w:rsidR="00405F38" w:rsidRPr="00FC2F1B" w:rsidRDefault="00405F38" w:rsidP="00BA4F54">
      <w:pPr>
        <w:rPr>
          <w:rFonts w:ascii="Cambria" w:hAnsi="Cambria"/>
          <w:sz w:val="20"/>
          <w:szCs w:val="20"/>
        </w:rPr>
        <w:sectPr w:rsidR="00405F38" w:rsidRPr="00FC2F1B" w:rsidSect="00592F4B">
          <w:headerReference w:type="default" r:id="rId35"/>
          <w:footerReference w:type="default" r:id="rId36"/>
          <w:type w:val="oddPage"/>
          <w:pgSz w:w="10325" w:h="14573" w:code="13"/>
          <w:pgMar w:top="1152" w:right="1152" w:bottom="1152" w:left="1440" w:header="720" w:footer="720" w:gutter="0"/>
          <w:cols w:space="720"/>
          <w:docGrid w:linePitch="326"/>
        </w:sectPr>
      </w:pPr>
    </w:p>
    <w:p w:rsidR="00405F38" w:rsidRPr="00DA3A14" w:rsidRDefault="00405F38" w:rsidP="00405F38">
      <w:pPr>
        <w:jc w:val="center"/>
        <w:rPr>
          <w:rFonts w:ascii="Cambria" w:hAnsi="Cambria"/>
          <w:color w:val="4A442A" w:themeColor="background2" w:themeShade="40"/>
          <w:spacing w:val="-10"/>
          <w:w w:val="90"/>
          <w:sz w:val="52"/>
          <w:szCs w:val="52"/>
        </w:rPr>
        <w:sectPr w:rsidR="00405F38" w:rsidRPr="00DA3A14" w:rsidSect="00DA3A14">
          <w:headerReference w:type="default" r:id="rId37"/>
          <w:footerReference w:type="default" r:id="rId38"/>
          <w:type w:val="oddPage"/>
          <w:pgSz w:w="10325" w:h="14573" w:code="13"/>
          <w:pgMar w:top="1152" w:right="1152" w:bottom="1152" w:left="1440" w:header="288" w:footer="288" w:gutter="0"/>
          <w:cols w:space="720"/>
          <w:vAlign w:val="center"/>
          <w:docGrid w:linePitch="326"/>
        </w:sectPr>
      </w:pPr>
      <w:r w:rsidRPr="00DA3A14">
        <w:rPr>
          <w:rFonts w:ascii="Cambria" w:hAnsi="Cambria"/>
          <w:color w:val="808080" w:themeColor="background1" w:themeShade="80"/>
          <w:spacing w:val="-10"/>
          <w:sz w:val="44"/>
          <w:szCs w:val="44"/>
        </w:rPr>
        <w:lastRenderedPageBreak/>
        <w:t>CAPÍTULO 5</w:t>
      </w:r>
      <w:r w:rsidRPr="00DA3A14">
        <w:rPr>
          <w:rFonts w:ascii="Cambria" w:hAnsi="Cambria"/>
          <w:color w:val="4A442A"/>
          <w:spacing w:val="-10"/>
          <w:sz w:val="44"/>
          <w:szCs w:val="44"/>
        </w:rPr>
        <w:br/>
      </w:r>
      <w:r w:rsidRPr="00DA3A14">
        <w:rPr>
          <w:rFonts w:ascii="Cambria" w:hAnsi="Cambria"/>
          <w:color w:val="4A442A" w:themeColor="background2" w:themeShade="40"/>
          <w:spacing w:val="-10"/>
          <w:w w:val="90"/>
          <w:sz w:val="52"/>
        </w:rPr>
        <w:t>HACIA EL CIERRE DE GUANTÁNAMO: OBLIGACIONES JURÍDICAS INTERNACIONALES RELATIVAS AL TRASLADO O LIBERACIÓN DE LOS DETENIDOS</w:t>
      </w:r>
    </w:p>
    <w:p w:rsidR="00AD56DA" w:rsidRDefault="00AD56DA" w:rsidP="00405F38">
      <w:pPr>
        <w:pStyle w:val="Heading1"/>
        <w:ind w:left="0" w:firstLine="0"/>
        <w:rPr>
          <w:color w:val="4A442A"/>
        </w:rPr>
      </w:pPr>
    </w:p>
    <w:p w:rsidR="00AD56DA" w:rsidRDefault="00AD56DA" w:rsidP="00405F38">
      <w:pPr>
        <w:pStyle w:val="Heading1"/>
        <w:ind w:left="0" w:firstLine="0"/>
        <w:rPr>
          <w:color w:val="4A442A"/>
        </w:rPr>
      </w:pPr>
    </w:p>
    <w:p w:rsidR="00405F38" w:rsidRPr="00FC2F1B" w:rsidRDefault="00C8425A" w:rsidP="00405F38">
      <w:pPr>
        <w:pStyle w:val="Heading1"/>
        <w:ind w:left="0" w:firstLine="0"/>
        <w:rPr>
          <w:color w:val="4A442A"/>
        </w:rPr>
      </w:pPr>
      <w:bookmarkStart w:id="53" w:name="_Toc423072854"/>
      <w:r>
        <w:rPr>
          <w:color w:val="4A442A"/>
        </w:rPr>
        <w:t xml:space="preserve">HACIA EL CIERRE DE GUANTÁNAMO: OBLIGACIONES JURÍDICAS INTERNACIONALES RELATIVAS AL </w:t>
      </w:r>
      <w:r>
        <w:rPr>
          <w:color w:val="4A442A"/>
        </w:rPr>
        <w:br/>
        <w:t>TRASLADO O LIBERACIÓN DE LOS DETENIDOS</w:t>
      </w:r>
      <w:bookmarkEnd w:id="53"/>
    </w:p>
    <w:p w:rsidR="00405F38" w:rsidRPr="00FC2F1B" w:rsidRDefault="00405F38" w:rsidP="00405F38">
      <w:pPr>
        <w:rPr>
          <w:rFonts w:ascii="Cambria" w:hAnsi="Cambria"/>
          <w:sz w:val="20"/>
          <w:szCs w:val="20"/>
          <w:u w:val="single"/>
        </w:rPr>
      </w:pPr>
    </w:p>
    <w:p w:rsidR="00405F38" w:rsidRDefault="00405F38" w:rsidP="00405F38">
      <w:pPr>
        <w:rPr>
          <w:rFonts w:ascii="Cambria" w:hAnsi="Cambria"/>
          <w:sz w:val="20"/>
          <w:szCs w:val="20"/>
          <w:u w:val="single"/>
        </w:rPr>
      </w:pPr>
    </w:p>
    <w:p w:rsidR="000C2C94" w:rsidRPr="00FC2F1B" w:rsidRDefault="000C2C94" w:rsidP="00405F38">
      <w:pPr>
        <w:rPr>
          <w:rFonts w:ascii="Cambria" w:hAnsi="Cambria"/>
          <w:sz w:val="20"/>
          <w:szCs w:val="20"/>
          <w:u w:val="single"/>
        </w:rPr>
      </w:pPr>
    </w:p>
    <w:p w:rsidR="00F90639" w:rsidRPr="00FC2F1B" w:rsidRDefault="00F90639" w:rsidP="00F90639">
      <w:pPr>
        <w:pStyle w:val="ListParagrap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t>En su Resolución 2/06 adoptada el 28 de julio de 2006, la Comisión Interamericana de Derechos Humanos exhortó a Estados Unidos al cierre inmediato del centro de detención en Guantánamo</w:t>
      </w:r>
      <w:r>
        <w:rPr>
          <w:rStyle w:val="FootnoteReference"/>
          <w:rFonts w:ascii="Cambria" w:hAnsi="Cambria"/>
          <w:sz w:val="20"/>
        </w:rPr>
        <w:footnoteReference w:id="327"/>
      </w:r>
      <w:r>
        <w:rPr>
          <w:rFonts w:ascii="Cambria" w:hAnsi="Cambria"/>
          <w:sz w:val="20"/>
        </w:rPr>
        <w:t>. Varios funcionarios del Gobierno de Estados Unidos, incluyendo ex Secretarios de Estado y de Defensa, el ex Director de la CIA, así como 50 generales y almirantes retirados, miembros del Congreso de EE.UU., e incluso el Presidente George W. Bush, que abrió la instalación en 2002, han llamado también al cierre de Guantánamo</w:t>
      </w:r>
      <w:r>
        <w:rPr>
          <w:rStyle w:val="FootnoteReference"/>
          <w:rFonts w:ascii="Cambria" w:hAnsi="Cambria"/>
          <w:sz w:val="20"/>
        </w:rPr>
        <w:footnoteReference w:id="328"/>
      </w:r>
      <w:r>
        <w:rPr>
          <w:rFonts w:ascii="Cambria" w:hAnsi="Cambria"/>
          <w:sz w:val="20"/>
        </w:rPr>
        <w:t>. El 22 de enero de 2009, el Presidente Barack Obama adoptó el Decreto Ejecutivo 13492 que ordenó el cierre del centro de detención en un plazo máximo de un año</w:t>
      </w:r>
      <w:r>
        <w:rPr>
          <w:rStyle w:val="FootnoteReference"/>
          <w:rFonts w:ascii="Cambria" w:hAnsi="Cambria"/>
          <w:sz w:val="20"/>
        </w:rPr>
        <w:footnoteReference w:id="329"/>
      </w:r>
      <w:r>
        <w:rPr>
          <w:rFonts w:ascii="Cambria" w:hAnsi="Cambria"/>
          <w:sz w:val="20"/>
        </w:rPr>
        <w:t>, decisión que fue aplaudida por la CIDH y la comunidad internacional</w:t>
      </w:r>
      <w:r>
        <w:rPr>
          <w:rStyle w:val="FootnoteReference"/>
          <w:rFonts w:ascii="Cambria" w:hAnsi="Cambria"/>
          <w:sz w:val="20"/>
        </w:rPr>
        <w:footnoteReference w:id="330"/>
      </w:r>
      <w:r>
        <w:rPr>
          <w:rFonts w:ascii="Cambria" w:hAnsi="Cambria"/>
          <w:sz w:val="20"/>
        </w:rPr>
        <w:t xml:space="preserve">. </w:t>
      </w:r>
    </w:p>
    <w:p w:rsidR="00F90639" w:rsidRPr="00FC2F1B" w:rsidRDefault="00F90639" w:rsidP="00F90639">
      <w:pPr>
        <w:ind w:left="720"/>
        <w:jc w:val="bot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t>Las razones para el cierre del centro de detención han sido diversas, desde razones pragmáticas, como el efecto en la seguridad nacional</w:t>
      </w:r>
      <w:r>
        <w:rPr>
          <w:rStyle w:val="FootnoteReference"/>
          <w:rFonts w:ascii="Cambria" w:hAnsi="Cambria"/>
          <w:sz w:val="20"/>
        </w:rPr>
        <w:footnoteReference w:id="331"/>
      </w:r>
      <w:r>
        <w:rPr>
          <w:rFonts w:ascii="Cambria" w:hAnsi="Cambria"/>
          <w:sz w:val="20"/>
        </w:rPr>
        <w:t xml:space="preserve"> y los costos financieros</w:t>
      </w:r>
      <w:r>
        <w:rPr>
          <w:rStyle w:val="FootnoteReference"/>
          <w:rFonts w:ascii="Cambria" w:hAnsi="Cambria"/>
          <w:sz w:val="20"/>
        </w:rPr>
        <w:footnoteReference w:id="332"/>
      </w:r>
      <w:r>
        <w:rPr>
          <w:rFonts w:ascii="Cambria" w:hAnsi="Cambria"/>
          <w:sz w:val="20"/>
        </w:rPr>
        <w:t>, hasta razones basadas en principios</w:t>
      </w:r>
      <w:r>
        <w:rPr>
          <w:rStyle w:val="FootnoteReference"/>
          <w:rFonts w:ascii="Cambria" w:hAnsi="Cambria"/>
          <w:sz w:val="20"/>
        </w:rPr>
        <w:footnoteReference w:id="333"/>
      </w:r>
      <w:r>
        <w:rPr>
          <w:rFonts w:ascii="Cambria" w:hAnsi="Cambria"/>
          <w:sz w:val="20"/>
        </w:rPr>
        <w:t xml:space="preserve">. Estos y otros enfoques fueron abordados </w:t>
      </w:r>
      <w:r>
        <w:rPr>
          <w:rFonts w:ascii="Cambria" w:hAnsi="Cambria"/>
          <w:sz w:val="20"/>
        </w:rPr>
        <w:lastRenderedPageBreak/>
        <w:t>por el Subcomité sobre Asuntos Constitucionales, Derechos Civiles y Derechos Humanos del Comité Judicial del Senado, en el marco de una audiencia titulada “Cierre de Guantánamo: Implicaciones de Seguridad Nacional, Fiscales y de Derechos Humanos” celebrada el 24 de julio de 2013</w:t>
      </w:r>
      <w:r>
        <w:rPr>
          <w:rStyle w:val="FootnoteReference"/>
          <w:rFonts w:ascii="Cambria" w:hAnsi="Cambria"/>
          <w:sz w:val="20"/>
        </w:rPr>
        <w:footnoteReference w:id="334"/>
      </w:r>
      <w:r>
        <w:rPr>
          <w:rFonts w:ascii="Cambria" w:hAnsi="Cambria"/>
          <w:sz w:val="20"/>
        </w:rPr>
        <w:t>. Si bien hay quienes consideran que la detención en Guantánamo no sólo es constitucional sino que es necesaria</w:t>
      </w:r>
      <w:r>
        <w:rPr>
          <w:rStyle w:val="FootnoteReference"/>
          <w:rFonts w:ascii="Cambria" w:hAnsi="Cambria"/>
          <w:sz w:val="20"/>
        </w:rPr>
        <w:footnoteReference w:id="335"/>
      </w:r>
      <w:r>
        <w:rPr>
          <w:rFonts w:ascii="Cambria" w:hAnsi="Cambria"/>
          <w:sz w:val="20"/>
        </w:rPr>
        <w:t xml:space="preserve">, existe un importante consenso nacional e internacional de que el centro debe ser cerrado. No obstante, seis años después de la adopción del mencionado decreto ejecutivo,  el centro de detención permanece abierto. </w:t>
      </w:r>
    </w:p>
    <w:p w:rsidR="00F90639" w:rsidRPr="00FC2F1B" w:rsidRDefault="00F90639" w:rsidP="00F90639">
      <w:pPr>
        <w:pStyle w:val="ListParagrap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t>Los detenidos de Guantánamo pueden ser liberados a través de tres mecanismos distintos. Primero, a través de una orden o decreto ejecutivo tal como el emitido por el Presidente Obama el 22 de enero de 2009. Desde esa fecha hasta diciembre de 2010, 67 detenidos fueron trasladados o liberados. Sin embargo, como será analizado más adelante, a partir de enero de 2011 el Congreso de Estados Unidos, a través de la Ley de Autorización de Defensa Nacional (</w:t>
      </w:r>
      <w:proofErr w:type="spellStart"/>
      <w:r>
        <w:rPr>
          <w:rFonts w:ascii="Cambria" w:hAnsi="Cambria"/>
          <w:i/>
          <w:sz w:val="20"/>
        </w:rPr>
        <w:t>National</w:t>
      </w:r>
      <w:proofErr w:type="spellEnd"/>
      <w:r>
        <w:rPr>
          <w:rFonts w:ascii="Cambria" w:hAnsi="Cambria"/>
          <w:i/>
          <w:sz w:val="20"/>
        </w:rPr>
        <w:t xml:space="preserve"> </w:t>
      </w:r>
      <w:proofErr w:type="spellStart"/>
      <w:r>
        <w:rPr>
          <w:rFonts w:ascii="Cambria" w:hAnsi="Cambria"/>
          <w:i/>
          <w:sz w:val="20"/>
        </w:rPr>
        <w:t>Defense</w:t>
      </w:r>
      <w:proofErr w:type="spellEnd"/>
      <w:r>
        <w:rPr>
          <w:rFonts w:ascii="Cambria" w:hAnsi="Cambria"/>
          <w:i/>
          <w:sz w:val="20"/>
        </w:rPr>
        <w:t xml:space="preserve"> </w:t>
      </w:r>
      <w:proofErr w:type="spellStart"/>
      <w:r>
        <w:rPr>
          <w:rFonts w:ascii="Cambria" w:hAnsi="Cambria"/>
          <w:i/>
          <w:sz w:val="20"/>
        </w:rPr>
        <w:t>Authorization</w:t>
      </w:r>
      <w:proofErr w:type="spellEnd"/>
      <w:r>
        <w:rPr>
          <w:rFonts w:ascii="Cambria" w:hAnsi="Cambria"/>
          <w:i/>
          <w:sz w:val="20"/>
        </w:rPr>
        <w:t xml:space="preserve"> </w:t>
      </w:r>
      <w:proofErr w:type="spellStart"/>
      <w:r>
        <w:rPr>
          <w:rFonts w:ascii="Cambria" w:hAnsi="Cambria"/>
          <w:i/>
          <w:sz w:val="20"/>
        </w:rPr>
        <w:t>Act</w:t>
      </w:r>
      <w:proofErr w:type="spellEnd"/>
      <w:r>
        <w:rPr>
          <w:rFonts w:ascii="Cambria" w:hAnsi="Cambria"/>
          <w:i/>
          <w:sz w:val="20"/>
        </w:rPr>
        <w:t xml:space="preserve">,  </w:t>
      </w:r>
      <w:r>
        <w:rPr>
          <w:rFonts w:ascii="Cambria" w:hAnsi="Cambria"/>
          <w:sz w:val="20"/>
        </w:rPr>
        <w:t xml:space="preserve">“NDAA” por sus siglas en inglés), ha establecido una serie de restricciones que han tenido un serio impacto negativo en el número de detenidos trasladados. </w:t>
      </w:r>
    </w:p>
    <w:p w:rsidR="00F90639" w:rsidRPr="00FC2F1B" w:rsidRDefault="00F90639" w:rsidP="00F90639">
      <w:pPr>
        <w:pStyle w:val="ListParagrap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t xml:space="preserve">Segundo, los detenidos pueden cuestionar la legalidad de su detención en cortes federales. En los dos años posteriores al caso </w:t>
      </w:r>
      <w:proofErr w:type="spellStart"/>
      <w:r>
        <w:rPr>
          <w:rFonts w:ascii="Cambria" w:hAnsi="Cambria"/>
          <w:i/>
          <w:sz w:val="20"/>
        </w:rPr>
        <w:t>Boumediene</w:t>
      </w:r>
      <w:proofErr w:type="spellEnd"/>
      <w:r>
        <w:rPr>
          <w:rFonts w:ascii="Cambria" w:hAnsi="Cambria"/>
          <w:sz w:val="20"/>
        </w:rPr>
        <w:t>, a más de 30 detenidos se les concedió el recurso de hábeas corpus y fueron liberados a sus países de origen o a terceros países</w:t>
      </w:r>
      <w:r>
        <w:rPr>
          <w:rStyle w:val="FootnoteReference"/>
          <w:rFonts w:ascii="Cambria" w:hAnsi="Cambria"/>
          <w:sz w:val="20"/>
        </w:rPr>
        <w:footnoteReference w:id="336"/>
      </w:r>
      <w:r>
        <w:rPr>
          <w:rFonts w:ascii="Cambria" w:hAnsi="Cambria"/>
          <w:sz w:val="20"/>
        </w:rPr>
        <w:t xml:space="preserve">. Las personas cuyos recursos cuestionando la legalidad de su detención ante cortes federales han sido concedidos, no están sometidas a las restricciones a los traslados establecidas a través de la NDAA. No obstante, según se señaló en el capítulo anterior, desde julio de 2010 las cortes federales han trasladado la carga de la prueba a los detenidos, lo que genera inquietudes sobre la correcta aplicación del precedente sentado en </w:t>
      </w:r>
      <w:proofErr w:type="spellStart"/>
      <w:r>
        <w:rPr>
          <w:rFonts w:ascii="Cambria" w:hAnsi="Cambria"/>
          <w:i/>
          <w:sz w:val="20"/>
        </w:rPr>
        <w:t>Boumediene</w:t>
      </w:r>
      <w:proofErr w:type="spellEnd"/>
      <w:r>
        <w:rPr>
          <w:rFonts w:ascii="Cambria" w:hAnsi="Cambria"/>
          <w:sz w:val="20"/>
        </w:rPr>
        <w:t xml:space="preserve"> y niega a los detenidos una oportunidad significativa de cuestionar la legalidad de su detención. El 7 de octubre de 2008, en el caso </w:t>
      </w:r>
      <w:proofErr w:type="spellStart"/>
      <w:r>
        <w:rPr>
          <w:rFonts w:ascii="Cambria" w:hAnsi="Cambria"/>
          <w:i/>
          <w:sz w:val="20"/>
        </w:rPr>
        <w:t>Kiyemba</w:t>
      </w:r>
      <w:proofErr w:type="spellEnd"/>
      <w:r>
        <w:rPr>
          <w:rFonts w:ascii="Cambria" w:hAnsi="Cambria"/>
          <w:i/>
          <w:sz w:val="20"/>
        </w:rPr>
        <w:t xml:space="preserve"> v. Obama</w:t>
      </w:r>
      <w:r>
        <w:rPr>
          <w:rFonts w:ascii="Cambria" w:hAnsi="Cambria"/>
          <w:sz w:val="20"/>
        </w:rPr>
        <w:t xml:space="preserve"> la Corte del Distrito de D.C. ordenó que 17 uigures fueran inmediatamente liberados en Estados Unidos, lo que constituyó la primera vez que un juez de la corte del distrito ordenara la liberación de detenidos de Guantánamo con base en un recurso de hábeas corpus. No obstante, la Corte de Circuito de D.C. revocó la decisión, estableciendo que, en ausencia de una ley que expresamente autorice a las cortes federales a ordenar la liberación en Estados Unidos de los detenidos de Guantánamo, no están facultadas a ordenar la liberación</w:t>
      </w:r>
      <w:r>
        <w:rPr>
          <w:rStyle w:val="FootnoteReference"/>
          <w:rFonts w:ascii="Cambria" w:hAnsi="Cambria"/>
          <w:sz w:val="20"/>
        </w:rPr>
        <w:footnoteReference w:id="337"/>
      </w:r>
      <w:r>
        <w:rPr>
          <w:rFonts w:ascii="Cambria" w:hAnsi="Cambria"/>
          <w:sz w:val="20"/>
        </w:rPr>
        <w:t xml:space="preserve">. La Corte Suprema de EE.UU. en principio emitió un auto de avocación </w:t>
      </w:r>
      <w:r>
        <w:rPr>
          <w:rFonts w:ascii="Cambria" w:hAnsi="Cambria"/>
          <w:sz w:val="20"/>
        </w:rPr>
        <w:lastRenderedPageBreak/>
        <w:t>(</w:t>
      </w:r>
      <w:proofErr w:type="spellStart"/>
      <w:r>
        <w:rPr>
          <w:rFonts w:ascii="Cambria" w:hAnsi="Cambria"/>
          <w:i/>
          <w:sz w:val="20"/>
        </w:rPr>
        <w:t>certiorari</w:t>
      </w:r>
      <w:proofErr w:type="spellEnd"/>
      <w:r>
        <w:rPr>
          <w:rFonts w:ascii="Cambria" w:hAnsi="Cambria"/>
          <w:sz w:val="20"/>
        </w:rPr>
        <w:t>) pero, después de devolver el caso a la corte de apelaciones, rechazó un auto de avocación subsiguiente en consideración de que los uigures habían sido posteriormente reasentados</w:t>
      </w:r>
      <w:r>
        <w:rPr>
          <w:rStyle w:val="FootnoteReference"/>
          <w:rFonts w:ascii="Cambria" w:hAnsi="Cambria"/>
          <w:sz w:val="20"/>
        </w:rPr>
        <w:footnoteReference w:id="338"/>
      </w:r>
      <w:r>
        <w:rPr>
          <w:rFonts w:ascii="Cambria" w:hAnsi="Cambria"/>
          <w:sz w:val="20"/>
        </w:rPr>
        <w:t xml:space="preserve">. El caso </w:t>
      </w:r>
      <w:proofErr w:type="spellStart"/>
      <w:r>
        <w:rPr>
          <w:rFonts w:ascii="Cambria" w:hAnsi="Cambria"/>
          <w:i/>
          <w:sz w:val="20"/>
        </w:rPr>
        <w:t>Kiyemba</w:t>
      </w:r>
      <w:proofErr w:type="spellEnd"/>
      <w:r>
        <w:rPr>
          <w:rFonts w:ascii="Cambria" w:hAnsi="Cambria"/>
          <w:sz w:val="20"/>
        </w:rPr>
        <w:t xml:space="preserve">,  por lo tanto, negó a las cortes federales la facultad de proporcionar un recurso a los detenidos respecto de quienes se había decidido que estaban ilegalmente privados de su libertad en Guantánamo, socavando la decisión de la Corte Suprema en el caso </w:t>
      </w:r>
      <w:proofErr w:type="spellStart"/>
      <w:r>
        <w:rPr>
          <w:rFonts w:ascii="Cambria" w:hAnsi="Cambria"/>
          <w:i/>
          <w:sz w:val="20"/>
        </w:rPr>
        <w:t>Boumediene</w:t>
      </w:r>
      <w:proofErr w:type="spellEnd"/>
      <w:r>
        <w:rPr>
          <w:rFonts w:ascii="Cambria" w:hAnsi="Cambria"/>
          <w:sz w:val="20"/>
        </w:rPr>
        <w:t xml:space="preserve">. Al respecto debe considerarse que, con posterioridad al caso </w:t>
      </w:r>
      <w:proofErr w:type="spellStart"/>
      <w:r>
        <w:rPr>
          <w:rFonts w:ascii="Cambria" w:hAnsi="Cambria"/>
          <w:i/>
          <w:sz w:val="20"/>
        </w:rPr>
        <w:t>Boumediene</w:t>
      </w:r>
      <w:proofErr w:type="spellEnd"/>
      <w:r>
        <w:rPr>
          <w:rFonts w:ascii="Cambria" w:hAnsi="Cambria"/>
          <w:i/>
          <w:sz w:val="20"/>
        </w:rPr>
        <w:t xml:space="preserve">, </w:t>
      </w:r>
      <w:r>
        <w:rPr>
          <w:rFonts w:ascii="Cambria" w:hAnsi="Cambria"/>
          <w:sz w:val="20"/>
        </w:rPr>
        <w:t xml:space="preserve">la Corte Suprema no ha emitido decisiones sobre recursos de hábeas corpus relativos a detenidos de Guantánamo. </w:t>
      </w:r>
    </w:p>
    <w:p w:rsidR="00F90639" w:rsidRPr="00FC2F1B" w:rsidRDefault="00F90639" w:rsidP="00F90639">
      <w:pPr>
        <w:ind w:left="720"/>
        <w:jc w:val="bot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t xml:space="preserve">Tercero, el Departamento de Defensa, como departamento responsable de su detención, está facultado para liberar detenidos de Guantánamo. En seguimiento al Decreto Ejecutivo 13492, el Departamento de Defensa llevó a cabo una revisión </w:t>
      </w:r>
      <w:proofErr w:type="spellStart"/>
      <w:r>
        <w:rPr>
          <w:rFonts w:ascii="Cambria" w:hAnsi="Cambria"/>
          <w:sz w:val="20"/>
        </w:rPr>
        <w:t>interagencial</w:t>
      </w:r>
      <w:proofErr w:type="spellEnd"/>
      <w:r>
        <w:rPr>
          <w:rFonts w:ascii="Cambria" w:hAnsi="Cambria"/>
          <w:sz w:val="20"/>
        </w:rPr>
        <w:t xml:space="preserve"> del estatus de cada detenido y concluyó que se autorizaba el traslado de 126 de las 240 personas detenidas en ese momento</w:t>
      </w:r>
      <w:r>
        <w:rPr>
          <w:rStyle w:val="FootnoteReference"/>
          <w:rFonts w:ascii="Cambria" w:hAnsi="Cambria"/>
          <w:sz w:val="20"/>
        </w:rPr>
        <w:footnoteReference w:id="339"/>
      </w:r>
      <w:r>
        <w:rPr>
          <w:rFonts w:ascii="Cambria" w:hAnsi="Cambria"/>
          <w:sz w:val="20"/>
        </w:rPr>
        <w:t xml:space="preserve">. No obstante, alrededor de la mitad de aquellos autorizados no fue trasladada antes de diciembre de 2010, y ahora debe cumplir los requisitos impuestos por la NDAA.  </w:t>
      </w:r>
    </w:p>
    <w:p w:rsidR="00F90639" w:rsidRPr="00FC2F1B" w:rsidRDefault="00F90639" w:rsidP="00F90639">
      <w:pPr>
        <w:pStyle w:val="ListParagrap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t>A pesar de estos obstáculos, el poder ejecutivo ha adoptado algunos pasos importantes en los últimos años encaminados a cumplir su objetivo de cerrar Guantánamo. Con posterioridad a su discurso de 23 de mayo de 2013 en la Universidad de Defensa Nacional, el Presidente Obama designó dos Enviados Especiales a los Departamentos de Estado y de Defensa, respectivamente, para lograr el traslado de los detenidos identificados para traslado. El Presidente también levantó la moratoria de traslados de detenidos hacia Yemen y dio inicio al proceso de la Junta de Revisión Periódica (PRB) ordenado por el Decreto Ejecutivo 13567. Adicionalmente, desde esa fecha y hasta el 23 de enero de 2015, 44 detenidos han sido repatriados o trasladados a terceros países.</w:t>
      </w:r>
    </w:p>
    <w:p w:rsidR="00F90639" w:rsidRPr="00FC2F1B" w:rsidRDefault="00F90639" w:rsidP="00F90639">
      <w:pPr>
        <w:pStyle w:val="ListParagrap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t>En este capítulo, la CIDH evaluará la situación actual de las tres categorías de detenidos que permanecen privados de libertad en la Bahía de Guantánamo: detenidos autorizados para traslado; detenidos que enfrentan cargos penales ante comisiones militares; y detenidos identificados para detención continua (o que han sido acusados pero que actualmente no están siendo considerados para procesamiento penal).</w:t>
      </w:r>
    </w:p>
    <w:p w:rsidR="00F90639" w:rsidRPr="00FC2F1B" w:rsidRDefault="00F90639" w:rsidP="00F90639">
      <w:pPr>
        <w:pStyle w:val="ListParagraph"/>
        <w:rPr>
          <w:rFonts w:ascii="Cambria" w:hAnsi="Cambria"/>
          <w:sz w:val="20"/>
          <w:szCs w:val="20"/>
        </w:rPr>
      </w:pPr>
    </w:p>
    <w:p w:rsidR="00F90639" w:rsidRPr="00FC2F1B" w:rsidRDefault="00F90639" w:rsidP="00734E08">
      <w:pPr>
        <w:pStyle w:val="Heading2"/>
        <w:numPr>
          <w:ilvl w:val="0"/>
          <w:numId w:val="32"/>
        </w:numPr>
        <w:ind w:left="547" w:hanging="547"/>
      </w:pPr>
      <w:bookmarkStart w:id="54" w:name="_Toc423072855"/>
      <w:r>
        <w:t>Detenidos autorizados para traslado</w:t>
      </w:r>
      <w:bookmarkEnd w:id="54"/>
    </w:p>
    <w:p w:rsidR="00F90639" w:rsidRPr="00FC2F1B" w:rsidRDefault="00F90639" w:rsidP="00F90639">
      <w:pPr>
        <w:tabs>
          <w:tab w:val="num" w:pos="5010"/>
        </w:tabs>
        <w:jc w:val="bot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t xml:space="preserve"> El gobierno estadounidense utiliza el término “liberación” para referirse al fin de la privación de libertad sin necesidad de medidas de seguridad continuas en el país receptor, mientras que el término “traslado” se utiliza para referirse al fin de la privación de libertad sujeto a medidas de seguridad adecuadas</w:t>
      </w:r>
      <w:r>
        <w:rPr>
          <w:rStyle w:val="FootnoteReference"/>
          <w:rFonts w:ascii="Cambria" w:hAnsi="Cambria"/>
          <w:sz w:val="20"/>
        </w:rPr>
        <w:footnoteReference w:id="340"/>
      </w:r>
      <w:r>
        <w:rPr>
          <w:rFonts w:ascii="Cambria" w:hAnsi="Cambria"/>
          <w:sz w:val="20"/>
        </w:rPr>
        <w:t xml:space="preserve">. Se considera que </w:t>
      </w:r>
      <w:r>
        <w:rPr>
          <w:rFonts w:ascii="Cambria" w:hAnsi="Cambria"/>
          <w:sz w:val="20"/>
        </w:rPr>
        <w:lastRenderedPageBreak/>
        <w:t>un detenido califica para el traslado “si la amenaza que constituye podría ser suficientemente mitigada a través de medidas de seguridad factibles y apropiadas”</w:t>
      </w:r>
      <w:r>
        <w:rPr>
          <w:rStyle w:val="FootnoteReference"/>
          <w:rFonts w:ascii="Cambria" w:hAnsi="Cambria"/>
          <w:sz w:val="20"/>
        </w:rPr>
        <w:footnoteReference w:id="341"/>
      </w:r>
      <w:r>
        <w:rPr>
          <w:rFonts w:ascii="Cambria" w:hAnsi="Cambria"/>
          <w:sz w:val="20"/>
        </w:rPr>
        <w:t xml:space="preserve">. En consecuencia, autorizar el traslado de un detenido no implica que Estados Unidos considere que la persona no constituye una amenaza, sino que se trata de una decisión de manejo de riesgos. Las autorizaciones para traslados de detenidos son aprobadas de forma unánime por los Departamentos de Justicia, Defensa, Estado y Seguridad Nacional, la Agencia Central de Inteligencia (CIA) y la Oficina Federal de Investigación (FBI).  </w:t>
      </w:r>
    </w:p>
    <w:p w:rsidR="00F90639" w:rsidRPr="00FC2F1B" w:rsidRDefault="00F90639" w:rsidP="00F90639">
      <w:pPr>
        <w:jc w:val="both"/>
        <w:rPr>
          <w:rFonts w:ascii="Cambria" w:hAnsi="Cambria"/>
          <w:sz w:val="20"/>
          <w:szCs w:val="20"/>
        </w:rPr>
      </w:pPr>
    </w:p>
    <w:p w:rsidR="00F90639" w:rsidRPr="00FC2F1B" w:rsidRDefault="00F90639" w:rsidP="00477F3F">
      <w:pPr>
        <w:pStyle w:val="Style3"/>
        <w:numPr>
          <w:ilvl w:val="0"/>
          <w:numId w:val="14"/>
        </w:numPr>
        <w:ind w:left="1094" w:hanging="547"/>
      </w:pPr>
      <w:bookmarkStart w:id="55" w:name="_Toc423072856"/>
      <w:r>
        <w:t>Desafíos en los traslados de detenidos</w:t>
      </w:r>
      <w:bookmarkEnd w:id="55"/>
    </w:p>
    <w:p w:rsidR="00F90639" w:rsidRPr="00FC2F1B" w:rsidRDefault="00F90639" w:rsidP="00F90639">
      <w:pPr>
        <w:pStyle w:val="ListParagraph"/>
        <w:ind w:left="5040"/>
        <w:jc w:val="bot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sidRPr="006B5BEA">
        <w:rPr>
          <w:rFonts w:ascii="Cambria" w:hAnsi="Cambria"/>
          <w:sz w:val="20"/>
        </w:rPr>
        <w:t>Desde la apertura del centro de detención en Guantánamo en 2002, más de 640</w:t>
      </w:r>
      <w:r>
        <w:rPr>
          <w:rFonts w:ascii="Cambria" w:hAnsi="Cambria"/>
          <w:sz w:val="20"/>
        </w:rPr>
        <w:t xml:space="preserve"> personas han sido liberadas o trasladadas a sus países de origen o a terceros países</w:t>
      </w:r>
      <w:r>
        <w:rPr>
          <w:rStyle w:val="FootnoteReference"/>
          <w:rFonts w:ascii="Cambria" w:hAnsi="Cambria"/>
          <w:sz w:val="20"/>
        </w:rPr>
        <w:footnoteReference w:id="342"/>
      </w:r>
      <w:r>
        <w:rPr>
          <w:rFonts w:ascii="Cambria" w:hAnsi="Cambria"/>
          <w:sz w:val="20"/>
        </w:rPr>
        <w:t>. De las 779 personas detenidas en Guantánamo, casi el 70% fue trasladado o liberado de la custodia estadounidense antes de 2009</w:t>
      </w:r>
      <w:r>
        <w:rPr>
          <w:rStyle w:val="FootnoteReference"/>
          <w:rFonts w:ascii="Cambria" w:hAnsi="Cambria"/>
          <w:sz w:val="20"/>
        </w:rPr>
        <w:footnoteReference w:id="343"/>
      </w:r>
      <w:r>
        <w:rPr>
          <w:rFonts w:ascii="Cambria" w:hAnsi="Cambria"/>
          <w:sz w:val="20"/>
        </w:rPr>
        <w:t>. Hasta enero de 2015, 27 países de Europa, Asia, Medio Oriente, África y América Latina habrían reasentado a un total de 82 extranjeros detenidos de Guantánamo</w:t>
      </w:r>
      <w:r>
        <w:rPr>
          <w:rStyle w:val="FootnoteReference"/>
          <w:rFonts w:ascii="Cambria" w:hAnsi="Cambria"/>
          <w:sz w:val="20"/>
        </w:rPr>
        <w:footnoteReference w:id="344"/>
      </w:r>
      <w:r>
        <w:rPr>
          <w:rFonts w:ascii="Cambria" w:hAnsi="Cambria"/>
          <w:sz w:val="20"/>
        </w:rPr>
        <w:t>. La CIDH observa con profunda preocupación que, según información pública disponible, diez detenidos fueron trasladados a ubicaciones desconocidas entre julio de 2003 y marzo de 2004</w:t>
      </w:r>
      <w:r>
        <w:rPr>
          <w:rStyle w:val="FootnoteReference"/>
          <w:rFonts w:ascii="Cambria" w:hAnsi="Cambria"/>
          <w:sz w:val="20"/>
        </w:rPr>
        <w:footnoteReference w:id="345"/>
      </w:r>
      <w:r>
        <w:rPr>
          <w:rFonts w:ascii="Cambria" w:hAnsi="Cambria"/>
          <w:sz w:val="20"/>
        </w:rPr>
        <w:t xml:space="preserve">. </w:t>
      </w:r>
    </w:p>
    <w:p w:rsidR="00F90639" w:rsidRPr="00FC2F1B" w:rsidRDefault="00F90639" w:rsidP="00F90639">
      <w:pPr>
        <w:ind w:left="720"/>
        <w:jc w:val="bot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t>En diciembre de 2010, el Congreso de Estados Unidos emitió la Ley de Autorización de Defensa Nacional (NDAA) para el año fiscal 2011, que prohibió todos los gastos relacionados con el traslado de detenidos hacia Estados Unidos, así como el uso de fondos para construir o modificar los centros de detención de Estados Unidos con miras a acoger detenidos de Guantánamo, y estableció onerosos requisitos para el traslado de cualquier detenido a un tercer país. Las NDAA para los años fiscales 2012 y 2013 mantuvieron vigentes todas las restricciones señaladas. La legislación estableció como requisito una certificación casi imposible de obtener. El Secretario de Estado debía certificar, en un plazo no mayor a 30 días previos al traslado, que el gobierno del país receptor cumpliera con varios requisitos, como por ejemplo el haber “adoptado o haberse comprometido a adoptar acciones efectivas para garantizar que la persona no ejecute acciones que amenacen a Estados Unidos, a sus ciudadanos, o a sus aliados en el futuro”. La legislación establecía dos excepciones a la certificación: la existencia de una orden judicial o un acuerdo inculpatorio ante una Comisión Militar (esta última excepción fue eliminada de la NDAA para el año fiscal 2013). Como se discutirá más adelante, la NDAA también contempló una exención (</w:t>
      </w:r>
      <w:proofErr w:type="spellStart"/>
      <w:r>
        <w:rPr>
          <w:rFonts w:ascii="Cambria" w:hAnsi="Cambria"/>
          <w:i/>
          <w:sz w:val="20"/>
        </w:rPr>
        <w:t>waiver</w:t>
      </w:r>
      <w:proofErr w:type="spellEnd"/>
      <w:r>
        <w:rPr>
          <w:rFonts w:ascii="Cambria" w:hAnsi="Cambria"/>
          <w:sz w:val="20"/>
        </w:rPr>
        <w:t xml:space="preserve">) de seguridad nacional.  </w:t>
      </w:r>
    </w:p>
    <w:p w:rsidR="00F90639" w:rsidRPr="00FC2F1B" w:rsidRDefault="00F90639" w:rsidP="00F90639">
      <w:pPr>
        <w:ind w:left="720"/>
        <w:jc w:val="bot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lastRenderedPageBreak/>
        <w:t>Las restricciones a los traslados impuestas por el Congreso han constituido un importante obstáculo a los traslados, lo que se refleja en las cifras. Antes de que se impusiera la primera restricción en 2011, la administración del Presidente Obama habría trasladado a 67 detenidos, en comparación con los 15 trasladados entre enero de 2011 y diciembre de 2013. Estos traslados se llevaron a cabo sobre todo con base en excepciones a dichas restricciones; sólo dos detenidos, que fueron repatriados a Argelia el 28 de agosto de 2013, fueron trasladados en aplicación del proceso de certificación.</w:t>
      </w:r>
    </w:p>
    <w:p w:rsidR="00F90639" w:rsidRPr="00FC2F1B" w:rsidRDefault="00F90639" w:rsidP="00F90639">
      <w:pPr>
        <w:pStyle w:val="ListParagrap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t xml:space="preserve">La NDAA para el año fiscal 2014 suavizó estas estrictas restricciones y otorgó al gobierno mayor flexibilidad para acelerar el proceso de traslados. De conformidad con la Sección 1045, los detenidos pueden ser trasladados en aplicación de tres mecanismos: en seguimiento a una revisión de la PRB; en aplicación de una orden judicial; y, para todos los demás traslados, el Secretario de Defensa debe determinar, en consideración de varios factores, que se han adoptado o se adoptarán acciones para mitigar el riesgo de que el detenido se involucre nuevamente en actividades terroristas, y que el traslado esté en el mejor interés de la seguridad nacional de los Estados Unidos. Por lo tanto, la ley faculta al Secretario de Defensa a finalizar el traslado de detenidos. Se mantuvo el requisito de notificación dentro de los 30 días. </w:t>
      </w:r>
    </w:p>
    <w:p w:rsidR="00F90639" w:rsidRPr="00FC2F1B" w:rsidRDefault="00F90639" w:rsidP="00F90639">
      <w:pPr>
        <w:pStyle w:val="ListParagrap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t xml:space="preserve">La NDAA para el año fiscal 2014 eliminó los onerosos requisitos de certificación impuestos en 2011, modificación que se mantuvo en la NDAA para el año fiscal 2015. No obstante, no eliminó las otras dos restricciones (la prohibición de traslados de detenidos hacia Estados Unidos y la de uso de fondos para construir o modificar los centros de detención en Estados Unidos para alojar a detenidos de Guantánamo). Tampoco se adoptó una disposición relativa al traslado temporal de detenidos hacia Estados Unidos para emergencias o tratamiento médico crítico. Las mejoras introducidas en la NDAA, junto con otros factores tales como la presión generada por la huelga de hambre masiva de 2013, tuvieron un impacto en el número de traslados. En 2014, 28 detenidos fueron repatriados o reasentados en terceros países, en contraste con los 15 trasladados en los tres años previos. </w:t>
      </w:r>
    </w:p>
    <w:p w:rsidR="00F90639" w:rsidRPr="00FC2F1B" w:rsidRDefault="00F90639" w:rsidP="00F90639">
      <w:pPr>
        <w:pStyle w:val="ListParagrap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t xml:space="preserve">Los traslados no sólo dependen de los requisitos legales; también tienen una dimensión política importante. Los factores a ser considerados por el Secretario de Defensa en el marco de la determinación del traslado, tales como las garantías ofrecidas por el país receptor para disminuir el riesgo de que la persona se involucre en actividades hostiles que amenacen a Estados Unidos, son negociadas bilateralmente. Por lo tanto, el traslado de personas de Guantánamo se basa e históricamente se ha basado en las relaciones diplomáticas. El hecho de que los ciudadanos de Europa Occidental fueran los primeros en ser liberados, junto con la mayoría de ciudadanos de Arabia Saudita o Paquistán, ilustra este aspecto político. </w:t>
      </w:r>
    </w:p>
    <w:p w:rsidR="00F90639" w:rsidRPr="00FC2F1B" w:rsidRDefault="00F90639" w:rsidP="00F90639">
      <w:pPr>
        <w:pStyle w:val="ListParagrap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t>La Comisión Interamericana observa que los traslados por lo general se autorizan supeditados a “medidas de seguridad adecuadas”</w:t>
      </w:r>
      <w:r>
        <w:rPr>
          <w:rStyle w:val="FootnoteReference"/>
          <w:rFonts w:ascii="Cambria" w:hAnsi="Cambria"/>
          <w:sz w:val="20"/>
        </w:rPr>
        <w:footnoteReference w:id="346"/>
      </w:r>
      <w:r>
        <w:rPr>
          <w:rFonts w:ascii="Cambria" w:hAnsi="Cambria"/>
          <w:sz w:val="20"/>
        </w:rPr>
        <w:t xml:space="preserve">. Algunos requisitos involucran, en la práctica, que el país receptor monitoree al detenido y/o restrinja sus salidas </w:t>
      </w:r>
      <w:r>
        <w:rPr>
          <w:rFonts w:ascii="Cambria" w:hAnsi="Cambria"/>
          <w:sz w:val="20"/>
        </w:rPr>
        <w:lastRenderedPageBreak/>
        <w:t xml:space="preserve">del país por un período de tiempo, por lo general de dos años después de la liberación. En algunos casos, el traslado puede involucrar la detención de la persona luego de su arribo o la participación en un “programa de rehabilitación”. El Centro de Rehabilitación Al </w:t>
      </w:r>
      <w:proofErr w:type="spellStart"/>
      <w:r>
        <w:rPr>
          <w:rFonts w:ascii="Cambria" w:hAnsi="Cambria"/>
          <w:sz w:val="20"/>
        </w:rPr>
        <w:t>Salam</w:t>
      </w:r>
      <w:proofErr w:type="spellEnd"/>
      <w:r>
        <w:rPr>
          <w:rFonts w:ascii="Cambria" w:hAnsi="Cambria"/>
          <w:sz w:val="20"/>
        </w:rPr>
        <w:t xml:space="preserve"> implementado por el gobierno de Kuwait es un ejemplo de estos programas. Fue creado en 2009 dentro de un centro de detención de alta seguridad para recibir a ciudadanos de Kuwait detenidos en Guantánamo. El programa iniciaría con una residencia de tiempo completo y finalizaría con una “atención ambulatoria” a través de la cual la persona es monitoreada constantemente. Según el abogado de </w:t>
      </w:r>
      <w:proofErr w:type="spellStart"/>
      <w:r>
        <w:rPr>
          <w:rFonts w:ascii="Cambria" w:hAnsi="Cambria"/>
          <w:sz w:val="20"/>
        </w:rPr>
        <w:t>Fouzi</w:t>
      </w:r>
      <w:proofErr w:type="spellEnd"/>
      <w:r>
        <w:rPr>
          <w:rFonts w:ascii="Cambria" w:hAnsi="Cambria"/>
          <w:sz w:val="20"/>
        </w:rPr>
        <w:t xml:space="preserve"> Al </w:t>
      </w:r>
      <w:proofErr w:type="spellStart"/>
      <w:r>
        <w:rPr>
          <w:rFonts w:ascii="Cambria" w:hAnsi="Cambria"/>
          <w:sz w:val="20"/>
        </w:rPr>
        <w:t>Awda</w:t>
      </w:r>
      <w:proofErr w:type="spellEnd"/>
      <w:r>
        <w:rPr>
          <w:rFonts w:ascii="Cambria" w:hAnsi="Cambria"/>
          <w:sz w:val="20"/>
        </w:rPr>
        <w:t xml:space="preserve">, un ex detenido de Guantánamo que forma parte del programa, se exigió que el señor Al </w:t>
      </w:r>
      <w:proofErr w:type="spellStart"/>
      <w:r>
        <w:rPr>
          <w:rFonts w:ascii="Cambria" w:hAnsi="Cambria"/>
          <w:sz w:val="20"/>
        </w:rPr>
        <w:t>Awda</w:t>
      </w:r>
      <w:proofErr w:type="spellEnd"/>
      <w:r>
        <w:rPr>
          <w:rFonts w:ascii="Cambria" w:hAnsi="Cambria"/>
          <w:sz w:val="20"/>
        </w:rPr>
        <w:t xml:space="preserve"> entregara su pasaporte y se presente semanalmente ante la policía local. El uso de internet, instrucción religiosa, redes sociales, asuntos financieros y visitas a las mezquitas locales por parte del ex detenido también serían monitoreadas</w:t>
      </w:r>
      <w:r>
        <w:rPr>
          <w:rStyle w:val="FootnoteReference"/>
          <w:rFonts w:ascii="Cambria" w:hAnsi="Cambria"/>
          <w:sz w:val="20"/>
        </w:rPr>
        <w:footnoteReference w:id="347"/>
      </w:r>
      <w:r>
        <w:rPr>
          <w:rFonts w:ascii="Cambria" w:hAnsi="Cambria"/>
          <w:sz w:val="20"/>
        </w:rPr>
        <w:t xml:space="preserve">. </w:t>
      </w:r>
    </w:p>
    <w:p w:rsidR="00F90639" w:rsidRPr="00FC2F1B" w:rsidRDefault="00F90639" w:rsidP="00F90639">
      <w:pPr>
        <w:ind w:left="720"/>
        <w:jc w:val="bot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t xml:space="preserve">La CIDH reitera que los detenidos de Guantánamo han estado ilegalmente privados de su libertad por más de una década, sin cargos ni juicio, y que una revisión </w:t>
      </w:r>
      <w:proofErr w:type="spellStart"/>
      <w:r>
        <w:rPr>
          <w:rFonts w:ascii="Cambria" w:hAnsi="Cambria"/>
          <w:sz w:val="20"/>
        </w:rPr>
        <w:t>interagencial</w:t>
      </w:r>
      <w:proofErr w:type="spellEnd"/>
      <w:r>
        <w:rPr>
          <w:rFonts w:ascii="Cambria" w:hAnsi="Cambria"/>
          <w:sz w:val="20"/>
        </w:rPr>
        <w:t xml:space="preserve"> ha decidido no procesar penalmente a muchos de ellos sino autorizar su traslado. Por lo tanto, toda restricción de este tipo impuesta por Estados Unidos o por el país receptor constituiría una interferencia arbitraria con el disfrute de derechos humanos del detenido. Preocupa a la CIDH el tratamiento que las autoridades de EE.UU. estarían dando a los detenidos durante su traslado. Según una declaración del abogado defensor de Abu </w:t>
      </w:r>
      <w:proofErr w:type="spellStart"/>
      <w:r>
        <w:rPr>
          <w:rFonts w:ascii="Cambria" w:hAnsi="Cambria"/>
          <w:sz w:val="20"/>
        </w:rPr>
        <w:t>Dhiad</w:t>
      </w:r>
      <w:proofErr w:type="spellEnd"/>
      <w:r>
        <w:rPr>
          <w:rFonts w:ascii="Cambria" w:hAnsi="Cambria"/>
          <w:sz w:val="20"/>
        </w:rPr>
        <w:t>, un ex detenido sirio reasentado en Uruguay junto con otros cinco el 7 de diciembre de 2014, durante el vuelo los detenidos habrían estado esposados y encadenados, sus ojos y oídos cubiertos y llevaban guantes gruesos para reducir el contacto con su entorno</w:t>
      </w:r>
      <w:r>
        <w:rPr>
          <w:rStyle w:val="FootnoteReference"/>
          <w:rFonts w:ascii="Cambria" w:hAnsi="Cambria"/>
          <w:sz w:val="20"/>
        </w:rPr>
        <w:footnoteReference w:id="348"/>
      </w:r>
      <w:r>
        <w:rPr>
          <w:rFonts w:ascii="Cambria" w:hAnsi="Cambria"/>
          <w:sz w:val="20"/>
        </w:rPr>
        <w:t xml:space="preserve">.   </w:t>
      </w:r>
    </w:p>
    <w:p w:rsidR="00F90639" w:rsidRPr="00FC2F1B" w:rsidRDefault="00F90639" w:rsidP="00F90639">
      <w:pPr>
        <w:pStyle w:val="ListParagrap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t xml:space="preserve">Una vez que el traslado del detenido ha sido autorizado, las autoridades de Estados Unidos no tienen fundamento para tratarlo como un sospechoso de terrorismo. Por lo tanto, los detenidos cuyo traslado ha sido autorizado deben estar separados del resto de detenidos, deben tener amplio acceso a sus abogados y a los miembros de sus familias, y no deben ser sometidos al régimen aplicable al resto de la población del centro de detención. Los detenidos cuyo traslado ha sido autorizado deben ser tratados como personas que nunca han sido acusadas –que es lo que son- respecto de quienes no existe un interés legítimo de las autoridades para privarlas de libertad. La única razón por la que continúan en Guantánamo es que están esperando que un tercer país los reciba. Por estas razones, los traslados deben llevarse a cabo con pleno respeto a los derechos de los detenidos a la libertad y a la integridad personal. Luego de su arribo, los ex detenidos no deben ser sometidos a restricción ilegal alguna en el país receptor. </w:t>
      </w:r>
    </w:p>
    <w:p w:rsidR="00F90639" w:rsidRPr="00FC2F1B" w:rsidRDefault="00F90639" w:rsidP="00F90639">
      <w:pPr>
        <w:pStyle w:val="ListParagrap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t xml:space="preserve">La Comisión Interamericana hace un llamado a derogar las disposiciones de la NDAA que prohíben el traslado de detenidos de Guantánamo a Estados Unidos. Los traslados hacia Estados Unidos deben ser permitidos para propósitos de tratamiento médico de emergencia, procesamiento judicial, o para casos en los que </w:t>
      </w:r>
      <w:r>
        <w:rPr>
          <w:rFonts w:ascii="Cambria" w:hAnsi="Cambria"/>
          <w:sz w:val="20"/>
        </w:rPr>
        <w:lastRenderedPageBreak/>
        <w:t xml:space="preserve">los detenidos cuyo traslado ha sido autorizado estarían en riesgo en su país de origen o no pueden o no quieren ir a un tercer país. Si bien las restricciones a los traslados impuestas por el gobierno han constituido un obstáculo importante en el cierre del centro de detención, el poder ejecutivo tiene la responsabilidad de explorar todas las posibles vías. Esto no sólo incluye las negociaciones diplomáticas sino también la búsqueda de oportunidades en el marco de los límites legales vigentes, tales como una interpretación flexible de los requisitos impuestos por la NDAA, aspecto que será desarrollado más adelante. </w:t>
      </w:r>
    </w:p>
    <w:p w:rsidR="00F90639" w:rsidRPr="00FC2F1B" w:rsidRDefault="00F90639" w:rsidP="00F90639">
      <w:pPr>
        <w:rPr>
          <w:rFonts w:ascii="Cambria" w:hAnsi="Cambria"/>
          <w:sz w:val="20"/>
          <w:szCs w:val="20"/>
        </w:rPr>
      </w:pPr>
    </w:p>
    <w:p w:rsidR="00F90639" w:rsidRPr="00FC2F1B" w:rsidRDefault="00F90639" w:rsidP="00110D4A">
      <w:pPr>
        <w:pStyle w:val="Style3"/>
        <w:numPr>
          <w:ilvl w:val="0"/>
          <w:numId w:val="33"/>
        </w:numPr>
        <w:ind w:left="1094" w:hanging="547"/>
      </w:pPr>
      <w:bookmarkStart w:id="56" w:name="_Toc423072857"/>
      <w:r>
        <w:t>La situación de los detenidos de Yemen</w:t>
      </w:r>
      <w:bookmarkEnd w:id="56"/>
    </w:p>
    <w:p w:rsidR="00F90639" w:rsidRPr="00FC2F1B" w:rsidRDefault="00F90639" w:rsidP="00477F3F">
      <w:pPr>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sidRPr="006B5BEA">
        <w:rPr>
          <w:rFonts w:ascii="Cambria" w:hAnsi="Cambria"/>
          <w:sz w:val="20"/>
        </w:rPr>
        <w:t>El cierre de Guantánamo está, en gran parte, relacionado con la situación de los detenidos de Yemen y las condiciones de seguridad en su país de origen. Hasta marzo de 2015, los ciudadanos de Yemen en Guantánamo representaban más del 60% del total de la población penitenciaria (75 de 122) y más del 85% de aquellos identificados para traslado (48 de 56)</w:t>
      </w:r>
      <w:r w:rsidRPr="006B5BEA">
        <w:rPr>
          <w:rStyle w:val="FootnoteReference"/>
          <w:rFonts w:ascii="Cambria" w:hAnsi="Cambria"/>
          <w:sz w:val="20"/>
        </w:rPr>
        <w:footnoteReference w:id="349"/>
      </w:r>
      <w:r w:rsidRPr="006B5BEA">
        <w:rPr>
          <w:rFonts w:ascii="Cambria" w:hAnsi="Cambria"/>
          <w:sz w:val="20"/>
        </w:rPr>
        <w:t>. En consecuencia, el cierre de Guantánamo</w:t>
      </w:r>
      <w:r>
        <w:rPr>
          <w:rFonts w:ascii="Cambria" w:hAnsi="Cambria"/>
          <w:sz w:val="20"/>
        </w:rPr>
        <w:t xml:space="preserve"> no será posible hasta que esta situación sea resuelta de manera eficiente. </w:t>
      </w:r>
    </w:p>
    <w:p w:rsidR="00F90639" w:rsidRPr="00FC2F1B" w:rsidRDefault="00F90639" w:rsidP="00F90639">
      <w:pPr>
        <w:ind w:left="720"/>
        <w:jc w:val="bot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t>El Grupo de Trabajo para la Revisión de Guantánamo (</w:t>
      </w:r>
      <w:proofErr w:type="spellStart"/>
      <w:r>
        <w:rPr>
          <w:rFonts w:ascii="Cambria" w:hAnsi="Cambria"/>
          <w:i/>
          <w:sz w:val="20"/>
        </w:rPr>
        <w:t>Guantanamo</w:t>
      </w:r>
      <w:proofErr w:type="spellEnd"/>
      <w:r>
        <w:rPr>
          <w:rFonts w:ascii="Cambria" w:hAnsi="Cambria"/>
          <w:i/>
          <w:sz w:val="20"/>
        </w:rPr>
        <w:t xml:space="preserve"> </w:t>
      </w:r>
      <w:proofErr w:type="spellStart"/>
      <w:r>
        <w:rPr>
          <w:rFonts w:ascii="Cambria" w:hAnsi="Cambria"/>
          <w:i/>
          <w:sz w:val="20"/>
        </w:rPr>
        <w:t>Review</w:t>
      </w:r>
      <w:proofErr w:type="spellEnd"/>
      <w:r>
        <w:rPr>
          <w:rFonts w:ascii="Cambria" w:hAnsi="Cambria"/>
          <w:i/>
          <w:sz w:val="20"/>
        </w:rPr>
        <w:t xml:space="preserve"> </w:t>
      </w:r>
      <w:proofErr w:type="spellStart"/>
      <w:r>
        <w:rPr>
          <w:rFonts w:ascii="Cambria" w:hAnsi="Cambria"/>
          <w:i/>
          <w:sz w:val="20"/>
        </w:rPr>
        <w:t>Task</w:t>
      </w:r>
      <w:proofErr w:type="spellEnd"/>
      <w:r>
        <w:rPr>
          <w:rFonts w:ascii="Cambria" w:hAnsi="Cambria"/>
          <w:i/>
          <w:sz w:val="20"/>
        </w:rPr>
        <w:t xml:space="preserve"> </w:t>
      </w:r>
      <w:proofErr w:type="spellStart"/>
      <w:r>
        <w:rPr>
          <w:rFonts w:ascii="Cambria" w:hAnsi="Cambria"/>
          <w:i/>
          <w:sz w:val="20"/>
        </w:rPr>
        <w:t>Force</w:t>
      </w:r>
      <w:proofErr w:type="spellEnd"/>
      <w:r>
        <w:rPr>
          <w:rFonts w:ascii="Cambria" w:hAnsi="Cambria"/>
          <w:sz w:val="20"/>
        </w:rPr>
        <w:t>) concluyó que los detenidos de Yemen constituyen un desafío particular; son de lejos el grupo poblacional más grande de Guantánamo, y la situación de seguridad en Yemen se ha deteriorado</w:t>
      </w:r>
      <w:r>
        <w:rPr>
          <w:rStyle w:val="FootnoteReference"/>
          <w:rFonts w:ascii="Cambria" w:hAnsi="Cambria"/>
          <w:sz w:val="20"/>
        </w:rPr>
        <w:footnoteReference w:id="350"/>
      </w:r>
      <w:r>
        <w:rPr>
          <w:rFonts w:ascii="Cambria" w:hAnsi="Cambria"/>
          <w:sz w:val="20"/>
        </w:rPr>
        <w:t xml:space="preserve">. En 2009, el Grupo de Trabajo para la Revisión de Guantánamo aprobó el traslado –sujeto a medidas de seguridad adecuadas- de 36 de los 97 ciudadanos de Yemen detenidos en ese entonces. Siete de ellos fueron repatriados entre septiembre y diciembre de 2009. Tras el intento de atentado contra un avión con destino a Detroit el 25 de diciembre de 2009 por parte de un ciudadano nigeriano entrenado en Yemen, el presidente Obama impuso una moratoria general a los traslados a Yemen por temor a que los detenidos de Guantánamo pudieran ser reclutados por terroristas. Durante la vigencia de la moratoria, sólo un ciudadano de Yemen fue liberado. Fue el caso de Mohammed </w:t>
      </w:r>
      <w:proofErr w:type="spellStart"/>
      <w:r>
        <w:rPr>
          <w:rFonts w:ascii="Cambria" w:hAnsi="Cambria"/>
          <w:sz w:val="20"/>
        </w:rPr>
        <w:t>Odaini</w:t>
      </w:r>
      <w:proofErr w:type="spellEnd"/>
      <w:r>
        <w:rPr>
          <w:rFonts w:ascii="Cambria" w:hAnsi="Cambria"/>
          <w:sz w:val="20"/>
        </w:rPr>
        <w:t xml:space="preserve"> quien había sido detenido en Paquistán en 2002 cuando tenía 17 años. El Juez Distrital de EE.UU Henry H. Kennedy Jr. concluyó que su detención era ilegal y ordenó su liberación el 26 de mayo de 2010</w:t>
      </w:r>
      <w:r>
        <w:rPr>
          <w:rStyle w:val="FootnoteReference"/>
          <w:rFonts w:ascii="Cambria" w:hAnsi="Cambria"/>
          <w:sz w:val="20"/>
        </w:rPr>
        <w:footnoteReference w:id="351"/>
      </w:r>
      <w:r>
        <w:rPr>
          <w:rFonts w:ascii="Cambria" w:hAnsi="Cambria"/>
          <w:sz w:val="20"/>
        </w:rPr>
        <w:t xml:space="preserve">. Esta liberación ordenada judicialmente fue la única excepción a la suspensión. </w:t>
      </w:r>
    </w:p>
    <w:p w:rsidR="00F90639" w:rsidRPr="00FC2F1B" w:rsidRDefault="00F90639" w:rsidP="00F90639">
      <w:pPr>
        <w:ind w:left="720"/>
        <w:jc w:val="bot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t xml:space="preserve">El 23 de mayo de 2013, el Presidente Obama levantó la moratoria y anunció que se reanudarían los traslados a Yemen bajo un análisis caso a caso sujeto al establecimiento de programas de rehabilitación y monitoreo. El 1 de agosto de 2013, los Presidentes de Estados Unidos y Yemen emitieron una declaración conjunta en la que este último reafirmó su intención de “establecer un programa de rehabilitación extremista [que] también podría facilitar el traslado de detenidos de </w:t>
      </w:r>
      <w:r>
        <w:rPr>
          <w:rFonts w:ascii="Cambria" w:hAnsi="Cambria"/>
          <w:sz w:val="20"/>
        </w:rPr>
        <w:lastRenderedPageBreak/>
        <w:t>Yemen que se encuentran en Guantánamo”</w:t>
      </w:r>
      <w:r>
        <w:rPr>
          <w:rStyle w:val="FootnoteReference"/>
          <w:rFonts w:ascii="Cambria" w:hAnsi="Cambria"/>
          <w:sz w:val="20"/>
        </w:rPr>
        <w:footnoteReference w:id="352"/>
      </w:r>
      <w:r>
        <w:rPr>
          <w:rFonts w:ascii="Cambria" w:hAnsi="Cambria"/>
          <w:sz w:val="20"/>
        </w:rPr>
        <w:t>. Este programa de rehabilitación estría siendo desarrollado con asistencia de las Naciones Unidas</w:t>
      </w:r>
      <w:r>
        <w:rPr>
          <w:rStyle w:val="FootnoteReference"/>
          <w:rFonts w:ascii="Cambria" w:hAnsi="Cambria"/>
          <w:sz w:val="20"/>
        </w:rPr>
        <w:footnoteReference w:id="353"/>
      </w:r>
      <w:r>
        <w:rPr>
          <w:rFonts w:ascii="Cambria" w:hAnsi="Cambria"/>
          <w:sz w:val="20"/>
        </w:rPr>
        <w:t xml:space="preserve">. </w:t>
      </w:r>
    </w:p>
    <w:p w:rsidR="00F90639" w:rsidRPr="00FC2F1B" w:rsidRDefault="00F90639" w:rsidP="00F90639">
      <w:pPr>
        <w:pStyle w:val="ListParagraph"/>
        <w:rPr>
          <w:rFonts w:ascii="Cambria" w:hAnsi="Cambria"/>
          <w:sz w:val="20"/>
          <w:szCs w:val="20"/>
        </w:rPr>
      </w:pPr>
    </w:p>
    <w:p w:rsidR="002E3297" w:rsidRPr="006B5BEA" w:rsidRDefault="00F90639" w:rsidP="00724CD2">
      <w:pPr>
        <w:numPr>
          <w:ilvl w:val="0"/>
          <w:numId w:val="5"/>
        </w:numPr>
        <w:ind w:left="547" w:hanging="547"/>
        <w:jc w:val="both"/>
        <w:rPr>
          <w:rFonts w:ascii="Cambria" w:hAnsi="Cambria"/>
          <w:sz w:val="20"/>
          <w:szCs w:val="20"/>
        </w:rPr>
      </w:pPr>
      <w:r>
        <w:rPr>
          <w:rFonts w:ascii="Cambria" w:hAnsi="Cambria"/>
          <w:sz w:val="20"/>
        </w:rPr>
        <w:t>Funcionarios del gobierno estadounidense han señalado que la administración no necesariamente esperará hasta que un programa de rehabilitación esté en funcionamiento antes de iniciar el traslado de algunos detenidos de Yemen</w:t>
      </w:r>
      <w:r>
        <w:rPr>
          <w:rStyle w:val="FootnoteReference"/>
          <w:rFonts w:ascii="Cambria" w:hAnsi="Cambria"/>
          <w:sz w:val="20"/>
        </w:rPr>
        <w:footnoteReference w:id="354"/>
      </w:r>
      <w:r>
        <w:rPr>
          <w:rFonts w:ascii="Cambria" w:hAnsi="Cambria"/>
          <w:sz w:val="20"/>
        </w:rPr>
        <w:t xml:space="preserve">. Entre </w:t>
      </w:r>
      <w:r w:rsidRPr="006B5BEA">
        <w:rPr>
          <w:rFonts w:ascii="Cambria" w:hAnsi="Cambria"/>
          <w:sz w:val="20"/>
        </w:rPr>
        <w:t>mayo de 2013 y enero de 2015, doce ciudadanos de Yemen detenidos en Guantánamo fueron liberados. Sin embargo, ninguno de ellos ha sido repatriado a Yemen. Según Estados Unidos, la situación actual en Yemen impide al Gobierno de Estados Unidos repatriar a los detenidos yemenitas.  Sostienen, sin embargo, que el Gobierno est</w:t>
      </w:r>
      <w:r w:rsidR="00107953" w:rsidRPr="006B5BEA">
        <w:rPr>
          <w:rFonts w:ascii="Cambria" w:hAnsi="Cambria"/>
          <w:sz w:val="20"/>
        </w:rPr>
        <w:t>á</w:t>
      </w:r>
      <w:r w:rsidRPr="006B5BEA">
        <w:rPr>
          <w:rFonts w:ascii="Cambria" w:hAnsi="Cambria"/>
          <w:sz w:val="20"/>
        </w:rPr>
        <w:t xml:space="preserve"> </w:t>
      </w:r>
      <w:r w:rsidR="00E01790" w:rsidRPr="006B5BEA">
        <w:rPr>
          <w:rFonts w:ascii="Cambria" w:hAnsi="Cambria"/>
          <w:sz w:val="20"/>
        </w:rPr>
        <w:t>comprometido</w:t>
      </w:r>
      <w:r w:rsidRPr="006B5BEA">
        <w:rPr>
          <w:rFonts w:ascii="Cambria" w:hAnsi="Cambria"/>
          <w:sz w:val="20"/>
        </w:rPr>
        <w:t xml:space="preserve"> en conseguir la ayuda de aliados y colaboradores de todo el mundo para lograr la reubicación de los detenidos</w:t>
      </w:r>
      <w:r w:rsidRPr="006B5BEA">
        <w:rPr>
          <w:rStyle w:val="FootnoteReference"/>
          <w:rFonts w:ascii="Cambria" w:hAnsi="Cambria"/>
          <w:sz w:val="20"/>
        </w:rPr>
        <w:footnoteReference w:id="355"/>
      </w:r>
      <w:r w:rsidR="00E01790" w:rsidRPr="006B5BEA">
        <w:rPr>
          <w:rFonts w:ascii="Cambria" w:hAnsi="Cambria"/>
          <w:sz w:val="20"/>
        </w:rPr>
        <w:t>.</w:t>
      </w:r>
      <w:r w:rsidRPr="006B5BEA">
        <w:rPr>
          <w:rFonts w:ascii="Cambria" w:hAnsi="Cambria"/>
          <w:sz w:val="20"/>
        </w:rPr>
        <w:t xml:space="preserve">   </w:t>
      </w:r>
    </w:p>
    <w:p w:rsidR="002E3297" w:rsidRPr="006B5BEA" w:rsidRDefault="002E3297" w:rsidP="002E3297">
      <w:pPr>
        <w:pStyle w:val="ListParagraph"/>
        <w:rPr>
          <w:rFonts w:ascii="Cambria" w:hAnsi="Cambria"/>
          <w:sz w:val="20"/>
          <w:szCs w:val="20"/>
        </w:rPr>
      </w:pPr>
    </w:p>
    <w:p w:rsidR="00F90639" w:rsidRPr="006B5BEA" w:rsidRDefault="00F90639" w:rsidP="00724CD2">
      <w:pPr>
        <w:numPr>
          <w:ilvl w:val="0"/>
          <w:numId w:val="5"/>
        </w:numPr>
        <w:ind w:left="547" w:hanging="547"/>
        <w:jc w:val="both"/>
        <w:rPr>
          <w:rFonts w:ascii="Cambria" w:hAnsi="Cambria"/>
          <w:sz w:val="20"/>
          <w:szCs w:val="20"/>
        </w:rPr>
      </w:pPr>
      <w:r w:rsidRPr="006B5BEA">
        <w:rPr>
          <w:rFonts w:ascii="Cambria" w:hAnsi="Cambria"/>
          <w:sz w:val="20"/>
        </w:rPr>
        <w:t xml:space="preserve">De los 48 ciudadanos de Yemen cuyo traslado ha sido autorizado, 18 fueron identificados para traslado sin condiciones y a 30 se les autorizó el traslado condicionado, lo que significa que aún deben cumplirse otras condiciones antes de poder ser trasladados a Yemen, incluyendo la mejora de las condiciones de seguridad en Yemen o un programa de rehabilitación apropiado. </w:t>
      </w:r>
      <w:r w:rsidRPr="006B5BEA">
        <w:rPr>
          <w:rFonts w:ascii="Cambria" w:hAnsi="Cambria"/>
          <w:color w:val="000000"/>
          <w:sz w:val="20"/>
        </w:rPr>
        <w:t xml:space="preserve">Mahmud </w:t>
      </w:r>
      <w:proofErr w:type="spellStart"/>
      <w:r w:rsidRPr="006B5BEA">
        <w:rPr>
          <w:rFonts w:ascii="Cambria" w:hAnsi="Cambria"/>
          <w:color w:val="000000"/>
          <w:sz w:val="20"/>
        </w:rPr>
        <w:t>Abd</w:t>
      </w:r>
      <w:proofErr w:type="spellEnd"/>
      <w:r w:rsidRPr="006B5BEA">
        <w:rPr>
          <w:rFonts w:ascii="Cambria" w:hAnsi="Cambria"/>
          <w:color w:val="000000"/>
          <w:sz w:val="20"/>
        </w:rPr>
        <w:t xml:space="preserve"> Al </w:t>
      </w:r>
      <w:proofErr w:type="spellStart"/>
      <w:r w:rsidRPr="006B5BEA">
        <w:rPr>
          <w:rFonts w:ascii="Cambria" w:hAnsi="Cambria"/>
          <w:color w:val="000000"/>
          <w:sz w:val="20"/>
        </w:rPr>
        <w:t>Aziz</w:t>
      </w:r>
      <w:proofErr w:type="spellEnd"/>
      <w:r w:rsidRPr="006B5BEA">
        <w:rPr>
          <w:rFonts w:ascii="Cambria" w:hAnsi="Cambria"/>
          <w:color w:val="000000"/>
          <w:sz w:val="20"/>
        </w:rPr>
        <w:t xml:space="preserve"> Al </w:t>
      </w:r>
      <w:proofErr w:type="spellStart"/>
      <w:r w:rsidRPr="006B5BEA">
        <w:rPr>
          <w:rFonts w:ascii="Cambria" w:hAnsi="Cambria"/>
          <w:sz w:val="20"/>
        </w:rPr>
        <w:t>Mujahid</w:t>
      </w:r>
      <w:proofErr w:type="spellEnd"/>
      <w:r w:rsidRPr="006B5BEA">
        <w:rPr>
          <w:rFonts w:ascii="Cambria" w:hAnsi="Cambria"/>
          <w:color w:val="000000"/>
          <w:sz w:val="20"/>
        </w:rPr>
        <w:t>, el primer detenido en entrar a proceso de revisión por la PRB el 20 de noviembre de 2013, fue considerado elegible para repatriación siempre que “la situación de seguridad mejore en Yemen” y “un programa adecuado de rehabilitación esté disponible”</w:t>
      </w:r>
      <w:r w:rsidRPr="006B5BEA">
        <w:rPr>
          <w:rStyle w:val="FootnoteReference"/>
          <w:rFonts w:ascii="Cambria" w:hAnsi="Cambria"/>
          <w:sz w:val="20"/>
        </w:rPr>
        <w:footnoteReference w:id="356"/>
      </w:r>
      <w:r w:rsidRPr="006B5BEA">
        <w:rPr>
          <w:rFonts w:ascii="Cambria" w:hAnsi="Cambria"/>
          <w:color w:val="000000"/>
          <w:sz w:val="20"/>
        </w:rPr>
        <w:t xml:space="preserve">. Hasta marzo de 2015, continuaba detenido en Guantánamo. </w:t>
      </w:r>
    </w:p>
    <w:p w:rsidR="00A8584C" w:rsidRPr="00FC2F1B" w:rsidRDefault="00A8584C" w:rsidP="00F90639">
      <w:pPr>
        <w:pStyle w:val="ListParagrap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t>El levantamiento de la moratoria presidencial respecto de los traslados hacia Yemen fue un paso importante para enfrentar la situación de los ciudadanos de Yemen en Guantánamo. La CIDH ha afirmado que esta restricción general a los traslados, basada únicamente en la nacionalidad de los detenidos y en la situación política en Yemen, constituye una clara violación al principio de no discriminación</w:t>
      </w:r>
      <w:r>
        <w:rPr>
          <w:rStyle w:val="FootnoteReference"/>
          <w:rFonts w:ascii="Cambria" w:hAnsi="Cambria"/>
          <w:sz w:val="20"/>
        </w:rPr>
        <w:footnoteReference w:id="357"/>
      </w:r>
      <w:r>
        <w:rPr>
          <w:rFonts w:ascii="Cambria" w:hAnsi="Cambria"/>
          <w:sz w:val="20"/>
        </w:rPr>
        <w:t xml:space="preserve">. La situación de los detenidos de Yemen debe ser abordada con base en un análisis caso a caso y no en bloque. Las autoridades deben considerar la supuesta amenaza que cada persona individual constituye, y no los actos realizados por terceras personas. </w:t>
      </w:r>
      <w:r>
        <w:rPr>
          <w:rFonts w:ascii="Cambria" w:hAnsi="Cambria"/>
          <w:sz w:val="20"/>
        </w:rPr>
        <w:lastRenderedPageBreak/>
        <w:t xml:space="preserve">Si bien el reasentamiento de doce ciudadanos de Yemen desde el levantamiento de la moratoria es una buena señal hacia un enfoque individualizado, la velocidad de dichos traslados es inaceptablemente lenta. Acelerar el traslado de los ciudadanos de Yemen debería ser una prioridad en la hoja de ruta para el cierre de Guantánamo. </w:t>
      </w:r>
    </w:p>
    <w:p w:rsidR="00F90639" w:rsidRPr="00FC2F1B" w:rsidRDefault="00F90639" w:rsidP="00F90639">
      <w:pPr>
        <w:rPr>
          <w:rFonts w:ascii="Cambria" w:hAnsi="Cambria"/>
          <w:sz w:val="20"/>
          <w:szCs w:val="20"/>
        </w:rPr>
      </w:pPr>
    </w:p>
    <w:p w:rsidR="00F90639" w:rsidRPr="00FC2F1B" w:rsidRDefault="00F90639" w:rsidP="00477F3F">
      <w:pPr>
        <w:pStyle w:val="Style3"/>
      </w:pPr>
      <w:bookmarkStart w:id="57" w:name="_Toc423072858"/>
      <w:r>
        <w:t xml:space="preserve">El principio de </w:t>
      </w:r>
      <w:r>
        <w:rPr>
          <w:i/>
        </w:rPr>
        <w:t>non-</w:t>
      </w:r>
      <w:proofErr w:type="spellStart"/>
      <w:r>
        <w:rPr>
          <w:i/>
        </w:rPr>
        <w:t>refoulement</w:t>
      </w:r>
      <w:bookmarkEnd w:id="57"/>
      <w:proofErr w:type="spellEnd"/>
    </w:p>
    <w:p w:rsidR="00F90639" w:rsidRPr="00FC2F1B" w:rsidRDefault="00F90639" w:rsidP="00F90639">
      <w:pPr>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t xml:space="preserve">El principio de </w:t>
      </w:r>
      <w:r>
        <w:rPr>
          <w:rFonts w:ascii="Cambria" w:hAnsi="Cambria"/>
          <w:i/>
          <w:sz w:val="20"/>
        </w:rPr>
        <w:t>non-</w:t>
      </w:r>
      <w:proofErr w:type="spellStart"/>
      <w:r>
        <w:rPr>
          <w:rFonts w:ascii="Cambria" w:hAnsi="Cambria"/>
          <w:i/>
          <w:sz w:val="20"/>
        </w:rPr>
        <w:t>refoulement</w:t>
      </w:r>
      <w:proofErr w:type="spellEnd"/>
      <w:r>
        <w:rPr>
          <w:rFonts w:ascii="Cambria" w:hAnsi="Cambria"/>
          <w:i/>
          <w:sz w:val="20"/>
        </w:rPr>
        <w:t xml:space="preserve"> </w:t>
      </w:r>
      <w:r>
        <w:rPr>
          <w:rFonts w:ascii="Cambria" w:hAnsi="Cambria"/>
          <w:sz w:val="20"/>
        </w:rPr>
        <w:t>prohíbe el traslado y la deportación de personas a países donde su vida, integridad personal o libertad personal pueda estar en peligro. En su Resolución 2/06 emitida el 28 de julio de 2006, la Comisión Interamericana afirmó que “en caso de que existan razones suficientes para considerar que un detenido puede ser víctima de tortura u otro trato cruel, inhumano o degradante, el Estado debe asegurar que el detenido no será transferido y no invocarán garantías diplomáticas con el fin de soslayar las obligaciones del Estado conforme al principio de no devolución”</w:t>
      </w:r>
      <w:r>
        <w:rPr>
          <w:rStyle w:val="FootnoteReference"/>
          <w:rFonts w:ascii="Cambria" w:hAnsi="Cambria"/>
          <w:sz w:val="20"/>
        </w:rPr>
        <w:footnoteReference w:id="358"/>
      </w:r>
      <w:r>
        <w:rPr>
          <w:rFonts w:ascii="Cambria" w:hAnsi="Cambria"/>
          <w:sz w:val="20"/>
        </w:rPr>
        <w:t xml:space="preserve">. </w:t>
      </w:r>
    </w:p>
    <w:p w:rsidR="00F90639" w:rsidRPr="00FC2F1B" w:rsidRDefault="00F90639" w:rsidP="00F90639">
      <w:pPr>
        <w:ind w:left="720"/>
        <w:jc w:val="both"/>
        <w:rPr>
          <w:rFonts w:ascii="Cambria" w:hAnsi="Cambria"/>
          <w:sz w:val="20"/>
          <w:szCs w:val="20"/>
        </w:rPr>
      </w:pPr>
    </w:p>
    <w:p w:rsidR="00F90639" w:rsidRPr="00502400" w:rsidRDefault="00F90639" w:rsidP="00724CD2">
      <w:pPr>
        <w:numPr>
          <w:ilvl w:val="0"/>
          <w:numId w:val="5"/>
        </w:numPr>
        <w:ind w:left="547" w:hanging="547"/>
        <w:jc w:val="both"/>
        <w:rPr>
          <w:rFonts w:ascii="Cambria" w:hAnsi="Cambria"/>
          <w:sz w:val="20"/>
          <w:szCs w:val="20"/>
        </w:rPr>
      </w:pPr>
      <w:r>
        <w:rPr>
          <w:rFonts w:ascii="Cambria" w:hAnsi="Cambria"/>
          <w:sz w:val="20"/>
        </w:rPr>
        <w:t xml:space="preserve">En el marco de la medida cautelar 259/02 otorgada en beneficio de los detenidos de Guantánamo, la CIDH solicitó a Estados Unidos el pleno respeto del principio de </w:t>
      </w:r>
      <w:r>
        <w:rPr>
          <w:rFonts w:ascii="Cambria" w:hAnsi="Cambria"/>
          <w:i/>
          <w:sz w:val="20"/>
        </w:rPr>
        <w:t>non-</w:t>
      </w:r>
      <w:proofErr w:type="spellStart"/>
      <w:r>
        <w:rPr>
          <w:rFonts w:ascii="Cambria" w:hAnsi="Cambria"/>
          <w:i/>
          <w:sz w:val="20"/>
        </w:rPr>
        <w:t>refoulement</w:t>
      </w:r>
      <w:proofErr w:type="spellEnd"/>
      <w:r>
        <w:rPr>
          <w:rFonts w:ascii="Cambria" w:hAnsi="Cambria"/>
          <w:i/>
          <w:sz w:val="20"/>
        </w:rPr>
        <w:t xml:space="preserve">. </w:t>
      </w:r>
      <w:r>
        <w:rPr>
          <w:rFonts w:ascii="Cambria" w:hAnsi="Cambria"/>
          <w:sz w:val="20"/>
        </w:rPr>
        <w:t xml:space="preserve">Esta solicitud fue reiterada en la medida cautelar 211/08 otorgada a favor de </w:t>
      </w:r>
      <w:proofErr w:type="spellStart"/>
      <w:r>
        <w:rPr>
          <w:rFonts w:ascii="Cambria" w:hAnsi="Cambria"/>
          <w:sz w:val="20"/>
        </w:rPr>
        <w:t>Djamel</w:t>
      </w:r>
      <w:proofErr w:type="spellEnd"/>
      <w:r>
        <w:rPr>
          <w:rFonts w:ascii="Cambria" w:hAnsi="Cambria"/>
          <w:sz w:val="20"/>
        </w:rPr>
        <w:t xml:space="preserve"> </w:t>
      </w:r>
      <w:proofErr w:type="spellStart"/>
      <w:r>
        <w:rPr>
          <w:rFonts w:ascii="Cambria" w:hAnsi="Cambria"/>
          <w:sz w:val="20"/>
        </w:rPr>
        <w:t>Ameziane</w:t>
      </w:r>
      <w:proofErr w:type="spellEnd"/>
      <w:r>
        <w:rPr>
          <w:rFonts w:ascii="Cambria" w:hAnsi="Cambria"/>
          <w:sz w:val="20"/>
        </w:rPr>
        <w:t xml:space="preserve">, un miembro de la minoría étnica Bereber de Argelia, quien alegaba que podría ser sometido a tratos crueles, inhumanos y degradantes en caso de ser deportado a su país de origen. A pesar de estas solicitudes, Estados Unidos ha trasladado forzosamente a detenidos a su país de origen, donde existen razones suficientes para considerar que corren peligro de ser detenidos ilegalmente y/o sometidos a tortura. También existe información respecto de la privación de libertad </w:t>
      </w:r>
      <w:r w:rsidRPr="00502400">
        <w:rPr>
          <w:rFonts w:ascii="Cambria" w:hAnsi="Cambria"/>
          <w:sz w:val="20"/>
        </w:rPr>
        <w:t>de ex detenidos de Guantánamo luego de su repatriación a sus países de origen, así como de la falta de definición de su estatus jurídico</w:t>
      </w:r>
      <w:r w:rsidRPr="00502400">
        <w:rPr>
          <w:rStyle w:val="FootnoteReference"/>
          <w:rFonts w:ascii="Cambria" w:hAnsi="Cambria"/>
          <w:sz w:val="20"/>
        </w:rPr>
        <w:footnoteReference w:id="359"/>
      </w:r>
      <w:r w:rsidRPr="00502400">
        <w:rPr>
          <w:rFonts w:ascii="Cambria" w:hAnsi="Cambria"/>
          <w:sz w:val="20"/>
        </w:rPr>
        <w:t xml:space="preserve">. Estados Unidos, sin embargo, </w:t>
      </w:r>
      <w:r w:rsidR="0032638F" w:rsidRPr="00502400">
        <w:rPr>
          <w:rFonts w:ascii="Cambria" w:hAnsi="Cambria"/>
          <w:sz w:val="20"/>
        </w:rPr>
        <w:t>alega</w:t>
      </w:r>
      <w:r w:rsidRPr="00502400">
        <w:rPr>
          <w:rFonts w:ascii="Cambria" w:hAnsi="Cambria"/>
          <w:sz w:val="20"/>
        </w:rPr>
        <w:t xml:space="preserve"> que, como cuestión práctica y de política fundamental, no transfiere a ninguna persona a un país extranjero si existe una gran probabilidad de que dicha persona sea torturada</w:t>
      </w:r>
      <w:r w:rsidRPr="00502400">
        <w:rPr>
          <w:rStyle w:val="FootnoteReference"/>
          <w:rFonts w:ascii="Cambria" w:hAnsi="Cambria"/>
          <w:sz w:val="20"/>
        </w:rPr>
        <w:footnoteReference w:id="360"/>
      </w:r>
      <w:r w:rsidR="0032638F" w:rsidRPr="00502400">
        <w:rPr>
          <w:rFonts w:ascii="Cambria" w:hAnsi="Cambria"/>
          <w:sz w:val="20"/>
        </w:rPr>
        <w:t>.</w:t>
      </w:r>
      <w:r w:rsidRPr="00502400">
        <w:rPr>
          <w:rFonts w:ascii="Cambria" w:hAnsi="Cambria"/>
          <w:sz w:val="20"/>
        </w:rPr>
        <w:t xml:space="preserve">  </w:t>
      </w:r>
    </w:p>
    <w:p w:rsidR="00F90639" w:rsidRPr="00502400" w:rsidRDefault="00F90639" w:rsidP="00F90639">
      <w:pPr>
        <w:pStyle w:val="ListParagrap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sidRPr="00502400">
        <w:rPr>
          <w:rFonts w:ascii="Cambria" w:hAnsi="Cambria"/>
          <w:sz w:val="20"/>
        </w:rPr>
        <w:t xml:space="preserve">El detenido </w:t>
      </w:r>
      <w:proofErr w:type="spellStart"/>
      <w:r w:rsidRPr="00502400">
        <w:rPr>
          <w:rFonts w:ascii="Cambria" w:hAnsi="Cambria"/>
          <w:sz w:val="20"/>
        </w:rPr>
        <w:t>Aziz</w:t>
      </w:r>
      <w:proofErr w:type="spellEnd"/>
      <w:r w:rsidRPr="00502400">
        <w:rPr>
          <w:rFonts w:ascii="Cambria" w:hAnsi="Cambria"/>
          <w:sz w:val="20"/>
        </w:rPr>
        <w:t xml:space="preserve"> </w:t>
      </w:r>
      <w:proofErr w:type="spellStart"/>
      <w:r w:rsidRPr="00502400">
        <w:rPr>
          <w:rFonts w:ascii="Cambria" w:hAnsi="Cambria"/>
          <w:sz w:val="20"/>
        </w:rPr>
        <w:t>Naji</w:t>
      </w:r>
      <w:proofErr w:type="spellEnd"/>
      <w:r w:rsidRPr="00502400">
        <w:rPr>
          <w:rFonts w:ascii="Cambria" w:hAnsi="Cambria"/>
          <w:sz w:val="20"/>
        </w:rPr>
        <w:t xml:space="preserve"> fue trasladado a Argelia el 17 de julio de 2010 o alrededor de esa</w:t>
      </w:r>
      <w:r>
        <w:rPr>
          <w:rFonts w:ascii="Cambria" w:hAnsi="Cambria"/>
          <w:sz w:val="20"/>
        </w:rPr>
        <w:t xml:space="preserve"> fecha, en contra de su voluntad según la información disponible. El Sr. </w:t>
      </w:r>
      <w:proofErr w:type="spellStart"/>
      <w:r>
        <w:rPr>
          <w:rFonts w:ascii="Cambria" w:hAnsi="Cambria"/>
          <w:sz w:val="20"/>
        </w:rPr>
        <w:t>Naji</w:t>
      </w:r>
      <w:proofErr w:type="spellEnd"/>
      <w:r>
        <w:rPr>
          <w:rFonts w:ascii="Cambria" w:hAnsi="Cambria"/>
          <w:sz w:val="20"/>
        </w:rPr>
        <w:t xml:space="preserve"> habría afirmado que preferiría quedarse en Guantánamo antes que ser enviado a su país de origen, donde tenía temor de ser perseguido y torturado por el gobierno de Argelia o por grupos fundamentalistas</w:t>
      </w:r>
      <w:r>
        <w:rPr>
          <w:rStyle w:val="FootnoteReference"/>
          <w:rFonts w:ascii="Cambria" w:hAnsi="Cambria"/>
          <w:sz w:val="20"/>
        </w:rPr>
        <w:footnoteReference w:id="361"/>
      </w:r>
      <w:r>
        <w:rPr>
          <w:rFonts w:ascii="Cambria" w:hAnsi="Cambria"/>
          <w:sz w:val="20"/>
        </w:rPr>
        <w:t xml:space="preserve">. A su arribo a Argelia, su paradero se reportó como desconocido; ni sus familiares ni sus abogados habrían tenido </w:t>
      </w:r>
      <w:r>
        <w:rPr>
          <w:rFonts w:ascii="Cambria" w:hAnsi="Cambria"/>
          <w:sz w:val="20"/>
        </w:rPr>
        <w:lastRenderedPageBreak/>
        <w:t>contacto con él</w:t>
      </w:r>
      <w:r>
        <w:rPr>
          <w:rStyle w:val="FootnoteReference"/>
          <w:rFonts w:ascii="Cambria" w:hAnsi="Cambria"/>
          <w:sz w:val="20"/>
        </w:rPr>
        <w:footnoteReference w:id="362"/>
      </w:r>
      <w:r>
        <w:rPr>
          <w:rFonts w:ascii="Cambria" w:hAnsi="Cambria"/>
          <w:sz w:val="20"/>
        </w:rPr>
        <w:t xml:space="preserve">. Después de 20 días en prisión fue liberado pero se lo mantuvo bajo supervisión constante. Informes de prensa señalan que el 16 de enero de 2012, luego de un juicio de una hora, el Sr. </w:t>
      </w:r>
      <w:proofErr w:type="spellStart"/>
      <w:r>
        <w:rPr>
          <w:rFonts w:ascii="Cambria" w:hAnsi="Cambria"/>
          <w:sz w:val="20"/>
        </w:rPr>
        <w:t>Naji</w:t>
      </w:r>
      <w:proofErr w:type="spellEnd"/>
      <w:r>
        <w:rPr>
          <w:rFonts w:ascii="Cambria" w:hAnsi="Cambria"/>
          <w:sz w:val="20"/>
        </w:rPr>
        <w:t xml:space="preserve"> fue condenado a tres años de prisión con base en acusaciones infundadas que Estados Unidos hizo en su contra en 2002; no se habría presentado prueba nueva alguna</w:t>
      </w:r>
      <w:r>
        <w:rPr>
          <w:rStyle w:val="FootnoteReference"/>
          <w:rFonts w:ascii="Cambria" w:hAnsi="Cambria"/>
          <w:sz w:val="20"/>
        </w:rPr>
        <w:footnoteReference w:id="363"/>
      </w:r>
      <w:r>
        <w:rPr>
          <w:rFonts w:ascii="Cambria" w:hAnsi="Cambria"/>
          <w:sz w:val="20"/>
        </w:rPr>
        <w:t xml:space="preserve">. El Sr. </w:t>
      </w:r>
      <w:proofErr w:type="spellStart"/>
      <w:r>
        <w:rPr>
          <w:rFonts w:ascii="Cambria" w:hAnsi="Cambria"/>
          <w:sz w:val="20"/>
        </w:rPr>
        <w:t>Naji</w:t>
      </w:r>
      <w:proofErr w:type="spellEnd"/>
      <w:r>
        <w:rPr>
          <w:rFonts w:ascii="Cambria" w:hAnsi="Cambria"/>
          <w:sz w:val="20"/>
        </w:rPr>
        <w:t xml:space="preserve"> habría estado muy cerca de la muerte en la prisión y no tuvo contacto con su abogado después del traslado</w:t>
      </w:r>
      <w:r>
        <w:rPr>
          <w:rStyle w:val="FootnoteReference"/>
          <w:rFonts w:ascii="Cambria" w:hAnsi="Cambria"/>
          <w:sz w:val="20"/>
        </w:rPr>
        <w:footnoteReference w:id="364"/>
      </w:r>
      <w:r>
        <w:rPr>
          <w:rFonts w:ascii="Cambria" w:hAnsi="Cambria"/>
          <w:sz w:val="20"/>
        </w:rPr>
        <w:t>.</w:t>
      </w:r>
    </w:p>
    <w:p w:rsidR="00F90639" w:rsidRPr="00FC2F1B" w:rsidRDefault="00F90639" w:rsidP="00F90639">
      <w:pPr>
        <w:pStyle w:val="ListParagrap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t xml:space="preserve">El 5 de diciembre de 2013, </w:t>
      </w:r>
      <w:proofErr w:type="spellStart"/>
      <w:r>
        <w:rPr>
          <w:rFonts w:ascii="Cambria" w:hAnsi="Cambria"/>
          <w:sz w:val="20"/>
        </w:rPr>
        <w:t>Djamel</w:t>
      </w:r>
      <w:proofErr w:type="spellEnd"/>
      <w:r>
        <w:rPr>
          <w:rFonts w:ascii="Cambria" w:hAnsi="Cambria"/>
          <w:sz w:val="20"/>
        </w:rPr>
        <w:t xml:space="preserve"> </w:t>
      </w:r>
      <w:proofErr w:type="spellStart"/>
      <w:r>
        <w:rPr>
          <w:rFonts w:ascii="Cambria" w:hAnsi="Cambria"/>
          <w:sz w:val="20"/>
        </w:rPr>
        <w:t>Ameziane</w:t>
      </w:r>
      <w:proofErr w:type="spellEnd"/>
      <w:r>
        <w:rPr>
          <w:rFonts w:ascii="Cambria" w:hAnsi="Cambria"/>
          <w:sz w:val="20"/>
        </w:rPr>
        <w:t xml:space="preserve"> y </w:t>
      </w:r>
      <w:proofErr w:type="spellStart"/>
      <w:r>
        <w:rPr>
          <w:rFonts w:ascii="Cambria" w:hAnsi="Cambria"/>
          <w:sz w:val="20"/>
        </w:rPr>
        <w:t>Belkacem</w:t>
      </w:r>
      <w:proofErr w:type="spellEnd"/>
      <w:r>
        <w:rPr>
          <w:rFonts w:ascii="Cambria" w:hAnsi="Cambria"/>
          <w:sz w:val="20"/>
        </w:rPr>
        <w:t xml:space="preserve"> </w:t>
      </w:r>
      <w:proofErr w:type="spellStart"/>
      <w:r>
        <w:rPr>
          <w:rFonts w:ascii="Cambria" w:hAnsi="Cambria"/>
          <w:sz w:val="20"/>
        </w:rPr>
        <w:t>Bensayah</w:t>
      </w:r>
      <w:proofErr w:type="spellEnd"/>
      <w:r>
        <w:rPr>
          <w:rFonts w:ascii="Cambria" w:hAnsi="Cambria"/>
          <w:sz w:val="20"/>
        </w:rPr>
        <w:t xml:space="preserve">, ciudadanos de Argelia que también temían ser perseguidos en Argelia, fueron forzosamente trasladados a su país de origen. El Sr. Ian </w:t>
      </w:r>
      <w:proofErr w:type="spellStart"/>
      <w:r>
        <w:rPr>
          <w:rFonts w:ascii="Cambria" w:hAnsi="Cambria"/>
          <w:sz w:val="20"/>
        </w:rPr>
        <w:t>Moss</w:t>
      </w:r>
      <w:proofErr w:type="spellEnd"/>
      <w:r>
        <w:rPr>
          <w:rFonts w:ascii="Cambria" w:hAnsi="Cambria"/>
          <w:sz w:val="20"/>
        </w:rPr>
        <w:t xml:space="preserve">, vocero de </w:t>
      </w:r>
      <w:proofErr w:type="spellStart"/>
      <w:r>
        <w:rPr>
          <w:rFonts w:ascii="Cambria" w:hAnsi="Cambria"/>
          <w:sz w:val="20"/>
        </w:rPr>
        <w:t>Clifford</w:t>
      </w:r>
      <w:proofErr w:type="spellEnd"/>
      <w:r>
        <w:rPr>
          <w:rFonts w:ascii="Cambria" w:hAnsi="Cambria"/>
          <w:sz w:val="20"/>
        </w:rPr>
        <w:t xml:space="preserve"> </w:t>
      </w:r>
      <w:proofErr w:type="spellStart"/>
      <w:r>
        <w:rPr>
          <w:rFonts w:ascii="Cambria" w:hAnsi="Cambria"/>
          <w:sz w:val="20"/>
        </w:rPr>
        <w:t>Sloan</w:t>
      </w:r>
      <w:proofErr w:type="spellEnd"/>
      <w:r>
        <w:rPr>
          <w:rFonts w:ascii="Cambria" w:hAnsi="Cambria"/>
          <w:sz w:val="20"/>
        </w:rPr>
        <w:t>, Enviado Especial del Departamento de Estado para el cierre de Guantánamo, habría defendido la decisión gubernamental señalando que el temor de persecución de los detenidos era infundado. Habría afirmado además que el reasentamiento a un tercer país no era una opción “viable” y que Estados Unidos estaba “complacido de que el gobierno de Argelia continuaría respetando procedimientos legales y cumpliendo sus obligaciones jurídicas domésticas e internacionales en el manejo del retorno de los ex detenidos de Guantánamo”</w:t>
      </w:r>
      <w:r>
        <w:rPr>
          <w:rStyle w:val="FootnoteReference"/>
          <w:rFonts w:ascii="Cambria" w:hAnsi="Cambria"/>
          <w:sz w:val="20"/>
        </w:rPr>
        <w:footnoteReference w:id="365"/>
      </w:r>
      <w:r>
        <w:rPr>
          <w:rFonts w:ascii="Cambria" w:hAnsi="Cambria"/>
          <w:sz w:val="20"/>
        </w:rPr>
        <w:t xml:space="preserve">.  No obstante, según sus representantes, se encontraba a la espera de una respuesta del gobierno de Canadá a su solicitud de ser reasentado en ese país. En 2010, Luxemburgo se habría ofrecido a recibirlo, y otros países habrían extendido ofertas para que </w:t>
      </w:r>
      <w:proofErr w:type="spellStart"/>
      <w:r>
        <w:rPr>
          <w:rFonts w:ascii="Cambria" w:hAnsi="Cambria"/>
          <w:sz w:val="20"/>
        </w:rPr>
        <w:t>Djamel</w:t>
      </w:r>
      <w:proofErr w:type="spellEnd"/>
      <w:r>
        <w:rPr>
          <w:rFonts w:ascii="Cambria" w:hAnsi="Cambria"/>
          <w:sz w:val="20"/>
        </w:rPr>
        <w:t xml:space="preserve"> </w:t>
      </w:r>
      <w:proofErr w:type="spellStart"/>
      <w:r>
        <w:rPr>
          <w:rFonts w:ascii="Cambria" w:hAnsi="Cambria"/>
          <w:sz w:val="20"/>
        </w:rPr>
        <w:t>Ameziane</w:t>
      </w:r>
      <w:proofErr w:type="spellEnd"/>
      <w:r>
        <w:rPr>
          <w:rFonts w:ascii="Cambria" w:hAnsi="Cambria"/>
          <w:sz w:val="20"/>
        </w:rPr>
        <w:t xml:space="preserve"> se instale en sus respectivos territorios. La CIDH emitió un comunicado de prensa expresando su preocupación por esta acción adoptada en ausencia de una debida consideración del principio de </w:t>
      </w:r>
      <w:r>
        <w:rPr>
          <w:rFonts w:ascii="Cambria" w:hAnsi="Cambria"/>
          <w:i/>
          <w:sz w:val="20"/>
        </w:rPr>
        <w:t>non-</w:t>
      </w:r>
      <w:proofErr w:type="spellStart"/>
      <w:r>
        <w:rPr>
          <w:rFonts w:ascii="Cambria" w:hAnsi="Cambria"/>
          <w:i/>
          <w:sz w:val="20"/>
        </w:rPr>
        <w:t>refoulement</w:t>
      </w:r>
      <w:proofErr w:type="spellEnd"/>
      <w:r>
        <w:rPr>
          <w:rStyle w:val="FootnoteReference"/>
          <w:rFonts w:ascii="Cambria" w:hAnsi="Cambria"/>
          <w:sz w:val="20"/>
        </w:rPr>
        <w:footnoteReference w:id="366"/>
      </w:r>
      <w:r>
        <w:rPr>
          <w:rFonts w:ascii="Cambria" w:hAnsi="Cambria"/>
          <w:i/>
          <w:sz w:val="20"/>
        </w:rPr>
        <w:t xml:space="preserve">. </w:t>
      </w:r>
      <w:r>
        <w:rPr>
          <w:rFonts w:ascii="Cambria" w:hAnsi="Cambria"/>
          <w:sz w:val="20"/>
        </w:rPr>
        <w:t xml:space="preserve">En cuanto fue trasladado a Argelia, el Sr. </w:t>
      </w:r>
      <w:proofErr w:type="spellStart"/>
      <w:r>
        <w:rPr>
          <w:rFonts w:ascii="Cambria" w:hAnsi="Cambria"/>
          <w:sz w:val="20"/>
        </w:rPr>
        <w:t>Ameziane</w:t>
      </w:r>
      <w:proofErr w:type="spellEnd"/>
      <w:r>
        <w:rPr>
          <w:rFonts w:ascii="Cambria" w:hAnsi="Cambria"/>
          <w:sz w:val="20"/>
        </w:rPr>
        <w:t xml:space="preserve"> habría permanecido bajo detención clandestina hasta el 16 de diciembre de 2013.</w:t>
      </w:r>
    </w:p>
    <w:p w:rsidR="00F90639" w:rsidRPr="00FC2F1B" w:rsidRDefault="00F90639" w:rsidP="00F90639">
      <w:pPr>
        <w:ind w:left="720"/>
        <w:jc w:val="bot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t>En el caso conocido como “</w:t>
      </w:r>
      <w:proofErr w:type="spellStart"/>
      <w:r>
        <w:rPr>
          <w:rFonts w:ascii="Cambria" w:hAnsi="Cambria"/>
          <w:sz w:val="20"/>
        </w:rPr>
        <w:t>Kiyemba</w:t>
      </w:r>
      <w:proofErr w:type="spellEnd"/>
      <w:r>
        <w:rPr>
          <w:rFonts w:ascii="Cambria" w:hAnsi="Cambria"/>
          <w:sz w:val="20"/>
        </w:rPr>
        <w:t xml:space="preserve"> II”, 10 detenidos de Guantánamo presentaron recursos de hábeas corpus cuestionando su traslado con fundamento en su temor a ser torturados en su país de origen. En abril de 2009, la Corte de Circuito de D.C. revocó una decisión de la Corte de Distrito de D.C. que exigía que el gobierno notifique a los abogados de los detenidos sobre el traslado desde Guantánamo con 30 días de anticipación. La corte de apelaciones sostuvo que el poder judicial no puede revisar las decisiones del poder ejecutivo respecto a cuándo o a dónde trasladar a los detenidos. Al considerar inválido este requisito de notificación, la Corte de apelaciones sostuvo que un detenido no tiene derecho a cuestionar su traslado con base en su temor a ser torturado o perseguido, despojando casi de toda </w:t>
      </w:r>
      <w:r>
        <w:rPr>
          <w:rFonts w:ascii="Cambria" w:hAnsi="Cambria"/>
          <w:sz w:val="20"/>
        </w:rPr>
        <w:lastRenderedPageBreak/>
        <w:t>autoridad a los jueces de Distrito para supervisar cuándo y a dónde se traslada a los detenidos de Guantánamo</w:t>
      </w:r>
      <w:r>
        <w:rPr>
          <w:rStyle w:val="FootnoteReference"/>
          <w:rFonts w:ascii="Cambria" w:hAnsi="Cambria"/>
          <w:sz w:val="20"/>
        </w:rPr>
        <w:footnoteReference w:id="367"/>
      </w:r>
      <w:r>
        <w:rPr>
          <w:rFonts w:ascii="Cambria" w:hAnsi="Cambria"/>
          <w:sz w:val="20"/>
        </w:rPr>
        <w:t>. En marzo de 2010, la Corte Suprema se abstuvo de avocar conocimiento (</w:t>
      </w:r>
      <w:proofErr w:type="spellStart"/>
      <w:r>
        <w:rPr>
          <w:rFonts w:ascii="Cambria" w:hAnsi="Cambria"/>
          <w:i/>
          <w:sz w:val="20"/>
        </w:rPr>
        <w:t>certiorari</w:t>
      </w:r>
      <w:proofErr w:type="spellEnd"/>
      <w:r>
        <w:rPr>
          <w:rFonts w:ascii="Cambria" w:hAnsi="Cambria"/>
          <w:sz w:val="20"/>
        </w:rPr>
        <w:t xml:space="preserve">) para revisar el caso.  Intentos posteriores para revocar esa decisión han fracasado. </w:t>
      </w:r>
    </w:p>
    <w:p w:rsidR="00F90639" w:rsidRPr="00FC2F1B" w:rsidRDefault="00F90639" w:rsidP="00F90639">
      <w:pPr>
        <w:pStyle w:val="ListParagrap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t xml:space="preserve">Los traslados forzosos de detenidos de Guantánamo que presentan alegaciones de temor de persecución o de ser sometidos a tratos o castigos crueles, inhumanos o degradantes, constituyen un incumplimiento de la medida cautelar 259/02, así como también una violación a la Convención de Naciones Unidas contra la Tortura, ratificada por Estados Unidos en 1994. El centro de detención de la Bahía de Guantánamo debe ser inmediatamente cerrado, pero esto debe realizarse en observancia del derecho internacional y en pleno respeto de los derechos humanos de los detenidos. </w:t>
      </w:r>
    </w:p>
    <w:p w:rsidR="00F90639" w:rsidRPr="00FC2F1B" w:rsidRDefault="00F90639" w:rsidP="00F90639">
      <w:pPr>
        <w:rPr>
          <w:rFonts w:ascii="Cambria" w:hAnsi="Cambria"/>
          <w:sz w:val="20"/>
          <w:szCs w:val="20"/>
        </w:rPr>
      </w:pPr>
    </w:p>
    <w:p w:rsidR="00F90639" w:rsidRPr="00FC2F1B" w:rsidRDefault="00F90639" w:rsidP="00477F3F">
      <w:pPr>
        <w:pStyle w:val="Style3"/>
      </w:pPr>
      <w:bookmarkStart w:id="58" w:name="_Toc423072859"/>
      <w:r>
        <w:t>Prerrogativas del Ejecutivo</w:t>
      </w:r>
      <w:bookmarkEnd w:id="58"/>
    </w:p>
    <w:p w:rsidR="00F90639" w:rsidRPr="00FC2F1B" w:rsidRDefault="00F90639" w:rsidP="00F90639">
      <w:pPr>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t xml:space="preserve">Las autoridades de Estados Unidos invocan con frecuencia al Congreso y a la Ley de Autorización de Defensa Nacional (NDAA) como las razones por las cuales Guantánamo continúa abierto. Si bien, como se señaló anteriormente, es un hecho que las restricciones impuestas por el Congreso han constituido un obstáculo al traslado de detenidos, la NDAA ha siempre otorgado al Estado la facultad necesaria para trasladar a detenidos. </w:t>
      </w:r>
    </w:p>
    <w:p w:rsidR="00F90639" w:rsidRPr="00FC2F1B" w:rsidRDefault="00F90639" w:rsidP="00F90639">
      <w:pPr>
        <w:ind w:left="720"/>
        <w:jc w:val="bot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t>Inclusive bajo los onerosos requisitos de certificación impuestos anteriormente por la NDAA, el Ejecutivo tenía la facultad de emitir exenciones (</w:t>
      </w:r>
      <w:proofErr w:type="spellStart"/>
      <w:r>
        <w:rPr>
          <w:rFonts w:ascii="Cambria" w:hAnsi="Cambria"/>
          <w:i/>
          <w:sz w:val="20"/>
        </w:rPr>
        <w:t>waivers</w:t>
      </w:r>
      <w:proofErr w:type="spellEnd"/>
      <w:r>
        <w:rPr>
          <w:rFonts w:ascii="Cambria" w:hAnsi="Cambria"/>
          <w:sz w:val="20"/>
        </w:rPr>
        <w:t xml:space="preserve">) sobre la base de un análisis caso a caso, facultad que la administración nunca utilizó. El Secretario de Defensa podía utilizar la exención de seguridad nacional establecida en la NDAA y certificar el traslado de un detenido si considera que el acuerdo bilateral con el país de recepción responde satisfactoriamente a las preocupaciones de seguridad de EE.UU. La NDAA también permitía que el Secretario de Defensa certificara que un detenido fuera liberado si consideraba que ello era en el mejor interés de la seguridad nacional. La administración de Estados Unidos perdió además una oportunidad única de trasladar a los 126 detenidos que fueron autorizados por el grupo de trabajo </w:t>
      </w:r>
      <w:proofErr w:type="spellStart"/>
      <w:r>
        <w:rPr>
          <w:rFonts w:ascii="Cambria" w:hAnsi="Cambria"/>
          <w:sz w:val="20"/>
        </w:rPr>
        <w:t>interagencial</w:t>
      </w:r>
      <w:proofErr w:type="spellEnd"/>
      <w:r>
        <w:rPr>
          <w:rFonts w:ascii="Cambria" w:hAnsi="Cambria"/>
          <w:sz w:val="20"/>
        </w:rPr>
        <w:t xml:space="preserve"> en 2009 antes de que las restricciones del Congreso entraran en vigencia. Alrededor de la mitad no fueron trasladados antes de la entrada en vigencia de la NDAA para el año fiscal 2011, en parte debido a la moratoria presidencial respecto de los traslados a Yemen.</w:t>
      </w:r>
    </w:p>
    <w:p w:rsidR="00F90639" w:rsidRPr="00FC2F1B" w:rsidRDefault="00F90639" w:rsidP="00F90639">
      <w:pPr>
        <w:pStyle w:val="ListParagrap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t xml:space="preserve">La NDAA para el año fiscal 2014 eliminó los requisitos de certificación impuestos en 2011. De conformidad con la legislación vigente, basta con que el Secretario de Defensa determine, en consideración de varios factores, que se han tomado o se tomarán acciones para disminuir el riesgo de que el detenido participe nuevamente </w:t>
      </w:r>
      <w:r>
        <w:rPr>
          <w:rFonts w:ascii="Cambria" w:hAnsi="Cambria"/>
          <w:sz w:val="20"/>
        </w:rPr>
        <w:lastRenderedPageBreak/>
        <w:t xml:space="preserve">en actividades terroristas y que el traslado está en el mejor interés de la seguridad nacional para Estados Unidos. En consecuencia, el Ejecutivo tiene la facultad de concluir el traslado de detenidos.  </w:t>
      </w:r>
    </w:p>
    <w:p w:rsidR="00F90639" w:rsidRPr="00FC2F1B" w:rsidRDefault="00F90639" w:rsidP="00F90639">
      <w:pPr>
        <w:pStyle w:val="ListParagrap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t>Desde que se flexibilizaron las restricciones a los traslados, Estados Unidos trasladó a 11 detenidos en 2013 y 23 en 2014. Esto constituye un avance respecto de años anteriores; sin embargo, con miras al cierre inmediato de Guantánamo, los traslados deben acelerarse. Si bien sería deseable que el Congreso elimine las restricciones actuales, esto podría llevarse a cabo aún bajo la legislación vigente si el Ejecutivo explorara todas las vías posibles. Esto incluye interpretar de manera flexible los requisitos establecidos en la NDAA</w:t>
      </w:r>
      <w:r>
        <w:rPr>
          <w:rStyle w:val="FootnoteReference"/>
          <w:rFonts w:ascii="Cambria" w:hAnsi="Cambria"/>
          <w:sz w:val="20"/>
        </w:rPr>
        <w:footnoteReference w:id="368"/>
      </w:r>
      <w:r>
        <w:rPr>
          <w:rFonts w:ascii="Cambria" w:hAnsi="Cambria"/>
          <w:sz w:val="20"/>
        </w:rPr>
        <w:t xml:space="preserve">, y acelerar el proceso de aprobación del Pentágono. </w:t>
      </w:r>
    </w:p>
    <w:p w:rsidR="00F90639" w:rsidRPr="00FC2F1B" w:rsidRDefault="00F90639" w:rsidP="00F90639">
      <w:pPr>
        <w:rPr>
          <w:rFonts w:ascii="Cambria" w:hAnsi="Cambria"/>
          <w:sz w:val="20"/>
          <w:szCs w:val="20"/>
        </w:rPr>
      </w:pPr>
    </w:p>
    <w:p w:rsidR="00F90639" w:rsidRPr="00477F3F" w:rsidRDefault="00F90639" w:rsidP="0043424D">
      <w:pPr>
        <w:pStyle w:val="Heading2"/>
      </w:pPr>
      <w:bookmarkStart w:id="59" w:name="_Toc423072860"/>
      <w:r>
        <w:t>Detenidos cuyo traslado no ha sido autorizado</w:t>
      </w:r>
      <w:bookmarkEnd w:id="59"/>
    </w:p>
    <w:p w:rsidR="00F90639" w:rsidRPr="00FC2F1B" w:rsidRDefault="00F90639" w:rsidP="00F90639">
      <w:pPr>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t xml:space="preserve">Hasta enero de 2015, existían 68 detenidos en Guantánamo que no habían sido identificados para traslado, los cuales se enmarcan dentro de dos categorías: detenidos identificados para procesamiento penal y detenidos identificados para detención </w:t>
      </w:r>
      <w:proofErr w:type="gramStart"/>
      <w:r>
        <w:rPr>
          <w:rFonts w:ascii="Cambria" w:hAnsi="Cambria"/>
          <w:sz w:val="20"/>
        </w:rPr>
        <w:t>continua</w:t>
      </w:r>
      <w:proofErr w:type="gramEnd"/>
      <w:r>
        <w:rPr>
          <w:rFonts w:ascii="Cambria" w:hAnsi="Cambria"/>
          <w:sz w:val="20"/>
        </w:rPr>
        <w:t xml:space="preserve"> con base en la revisión </w:t>
      </w:r>
      <w:proofErr w:type="spellStart"/>
      <w:r>
        <w:rPr>
          <w:rFonts w:ascii="Cambria" w:hAnsi="Cambria"/>
          <w:sz w:val="20"/>
        </w:rPr>
        <w:t>interagencial</w:t>
      </w:r>
      <w:proofErr w:type="spellEnd"/>
      <w:r>
        <w:rPr>
          <w:rFonts w:ascii="Cambria" w:hAnsi="Cambria"/>
          <w:sz w:val="20"/>
        </w:rPr>
        <w:t xml:space="preserve"> del grupo de trabajo de 2009. </w:t>
      </w:r>
    </w:p>
    <w:p w:rsidR="00F90639" w:rsidRPr="00FC2F1B" w:rsidRDefault="00F90639" w:rsidP="00F90639">
      <w:pPr>
        <w:jc w:val="both"/>
        <w:rPr>
          <w:rFonts w:ascii="Cambria" w:hAnsi="Cambria"/>
          <w:sz w:val="20"/>
          <w:szCs w:val="20"/>
        </w:rPr>
      </w:pPr>
    </w:p>
    <w:p w:rsidR="00F90639" w:rsidRPr="00FC2F1B" w:rsidRDefault="00F90639" w:rsidP="00477F3F">
      <w:pPr>
        <w:pStyle w:val="Style3"/>
        <w:numPr>
          <w:ilvl w:val="0"/>
          <w:numId w:val="15"/>
        </w:numPr>
        <w:ind w:left="1094" w:hanging="547"/>
      </w:pPr>
      <w:bookmarkStart w:id="60" w:name="_Toc423072861"/>
      <w:r>
        <w:t>Detenidos que enfrentan cargos penales</w:t>
      </w:r>
      <w:bookmarkEnd w:id="60"/>
    </w:p>
    <w:p w:rsidR="00F90639" w:rsidRPr="00FC2F1B" w:rsidRDefault="00F90639" w:rsidP="00F90639">
      <w:pPr>
        <w:jc w:val="bot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t>Hasta diciembre de 2014 había 32 detenidos en Guantánamo identificados para procesamiento penal por el Grupo de Trabajo para la Revisión de Guantánamo (</w:t>
      </w:r>
      <w:proofErr w:type="spellStart"/>
      <w:r>
        <w:rPr>
          <w:rFonts w:ascii="Cambria" w:hAnsi="Cambria"/>
          <w:i/>
          <w:sz w:val="20"/>
        </w:rPr>
        <w:t>Guantanamo</w:t>
      </w:r>
      <w:proofErr w:type="spellEnd"/>
      <w:r>
        <w:rPr>
          <w:rFonts w:ascii="Cambria" w:hAnsi="Cambria"/>
          <w:i/>
          <w:sz w:val="20"/>
        </w:rPr>
        <w:t xml:space="preserve"> </w:t>
      </w:r>
      <w:proofErr w:type="spellStart"/>
      <w:r>
        <w:rPr>
          <w:rFonts w:ascii="Cambria" w:hAnsi="Cambria"/>
          <w:i/>
          <w:sz w:val="20"/>
        </w:rPr>
        <w:t>Review</w:t>
      </w:r>
      <w:proofErr w:type="spellEnd"/>
      <w:r>
        <w:rPr>
          <w:rFonts w:ascii="Cambria" w:hAnsi="Cambria"/>
          <w:i/>
          <w:sz w:val="20"/>
        </w:rPr>
        <w:t xml:space="preserve"> </w:t>
      </w:r>
      <w:proofErr w:type="spellStart"/>
      <w:r>
        <w:rPr>
          <w:rFonts w:ascii="Cambria" w:hAnsi="Cambria"/>
          <w:i/>
          <w:sz w:val="20"/>
        </w:rPr>
        <w:t>Task</w:t>
      </w:r>
      <w:proofErr w:type="spellEnd"/>
      <w:r>
        <w:rPr>
          <w:rFonts w:ascii="Cambria" w:hAnsi="Cambria"/>
          <w:i/>
          <w:sz w:val="20"/>
        </w:rPr>
        <w:t xml:space="preserve"> </w:t>
      </w:r>
      <w:proofErr w:type="spellStart"/>
      <w:r>
        <w:rPr>
          <w:rFonts w:ascii="Cambria" w:hAnsi="Cambria"/>
          <w:i/>
          <w:sz w:val="20"/>
        </w:rPr>
        <w:t>Force</w:t>
      </w:r>
      <w:proofErr w:type="spellEnd"/>
      <w:r>
        <w:rPr>
          <w:rFonts w:ascii="Cambria" w:hAnsi="Cambria"/>
          <w:sz w:val="20"/>
        </w:rPr>
        <w:t>). El gobierno de Estados Unidos presentó cargos por delitos de guerra contra 19 de ellos. Según información difundida por la Oficina de Comisiones Militares</w:t>
      </w:r>
      <w:r>
        <w:rPr>
          <w:rStyle w:val="FootnoteReference"/>
          <w:rFonts w:ascii="Cambria" w:hAnsi="Cambria"/>
          <w:sz w:val="20"/>
        </w:rPr>
        <w:footnoteReference w:id="369"/>
      </w:r>
      <w:r>
        <w:rPr>
          <w:rFonts w:ascii="Cambria" w:hAnsi="Cambria"/>
          <w:sz w:val="20"/>
        </w:rPr>
        <w:t xml:space="preserve">, para fines de 2014 existían cinco casos activos pendientes ante las comisiones militares, que involucraban a nueve detenidos que al momento permanecen en Guantánamo. De esos casos activos, sólo </w:t>
      </w:r>
      <w:proofErr w:type="spellStart"/>
      <w:r>
        <w:rPr>
          <w:rFonts w:ascii="Cambria" w:hAnsi="Cambria"/>
          <w:sz w:val="20"/>
        </w:rPr>
        <w:t>Abd</w:t>
      </w:r>
      <w:proofErr w:type="spellEnd"/>
      <w:r>
        <w:rPr>
          <w:rFonts w:ascii="Cambria" w:hAnsi="Cambria"/>
          <w:sz w:val="20"/>
        </w:rPr>
        <w:t xml:space="preserve"> al-</w:t>
      </w:r>
      <w:proofErr w:type="spellStart"/>
      <w:r>
        <w:rPr>
          <w:rFonts w:ascii="Cambria" w:hAnsi="Cambria"/>
          <w:sz w:val="20"/>
        </w:rPr>
        <w:t>Rahim</w:t>
      </w:r>
      <w:proofErr w:type="spellEnd"/>
      <w:r>
        <w:rPr>
          <w:rFonts w:ascii="Cambria" w:hAnsi="Cambria"/>
          <w:sz w:val="20"/>
        </w:rPr>
        <w:t xml:space="preserve"> al-</w:t>
      </w:r>
      <w:proofErr w:type="spellStart"/>
      <w:r>
        <w:rPr>
          <w:rFonts w:ascii="Cambria" w:hAnsi="Cambria"/>
          <w:sz w:val="20"/>
        </w:rPr>
        <w:t>Nashiri</w:t>
      </w:r>
      <w:proofErr w:type="spellEnd"/>
      <w:r>
        <w:rPr>
          <w:rFonts w:ascii="Cambria" w:hAnsi="Cambria"/>
          <w:sz w:val="20"/>
        </w:rPr>
        <w:t xml:space="preserve">, </w:t>
      </w:r>
      <w:proofErr w:type="spellStart"/>
      <w:r>
        <w:rPr>
          <w:rFonts w:ascii="Cambria" w:hAnsi="Cambria"/>
          <w:sz w:val="20"/>
        </w:rPr>
        <w:t>Abd</w:t>
      </w:r>
      <w:proofErr w:type="spellEnd"/>
      <w:r>
        <w:rPr>
          <w:rFonts w:ascii="Cambria" w:hAnsi="Cambria"/>
          <w:sz w:val="20"/>
        </w:rPr>
        <w:t xml:space="preserve"> al </w:t>
      </w:r>
      <w:proofErr w:type="spellStart"/>
      <w:r>
        <w:rPr>
          <w:rFonts w:ascii="Cambria" w:hAnsi="Cambria"/>
          <w:sz w:val="20"/>
        </w:rPr>
        <w:t>Hadi</w:t>
      </w:r>
      <w:proofErr w:type="spellEnd"/>
      <w:r>
        <w:rPr>
          <w:rFonts w:ascii="Cambria" w:hAnsi="Cambria"/>
          <w:sz w:val="20"/>
        </w:rPr>
        <w:t xml:space="preserve"> al-</w:t>
      </w:r>
      <w:proofErr w:type="spellStart"/>
      <w:r>
        <w:rPr>
          <w:rFonts w:ascii="Cambria" w:hAnsi="Cambria"/>
          <w:sz w:val="20"/>
        </w:rPr>
        <w:t>Iraqi</w:t>
      </w:r>
      <w:proofErr w:type="spellEnd"/>
      <w:r>
        <w:rPr>
          <w:rFonts w:ascii="Cambria" w:hAnsi="Cambria"/>
          <w:sz w:val="20"/>
        </w:rPr>
        <w:t>, y los cinco acusados de planificar los atentados del 11 de septiembre (</w:t>
      </w:r>
      <w:proofErr w:type="spellStart"/>
      <w:r>
        <w:rPr>
          <w:rFonts w:ascii="Cambria" w:hAnsi="Cambria"/>
          <w:sz w:val="20"/>
        </w:rPr>
        <w:t>Khalid</w:t>
      </w:r>
      <w:proofErr w:type="spellEnd"/>
      <w:r>
        <w:rPr>
          <w:rFonts w:ascii="Cambria" w:hAnsi="Cambria"/>
          <w:sz w:val="20"/>
        </w:rPr>
        <w:t xml:space="preserve"> </w:t>
      </w:r>
      <w:proofErr w:type="spellStart"/>
      <w:r>
        <w:rPr>
          <w:rFonts w:ascii="Cambria" w:hAnsi="Cambria"/>
          <w:sz w:val="20"/>
        </w:rPr>
        <w:t>Sheikh</w:t>
      </w:r>
      <w:proofErr w:type="spellEnd"/>
      <w:r>
        <w:rPr>
          <w:rFonts w:ascii="Cambria" w:hAnsi="Cambria"/>
          <w:sz w:val="20"/>
        </w:rPr>
        <w:t xml:space="preserve"> Mohammed, </w:t>
      </w:r>
      <w:proofErr w:type="spellStart"/>
      <w:r>
        <w:rPr>
          <w:rFonts w:ascii="Cambria" w:hAnsi="Cambria"/>
          <w:sz w:val="20"/>
        </w:rPr>
        <w:t>Mustafa</w:t>
      </w:r>
      <w:proofErr w:type="spellEnd"/>
      <w:r>
        <w:rPr>
          <w:rFonts w:ascii="Cambria" w:hAnsi="Cambria"/>
          <w:sz w:val="20"/>
        </w:rPr>
        <w:t xml:space="preserve"> Ahmad al-</w:t>
      </w:r>
      <w:proofErr w:type="spellStart"/>
      <w:r>
        <w:rPr>
          <w:rFonts w:ascii="Cambria" w:hAnsi="Cambria"/>
          <w:sz w:val="20"/>
        </w:rPr>
        <w:t>Hawsawi</w:t>
      </w:r>
      <w:proofErr w:type="spellEnd"/>
      <w:r>
        <w:rPr>
          <w:rFonts w:ascii="Cambria" w:hAnsi="Cambria"/>
          <w:sz w:val="20"/>
        </w:rPr>
        <w:t xml:space="preserve">, Ali </w:t>
      </w:r>
      <w:proofErr w:type="spellStart"/>
      <w:r>
        <w:rPr>
          <w:rFonts w:ascii="Cambria" w:hAnsi="Cambria"/>
          <w:sz w:val="20"/>
        </w:rPr>
        <w:t>Abd</w:t>
      </w:r>
      <w:proofErr w:type="spellEnd"/>
      <w:r>
        <w:rPr>
          <w:rFonts w:ascii="Cambria" w:hAnsi="Cambria"/>
          <w:sz w:val="20"/>
        </w:rPr>
        <w:t xml:space="preserve"> al-</w:t>
      </w:r>
      <w:proofErr w:type="spellStart"/>
      <w:r>
        <w:rPr>
          <w:rFonts w:ascii="Cambria" w:hAnsi="Cambria"/>
          <w:sz w:val="20"/>
        </w:rPr>
        <w:t>Aziz</w:t>
      </w:r>
      <w:proofErr w:type="spellEnd"/>
      <w:r>
        <w:rPr>
          <w:rFonts w:ascii="Cambria" w:hAnsi="Cambria"/>
          <w:sz w:val="20"/>
        </w:rPr>
        <w:t xml:space="preserve"> Ali, </w:t>
      </w:r>
      <w:proofErr w:type="spellStart"/>
      <w:r>
        <w:rPr>
          <w:rFonts w:ascii="Cambria" w:hAnsi="Cambria"/>
          <w:sz w:val="20"/>
        </w:rPr>
        <w:t>Waleed</w:t>
      </w:r>
      <w:proofErr w:type="spellEnd"/>
      <w:r>
        <w:rPr>
          <w:rFonts w:ascii="Cambria" w:hAnsi="Cambria"/>
          <w:sz w:val="20"/>
        </w:rPr>
        <w:t xml:space="preserve"> </w:t>
      </w:r>
      <w:proofErr w:type="spellStart"/>
      <w:r>
        <w:rPr>
          <w:rFonts w:ascii="Cambria" w:hAnsi="Cambria"/>
          <w:sz w:val="20"/>
        </w:rPr>
        <w:t>Bin</w:t>
      </w:r>
      <w:proofErr w:type="spellEnd"/>
      <w:r>
        <w:rPr>
          <w:rFonts w:ascii="Cambria" w:hAnsi="Cambria"/>
          <w:sz w:val="20"/>
        </w:rPr>
        <w:t xml:space="preserve"> ‘</w:t>
      </w:r>
      <w:proofErr w:type="spellStart"/>
      <w:r>
        <w:rPr>
          <w:rFonts w:ascii="Cambria" w:hAnsi="Cambria"/>
          <w:sz w:val="20"/>
        </w:rPr>
        <w:t>Attash</w:t>
      </w:r>
      <w:proofErr w:type="spellEnd"/>
      <w:r>
        <w:rPr>
          <w:rFonts w:ascii="Cambria" w:hAnsi="Cambria"/>
          <w:sz w:val="20"/>
        </w:rPr>
        <w:t xml:space="preserve">, y </w:t>
      </w:r>
      <w:proofErr w:type="spellStart"/>
      <w:r>
        <w:rPr>
          <w:rFonts w:ascii="Cambria" w:hAnsi="Cambria"/>
          <w:sz w:val="20"/>
        </w:rPr>
        <w:t>Ramzi</w:t>
      </w:r>
      <w:proofErr w:type="spellEnd"/>
      <w:r>
        <w:rPr>
          <w:rFonts w:ascii="Cambria" w:hAnsi="Cambria"/>
          <w:sz w:val="20"/>
        </w:rPr>
        <w:t xml:space="preserve"> </w:t>
      </w:r>
      <w:proofErr w:type="spellStart"/>
      <w:r>
        <w:rPr>
          <w:rFonts w:ascii="Cambria" w:hAnsi="Cambria"/>
          <w:sz w:val="20"/>
        </w:rPr>
        <w:t>Bin</w:t>
      </w:r>
      <w:proofErr w:type="spellEnd"/>
      <w:r>
        <w:rPr>
          <w:rFonts w:ascii="Cambria" w:hAnsi="Cambria"/>
          <w:sz w:val="20"/>
        </w:rPr>
        <w:t xml:space="preserve"> al-</w:t>
      </w:r>
      <w:proofErr w:type="spellStart"/>
      <w:r>
        <w:rPr>
          <w:rFonts w:ascii="Cambria" w:hAnsi="Cambria"/>
          <w:sz w:val="20"/>
        </w:rPr>
        <w:t>Shibh</w:t>
      </w:r>
      <w:proofErr w:type="spellEnd"/>
      <w:r>
        <w:rPr>
          <w:rFonts w:ascii="Cambria" w:hAnsi="Cambria"/>
          <w:sz w:val="20"/>
        </w:rPr>
        <w:t xml:space="preserve">) enfrentan cargos formales. Todos ellos están dentro de la categoría de detenidos “altamente valorados” y podrían ser condenados a pena de muerte. En los otros dos casos, se ha llegado a un acuerdo inculpatorio pero los detenidos continúan privados de libertad en Guantánamo. Varios otros casos se encuentran inactivos dado que los cargos fueron desestimados sin efecto de cosa juzgada o porque el caso no ha sido referido a una comisión militar. Desde la apertura del centro de detención en 2002, sólo ocho detenidos han sido condenados por comisiones militares en Guantánamo; dos de esas condenas fueron revocadas en apelación. </w:t>
      </w:r>
    </w:p>
    <w:p w:rsidR="00F90639" w:rsidRPr="00FC2F1B" w:rsidRDefault="00F90639" w:rsidP="00724CD2">
      <w:pPr>
        <w:numPr>
          <w:ilvl w:val="0"/>
          <w:numId w:val="5"/>
        </w:numPr>
        <w:ind w:left="547" w:hanging="547"/>
        <w:jc w:val="both"/>
        <w:rPr>
          <w:rFonts w:ascii="Cambria" w:hAnsi="Cambria"/>
          <w:sz w:val="20"/>
          <w:szCs w:val="20"/>
        </w:rPr>
      </w:pPr>
      <w:proofErr w:type="spellStart"/>
      <w:r>
        <w:rPr>
          <w:rFonts w:ascii="Cambria" w:hAnsi="Cambria"/>
          <w:sz w:val="20"/>
        </w:rPr>
        <w:lastRenderedPageBreak/>
        <w:t>Majid</w:t>
      </w:r>
      <w:proofErr w:type="spellEnd"/>
      <w:r>
        <w:rPr>
          <w:rFonts w:ascii="Cambria" w:hAnsi="Cambria"/>
          <w:sz w:val="20"/>
        </w:rPr>
        <w:t xml:space="preserve"> </w:t>
      </w:r>
      <w:proofErr w:type="spellStart"/>
      <w:r>
        <w:rPr>
          <w:rFonts w:ascii="Cambria" w:hAnsi="Cambria"/>
          <w:sz w:val="20"/>
        </w:rPr>
        <w:t>Khan</w:t>
      </w:r>
      <w:proofErr w:type="spellEnd"/>
      <w:r>
        <w:rPr>
          <w:rFonts w:ascii="Cambria" w:hAnsi="Cambria"/>
          <w:sz w:val="20"/>
        </w:rPr>
        <w:t xml:space="preserve">, uno de los detenidos “altamente valorados” y el único residente de Estados Unidos que se encuentra en Guantánamo, admitió su culpabilidad en febrero de 2012. El acuerdo inculpatorio incluiría la obligación de declarar contra </w:t>
      </w:r>
      <w:proofErr w:type="spellStart"/>
      <w:r>
        <w:rPr>
          <w:rFonts w:ascii="Cambria" w:hAnsi="Cambria"/>
          <w:sz w:val="20"/>
        </w:rPr>
        <w:t>Khalid</w:t>
      </w:r>
      <w:proofErr w:type="spellEnd"/>
      <w:r>
        <w:rPr>
          <w:rFonts w:ascii="Cambria" w:hAnsi="Cambria"/>
          <w:sz w:val="20"/>
        </w:rPr>
        <w:t xml:space="preserve"> </w:t>
      </w:r>
      <w:proofErr w:type="spellStart"/>
      <w:r>
        <w:rPr>
          <w:rFonts w:ascii="Cambria" w:hAnsi="Cambria"/>
          <w:sz w:val="20"/>
        </w:rPr>
        <w:t>Sheikh</w:t>
      </w:r>
      <w:proofErr w:type="spellEnd"/>
      <w:r>
        <w:rPr>
          <w:rFonts w:ascii="Cambria" w:hAnsi="Cambria"/>
          <w:sz w:val="20"/>
        </w:rPr>
        <w:t xml:space="preserve"> Mohammed, supuesto autor intelectual de los atentados del 11 de septiembre, entre otros sospechosos de terrorismo. El acuerdo establecería una condena máxima de 19 años, pero la determinación de la pena fue postergada por cuatro años. Según su abogado, el Sr. </w:t>
      </w:r>
      <w:proofErr w:type="spellStart"/>
      <w:r>
        <w:rPr>
          <w:rFonts w:ascii="Cambria" w:hAnsi="Cambria"/>
          <w:sz w:val="20"/>
        </w:rPr>
        <w:t>Khan</w:t>
      </w:r>
      <w:proofErr w:type="spellEnd"/>
      <w:r>
        <w:rPr>
          <w:rFonts w:ascii="Cambria" w:hAnsi="Cambria"/>
          <w:sz w:val="20"/>
        </w:rPr>
        <w:t xml:space="preserve">  fue secuestrado en 2003, privado de libertad y torturado por agentes de Estados Unidos en centros clandestinos (</w:t>
      </w:r>
      <w:proofErr w:type="spellStart"/>
      <w:r>
        <w:rPr>
          <w:rFonts w:ascii="Cambria" w:hAnsi="Cambria"/>
          <w:i/>
          <w:sz w:val="20"/>
        </w:rPr>
        <w:t>black</w:t>
      </w:r>
      <w:proofErr w:type="spellEnd"/>
      <w:r>
        <w:rPr>
          <w:rFonts w:ascii="Cambria" w:hAnsi="Cambria"/>
          <w:i/>
          <w:sz w:val="20"/>
        </w:rPr>
        <w:t xml:space="preserve"> </w:t>
      </w:r>
      <w:proofErr w:type="spellStart"/>
      <w:r>
        <w:rPr>
          <w:rFonts w:ascii="Cambria" w:hAnsi="Cambria"/>
          <w:i/>
          <w:sz w:val="20"/>
        </w:rPr>
        <w:t>sites</w:t>
      </w:r>
      <w:proofErr w:type="spellEnd"/>
      <w:r>
        <w:rPr>
          <w:rFonts w:ascii="Cambria" w:hAnsi="Cambria"/>
          <w:sz w:val="20"/>
        </w:rPr>
        <w:t>) en el extranjero operados por la CIA, antes de ser trasladado a Guantánamo en septiembre de 2006</w:t>
      </w:r>
      <w:r>
        <w:rPr>
          <w:rStyle w:val="FootnoteReference"/>
          <w:rFonts w:ascii="Cambria" w:hAnsi="Cambria"/>
          <w:sz w:val="20"/>
        </w:rPr>
        <w:footnoteReference w:id="370"/>
      </w:r>
      <w:r>
        <w:rPr>
          <w:rFonts w:ascii="Cambria" w:hAnsi="Cambria"/>
          <w:sz w:val="20"/>
        </w:rPr>
        <w:t>.  Ahmed al-</w:t>
      </w:r>
      <w:proofErr w:type="spellStart"/>
      <w:r>
        <w:rPr>
          <w:rFonts w:ascii="Cambria" w:hAnsi="Cambria"/>
          <w:sz w:val="20"/>
        </w:rPr>
        <w:t>Darbi</w:t>
      </w:r>
      <w:proofErr w:type="spellEnd"/>
      <w:r>
        <w:rPr>
          <w:rFonts w:ascii="Cambria" w:hAnsi="Cambria"/>
          <w:sz w:val="20"/>
        </w:rPr>
        <w:t xml:space="preserve"> llegó a un acuerdo inculpatorio con la fiscalía en febrero de 2014, conforme al cual se comprometió a declarar contra al-</w:t>
      </w:r>
      <w:proofErr w:type="spellStart"/>
      <w:r>
        <w:rPr>
          <w:rFonts w:ascii="Cambria" w:hAnsi="Cambria"/>
          <w:sz w:val="20"/>
        </w:rPr>
        <w:t>Nashiri</w:t>
      </w:r>
      <w:proofErr w:type="spellEnd"/>
      <w:r>
        <w:rPr>
          <w:rFonts w:ascii="Cambria" w:hAnsi="Cambria"/>
          <w:sz w:val="20"/>
        </w:rPr>
        <w:t>. El acuerdo le habría garantizado una condena de 9 a 15 años, de los que 4 serían cumplidos en Guantánamo, luego de lo cual probablemente sería trasladado a Arabia Saudita para cumplir el resto de su condena</w:t>
      </w:r>
      <w:r>
        <w:rPr>
          <w:rStyle w:val="FootnoteReference"/>
          <w:rFonts w:ascii="Cambria" w:hAnsi="Cambria"/>
          <w:sz w:val="20"/>
        </w:rPr>
        <w:footnoteReference w:id="371"/>
      </w:r>
      <w:r>
        <w:rPr>
          <w:rFonts w:ascii="Cambria" w:hAnsi="Cambria"/>
          <w:sz w:val="20"/>
        </w:rPr>
        <w:t xml:space="preserve">. </w:t>
      </w:r>
    </w:p>
    <w:p w:rsidR="00F90639" w:rsidRPr="00FC2F1B" w:rsidRDefault="00F90639" w:rsidP="00F90639">
      <w:pPr>
        <w:pStyle w:val="ListParagrap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t xml:space="preserve">A la fecha de preparación del presente informe, todos los casos activos ante comisiones militares se encontraban aún en etapa preliminar (etapa previa al juicio). El caso de los supuestos cinco autores intelectuales de los atentados del 11 de septiembre es el de más alto perfil. En 2009, el gobierno de Estados Unidos anunció que buscaría el procesamiento penal ante la Corte Federal del Distrito Sur de Nueva York contra los cinco detenidos que previamente habían sido acusados ante una comisión militar. No obstante, en abril de 2011, luego de una reacción pública y política negativa, el Gobierno se retractó y anunció que los supuestos terroristas serían juzgados por comisiones militares. El caso ha estado estancado en etapa preliminar por tres años. El fiscal del Gobierno predijo que el juicio iniciaría en enero de 2015. Sin embargo, las alegadas infiltraciones del FBI en uno de los equipos de la defensa han contribuido a los actuales retrasos en los procedimientos preliminares. Conforme se señaló en el capítulo anterior, el FBI habría intentado reclutar como informante al agente de seguridad del equipo jurídico de defensa de </w:t>
      </w:r>
      <w:proofErr w:type="spellStart"/>
      <w:r>
        <w:rPr>
          <w:rFonts w:ascii="Cambria" w:hAnsi="Cambria"/>
          <w:sz w:val="20"/>
        </w:rPr>
        <w:t>Ramzi</w:t>
      </w:r>
      <w:proofErr w:type="spellEnd"/>
      <w:r>
        <w:rPr>
          <w:rFonts w:ascii="Cambria" w:hAnsi="Cambria"/>
          <w:sz w:val="20"/>
        </w:rPr>
        <w:t xml:space="preserve"> </w:t>
      </w:r>
      <w:proofErr w:type="spellStart"/>
      <w:r>
        <w:rPr>
          <w:rFonts w:ascii="Cambria" w:hAnsi="Cambria"/>
          <w:sz w:val="20"/>
        </w:rPr>
        <w:t>Bin</w:t>
      </w:r>
      <w:proofErr w:type="spellEnd"/>
      <w:r>
        <w:rPr>
          <w:rFonts w:ascii="Cambria" w:hAnsi="Cambria"/>
          <w:sz w:val="20"/>
        </w:rPr>
        <w:t xml:space="preserve"> Al </w:t>
      </w:r>
      <w:proofErr w:type="spellStart"/>
      <w:r>
        <w:rPr>
          <w:rFonts w:ascii="Cambria" w:hAnsi="Cambria"/>
          <w:sz w:val="20"/>
        </w:rPr>
        <w:t>Shibh’s</w:t>
      </w:r>
      <w:proofErr w:type="spellEnd"/>
      <w:r>
        <w:rPr>
          <w:rFonts w:ascii="Cambria" w:hAnsi="Cambria"/>
          <w:sz w:val="20"/>
        </w:rPr>
        <w:t>. Una audiencia fijada para el 15 de diciembre de 2014 para tratar estas alegaciones fue cancelada, y no existiría un cronograma estimado para el juicio</w:t>
      </w:r>
      <w:r>
        <w:rPr>
          <w:rStyle w:val="FootnoteReference"/>
          <w:rFonts w:ascii="Cambria" w:hAnsi="Cambria"/>
          <w:sz w:val="20"/>
        </w:rPr>
        <w:footnoteReference w:id="372"/>
      </w:r>
      <w:r>
        <w:rPr>
          <w:rFonts w:ascii="Cambria" w:hAnsi="Cambria"/>
          <w:sz w:val="20"/>
        </w:rPr>
        <w:t xml:space="preserve">.  </w:t>
      </w:r>
      <w:proofErr w:type="spellStart"/>
      <w:r>
        <w:rPr>
          <w:rFonts w:ascii="Cambria" w:hAnsi="Cambria"/>
          <w:sz w:val="20"/>
        </w:rPr>
        <w:t>Ramzi</w:t>
      </w:r>
      <w:proofErr w:type="spellEnd"/>
      <w:r>
        <w:rPr>
          <w:rFonts w:ascii="Cambria" w:hAnsi="Cambria"/>
          <w:sz w:val="20"/>
        </w:rPr>
        <w:t xml:space="preserve"> </w:t>
      </w:r>
      <w:proofErr w:type="spellStart"/>
      <w:r>
        <w:rPr>
          <w:rFonts w:ascii="Cambria" w:hAnsi="Cambria"/>
          <w:sz w:val="20"/>
        </w:rPr>
        <w:t>Bin</w:t>
      </w:r>
      <w:proofErr w:type="spellEnd"/>
      <w:r>
        <w:rPr>
          <w:rFonts w:ascii="Cambria" w:hAnsi="Cambria"/>
          <w:sz w:val="20"/>
        </w:rPr>
        <w:t xml:space="preserve"> al-</w:t>
      </w:r>
      <w:proofErr w:type="spellStart"/>
      <w:r>
        <w:rPr>
          <w:rFonts w:ascii="Cambria" w:hAnsi="Cambria"/>
          <w:sz w:val="20"/>
        </w:rPr>
        <w:t>Shibh</w:t>
      </w:r>
      <w:proofErr w:type="spellEnd"/>
      <w:r>
        <w:rPr>
          <w:rFonts w:ascii="Cambria" w:hAnsi="Cambria"/>
          <w:sz w:val="20"/>
        </w:rPr>
        <w:t xml:space="preserve"> y Al-</w:t>
      </w:r>
      <w:proofErr w:type="spellStart"/>
      <w:r>
        <w:rPr>
          <w:rFonts w:ascii="Cambria" w:hAnsi="Cambria"/>
          <w:sz w:val="20"/>
        </w:rPr>
        <w:t>Hawsawi</w:t>
      </w:r>
      <w:proofErr w:type="spellEnd"/>
      <w:r>
        <w:rPr>
          <w:rFonts w:ascii="Cambria" w:hAnsi="Cambria"/>
          <w:sz w:val="20"/>
        </w:rPr>
        <w:t xml:space="preserve"> estarían buscando que el caso de sus clientes sea separado del caso del 11 de septiembre</w:t>
      </w:r>
      <w:r>
        <w:rPr>
          <w:rStyle w:val="FootnoteReference"/>
          <w:rFonts w:ascii="Cambria" w:hAnsi="Cambria"/>
          <w:sz w:val="20"/>
        </w:rPr>
        <w:footnoteReference w:id="373"/>
      </w:r>
      <w:r>
        <w:rPr>
          <w:rFonts w:ascii="Cambria" w:hAnsi="Cambria"/>
          <w:sz w:val="20"/>
        </w:rPr>
        <w:t xml:space="preserve">.   </w:t>
      </w:r>
    </w:p>
    <w:p w:rsidR="00F90639" w:rsidRPr="00AF130B" w:rsidRDefault="00F90639" w:rsidP="00724CD2">
      <w:pPr>
        <w:numPr>
          <w:ilvl w:val="0"/>
          <w:numId w:val="5"/>
        </w:numPr>
        <w:ind w:left="547" w:hanging="547"/>
        <w:jc w:val="both"/>
        <w:rPr>
          <w:rFonts w:ascii="Cambria" w:hAnsi="Cambria"/>
          <w:sz w:val="20"/>
          <w:szCs w:val="20"/>
        </w:rPr>
      </w:pPr>
      <w:proofErr w:type="spellStart"/>
      <w:r>
        <w:rPr>
          <w:rFonts w:ascii="Cambria" w:hAnsi="Cambria"/>
          <w:sz w:val="20"/>
        </w:rPr>
        <w:lastRenderedPageBreak/>
        <w:t>Abd</w:t>
      </w:r>
      <w:proofErr w:type="spellEnd"/>
      <w:r>
        <w:rPr>
          <w:rFonts w:ascii="Cambria" w:hAnsi="Cambria"/>
          <w:sz w:val="20"/>
        </w:rPr>
        <w:t xml:space="preserve"> al-</w:t>
      </w:r>
      <w:proofErr w:type="spellStart"/>
      <w:r>
        <w:rPr>
          <w:rFonts w:ascii="Cambria" w:hAnsi="Cambria"/>
          <w:sz w:val="20"/>
        </w:rPr>
        <w:t>Rahim</w:t>
      </w:r>
      <w:proofErr w:type="spellEnd"/>
      <w:r>
        <w:rPr>
          <w:rFonts w:ascii="Cambria" w:hAnsi="Cambria"/>
          <w:sz w:val="20"/>
        </w:rPr>
        <w:t xml:space="preserve"> al-</w:t>
      </w:r>
      <w:proofErr w:type="spellStart"/>
      <w:r>
        <w:rPr>
          <w:rFonts w:ascii="Cambria" w:hAnsi="Cambria"/>
          <w:sz w:val="20"/>
        </w:rPr>
        <w:t>Nashiri</w:t>
      </w:r>
      <w:proofErr w:type="spellEnd"/>
      <w:r>
        <w:rPr>
          <w:rFonts w:ascii="Cambria" w:hAnsi="Cambria"/>
          <w:sz w:val="20"/>
        </w:rPr>
        <w:t xml:space="preserve"> está acusado de planificar el intento de atentado contra el USS </w:t>
      </w:r>
      <w:proofErr w:type="spellStart"/>
      <w:r>
        <w:rPr>
          <w:rFonts w:ascii="Cambria" w:hAnsi="Cambria"/>
          <w:sz w:val="20"/>
        </w:rPr>
        <w:t>The</w:t>
      </w:r>
      <w:proofErr w:type="spellEnd"/>
      <w:r>
        <w:rPr>
          <w:rFonts w:ascii="Cambria" w:hAnsi="Cambria"/>
          <w:sz w:val="20"/>
        </w:rPr>
        <w:t xml:space="preserve"> </w:t>
      </w:r>
      <w:proofErr w:type="spellStart"/>
      <w:r>
        <w:rPr>
          <w:rFonts w:ascii="Cambria" w:hAnsi="Cambria"/>
          <w:sz w:val="20"/>
        </w:rPr>
        <w:t>Sullivans</w:t>
      </w:r>
      <w:proofErr w:type="spellEnd"/>
      <w:r>
        <w:rPr>
          <w:rFonts w:ascii="Cambria" w:hAnsi="Cambria"/>
          <w:sz w:val="20"/>
        </w:rPr>
        <w:t xml:space="preserve"> en enero de 2000, un atentado contra el USS Cole en octubre de 2000 que mató a 17 miembros de la marina estadounidense, y un atentado contra el MV </w:t>
      </w:r>
      <w:proofErr w:type="spellStart"/>
      <w:r>
        <w:rPr>
          <w:rFonts w:ascii="Cambria" w:hAnsi="Cambria"/>
          <w:sz w:val="20"/>
        </w:rPr>
        <w:t>Limburg</w:t>
      </w:r>
      <w:proofErr w:type="spellEnd"/>
      <w:r>
        <w:rPr>
          <w:rFonts w:ascii="Cambria" w:hAnsi="Cambria"/>
          <w:sz w:val="20"/>
        </w:rPr>
        <w:t xml:space="preserve"> en Octubre de 2002</w:t>
      </w:r>
      <w:r>
        <w:rPr>
          <w:rStyle w:val="FootnoteReference"/>
          <w:rFonts w:ascii="Cambria" w:hAnsi="Cambria"/>
          <w:sz w:val="20"/>
        </w:rPr>
        <w:footnoteReference w:id="374"/>
      </w:r>
      <w:r>
        <w:rPr>
          <w:rFonts w:ascii="Cambria" w:hAnsi="Cambria"/>
          <w:sz w:val="20"/>
        </w:rPr>
        <w:t>. Hasta diciembre de 2014, existían dos recursos pendientes ante la comisión militar y ante la corte federal. El 14 de octubre de 2014, el abogado defensor presentó un escrito de apelación en el marco de un auto interlocutorio gubernamental de apelación ante la Corte de Revisión de la Comisión Militar urgiendo a la CMCR confirmar la decisión judicial de primera instancia de desestimar los cargos relacionados con los hechos de Limburgo. Además presentó una acción de cumplimiento judicial (</w:t>
      </w:r>
      <w:proofErr w:type="spellStart"/>
      <w:r>
        <w:rPr>
          <w:rFonts w:ascii="Cambria" w:hAnsi="Cambria"/>
          <w:i/>
          <w:sz w:val="20"/>
        </w:rPr>
        <w:t>mandamus</w:t>
      </w:r>
      <w:proofErr w:type="spellEnd"/>
      <w:r>
        <w:rPr>
          <w:rFonts w:ascii="Cambria" w:hAnsi="Cambria"/>
          <w:i/>
          <w:sz w:val="20"/>
        </w:rPr>
        <w:t xml:space="preserve"> </w:t>
      </w:r>
      <w:proofErr w:type="spellStart"/>
      <w:r>
        <w:rPr>
          <w:rFonts w:ascii="Cambria" w:hAnsi="Cambria"/>
          <w:i/>
          <w:sz w:val="20"/>
        </w:rPr>
        <w:t>petition</w:t>
      </w:r>
      <w:proofErr w:type="spellEnd"/>
      <w:r>
        <w:rPr>
          <w:rFonts w:ascii="Cambria" w:hAnsi="Cambria"/>
          <w:sz w:val="20"/>
        </w:rPr>
        <w:t>) solicitando a la Corte de Circuito de D.C. que ordene la participación de dos de los tres miembros del panel de la CMCR en el auto interlocutorio de apelación. La audiencia oral relativa a este recurso está fijada para el 10 de febrero de 2015</w:t>
      </w:r>
      <w:r>
        <w:rPr>
          <w:rStyle w:val="FootnoteReference"/>
          <w:rFonts w:ascii="Cambria" w:hAnsi="Cambria"/>
          <w:sz w:val="20"/>
        </w:rPr>
        <w:footnoteReference w:id="375"/>
      </w:r>
      <w:r>
        <w:rPr>
          <w:rFonts w:ascii="Cambria" w:hAnsi="Cambria"/>
          <w:sz w:val="20"/>
        </w:rPr>
        <w:t>.  Adicionalmente, la defensa cuestionó la jurisdicción respecto de los cargos relativos al atentado del USS Cole por parte de la Corte de Distrito de D.C. El asunto principal a resolver es si el conflicto armado entre EE.UU. y Al-Qaeda había comenzado al momento del atentado, en octubre de 2000</w:t>
      </w:r>
      <w:r>
        <w:rPr>
          <w:rStyle w:val="FootnoteReference"/>
          <w:rFonts w:ascii="Cambria" w:hAnsi="Cambria"/>
          <w:sz w:val="20"/>
        </w:rPr>
        <w:footnoteReference w:id="376"/>
      </w:r>
      <w:r>
        <w:rPr>
          <w:rFonts w:ascii="Cambria" w:hAnsi="Cambria"/>
          <w:sz w:val="20"/>
        </w:rPr>
        <w:t>.</w:t>
      </w:r>
    </w:p>
    <w:p w:rsidR="00AF130B" w:rsidRPr="00FC2F1B" w:rsidRDefault="00AF130B" w:rsidP="00AF130B">
      <w:pPr>
        <w:jc w:val="bot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proofErr w:type="spellStart"/>
      <w:r>
        <w:rPr>
          <w:rFonts w:ascii="Cambria" w:hAnsi="Cambria"/>
          <w:sz w:val="20"/>
        </w:rPr>
        <w:t>Abd</w:t>
      </w:r>
      <w:proofErr w:type="spellEnd"/>
      <w:r>
        <w:rPr>
          <w:rFonts w:ascii="Cambria" w:hAnsi="Cambria"/>
          <w:sz w:val="20"/>
        </w:rPr>
        <w:t xml:space="preserve"> al </w:t>
      </w:r>
      <w:proofErr w:type="spellStart"/>
      <w:r>
        <w:rPr>
          <w:rFonts w:ascii="Cambria" w:hAnsi="Cambria"/>
          <w:sz w:val="20"/>
        </w:rPr>
        <w:t>Hadi</w:t>
      </w:r>
      <w:proofErr w:type="spellEnd"/>
      <w:r>
        <w:rPr>
          <w:rFonts w:ascii="Cambria" w:hAnsi="Cambria"/>
          <w:sz w:val="20"/>
        </w:rPr>
        <w:t xml:space="preserve"> al-</w:t>
      </w:r>
      <w:proofErr w:type="spellStart"/>
      <w:r>
        <w:rPr>
          <w:rFonts w:ascii="Cambria" w:hAnsi="Cambria"/>
          <w:sz w:val="20"/>
        </w:rPr>
        <w:t>Iraqi</w:t>
      </w:r>
      <w:proofErr w:type="spellEnd"/>
      <w:r>
        <w:rPr>
          <w:rFonts w:ascii="Cambria" w:hAnsi="Cambria"/>
          <w:sz w:val="20"/>
        </w:rPr>
        <w:t xml:space="preserve"> está acusado en relación con una serie de atentados en Afganistán y Paquistán ocurridos alrededor de 2003 y 2004, así como de conspiración para cometer infracciones al derecho de guerra</w:t>
      </w:r>
      <w:r>
        <w:rPr>
          <w:rStyle w:val="FootnoteReference"/>
          <w:rFonts w:ascii="Cambria" w:hAnsi="Cambria"/>
          <w:sz w:val="20"/>
        </w:rPr>
        <w:footnoteReference w:id="377"/>
      </w:r>
      <w:r>
        <w:rPr>
          <w:rFonts w:ascii="Cambria" w:hAnsi="Cambria"/>
          <w:sz w:val="20"/>
        </w:rPr>
        <w:t>. Fue acusado por primera vez en 2013 y las primeras audiencias preliminares tuvieron lugar en septiembre y noviembre de 2014. Según el cronograma anunciado por la comisión militar, se estima que la etapa previa al juicio continúe hasta al menos el 31 de julio de 2015</w:t>
      </w:r>
      <w:r>
        <w:rPr>
          <w:rStyle w:val="FootnoteReference"/>
          <w:rFonts w:ascii="Cambria" w:hAnsi="Cambria"/>
          <w:sz w:val="20"/>
        </w:rPr>
        <w:footnoteReference w:id="378"/>
      </w:r>
      <w:r>
        <w:rPr>
          <w:rFonts w:ascii="Cambria" w:hAnsi="Cambria"/>
          <w:sz w:val="20"/>
        </w:rPr>
        <w:t>.</w:t>
      </w:r>
    </w:p>
    <w:p w:rsidR="00F90639" w:rsidRPr="00FC2F1B" w:rsidRDefault="00F90639" w:rsidP="00F90639">
      <w:pPr>
        <w:pStyle w:val="ListParagrap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t xml:space="preserve">Desde la apertura del centro de detención en 2002, ocho detenidos han sido condenados por las comisiones militares de Guantánamo, los primeros tres por comisiones militares establecidas según la Ley de Comisiones Militares de 2006.  El australiano David </w:t>
      </w:r>
      <w:proofErr w:type="spellStart"/>
      <w:r>
        <w:rPr>
          <w:rFonts w:ascii="Cambria" w:hAnsi="Cambria"/>
          <w:sz w:val="20"/>
        </w:rPr>
        <w:t>Hicks</w:t>
      </w:r>
      <w:proofErr w:type="spellEnd"/>
      <w:r>
        <w:rPr>
          <w:rFonts w:ascii="Cambria" w:hAnsi="Cambria"/>
          <w:sz w:val="20"/>
        </w:rPr>
        <w:t xml:space="preserve"> fue el primer detenido en haber sido condenado por una comisión militar. Se declaró culpable en abril de 2007, cumplió parte de su condena en Australia y fue liberado el 29 de diciembre de 2007. Como se señaló en el capítulo anterior, </w:t>
      </w:r>
      <w:proofErr w:type="spellStart"/>
      <w:r>
        <w:rPr>
          <w:rFonts w:ascii="Cambria" w:hAnsi="Cambria"/>
          <w:sz w:val="20"/>
        </w:rPr>
        <w:t>Salim</w:t>
      </w:r>
      <w:proofErr w:type="spellEnd"/>
      <w:r>
        <w:rPr>
          <w:rFonts w:ascii="Cambria" w:hAnsi="Cambria"/>
          <w:sz w:val="20"/>
        </w:rPr>
        <w:t xml:space="preserve"> </w:t>
      </w:r>
      <w:proofErr w:type="spellStart"/>
      <w:r>
        <w:rPr>
          <w:rFonts w:ascii="Cambria" w:hAnsi="Cambria"/>
          <w:sz w:val="20"/>
        </w:rPr>
        <w:t>Hamdan</w:t>
      </w:r>
      <w:proofErr w:type="spellEnd"/>
      <w:r>
        <w:rPr>
          <w:rFonts w:ascii="Cambria" w:hAnsi="Cambria"/>
          <w:sz w:val="20"/>
        </w:rPr>
        <w:t xml:space="preserve"> fue declarado culpable en primera instancia en 2008. Después de cumplir su condena, fue repatriado a Yemen en 2008, donde continuó apelando su condena. Su condena fue revocada en 2012 por la Corte de Circuito de D.C. La corte concluyó que las comisiones militares carecían de jurisdicción para conocer el delito de proporcionar apoyo material para el terrorismo, lo que no constituía un delito según el derecho internacional al </w:t>
      </w:r>
      <w:r>
        <w:rPr>
          <w:rFonts w:ascii="Cambria" w:hAnsi="Cambria"/>
          <w:sz w:val="20"/>
        </w:rPr>
        <w:lastRenderedPageBreak/>
        <w:t>momento de la infracción</w:t>
      </w:r>
      <w:r>
        <w:rPr>
          <w:rStyle w:val="FootnoteReference"/>
          <w:rFonts w:ascii="Cambria" w:hAnsi="Cambria"/>
          <w:sz w:val="20"/>
        </w:rPr>
        <w:footnoteReference w:id="379"/>
      </w:r>
      <w:r>
        <w:rPr>
          <w:rFonts w:ascii="Cambria" w:hAnsi="Cambria"/>
          <w:sz w:val="20"/>
        </w:rPr>
        <w:t xml:space="preserve">. Ali </w:t>
      </w:r>
      <w:proofErr w:type="spellStart"/>
      <w:r>
        <w:rPr>
          <w:rFonts w:ascii="Cambria" w:hAnsi="Cambria"/>
          <w:sz w:val="20"/>
        </w:rPr>
        <w:t>Hamza</w:t>
      </w:r>
      <w:proofErr w:type="spellEnd"/>
      <w:r>
        <w:rPr>
          <w:rFonts w:ascii="Cambria" w:hAnsi="Cambria"/>
          <w:sz w:val="20"/>
        </w:rPr>
        <w:t xml:space="preserve"> al </w:t>
      </w:r>
      <w:proofErr w:type="spellStart"/>
      <w:r>
        <w:rPr>
          <w:rFonts w:ascii="Cambria" w:hAnsi="Cambria"/>
          <w:sz w:val="20"/>
        </w:rPr>
        <w:t>Bahlul</w:t>
      </w:r>
      <w:proofErr w:type="spellEnd"/>
      <w:r>
        <w:rPr>
          <w:rFonts w:ascii="Cambria" w:hAnsi="Cambria"/>
          <w:sz w:val="20"/>
        </w:rPr>
        <w:t xml:space="preserve"> también fue declarado culpable en primera instancia en 2008. Fue condenado a cadena perpetua y está cumpliendo su pena en Guantánamo. La cuestión de las leyes </w:t>
      </w:r>
      <w:r>
        <w:rPr>
          <w:rFonts w:ascii="Cambria" w:hAnsi="Cambria"/>
          <w:i/>
          <w:sz w:val="20"/>
        </w:rPr>
        <w:t>ex post facto</w:t>
      </w:r>
      <w:r>
        <w:rPr>
          <w:rFonts w:ascii="Cambria" w:hAnsi="Cambria"/>
          <w:sz w:val="20"/>
        </w:rPr>
        <w:t xml:space="preserve"> fue nuevamente abordada por la Corte de Circuito de D.C. en su caso. En julio de 2014, la Corte revocó dos de las tres condenas (apoyo material y solicitud a terceros) y confirmó la condena por cargos de conspiración</w:t>
      </w:r>
      <w:r>
        <w:rPr>
          <w:rStyle w:val="FootnoteReference"/>
          <w:rFonts w:ascii="Cambria" w:hAnsi="Cambria"/>
          <w:sz w:val="20"/>
        </w:rPr>
        <w:footnoteReference w:id="380"/>
      </w:r>
      <w:r>
        <w:rPr>
          <w:rFonts w:ascii="Cambria" w:hAnsi="Cambria"/>
          <w:sz w:val="20"/>
        </w:rPr>
        <w:t>. La Corte remitió dicha condena al panel original de la Corte para que resuelva sobre los asuntos pendientes. El 22 de octubre de 2014, la Corte de Circuito de D.C. escuchó argumentos orales sobre la única condena que no había sido revocada.</w:t>
      </w:r>
    </w:p>
    <w:p w:rsidR="00F90639" w:rsidRPr="00FC2F1B" w:rsidRDefault="00F90639" w:rsidP="00F90639">
      <w:pPr>
        <w:ind w:left="720"/>
        <w:jc w:val="bot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t xml:space="preserve">Cinco detenidos han sido condenados según la MCA de 2009. Como consecuencia de un acuerdo inculpatorio ante comisiones militares,  los ciudadanos sudaneses Ibrahim al </w:t>
      </w:r>
      <w:proofErr w:type="spellStart"/>
      <w:r>
        <w:rPr>
          <w:rFonts w:ascii="Cambria" w:hAnsi="Cambria"/>
          <w:sz w:val="20"/>
        </w:rPr>
        <w:t>Qosi</w:t>
      </w:r>
      <w:proofErr w:type="spellEnd"/>
      <w:r>
        <w:rPr>
          <w:rFonts w:ascii="Cambria" w:hAnsi="Cambria"/>
          <w:sz w:val="20"/>
        </w:rPr>
        <w:t xml:space="preserve"> y </w:t>
      </w:r>
      <w:proofErr w:type="spellStart"/>
      <w:r>
        <w:rPr>
          <w:rFonts w:ascii="Cambria" w:hAnsi="Cambria"/>
          <w:sz w:val="20"/>
        </w:rPr>
        <w:t>Noor</w:t>
      </w:r>
      <w:proofErr w:type="spellEnd"/>
      <w:r>
        <w:rPr>
          <w:rFonts w:ascii="Cambria" w:hAnsi="Cambria"/>
          <w:sz w:val="20"/>
        </w:rPr>
        <w:t xml:space="preserve"> </w:t>
      </w:r>
      <w:proofErr w:type="spellStart"/>
      <w:r>
        <w:rPr>
          <w:rFonts w:ascii="Cambria" w:hAnsi="Cambria"/>
          <w:sz w:val="20"/>
        </w:rPr>
        <w:t>Muhammed</w:t>
      </w:r>
      <w:proofErr w:type="spellEnd"/>
      <w:r>
        <w:rPr>
          <w:rFonts w:ascii="Cambria" w:hAnsi="Cambria"/>
          <w:sz w:val="20"/>
        </w:rPr>
        <w:t xml:space="preserve">, y el ciudadano canadiense Omar </w:t>
      </w:r>
      <w:proofErr w:type="spellStart"/>
      <w:r>
        <w:rPr>
          <w:rFonts w:ascii="Cambria" w:hAnsi="Cambria"/>
          <w:sz w:val="20"/>
        </w:rPr>
        <w:t>Khadr</w:t>
      </w:r>
      <w:proofErr w:type="spellEnd"/>
      <w:r>
        <w:rPr>
          <w:rFonts w:ascii="Cambria" w:hAnsi="Cambria"/>
          <w:sz w:val="20"/>
        </w:rPr>
        <w:t xml:space="preserve">, fueron trasladados a sus países de origen. En 2010 y 2011, Ibrahim al </w:t>
      </w:r>
      <w:proofErr w:type="spellStart"/>
      <w:r>
        <w:rPr>
          <w:rFonts w:ascii="Cambria" w:hAnsi="Cambria"/>
          <w:sz w:val="20"/>
        </w:rPr>
        <w:t>Qosi</w:t>
      </w:r>
      <w:proofErr w:type="spellEnd"/>
      <w:r>
        <w:rPr>
          <w:rFonts w:ascii="Cambria" w:hAnsi="Cambria"/>
          <w:sz w:val="20"/>
        </w:rPr>
        <w:t xml:space="preserve"> y </w:t>
      </w:r>
      <w:proofErr w:type="spellStart"/>
      <w:r>
        <w:rPr>
          <w:rFonts w:ascii="Cambria" w:hAnsi="Cambria"/>
          <w:sz w:val="20"/>
        </w:rPr>
        <w:t>Noor</w:t>
      </w:r>
      <w:proofErr w:type="spellEnd"/>
      <w:r>
        <w:rPr>
          <w:rFonts w:ascii="Cambria" w:hAnsi="Cambria"/>
          <w:sz w:val="20"/>
        </w:rPr>
        <w:t xml:space="preserve"> </w:t>
      </w:r>
      <w:proofErr w:type="spellStart"/>
      <w:r>
        <w:rPr>
          <w:rFonts w:ascii="Cambria" w:hAnsi="Cambria"/>
          <w:sz w:val="20"/>
        </w:rPr>
        <w:t>Muhammed</w:t>
      </w:r>
      <w:proofErr w:type="spellEnd"/>
      <w:r>
        <w:rPr>
          <w:rFonts w:ascii="Cambria" w:hAnsi="Cambria"/>
          <w:sz w:val="20"/>
        </w:rPr>
        <w:t xml:space="preserve"> se declararon culpables de proporcionar apoyo material a Al-Qaeda y de conspirar para proporcionar apoyo material, y fueron condenados a 14 años de prisión. A cambio del acuerdo inculpatorio y del ofrecimiento de cooperar con la justicia, el período de privación de libertad se redujo a dos años y 34 meses, respectivamente. Fueron trasladados a Sudán el 10 de julio de 2012 y el 18 de diciembre de 2013</w:t>
      </w:r>
      <w:r>
        <w:rPr>
          <w:rStyle w:val="FootnoteReference"/>
          <w:rFonts w:ascii="Cambria" w:hAnsi="Cambria"/>
          <w:sz w:val="20"/>
        </w:rPr>
        <w:footnoteReference w:id="381"/>
      </w:r>
      <w:r>
        <w:rPr>
          <w:rFonts w:ascii="Cambria" w:hAnsi="Cambria"/>
          <w:sz w:val="20"/>
        </w:rPr>
        <w:t xml:space="preserve">. En 2010, </w:t>
      </w:r>
      <w:proofErr w:type="spellStart"/>
      <w:r>
        <w:rPr>
          <w:rFonts w:ascii="Cambria" w:hAnsi="Cambria"/>
          <w:sz w:val="20"/>
        </w:rPr>
        <w:t>Khadr</w:t>
      </w:r>
      <w:proofErr w:type="spellEnd"/>
      <w:r>
        <w:rPr>
          <w:rFonts w:ascii="Cambria" w:hAnsi="Cambria"/>
          <w:sz w:val="20"/>
        </w:rPr>
        <w:t xml:space="preserve"> se declaró culpable de asesinato e intento de asesinato en violación del derecho de guerra, conspiración, apoyo material al terrorismo y espionaje, y fue condenado a 40 años de privación de libertad. Según el acuerdo inculpatorio, cumplirá una pena no mayor a ocho años. Fue trasladado a Canadá en 2012 para cumplir el resto de su condena</w:t>
      </w:r>
      <w:r>
        <w:rPr>
          <w:rStyle w:val="FootnoteReference"/>
          <w:rFonts w:ascii="Cambria" w:hAnsi="Cambria"/>
          <w:sz w:val="20"/>
        </w:rPr>
        <w:footnoteReference w:id="382"/>
      </w:r>
      <w:r>
        <w:rPr>
          <w:rFonts w:ascii="Cambria" w:hAnsi="Cambria"/>
          <w:sz w:val="20"/>
        </w:rPr>
        <w:t xml:space="preserve">. Como se señaló anteriormente, con base en un acuerdo inculpatorio se condenó a </w:t>
      </w:r>
      <w:proofErr w:type="spellStart"/>
      <w:r>
        <w:rPr>
          <w:rFonts w:ascii="Cambria" w:hAnsi="Cambria"/>
          <w:sz w:val="20"/>
        </w:rPr>
        <w:t>Majid</w:t>
      </w:r>
      <w:proofErr w:type="spellEnd"/>
      <w:r>
        <w:rPr>
          <w:rFonts w:ascii="Cambria" w:hAnsi="Cambria"/>
          <w:sz w:val="20"/>
        </w:rPr>
        <w:t xml:space="preserve"> </w:t>
      </w:r>
      <w:proofErr w:type="spellStart"/>
      <w:r>
        <w:rPr>
          <w:rFonts w:ascii="Cambria" w:hAnsi="Cambria"/>
          <w:sz w:val="20"/>
        </w:rPr>
        <w:t>Khan</w:t>
      </w:r>
      <w:proofErr w:type="spellEnd"/>
      <w:r>
        <w:rPr>
          <w:rFonts w:ascii="Cambria" w:hAnsi="Cambria"/>
          <w:sz w:val="20"/>
        </w:rPr>
        <w:t xml:space="preserve"> y Ahmad al </w:t>
      </w:r>
      <w:proofErr w:type="spellStart"/>
      <w:r>
        <w:rPr>
          <w:rFonts w:ascii="Cambria" w:hAnsi="Cambria"/>
          <w:sz w:val="20"/>
        </w:rPr>
        <w:t>Darbi</w:t>
      </w:r>
      <w:proofErr w:type="spellEnd"/>
      <w:r>
        <w:rPr>
          <w:rFonts w:ascii="Cambria" w:hAnsi="Cambria"/>
          <w:sz w:val="20"/>
        </w:rPr>
        <w:t xml:space="preserve">, pero todavía permanecen detenidos en Guantánamo. La etapa de determinación de la pena de </w:t>
      </w:r>
      <w:proofErr w:type="spellStart"/>
      <w:r>
        <w:rPr>
          <w:rFonts w:ascii="Cambria" w:hAnsi="Cambria"/>
          <w:sz w:val="20"/>
        </w:rPr>
        <w:t>Majid</w:t>
      </w:r>
      <w:proofErr w:type="spellEnd"/>
      <w:r>
        <w:rPr>
          <w:rFonts w:ascii="Cambria" w:hAnsi="Cambria"/>
          <w:sz w:val="20"/>
        </w:rPr>
        <w:t xml:space="preserve"> </w:t>
      </w:r>
      <w:proofErr w:type="spellStart"/>
      <w:r>
        <w:rPr>
          <w:rFonts w:ascii="Cambria" w:hAnsi="Cambria"/>
          <w:sz w:val="20"/>
        </w:rPr>
        <w:t>Khan</w:t>
      </w:r>
      <w:proofErr w:type="spellEnd"/>
      <w:r>
        <w:rPr>
          <w:rFonts w:ascii="Cambria" w:hAnsi="Cambria"/>
          <w:sz w:val="20"/>
        </w:rPr>
        <w:t xml:space="preserve"> se postergó en espera del testimonio contra </w:t>
      </w:r>
      <w:proofErr w:type="spellStart"/>
      <w:r>
        <w:rPr>
          <w:rFonts w:ascii="Cambria" w:hAnsi="Cambria"/>
          <w:sz w:val="20"/>
        </w:rPr>
        <w:t>Khalid</w:t>
      </w:r>
      <w:proofErr w:type="spellEnd"/>
      <w:r>
        <w:rPr>
          <w:rFonts w:ascii="Cambria" w:hAnsi="Cambria"/>
          <w:sz w:val="20"/>
        </w:rPr>
        <w:t xml:space="preserve"> </w:t>
      </w:r>
      <w:proofErr w:type="spellStart"/>
      <w:r>
        <w:rPr>
          <w:rFonts w:ascii="Cambria" w:hAnsi="Cambria"/>
          <w:sz w:val="20"/>
        </w:rPr>
        <w:t>Shaikh</w:t>
      </w:r>
      <w:proofErr w:type="spellEnd"/>
      <w:r>
        <w:rPr>
          <w:rFonts w:ascii="Cambria" w:hAnsi="Cambria"/>
          <w:sz w:val="20"/>
        </w:rPr>
        <w:t xml:space="preserve"> Mohammed, mientras que Ahmad al </w:t>
      </w:r>
      <w:proofErr w:type="spellStart"/>
      <w:r>
        <w:rPr>
          <w:rFonts w:ascii="Cambria" w:hAnsi="Cambria"/>
          <w:sz w:val="20"/>
        </w:rPr>
        <w:t>Darbi</w:t>
      </w:r>
      <w:proofErr w:type="spellEnd"/>
      <w:r>
        <w:rPr>
          <w:rFonts w:ascii="Cambria" w:hAnsi="Cambria"/>
          <w:sz w:val="20"/>
        </w:rPr>
        <w:t xml:space="preserve"> está cumpliendo cuatro años de su condena en Guantánamo. </w:t>
      </w:r>
    </w:p>
    <w:p w:rsidR="00F90639" w:rsidRPr="00FC2F1B" w:rsidRDefault="00F90639" w:rsidP="00F90639">
      <w:pPr>
        <w:ind w:left="720"/>
        <w:jc w:val="bot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t xml:space="preserve">El sistema de comisiones militares ha demostrado ser lento e ineficiente. Transcurridos trece años desde la apertura del centro de detención en la Bahía de Guantánamo por parte del gobierno de Estados Unidos, sólo ocho detenidos han sido sentenciados por una comisión militar. Esto representa aproximadamente el 1% de todos los prisioneros que en algún momento han estado detenidos en Guantánamo. Todos los casos con excepción de dos tuvieron como resultado un acuerdo inculpatorio. En los únicos dos casos que tuvieron como resultado una determinación de culpabilidad con base en un juicio, la condena por apoyo material fue revocada en apelación ante la Corte de Circuito de D.C. Las cortes federales tienen aún pendiente resolver si las comisiones militares pueden acusar de </w:t>
      </w:r>
      <w:r>
        <w:rPr>
          <w:rFonts w:ascii="Cambria" w:hAnsi="Cambria"/>
          <w:sz w:val="20"/>
        </w:rPr>
        <w:lastRenderedPageBreak/>
        <w:t xml:space="preserve">conspiración como delito autónomo, siendo este el único cargo que continúa en pie en el caso </w:t>
      </w:r>
      <w:proofErr w:type="spellStart"/>
      <w:r>
        <w:rPr>
          <w:rFonts w:ascii="Cambria" w:hAnsi="Cambria"/>
          <w:sz w:val="20"/>
        </w:rPr>
        <w:t>Bahlul</w:t>
      </w:r>
      <w:proofErr w:type="spellEnd"/>
      <w:r>
        <w:rPr>
          <w:rFonts w:ascii="Cambria" w:hAnsi="Cambria"/>
          <w:sz w:val="20"/>
        </w:rPr>
        <w:t xml:space="preserve">.  La CIDH observa con preocupación que los detenidos se hayan declarado culpables y hayan cumplido condenas por delitos que con posterioridad han sido declarados </w:t>
      </w:r>
      <w:r>
        <w:rPr>
          <w:rFonts w:ascii="Cambria" w:hAnsi="Cambria"/>
          <w:i/>
          <w:sz w:val="20"/>
        </w:rPr>
        <w:t xml:space="preserve">ex post facto </w:t>
      </w:r>
      <w:r>
        <w:rPr>
          <w:rFonts w:ascii="Cambria" w:hAnsi="Cambria"/>
          <w:sz w:val="20"/>
        </w:rPr>
        <w:t xml:space="preserve">por cortes federales. </w:t>
      </w:r>
    </w:p>
    <w:p w:rsidR="00F90639" w:rsidRPr="00FC2F1B" w:rsidRDefault="00F90639" w:rsidP="00F90639">
      <w:pPr>
        <w:pStyle w:val="ListParagrap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t xml:space="preserve">Los pocos casos activos pendientes ante comisiones militares se encuentran en etapa preliminar. En el caso de </w:t>
      </w:r>
      <w:proofErr w:type="spellStart"/>
      <w:r>
        <w:rPr>
          <w:rFonts w:ascii="Cambria" w:hAnsi="Cambria"/>
          <w:sz w:val="20"/>
        </w:rPr>
        <w:t>Khalid</w:t>
      </w:r>
      <w:proofErr w:type="spellEnd"/>
      <w:r>
        <w:rPr>
          <w:rFonts w:ascii="Cambria" w:hAnsi="Cambria"/>
          <w:sz w:val="20"/>
        </w:rPr>
        <w:t xml:space="preserve"> </w:t>
      </w:r>
      <w:proofErr w:type="spellStart"/>
      <w:r>
        <w:rPr>
          <w:rFonts w:ascii="Cambria" w:hAnsi="Cambria"/>
          <w:sz w:val="20"/>
        </w:rPr>
        <w:t>Sheikh</w:t>
      </w:r>
      <w:proofErr w:type="spellEnd"/>
      <w:r>
        <w:rPr>
          <w:rFonts w:ascii="Cambria" w:hAnsi="Cambria"/>
          <w:sz w:val="20"/>
        </w:rPr>
        <w:t xml:space="preserve"> Mohammed, le tomó a la fiscalía alrededor de 11 años presentar cargos en su contra, y no existe un cronograma estimado para el juicio de los acusados por el 9/11. La CIDH también observa con preocupación que el caso de al-</w:t>
      </w:r>
      <w:proofErr w:type="spellStart"/>
      <w:r>
        <w:rPr>
          <w:rFonts w:ascii="Cambria" w:hAnsi="Cambria"/>
          <w:sz w:val="20"/>
        </w:rPr>
        <w:t>Iraqi</w:t>
      </w:r>
      <w:proofErr w:type="spellEnd"/>
      <w:r>
        <w:rPr>
          <w:rFonts w:ascii="Cambria" w:hAnsi="Cambria"/>
          <w:sz w:val="20"/>
        </w:rPr>
        <w:t xml:space="preserve"> se encuentre en las etapas iniciales de la etapa preliminar y que los acuerdos inculpatorios por lo general estipulan que parte de la condena deba cumplirse en Guantánamo. En el caso de al-</w:t>
      </w:r>
      <w:proofErr w:type="spellStart"/>
      <w:r>
        <w:rPr>
          <w:rFonts w:ascii="Cambria" w:hAnsi="Cambria"/>
          <w:sz w:val="20"/>
        </w:rPr>
        <w:t>Darbi</w:t>
      </w:r>
      <w:proofErr w:type="spellEnd"/>
      <w:r>
        <w:rPr>
          <w:rFonts w:ascii="Cambria" w:hAnsi="Cambria"/>
          <w:sz w:val="20"/>
        </w:rPr>
        <w:t xml:space="preserve">, por ejemplo, esto significa que posiblemente podría estar detenido en Guantánamo hasta el 2018. En el acuerdo inculpatorio de </w:t>
      </w:r>
      <w:proofErr w:type="spellStart"/>
      <w:r>
        <w:rPr>
          <w:rFonts w:ascii="Cambria" w:hAnsi="Cambria"/>
          <w:sz w:val="20"/>
        </w:rPr>
        <w:t>Majid</w:t>
      </w:r>
      <w:proofErr w:type="spellEnd"/>
      <w:r>
        <w:rPr>
          <w:rFonts w:ascii="Cambria" w:hAnsi="Cambria"/>
          <w:sz w:val="20"/>
        </w:rPr>
        <w:t xml:space="preserve"> </w:t>
      </w:r>
      <w:proofErr w:type="spellStart"/>
      <w:r>
        <w:rPr>
          <w:rFonts w:ascii="Cambria" w:hAnsi="Cambria"/>
          <w:sz w:val="20"/>
        </w:rPr>
        <w:t>Khan</w:t>
      </w:r>
      <w:proofErr w:type="spellEnd"/>
      <w:r>
        <w:rPr>
          <w:rFonts w:ascii="Cambria" w:hAnsi="Cambria"/>
          <w:sz w:val="20"/>
        </w:rPr>
        <w:t xml:space="preserve">, se señala que la etapa de determinación de la pena se postergó hasta el 2016. </w:t>
      </w:r>
    </w:p>
    <w:p w:rsidR="00F90639" w:rsidRPr="00FC2F1B" w:rsidRDefault="00F90639" w:rsidP="00F90639">
      <w:pPr>
        <w:pStyle w:val="ListParagrap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t>Como se señaló en el capítulo anterior, la MCA de 2006 expresamente establece la inaplicabilidad del Artículo 10 del UCMJ relativo al derecho a un juicio acelerado, lo que se mantuvo en la MCA de 2009 según la Sección 948(b</w:t>
      </w:r>
      <w:proofErr w:type="gramStart"/>
      <w:r>
        <w:rPr>
          <w:rFonts w:ascii="Cambria" w:hAnsi="Cambria"/>
          <w:sz w:val="20"/>
        </w:rPr>
        <w:t>)(</w:t>
      </w:r>
      <w:proofErr w:type="gramEnd"/>
      <w:r>
        <w:rPr>
          <w:rFonts w:ascii="Cambria" w:hAnsi="Cambria"/>
          <w:sz w:val="20"/>
        </w:rPr>
        <w:t xml:space="preserve">d). El Artículo XXV de la Declaración Americana reconoce el derecho a que “el juez verifique sin demora la legalidad de la medida y a ser juzgado sin dilación injustificada, o, de lo contrario, a ser puesto en libertad”. Por lo tanto, la demora extrema en los pocos casos ante las comisiones militares constituye una clara violación del derecho a ser juzgado sin demora, una de las garantías fundamentales del debido proceso. </w:t>
      </w:r>
    </w:p>
    <w:p w:rsidR="00DA3A14" w:rsidRDefault="00DA3A14" w:rsidP="00F90639">
      <w:pPr>
        <w:pStyle w:val="ListParagrap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t xml:space="preserve">En consecuencia, es razonable concluir que cualquier plan práctico para el cierre de Guantánamo tendrá que involucrar el traslado de un pequeño número de detenidos hacia Estados Unidos para que sean juzgados, y que las condenas que resulten de acuerdos inculpatorios tendrán que ser cumplidas en sus países de origen o en terceros países. Esto no sólo contribuiría a hacer realidad el cierre de Guantánamo sino que, si esos detenidos fueran juzgados ante cortes federales como ha recomendado la CIDH, esto también significaría que las garantías fundamentales establecidas por la Constitución de Estados Unidos serían aplicables, lo que pondría fin al controversial y desacreditado sistema de comisiones militares fuera del territorio estadounidense. </w:t>
      </w:r>
    </w:p>
    <w:p w:rsidR="00F90639" w:rsidRPr="00FC2F1B" w:rsidRDefault="00F90639" w:rsidP="00F90639">
      <w:pPr>
        <w:rPr>
          <w:rFonts w:ascii="Cambria" w:hAnsi="Cambria"/>
          <w:sz w:val="20"/>
          <w:szCs w:val="20"/>
        </w:rPr>
      </w:pPr>
    </w:p>
    <w:p w:rsidR="00F90639" w:rsidRPr="00FC2F1B" w:rsidRDefault="00F90639" w:rsidP="00477F3F">
      <w:pPr>
        <w:pStyle w:val="Style3"/>
      </w:pPr>
      <w:bookmarkStart w:id="61" w:name="_Toc423072862"/>
      <w:r>
        <w:t>Detenidos bajo detención continua</w:t>
      </w:r>
      <w:bookmarkEnd w:id="61"/>
    </w:p>
    <w:p w:rsidR="00F90639" w:rsidRPr="00FC2F1B" w:rsidRDefault="00F90639" w:rsidP="00F90639">
      <w:pPr>
        <w:rPr>
          <w:rFonts w:ascii="Cambria" w:hAnsi="Cambria"/>
          <w:sz w:val="20"/>
          <w:szCs w:val="20"/>
        </w:rPr>
      </w:pPr>
    </w:p>
    <w:p w:rsidR="00F90639" w:rsidRPr="00502400" w:rsidRDefault="005F1586" w:rsidP="00724CD2">
      <w:pPr>
        <w:numPr>
          <w:ilvl w:val="0"/>
          <w:numId w:val="5"/>
        </w:numPr>
        <w:ind w:left="547" w:hanging="547"/>
        <w:jc w:val="both"/>
        <w:rPr>
          <w:rFonts w:ascii="Cambria" w:hAnsi="Cambria"/>
          <w:sz w:val="20"/>
          <w:szCs w:val="20"/>
        </w:rPr>
      </w:pPr>
      <w:r w:rsidRPr="00502400">
        <w:rPr>
          <w:rFonts w:ascii="Cambria" w:hAnsi="Cambria"/>
          <w:sz w:val="20"/>
        </w:rPr>
        <w:t>Hasta marzo de 2015, había 56 detenidos en Guantánamo que no habían sido identificados para traslado ni estaban cumpliendo condenas o siendo procesados</w:t>
      </w:r>
      <w:r w:rsidRPr="00502400">
        <w:rPr>
          <w:rStyle w:val="FootnoteReference"/>
          <w:rFonts w:ascii="Cambria" w:hAnsi="Cambria"/>
          <w:sz w:val="20"/>
        </w:rPr>
        <w:footnoteReference w:id="383"/>
      </w:r>
      <w:r w:rsidRPr="00502400">
        <w:rPr>
          <w:rFonts w:ascii="Cambria" w:hAnsi="Cambria"/>
          <w:sz w:val="20"/>
        </w:rPr>
        <w:t>. Esos detenidos serán evaluados por la Junta de Revisión Periódica establecida el 7 de marzo de 2011, por el Presidente Obama</w:t>
      </w:r>
      <w:r w:rsidRPr="00502400">
        <w:rPr>
          <w:rStyle w:val="FootnoteReference"/>
          <w:rFonts w:ascii="Cambria" w:hAnsi="Cambria"/>
          <w:sz w:val="20"/>
        </w:rPr>
        <w:footnoteReference w:id="384"/>
      </w:r>
      <w:r w:rsidRPr="00502400">
        <w:rPr>
          <w:rFonts w:ascii="Cambria" w:hAnsi="Cambria"/>
          <w:sz w:val="20"/>
        </w:rPr>
        <w:t xml:space="preserve">. Este proceso administrativo </w:t>
      </w:r>
      <w:proofErr w:type="spellStart"/>
      <w:r w:rsidRPr="00502400">
        <w:rPr>
          <w:rFonts w:ascii="Cambria" w:hAnsi="Cambria"/>
          <w:sz w:val="20"/>
        </w:rPr>
        <w:t>interagencial</w:t>
      </w:r>
      <w:proofErr w:type="spellEnd"/>
      <w:r w:rsidRPr="00502400">
        <w:rPr>
          <w:rFonts w:ascii="Cambria" w:hAnsi="Cambria"/>
          <w:sz w:val="20"/>
        </w:rPr>
        <w:t xml:space="preserve"> discrecional tiene por objeto “determinar si ciertas personas detenidas en la Base Naval Estadounidense de la Bahía de Guantánamo en Cuba </w:t>
      </w:r>
      <w:r w:rsidRPr="00502400">
        <w:rPr>
          <w:rFonts w:ascii="Cambria" w:hAnsi="Cambria"/>
          <w:sz w:val="20"/>
        </w:rPr>
        <w:lastRenderedPageBreak/>
        <w:t>representan una amenaza continua significativa contra la seguridad de los Estados Unidos”</w:t>
      </w:r>
      <w:r w:rsidRPr="00502400">
        <w:rPr>
          <w:rStyle w:val="FootnoteReference"/>
          <w:rFonts w:ascii="Cambria" w:hAnsi="Cambria"/>
          <w:sz w:val="20"/>
        </w:rPr>
        <w:footnoteReference w:id="385"/>
      </w:r>
      <w:r w:rsidRPr="00502400">
        <w:rPr>
          <w:rFonts w:ascii="Cambria" w:hAnsi="Cambria"/>
          <w:sz w:val="20"/>
        </w:rPr>
        <w:t>. El proceso se aplica a “(i) detenidos identificados para detención continua según el derecho de guerra; o  (ii) referidos para procesamiento penal, con excepción de aquellos respecto de quienes existen cargos pendientes o han sido encontrados culpables”</w:t>
      </w:r>
      <w:r w:rsidRPr="00502400">
        <w:rPr>
          <w:rStyle w:val="FootnoteReference"/>
          <w:rFonts w:ascii="Cambria" w:hAnsi="Cambria"/>
          <w:sz w:val="20"/>
        </w:rPr>
        <w:footnoteReference w:id="386"/>
      </w:r>
      <w:r w:rsidRPr="00502400">
        <w:rPr>
          <w:rFonts w:ascii="Cambria" w:hAnsi="Cambria"/>
          <w:sz w:val="20"/>
        </w:rPr>
        <w:t xml:space="preserve">. </w:t>
      </w:r>
    </w:p>
    <w:p w:rsidR="00F90639" w:rsidRPr="00502400" w:rsidRDefault="00F90639" w:rsidP="00F90639">
      <w:pPr>
        <w:ind w:left="720"/>
        <w:jc w:val="bot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sidRPr="00502400">
        <w:rPr>
          <w:rFonts w:ascii="Cambria" w:hAnsi="Cambria"/>
          <w:sz w:val="20"/>
        </w:rPr>
        <w:t xml:space="preserve">Como se mencionó en el capítulo anterior, el proceso de PRB inició en julio de 2013. Para marzo de 2015, catorce detenidos habían pasado por una revisión completa </w:t>
      </w:r>
      <w:r w:rsidR="00107953" w:rsidRPr="00502400">
        <w:rPr>
          <w:rFonts w:ascii="Cambria" w:hAnsi="Cambria"/>
          <w:sz w:val="20"/>
        </w:rPr>
        <w:t>y se había</w:t>
      </w:r>
      <w:r w:rsidR="00C552EB" w:rsidRPr="00502400">
        <w:rPr>
          <w:rFonts w:ascii="Cambria" w:hAnsi="Cambria"/>
          <w:sz w:val="20"/>
        </w:rPr>
        <w:t>n</w:t>
      </w:r>
      <w:r w:rsidR="00107953" w:rsidRPr="00502400">
        <w:rPr>
          <w:rFonts w:ascii="Cambria" w:hAnsi="Cambria"/>
          <w:sz w:val="20"/>
        </w:rPr>
        <w:t xml:space="preserve"> realizado revisiones </w:t>
      </w:r>
      <w:r w:rsidR="00C552EB" w:rsidRPr="00502400">
        <w:rPr>
          <w:rFonts w:ascii="Cambria" w:hAnsi="Cambria"/>
          <w:sz w:val="20"/>
        </w:rPr>
        <w:t xml:space="preserve">semestrales </w:t>
      </w:r>
      <w:r w:rsidR="00107953" w:rsidRPr="00502400">
        <w:rPr>
          <w:rFonts w:ascii="Cambria" w:hAnsi="Cambria"/>
          <w:sz w:val="20"/>
        </w:rPr>
        <w:t>de expedientes</w:t>
      </w:r>
      <w:r w:rsidRPr="00502400">
        <w:rPr>
          <w:rFonts w:ascii="Cambria" w:hAnsi="Cambria"/>
          <w:sz w:val="20"/>
        </w:rPr>
        <w:t>. En ocho casos, la PRB concluyó que ya no se justificaba la detención continua, mientras que en los cuatro restantes determinó que “la detención continua de conformidad con el derecho de guerra continúa siendo necesaria para la protección frente a una amenaza continua significativa contra la seguridad de Estados Unidos”</w:t>
      </w:r>
      <w:r w:rsidRPr="00502400">
        <w:rPr>
          <w:rStyle w:val="FootnoteReference"/>
          <w:rFonts w:ascii="Cambria" w:hAnsi="Cambria"/>
          <w:sz w:val="20"/>
        </w:rPr>
        <w:footnoteReference w:id="387"/>
      </w:r>
      <w:r w:rsidRPr="00502400">
        <w:rPr>
          <w:rFonts w:ascii="Cambria" w:hAnsi="Cambria"/>
          <w:sz w:val="20"/>
        </w:rPr>
        <w:t xml:space="preserve">, </w:t>
      </w:r>
      <w:r w:rsidR="00107953" w:rsidRPr="00502400">
        <w:rPr>
          <w:rFonts w:ascii="Cambria" w:hAnsi="Cambria"/>
          <w:sz w:val="20"/>
        </w:rPr>
        <w:t>y uno estaba pendiente de determinación final</w:t>
      </w:r>
      <w:r w:rsidRPr="00502400">
        <w:rPr>
          <w:rFonts w:ascii="Cambria" w:hAnsi="Cambria"/>
          <w:sz w:val="20"/>
        </w:rPr>
        <w:t xml:space="preserve">. A la fecha de preparación del presente informe, sólo dos de los detenidos identificados para traslado por parte de la PRB – el ciudadano de Kuwait </w:t>
      </w:r>
      <w:proofErr w:type="spellStart"/>
      <w:r w:rsidRPr="00502400">
        <w:rPr>
          <w:rFonts w:ascii="Cambria" w:hAnsi="Cambria"/>
          <w:sz w:val="20"/>
        </w:rPr>
        <w:t>Fouzi</w:t>
      </w:r>
      <w:proofErr w:type="spellEnd"/>
      <w:r w:rsidRPr="00502400">
        <w:rPr>
          <w:rFonts w:ascii="Cambria" w:hAnsi="Cambria"/>
          <w:sz w:val="20"/>
        </w:rPr>
        <w:t xml:space="preserve"> Al </w:t>
      </w:r>
      <w:proofErr w:type="spellStart"/>
      <w:r w:rsidRPr="00502400">
        <w:rPr>
          <w:rFonts w:ascii="Cambria" w:hAnsi="Cambria"/>
          <w:sz w:val="20"/>
        </w:rPr>
        <w:t>Awda</w:t>
      </w:r>
      <w:proofErr w:type="spellEnd"/>
      <w:r w:rsidRPr="00502400">
        <w:rPr>
          <w:rFonts w:ascii="Cambria" w:hAnsi="Cambria"/>
          <w:sz w:val="20"/>
        </w:rPr>
        <w:t xml:space="preserve"> y el ciudadano de Araba Saudita </w:t>
      </w:r>
      <w:proofErr w:type="spellStart"/>
      <w:r w:rsidRPr="00502400">
        <w:rPr>
          <w:rFonts w:ascii="Cambria" w:hAnsi="Cambria"/>
          <w:sz w:val="20"/>
        </w:rPr>
        <w:t>Muhammed</w:t>
      </w:r>
      <w:proofErr w:type="spellEnd"/>
      <w:r w:rsidRPr="00502400">
        <w:rPr>
          <w:rFonts w:ascii="Cambria" w:hAnsi="Cambria"/>
          <w:sz w:val="20"/>
        </w:rPr>
        <w:t xml:space="preserve"> </w:t>
      </w:r>
      <w:proofErr w:type="spellStart"/>
      <w:r w:rsidRPr="00502400">
        <w:rPr>
          <w:rFonts w:ascii="Cambria" w:hAnsi="Cambria"/>
          <w:sz w:val="20"/>
        </w:rPr>
        <w:t>Murdi</w:t>
      </w:r>
      <w:proofErr w:type="spellEnd"/>
      <w:r w:rsidRPr="00502400">
        <w:rPr>
          <w:rFonts w:ascii="Cambria" w:hAnsi="Cambria"/>
          <w:sz w:val="20"/>
        </w:rPr>
        <w:t xml:space="preserve"> </w:t>
      </w:r>
      <w:proofErr w:type="spellStart"/>
      <w:r w:rsidRPr="00502400">
        <w:rPr>
          <w:rFonts w:ascii="Cambria" w:hAnsi="Cambria"/>
          <w:sz w:val="20"/>
        </w:rPr>
        <w:t>Issa</w:t>
      </w:r>
      <w:proofErr w:type="spellEnd"/>
      <w:r w:rsidRPr="00502400">
        <w:rPr>
          <w:rFonts w:ascii="Cambria" w:hAnsi="Cambria"/>
          <w:sz w:val="20"/>
        </w:rPr>
        <w:t xml:space="preserve"> al </w:t>
      </w:r>
      <w:proofErr w:type="spellStart"/>
      <w:r w:rsidRPr="00502400">
        <w:rPr>
          <w:rFonts w:ascii="Cambria" w:hAnsi="Cambria"/>
          <w:sz w:val="20"/>
        </w:rPr>
        <w:t>Zahrani</w:t>
      </w:r>
      <w:proofErr w:type="spellEnd"/>
      <w:r w:rsidRPr="00502400">
        <w:rPr>
          <w:rFonts w:ascii="Cambria" w:hAnsi="Cambria"/>
          <w:sz w:val="20"/>
        </w:rPr>
        <w:t>-</w:t>
      </w:r>
      <w:r>
        <w:rPr>
          <w:rFonts w:ascii="Cambria" w:hAnsi="Cambria"/>
          <w:sz w:val="20"/>
        </w:rPr>
        <w:t xml:space="preserve"> habían sido trasladados. En el caso de Al </w:t>
      </w:r>
      <w:proofErr w:type="spellStart"/>
      <w:r>
        <w:rPr>
          <w:rFonts w:ascii="Cambria" w:hAnsi="Cambria"/>
          <w:sz w:val="20"/>
        </w:rPr>
        <w:t>Awda</w:t>
      </w:r>
      <w:proofErr w:type="spellEnd"/>
      <w:r>
        <w:rPr>
          <w:rFonts w:ascii="Cambria" w:hAnsi="Cambria"/>
          <w:sz w:val="20"/>
        </w:rPr>
        <w:t>, la PRB recomendó “la participación del detenido en un programa comprehensivo de rehabilitación por al menos un año bajo un régimen de internamiento”</w:t>
      </w:r>
      <w:r>
        <w:rPr>
          <w:rStyle w:val="FootnoteReference"/>
          <w:rFonts w:ascii="Cambria" w:hAnsi="Cambria"/>
          <w:sz w:val="20"/>
        </w:rPr>
        <w:footnoteReference w:id="388"/>
      </w:r>
      <w:r>
        <w:rPr>
          <w:rFonts w:ascii="Cambria" w:hAnsi="Cambria"/>
          <w:sz w:val="20"/>
        </w:rPr>
        <w:t xml:space="preserve">. La PRB se refiere al Centro de Rehabilitación Al </w:t>
      </w:r>
      <w:proofErr w:type="spellStart"/>
      <w:r>
        <w:rPr>
          <w:rFonts w:ascii="Cambria" w:hAnsi="Cambria"/>
          <w:sz w:val="20"/>
        </w:rPr>
        <w:t>Salam</w:t>
      </w:r>
      <w:proofErr w:type="spellEnd"/>
      <w:r>
        <w:rPr>
          <w:rFonts w:ascii="Cambria" w:hAnsi="Cambria"/>
          <w:sz w:val="20"/>
        </w:rPr>
        <w:t xml:space="preserve"> que puso en funcionamiento el gobierno de Kuwait, como se describió más arriba”</w:t>
      </w:r>
      <w:r>
        <w:rPr>
          <w:rStyle w:val="FootnoteReference"/>
          <w:rFonts w:ascii="Cambria" w:hAnsi="Cambria"/>
          <w:sz w:val="20"/>
        </w:rPr>
        <w:footnoteReference w:id="389"/>
      </w:r>
      <w:r>
        <w:rPr>
          <w:rFonts w:ascii="Cambria" w:hAnsi="Cambria"/>
          <w:sz w:val="20"/>
        </w:rPr>
        <w:t xml:space="preserve">. </w:t>
      </w:r>
    </w:p>
    <w:p w:rsidR="00F90639" w:rsidRPr="00FC2F1B" w:rsidRDefault="00F90639" w:rsidP="00F90639">
      <w:pPr>
        <w:pStyle w:val="ListParagrap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t>La percepción pública sobre el riesgo y cómo la medición del riesgo se realiza al interior del ámbito diplomático, intensifican el debate sobre el cierre de Guantánamo. Dudosas cifras sobre reincidencia contribuyen a este desafío. Un informe del Pentágono publicado en enero de 2010 estimó que una quinta parte de los detenidos que fueron liberados de la Bahía de Guantánamo había reanudado actividades extremistas. No obstante, este informe ha sido criticado desde ambos lados. Algunos alegan que las estadísticas del Pentágono estaban infladas. Al menos dos personas habrían sido incluidas en la lista del Pentágono por realizar declaraciones críticas contra Estados Unidos. Otros, sin embargo, han criticado al Pentágono por no haber incluido más nombres</w:t>
      </w:r>
      <w:r>
        <w:rPr>
          <w:rStyle w:val="FootnoteReference"/>
          <w:rFonts w:ascii="Cambria" w:hAnsi="Cambria"/>
          <w:sz w:val="20"/>
        </w:rPr>
        <w:footnoteReference w:id="390"/>
      </w:r>
      <w:r>
        <w:rPr>
          <w:rFonts w:ascii="Cambria" w:hAnsi="Cambria"/>
          <w:sz w:val="20"/>
        </w:rPr>
        <w:t xml:space="preserve">. </w:t>
      </w:r>
    </w:p>
    <w:p w:rsidR="00F90639" w:rsidRPr="00FC2F1B" w:rsidRDefault="00F90639" w:rsidP="00F90639">
      <w:pPr>
        <w:pStyle w:val="ListParagrap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lastRenderedPageBreak/>
        <w:t xml:space="preserve">Según una investigación realizada por la Facultad de Derecho de la Universidad de </w:t>
      </w:r>
      <w:proofErr w:type="spellStart"/>
      <w:r>
        <w:rPr>
          <w:rFonts w:ascii="Cambria" w:hAnsi="Cambria"/>
          <w:sz w:val="20"/>
        </w:rPr>
        <w:t>Seton</w:t>
      </w:r>
      <w:proofErr w:type="spellEnd"/>
      <w:r>
        <w:rPr>
          <w:rFonts w:ascii="Cambria" w:hAnsi="Cambria"/>
          <w:sz w:val="20"/>
        </w:rPr>
        <w:t xml:space="preserve"> Hall en 2012, el Departamento de Defensa habría admitido que al menos 14 de los 31 reincidentes mencionados eran simplemente sospechosos; que su definición de reincidencia ha incluido la participación en propaganda y “otras actividades”; y que sus criterios no requieren la existencia de actos hostiles contra Estados Unidos o contra intereses estadounidenses. Adicionalmente, la definición de reincidencia amplía el ámbito para incluir actividades “insurgentes”. En 2012, </w:t>
      </w:r>
      <w:proofErr w:type="spellStart"/>
      <w:r>
        <w:rPr>
          <w:rFonts w:ascii="Cambria" w:hAnsi="Cambria"/>
          <w:sz w:val="20"/>
        </w:rPr>
        <w:t>Todd</w:t>
      </w:r>
      <w:proofErr w:type="spellEnd"/>
      <w:r>
        <w:rPr>
          <w:rFonts w:ascii="Cambria" w:hAnsi="Cambria"/>
          <w:sz w:val="20"/>
        </w:rPr>
        <w:t xml:space="preserve"> </w:t>
      </w:r>
      <w:proofErr w:type="spellStart"/>
      <w:r>
        <w:rPr>
          <w:rFonts w:ascii="Cambria" w:hAnsi="Cambria"/>
          <w:sz w:val="20"/>
        </w:rPr>
        <w:t>Breasseale</w:t>
      </w:r>
      <w:proofErr w:type="spellEnd"/>
      <w:r>
        <w:rPr>
          <w:rFonts w:ascii="Cambria" w:hAnsi="Cambria"/>
          <w:sz w:val="20"/>
        </w:rPr>
        <w:t xml:space="preserve">, funcionario de Relaciones Públicas de la Oficina del Secretario de Defensa Adjunto, admitió que las declaraciones oficiales eran profundamente problemáticas en virtud de la “combinación” entre el porcentaje de reincidentes “confirmados” y “sospechosos” encaminadas a crear lo que él considera una “extraña cifra de 27-28%” de reincidentes totales. Según el Sr. </w:t>
      </w:r>
      <w:proofErr w:type="spellStart"/>
      <w:r>
        <w:rPr>
          <w:rFonts w:ascii="Cambria" w:hAnsi="Cambria"/>
          <w:sz w:val="20"/>
        </w:rPr>
        <w:t>Breasseale</w:t>
      </w:r>
      <w:proofErr w:type="spellEnd"/>
      <w:r>
        <w:rPr>
          <w:rFonts w:ascii="Cambria" w:hAnsi="Cambria"/>
          <w:sz w:val="20"/>
        </w:rPr>
        <w:t>, es “extraña” precisamente porque “[a]</w:t>
      </w:r>
      <w:proofErr w:type="spellStart"/>
      <w:r>
        <w:rPr>
          <w:rFonts w:ascii="Cambria" w:hAnsi="Cambria"/>
          <w:sz w:val="20"/>
        </w:rPr>
        <w:t>lguien</w:t>
      </w:r>
      <w:proofErr w:type="spellEnd"/>
      <w:r>
        <w:rPr>
          <w:rFonts w:ascii="Cambria" w:hAnsi="Cambria"/>
          <w:sz w:val="20"/>
        </w:rPr>
        <w:t xml:space="preserve"> en la lista de ‘Sospechosos’ podría muy probablemente NO estar involucrado en actividades contrarias a nuestros intereses nacionales” (énfasis en el original)</w:t>
      </w:r>
      <w:r>
        <w:rPr>
          <w:rStyle w:val="FootnoteReference"/>
          <w:rFonts w:ascii="Cambria" w:hAnsi="Cambria"/>
          <w:sz w:val="20"/>
        </w:rPr>
        <w:footnoteReference w:id="391"/>
      </w:r>
      <w:r>
        <w:rPr>
          <w:rFonts w:ascii="Cambria" w:hAnsi="Cambria"/>
          <w:sz w:val="20"/>
        </w:rPr>
        <w:t xml:space="preserve">. </w:t>
      </w:r>
    </w:p>
    <w:p w:rsidR="00F90639" w:rsidRPr="00FC2F1B" w:rsidRDefault="00F90639" w:rsidP="00F90639">
      <w:pPr>
        <w:ind w:left="720"/>
        <w:jc w:val="bot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t xml:space="preserve">Un estudio publicado por Human </w:t>
      </w:r>
      <w:proofErr w:type="spellStart"/>
      <w:r>
        <w:rPr>
          <w:rFonts w:ascii="Cambria" w:hAnsi="Cambria"/>
          <w:sz w:val="20"/>
        </w:rPr>
        <w:t>Rights</w:t>
      </w:r>
      <w:proofErr w:type="spellEnd"/>
      <w:r>
        <w:rPr>
          <w:rFonts w:ascii="Cambria" w:hAnsi="Cambria"/>
          <w:sz w:val="20"/>
        </w:rPr>
        <w:t xml:space="preserve"> </w:t>
      </w:r>
      <w:proofErr w:type="spellStart"/>
      <w:r>
        <w:rPr>
          <w:rFonts w:ascii="Cambria" w:hAnsi="Cambria"/>
          <w:sz w:val="20"/>
        </w:rPr>
        <w:t>First</w:t>
      </w:r>
      <w:proofErr w:type="spellEnd"/>
      <w:r>
        <w:rPr>
          <w:rFonts w:ascii="Cambria" w:hAnsi="Cambria"/>
          <w:sz w:val="20"/>
        </w:rPr>
        <w:t xml:space="preserve"> proponiendo un plan de salida para Guantánamo afirma al respecto que “las cifras sobre reincidencia son porcentajes estimados de ex detenidos de Guantánamo que podrían haber realizado ciertas acciones ilegales o perjudiciales asociadas con grupos terroristas, pero que podrían no haber participado directamente en planes o atentados terroristas ni en actos que de alguna forma constituyan una amenaza concreta y específica contra los Estados Unidos”</w:t>
      </w:r>
      <w:r>
        <w:rPr>
          <w:rStyle w:val="FootnoteReference"/>
          <w:rFonts w:ascii="Cambria" w:hAnsi="Cambria"/>
          <w:sz w:val="20"/>
        </w:rPr>
        <w:footnoteReference w:id="392"/>
      </w:r>
      <w:r>
        <w:rPr>
          <w:rFonts w:ascii="Cambria" w:hAnsi="Cambria"/>
          <w:sz w:val="20"/>
        </w:rPr>
        <w:t xml:space="preserve">. </w:t>
      </w:r>
    </w:p>
    <w:p w:rsidR="00F90639" w:rsidRPr="00FC2F1B" w:rsidRDefault="00F90639" w:rsidP="00F90639">
      <w:pPr>
        <w:pStyle w:val="ListParagrap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t>La Oficina del Director de Inteligencia Nacional de Estados Unidos publica regularmente un “Resumen de Reincidencias de Ex Detenidos de la Bahía de Guantánamo, Cuba”, desclasificado. El último informe, de fecha 15 de julio de 2014, señala que 17.3% de los ex detenidos ha “reanudado” actividades terroristas o insurgentes, y que 12.4% son sospechosos de haber reanudado dichas actividades. Las cifras de los detenidos trasladados con posterioridad al 22 de enero de 2009 (fecha de adopción de las nuevas directrices vigentes para el traslado de detenidos) son considerablemente más bajas (6.8% y 1.1%, respectivamente)</w:t>
      </w:r>
      <w:r>
        <w:rPr>
          <w:rStyle w:val="FootnoteReference"/>
          <w:rFonts w:ascii="Cambria" w:hAnsi="Cambria"/>
          <w:sz w:val="20"/>
        </w:rPr>
        <w:footnoteReference w:id="393"/>
      </w:r>
      <w:r>
        <w:rPr>
          <w:rFonts w:ascii="Cambria" w:hAnsi="Cambria"/>
          <w:sz w:val="20"/>
        </w:rPr>
        <w:t xml:space="preserve">. De esta forma, solo seis ex detenidos de Guantánamo liberados con posterioridad al 22 de enero de 2009, habrían participado en actividades terroristas o insurgentes. Los nombres de los detenidos no han sido difundidos públicamente. New America </w:t>
      </w:r>
      <w:proofErr w:type="spellStart"/>
      <w:r>
        <w:rPr>
          <w:rFonts w:ascii="Cambria" w:hAnsi="Cambria"/>
          <w:sz w:val="20"/>
        </w:rPr>
        <w:t>Foundation</w:t>
      </w:r>
      <w:proofErr w:type="spellEnd"/>
      <w:r>
        <w:rPr>
          <w:rFonts w:ascii="Cambria" w:hAnsi="Cambria"/>
          <w:sz w:val="20"/>
        </w:rPr>
        <w:t xml:space="preserve"> creó una lista de ex detenidos que han “retornado al campo de batalla”. Según esta investigación, hasta el 5 de junio de 2014, 3.6% de los ex detenidos de Guantánamo estarían participando en actividades militantes contra blancos estadounidenses y no </w:t>
      </w:r>
      <w:r>
        <w:rPr>
          <w:rFonts w:ascii="Cambria" w:hAnsi="Cambria"/>
          <w:sz w:val="20"/>
        </w:rPr>
        <w:lastRenderedPageBreak/>
        <w:t>estadounidenses (todos ellos liberados de Guantánamo antes de 2007), y un 4.6% de ellos era sospechoso de esto”</w:t>
      </w:r>
      <w:r>
        <w:rPr>
          <w:rStyle w:val="FootnoteReference"/>
          <w:rFonts w:ascii="Cambria" w:hAnsi="Cambria"/>
          <w:sz w:val="20"/>
        </w:rPr>
        <w:footnoteReference w:id="394"/>
      </w:r>
      <w:r>
        <w:rPr>
          <w:rFonts w:ascii="Cambria" w:hAnsi="Cambria"/>
          <w:sz w:val="20"/>
        </w:rPr>
        <w:t>.</w:t>
      </w:r>
    </w:p>
    <w:p w:rsidR="00F90639" w:rsidRPr="00FC2F1B" w:rsidRDefault="00F90639" w:rsidP="00F90639">
      <w:pPr>
        <w:ind w:left="720"/>
        <w:jc w:val="bot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t>La CIDH nota con preocupación que a fines de 2014 quedaban aproximadamente 30 detenidos que fueron en el pasado acusados pero que actualmente no están siendo considerados para procesamiento penal o que todavía se encontraban bajo la categoría de “detención continua según el derecho de guerra” en el marco de un conflicto armado en constante evolución. A la CIDH le preocupa asimismo el hecho que esos detenidos, respecto de quienes la PRB determinó que la detención continua seguía siendo necesaria (cuatro hasta diciembre de 2014), tendrán que esperar tres años hasta que se lleve a cabo una nueva revisión completa. Esto significa que algunos detenidos tendrán que esperar hasta el 2018 para que su estatus sea revisado. La CIDH observa que las revisiones semestrales de expedientes sólo se enfocan en la información nueva o en el cambio de circunstancias.</w:t>
      </w:r>
    </w:p>
    <w:p w:rsidR="00F90639" w:rsidRPr="00FC2F1B" w:rsidRDefault="00F90639" w:rsidP="00F90639">
      <w:pPr>
        <w:pStyle w:val="ListParagrap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t xml:space="preserve">Finalmente, con respecto al riesgo de “reincidencia”, la CIDH señala que el uso de este término es erróneo. El término reincidencia implica que una persona que ha sido condenada por un delito penal ha participado nuevamente en conductas ilegales. No obstante, estos ex detenidos de Guantánamo nunca fueron juzgados. </w:t>
      </w:r>
    </w:p>
    <w:p w:rsidR="00F90639" w:rsidRPr="00FC2F1B" w:rsidRDefault="00F90639" w:rsidP="00F90639">
      <w:pPr>
        <w:pStyle w:val="ListParagraph"/>
        <w:jc w:val="both"/>
        <w:rPr>
          <w:rFonts w:ascii="Cambria" w:hAnsi="Cambria"/>
          <w:sz w:val="20"/>
          <w:szCs w:val="20"/>
        </w:rPr>
      </w:pPr>
      <w:r>
        <w:rPr>
          <w:rFonts w:ascii="Cambria" w:hAnsi="Cambria"/>
          <w:sz w:val="20"/>
        </w:rPr>
        <w:t xml:space="preserve"> </w:t>
      </w:r>
    </w:p>
    <w:p w:rsidR="00405F38" w:rsidRPr="00FC2F1B" w:rsidRDefault="00405F38" w:rsidP="00BA4F54">
      <w:pPr>
        <w:rPr>
          <w:rFonts w:ascii="Cambria" w:hAnsi="Cambria"/>
          <w:sz w:val="20"/>
          <w:szCs w:val="20"/>
        </w:rPr>
      </w:pPr>
    </w:p>
    <w:p w:rsidR="00370CF8" w:rsidRPr="00FC2F1B" w:rsidRDefault="00370CF8" w:rsidP="00BA4F54">
      <w:pPr>
        <w:rPr>
          <w:rFonts w:ascii="Cambria" w:hAnsi="Cambria"/>
          <w:sz w:val="20"/>
          <w:szCs w:val="20"/>
        </w:rPr>
        <w:sectPr w:rsidR="00370CF8" w:rsidRPr="00FC2F1B" w:rsidSect="00AF130B">
          <w:headerReference w:type="default" r:id="rId39"/>
          <w:footerReference w:type="default" r:id="rId40"/>
          <w:type w:val="oddPage"/>
          <w:pgSz w:w="10325" w:h="14573" w:code="13"/>
          <w:pgMar w:top="1152" w:right="1152" w:bottom="1152" w:left="1440" w:header="720" w:footer="720" w:gutter="0"/>
          <w:cols w:space="720"/>
          <w:docGrid w:linePitch="326"/>
        </w:sectPr>
      </w:pPr>
    </w:p>
    <w:p w:rsidR="00370CF8" w:rsidRPr="00DA3A14" w:rsidRDefault="00370CF8" w:rsidP="00370CF8">
      <w:pPr>
        <w:jc w:val="center"/>
        <w:rPr>
          <w:rFonts w:ascii="Cambria" w:hAnsi="Cambria"/>
          <w:color w:val="4A442A" w:themeColor="background2" w:themeShade="40"/>
          <w:spacing w:val="-10"/>
          <w:w w:val="90"/>
          <w:sz w:val="52"/>
          <w:szCs w:val="52"/>
        </w:rPr>
        <w:sectPr w:rsidR="00370CF8" w:rsidRPr="00DA3A14" w:rsidSect="00AD56DA">
          <w:headerReference w:type="default" r:id="rId41"/>
          <w:footerReference w:type="default" r:id="rId42"/>
          <w:type w:val="oddPage"/>
          <w:pgSz w:w="10325" w:h="14573" w:code="13"/>
          <w:pgMar w:top="1152" w:right="1152" w:bottom="1152" w:left="1296" w:header="288" w:footer="288" w:gutter="0"/>
          <w:cols w:space="720"/>
          <w:vAlign w:val="center"/>
          <w:docGrid w:linePitch="326"/>
        </w:sectPr>
      </w:pPr>
      <w:r w:rsidRPr="00DA3A14">
        <w:rPr>
          <w:rFonts w:ascii="Cambria" w:hAnsi="Cambria"/>
          <w:color w:val="808080" w:themeColor="background1" w:themeShade="80"/>
          <w:spacing w:val="-10"/>
          <w:sz w:val="44"/>
          <w:szCs w:val="44"/>
        </w:rPr>
        <w:lastRenderedPageBreak/>
        <w:t>CAPÍTULO 6</w:t>
      </w:r>
      <w:r w:rsidRPr="00DA3A14">
        <w:rPr>
          <w:rFonts w:ascii="Cambria" w:hAnsi="Cambria"/>
          <w:color w:val="808080" w:themeColor="background1" w:themeShade="80"/>
          <w:spacing w:val="-10"/>
          <w:sz w:val="44"/>
          <w:szCs w:val="44"/>
        </w:rPr>
        <w:br/>
      </w:r>
      <w:r w:rsidRPr="00DA3A14">
        <w:rPr>
          <w:rFonts w:ascii="Cambria" w:hAnsi="Cambria"/>
          <w:color w:val="4A442A" w:themeColor="background2" w:themeShade="40"/>
          <w:spacing w:val="-10"/>
          <w:w w:val="90"/>
          <w:sz w:val="52"/>
          <w:szCs w:val="52"/>
        </w:rPr>
        <w:t>CONCLUSIONES Y RECOMENDACIONES</w:t>
      </w:r>
    </w:p>
    <w:p w:rsidR="009C1AF3" w:rsidRDefault="009C1AF3" w:rsidP="00370CF8">
      <w:pPr>
        <w:pStyle w:val="Heading1"/>
        <w:ind w:left="0" w:firstLine="0"/>
        <w:rPr>
          <w:color w:val="4A442A"/>
        </w:rPr>
      </w:pPr>
    </w:p>
    <w:p w:rsidR="009C1AF3" w:rsidRDefault="009C1AF3" w:rsidP="00370CF8">
      <w:pPr>
        <w:pStyle w:val="Heading1"/>
        <w:ind w:left="0" w:firstLine="0"/>
        <w:rPr>
          <w:color w:val="4A442A"/>
        </w:rPr>
      </w:pPr>
    </w:p>
    <w:p w:rsidR="00370CF8" w:rsidRPr="00FC2F1B" w:rsidRDefault="00F90639" w:rsidP="00370CF8">
      <w:pPr>
        <w:pStyle w:val="Heading1"/>
        <w:ind w:left="0" w:firstLine="0"/>
        <w:rPr>
          <w:color w:val="4A442A"/>
        </w:rPr>
      </w:pPr>
      <w:bookmarkStart w:id="62" w:name="_Toc423072863"/>
      <w:r>
        <w:rPr>
          <w:color w:val="4A442A"/>
        </w:rPr>
        <w:t>CONCLUSIONES Y RECOMENDACIONES</w:t>
      </w:r>
      <w:bookmarkEnd w:id="62"/>
    </w:p>
    <w:p w:rsidR="00370CF8" w:rsidRPr="00FC2F1B" w:rsidRDefault="00370CF8" w:rsidP="00BA4F54">
      <w:pPr>
        <w:rPr>
          <w:rFonts w:ascii="Cambria" w:hAnsi="Cambria"/>
          <w:sz w:val="20"/>
          <w:szCs w:val="20"/>
        </w:rPr>
      </w:pPr>
    </w:p>
    <w:p w:rsidR="00370CF8" w:rsidRDefault="00370CF8" w:rsidP="00BA4F54">
      <w:pPr>
        <w:rPr>
          <w:rFonts w:ascii="Cambria" w:hAnsi="Cambria"/>
          <w:sz w:val="20"/>
          <w:szCs w:val="20"/>
        </w:rPr>
      </w:pPr>
    </w:p>
    <w:p w:rsidR="000C2C94" w:rsidRPr="00FC2F1B" w:rsidRDefault="000C2C94" w:rsidP="00BA4F54">
      <w:pPr>
        <w:rPr>
          <w:rFonts w:ascii="Cambria" w:hAnsi="Cambria"/>
          <w:sz w:val="20"/>
          <w:szCs w:val="20"/>
        </w:rPr>
      </w:pPr>
    </w:p>
    <w:p w:rsidR="00370CF8" w:rsidRPr="00FC2F1B" w:rsidRDefault="00370CF8" w:rsidP="00BA4F54">
      <w:pPr>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t>Como señaló la Comisión Interamericana en su Informe sobre Terrorismo y Derechos Humanos, hoy más que nunca es esencial que los Estados Miembros aseguren que sus respuestas a actos inexcusables de violencia como los ataques terroristas ocurridos en Estados Unidos el 11 de septiembre de 2001, honren fielmente las libertades y los valores que sirven de cimiento a las sociedades democráticas de nuestro hemisferio</w:t>
      </w:r>
      <w:r>
        <w:rPr>
          <w:rStyle w:val="FootnoteReference"/>
          <w:rFonts w:ascii="Cambria" w:hAnsi="Cambria"/>
          <w:sz w:val="20"/>
        </w:rPr>
        <w:footnoteReference w:id="395"/>
      </w:r>
      <w:r>
        <w:rPr>
          <w:rFonts w:ascii="Cambria" w:hAnsi="Cambria"/>
          <w:sz w:val="20"/>
        </w:rPr>
        <w:t>. El Presidente Obama afirmó acertadamente al respecto que Guantánamo “es una instalación que nunca debió abrirse [y] en todo el mundo se ha transformado en un símbolo de una América que desprecia el Estado de derecho”</w:t>
      </w:r>
      <w:r>
        <w:rPr>
          <w:rStyle w:val="FootnoteReference"/>
          <w:rFonts w:ascii="Cambria" w:hAnsi="Cambria"/>
          <w:sz w:val="20"/>
        </w:rPr>
        <w:footnoteReference w:id="396"/>
      </w:r>
      <w:r>
        <w:rPr>
          <w:rFonts w:ascii="Cambria" w:hAnsi="Cambria"/>
          <w:sz w:val="20"/>
        </w:rPr>
        <w:t xml:space="preserve">.   </w:t>
      </w:r>
    </w:p>
    <w:p w:rsidR="00F90639" w:rsidRPr="00FC2F1B" w:rsidRDefault="00F90639" w:rsidP="00F90639">
      <w:pPr>
        <w:ind w:left="720"/>
        <w:jc w:val="bot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t>Las cifras hablan por sí mismas. En sus trece años de existencia, 779 prisioneros habrían pasado por Guantánamo. Según información oficial, sólo 8% de los detenidos de Guantánamo fueron identificados como “combatientes” de Al-Qaeda o los Talibanes; 93% no fueron capturados por fuerzas estadounidenses; y la mayoría de ellos fueron entregados a Estados Unidos en un momento en el que éste ofrecía recompensas por la captura de supuestos terroristas</w:t>
      </w:r>
      <w:r>
        <w:rPr>
          <w:rStyle w:val="FootnoteReference"/>
          <w:rFonts w:ascii="Cambria" w:hAnsi="Cambria"/>
          <w:sz w:val="20"/>
        </w:rPr>
        <w:footnoteReference w:id="397"/>
      </w:r>
      <w:r>
        <w:rPr>
          <w:rFonts w:ascii="Cambria" w:hAnsi="Cambria"/>
          <w:sz w:val="20"/>
        </w:rPr>
        <w:t>. Hasta ahora sólo ocho detenidos han sido condenados por una comisión militar, lo que representa aproximadamente el 1% de todos los prisioneros que han estado en Guantánamo; en dos de esos casos la condena basada en el apoyo material fue anulada por cortes federales en apelación. Hasta enero de 2015, 122 prisioneros continuaban aún bajo detención continuada en Guantánamo. Asimismo, los pocos procesos en curso ante comisiones militares se encontraban en etapa preliminar y, a pesar de algunas mejoras significativas incluidas en la Ley de Comisiones Militares (</w:t>
      </w:r>
      <w:proofErr w:type="spellStart"/>
      <w:r>
        <w:rPr>
          <w:rFonts w:ascii="Cambria" w:hAnsi="Cambria"/>
          <w:i/>
          <w:sz w:val="20"/>
        </w:rPr>
        <w:t>Military</w:t>
      </w:r>
      <w:proofErr w:type="spellEnd"/>
      <w:r>
        <w:rPr>
          <w:rFonts w:ascii="Cambria" w:hAnsi="Cambria"/>
          <w:i/>
          <w:sz w:val="20"/>
        </w:rPr>
        <w:t xml:space="preserve"> </w:t>
      </w:r>
      <w:proofErr w:type="spellStart"/>
      <w:r>
        <w:rPr>
          <w:rFonts w:ascii="Cambria" w:hAnsi="Cambria"/>
          <w:i/>
          <w:sz w:val="20"/>
        </w:rPr>
        <w:t>Commissions</w:t>
      </w:r>
      <w:proofErr w:type="spellEnd"/>
      <w:r>
        <w:rPr>
          <w:rFonts w:ascii="Cambria" w:hAnsi="Cambria"/>
          <w:i/>
          <w:sz w:val="20"/>
        </w:rPr>
        <w:t xml:space="preserve"> </w:t>
      </w:r>
      <w:proofErr w:type="spellStart"/>
      <w:r>
        <w:rPr>
          <w:rFonts w:ascii="Cambria" w:hAnsi="Cambria"/>
          <w:i/>
          <w:sz w:val="20"/>
        </w:rPr>
        <w:t>Act</w:t>
      </w:r>
      <w:proofErr w:type="spellEnd"/>
      <w:r>
        <w:rPr>
          <w:rFonts w:ascii="Cambria" w:hAnsi="Cambria"/>
          <w:sz w:val="20"/>
        </w:rPr>
        <w:t>) de 2009, las comisiones militares generan aún importantes preocupaciones relacionadas con el debido proceso. A estas cifras se suma el hecho que Guantánamo es probablemente uno de los centros de detención más costosos del mundo.</w:t>
      </w:r>
    </w:p>
    <w:p w:rsidR="00F90639" w:rsidRPr="00FC2F1B" w:rsidRDefault="00F90639" w:rsidP="00F90639">
      <w:pPr>
        <w:ind w:left="720"/>
        <w:jc w:val="bot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t>La CIDH reitera que la detención continuada e indefinida de individuos en Guantánamo sin derecho al debido proceso es arbitraria y constituye una clara violación del derecho internacional</w:t>
      </w:r>
      <w:r>
        <w:rPr>
          <w:rStyle w:val="FootnoteReference"/>
          <w:rFonts w:ascii="Cambria" w:hAnsi="Cambria"/>
          <w:sz w:val="20"/>
        </w:rPr>
        <w:footnoteReference w:id="398"/>
      </w:r>
      <w:r>
        <w:rPr>
          <w:rFonts w:ascii="Cambria" w:hAnsi="Cambria"/>
          <w:sz w:val="20"/>
        </w:rPr>
        <w:t xml:space="preserve">; y que la detención con el único propósito de </w:t>
      </w:r>
      <w:r>
        <w:rPr>
          <w:rFonts w:ascii="Cambria" w:hAnsi="Cambria"/>
          <w:sz w:val="20"/>
        </w:rPr>
        <w:lastRenderedPageBreak/>
        <w:t xml:space="preserve">obtener información de inteligencia constituye una violación del Artículo I de la Declaración Americana. Como se señaló en el Capítulo </w:t>
      </w:r>
      <w:r w:rsidR="00D26452">
        <w:rPr>
          <w:rFonts w:ascii="Cambria" w:hAnsi="Cambria"/>
          <w:sz w:val="20"/>
        </w:rPr>
        <w:t>5</w:t>
      </w:r>
      <w:bookmarkStart w:id="63" w:name="_GoBack"/>
      <w:bookmarkEnd w:id="63"/>
      <w:r>
        <w:rPr>
          <w:rFonts w:ascii="Cambria" w:hAnsi="Cambria"/>
          <w:sz w:val="20"/>
        </w:rPr>
        <w:t xml:space="preserve"> de este informe, existe un importante consenso nacional e internacional respecto de la necesidad de cerrar el centro de detención de la Bahía de Guantánamo. El 22 de enero de 2009, el Presidente Obama ordenó el cierre de la instalación en el plazo de un año. Esto, sin embargo, ha demostrado ser más complejo de lo que se había pensado. El cierre de Guantánamo tiene una dimensión tanto jurídica como política. Adicionalmente, no es sólo cuestión de vaciar una prisión sino de cerrarla de manera responsable. Los traslados deben ser llevados a cabo en cumplimiento del principio de </w:t>
      </w:r>
      <w:r>
        <w:rPr>
          <w:rFonts w:ascii="Cambria" w:hAnsi="Cambria"/>
          <w:i/>
          <w:sz w:val="20"/>
        </w:rPr>
        <w:t>non-</w:t>
      </w:r>
      <w:proofErr w:type="spellStart"/>
      <w:r>
        <w:rPr>
          <w:rFonts w:ascii="Cambria" w:hAnsi="Cambria"/>
          <w:i/>
          <w:sz w:val="20"/>
        </w:rPr>
        <w:t>refoulement</w:t>
      </w:r>
      <w:proofErr w:type="spellEnd"/>
      <w:r>
        <w:rPr>
          <w:rFonts w:ascii="Cambria" w:hAnsi="Cambria"/>
          <w:sz w:val="20"/>
        </w:rPr>
        <w:t xml:space="preserve"> y los juicios deben realizarse en pleno respeto de los derechos de los procesados al debido proceso y las garantías judiciales. Lo contrario implicaría </w:t>
      </w:r>
      <w:proofErr w:type="spellStart"/>
      <w:r>
        <w:rPr>
          <w:rFonts w:ascii="Cambria" w:hAnsi="Cambria"/>
          <w:sz w:val="20"/>
        </w:rPr>
        <w:t>redireccionar</w:t>
      </w:r>
      <w:proofErr w:type="spellEnd"/>
      <w:r>
        <w:rPr>
          <w:rFonts w:ascii="Cambria" w:hAnsi="Cambria"/>
          <w:sz w:val="20"/>
        </w:rPr>
        <w:t xml:space="preserve"> el problema sin resolver el asunto de fondo. </w:t>
      </w:r>
    </w:p>
    <w:p w:rsidR="00F90639" w:rsidRPr="00FC2F1B" w:rsidRDefault="00F90639" w:rsidP="00F90639">
      <w:pPr>
        <w:ind w:left="720"/>
        <w:jc w:val="bot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t xml:space="preserve">Con base en el análisis realizado en este informe, la Comisión ha desarrollado las siguientes recomendaciones para motivar y apoyar los esfuerzos de Estados Unidos con miras a cumplir adecuadamente con sus compromisos internacionales en materia de derechos humanos en el cierre de Guantánamo: </w:t>
      </w:r>
    </w:p>
    <w:p w:rsidR="00F90639" w:rsidRPr="00FC2F1B" w:rsidRDefault="00F90639" w:rsidP="00F90639">
      <w:pPr>
        <w:pStyle w:val="ListParagraph"/>
        <w:rPr>
          <w:sz w:val="20"/>
          <w:szCs w:val="20"/>
        </w:rPr>
      </w:pPr>
    </w:p>
    <w:p w:rsidR="00F90639" w:rsidRPr="00FC2F1B" w:rsidRDefault="00F90639" w:rsidP="00D544D0">
      <w:pPr>
        <w:ind w:left="547"/>
        <w:jc w:val="both"/>
        <w:rPr>
          <w:rFonts w:ascii="Cambria" w:hAnsi="Cambria"/>
          <w:b/>
          <w:sz w:val="20"/>
          <w:szCs w:val="20"/>
        </w:rPr>
      </w:pPr>
      <w:r>
        <w:rPr>
          <w:rFonts w:ascii="Cambria" w:hAnsi="Cambria"/>
          <w:b/>
          <w:sz w:val="20"/>
        </w:rPr>
        <w:t>Condiciones de detención</w:t>
      </w:r>
    </w:p>
    <w:p w:rsidR="00F90639" w:rsidRPr="00FC2F1B" w:rsidRDefault="00F90639" w:rsidP="00F90639">
      <w:pPr>
        <w:jc w:val="both"/>
        <w:rPr>
          <w:rFonts w:ascii="Cambria" w:hAnsi="Cambria"/>
          <w:sz w:val="20"/>
          <w:szCs w:val="20"/>
        </w:rPr>
      </w:pPr>
    </w:p>
    <w:p w:rsidR="00F90639" w:rsidRPr="00FC2F1B" w:rsidRDefault="00F90639" w:rsidP="00D544D0">
      <w:pPr>
        <w:numPr>
          <w:ilvl w:val="0"/>
          <w:numId w:val="10"/>
        </w:numPr>
        <w:ind w:left="1094" w:hanging="547"/>
        <w:jc w:val="both"/>
        <w:rPr>
          <w:rFonts w:ascii="Cambria" w:hAnsi="Cambria"/>
          <w:sz w:val="20"/>
          <w:szCs w:val="20"/>
        </w:rPr>
      </w:pPr>
      <w:r>
        <w:rPr>
          <w:rFonts w:ascii="Cambria" w:hAnsi="Cambria"/>
          <w:sz w:val="20"/>
        </w:rPr>
        <w:t xml:space="preserve">Garantizar que los detenidos sean mantenidos de conformidad con los estándares internacionales de derechos humanos y que las condiciones de detención sean sometidas a una revisión judicial accesible y efectiva. </w:t>
      </w:r>
    </w:p>
    <w:p w:rsidR="00F90639" w:rsidRPr="00FC2F1B" w:rsidRDefault="00F90639" w:rsidP="00D544D0">
      <w:pPr>
        <w:ind w:left="1094" w:hanging="547"/>
        <w:jc w:val="both"/>
        <w:rPr>
          <w:rFonts w:ascii="Cambria" w:hAnsi="Cambria"/>
          <w:sz w:val="20"/>
          <w:szCs w:val="20"/>
        </w:rPr>
      </w:pPr>
    </w:p>
    <w:p w:rsidR="00F90639" w:rsidRPr="00FC2F1B" w:rsidRDefault="00F90639" w:rsidP="00D544D0">
      <w:pPr>
        <w:numPr>
          <w:ilvl w:val="0"/>
          <w:numId w:val="10"/>
        </w:numPr>
        <w:ind w:left="1094" w:hanging="547"/>
        <w:jc w:val="both"/>
        <w:rPr>
          <w:rFonts w:ascii="Cambria" w:hAnsi="Cambria"/>
          <w:sz w:val="20"/>
          <w:szCs w:val="20"/>
        </w:rPr>
      </w:pPr>
      <w:r>
        <w:rPr>
          <w:rFonts w:ascii="Cambria" w:hAnsi="Cambria"/>
          <w:sz w:val="20"/>
        </w:rPr>
        <w:t xml:space="preserve">Proporcionar a los detenidos cuidados médicos, psiquiátricos y psicológicos adecuados, que respondan a sus necesidades específicas de salud, respetando los principios de confidencialidad médica, autonomía de los pacientes, y consentimiento informado al tratamiento médico. </w:t>
      </w:r>
    </w:p>
    <w:p w:rsidR="00F90639" w:rsidRPr="00FC2F1B" w:rsidRDefault="00F90639" w:rsidP="00D544D0">
      <w:pPr>
        <w:ind w:left="1094" w:hanging="547"/>
        <w:jc w:val="both"/>
        <w:rPr>
          <w:rFonts w:ascii="Cambria" w:hAnsi="Cambria"/>
          <w:sz w:val="20"/>
          <w:szCs w:val="20"/>
        </w:rPr>
      </w:pPr>
    </w:p>
    <w:p w:rsidR="00F90639" w:rsidRPr="00FC2F1B" w:rsidRDefault="00F90639" w:rsidP="00D544D0">
      <w:pPr>
        <w:numPr>
          <w:ilvl w:val="0"/>
          <w:numId w:val="10"/>
        </w:numPr>
        <w:ind w:left="1094" w:hanging="547"/>
        <w:jc w:val="both"/>
        <w:rPr>
          <w:rFonts w:ascii="Cambria" w:hAnsi="Cambria"/>
          <w:sz w:val="20"/>
          <w:szCs w:val="20"/>
        </w:rPr>
      </w:pPr>
      <w:r>
        <w:rPr>
          <w:rFonts w:ascii="Cambria" w:hAnsi="Cambria"/>
          <w:sz w:val="20"/>
        </w:rPr>
        <w:t xml:space="preserve">Asegurar que el derecho de los detenidos a la libertad de conciencia y religión sea respetado, particularmente el derecho a la observancia de oración comunitaria, y proporcionar a los detenidos acceso a un Capellán Musulmán. </w:t>
      </w:r>
    </w:p>
    <w:p w:rsidR="00F90639" w:rsidRPr="00FC2F1B" w:rsidRDefault="00F90639" w:rsidP="00D544D0">
      <w:pPr>
        <w:ind w:left="1094" w:hanging="547"/>
        <w:jc w:val="both"/>
        <w:rPr>
          <w:rFonts w:ascii="Cambria" w:hAnsi="Cambria"/>
          <w:sz w:val="20"/>
          <w:szCs w:val="20"/>
        </w:rPr>
      </w:pPr>
    </w:p>
    <w:p w:rsidR="00F90639" w:rsidRPr="00FC2F1B" w:rsidRDefault="00F90639" w:rsidP="00D544D0">
      <w:pPr>
        <w:numPr>
          <w:ilvl w:val="0"/>
          <w:numId w:val="10"/>
        </w:numPr>
        <w:ind w:left="1094" w:hanging="547"/>
        <w:jc w:val="both"/>
        <w:rPr>
          <w:rFonts w:ascii="Cambria" w:hAnsi="Cambria"/>
          <w:sz w:val="20"/>
          <w:szCs w:val="20"/>
        </w:rPr>
      </w:pPr>
      <w:r>
        <w:rPr>
          <w:rFonts w:ascii="Cambria" w:hAnsi="Cambria"/>
          <w:sz w:val="20"/>
        </w:rPr>
        <w:t xml:space="preserve">Desclasificar toda prueba de tortura y malos tratos, y hacer públicas las condiciones de detención en el Campo 7. </w:t>
      </w:r>
    </w:p>
    <w:p w:rsidR="00F90639" w:rsidRPr="00FC2F1B" w:rsidRDefault="00F90639" w:rsidP="00D544D0">
      <w:pPr>
        <w:ind w:left="1094" w:hanging="547"/>
        <w:jc w:val="both"/>
        <w:rPr>
          <w:rFonts w:ascii="Cambria" w:hAnsi="Cambria"/>
          <w:sz w:val="20"/>
          <w:szCs w:val="20"/>
        </w:rPr>
      </w:pPr>
    </w:p>
    <w:p w:rsidR="00F90639" w:rsidRPr="00FC2F1B" w:rsidRDefault="00F90639" w:rsidP="00D544D0">
      <w:pPr>
        <w:numPr>
          <w:ilvl w:val="0"/>
          <w:numId w:val="10"/>
        </w:numPr>
        <w:ind w:left="1094" w:hanging="547"/>
        <w:jc w:val="both"/>
        <w:rPr>
          <w:rFonts w:ascii="Cambria" w:hAnsi="Cambria"/>
          <w:sz w:val="20"/>
          <w:szCs w:val="20"/>
        </w:rPr>
      </w:pPr>
      <w:r>
        <w:rPr>
          <w:rFonts w:ascii="Cambria" w:hAnsi="Cambria"/>
          <w:sz w:val="20"/>
        </w:rPr>
        <w:t xml:space="preserve">Establecer un organismo independiente de monitoreo, con participación de la sociedad civil, para investigar las condiciones de detención en la Bahía de Guantánamo, incluyendo el Campo 7. </w:t>
      </w:r>
    </w:p>
    <w:p w:rsidR="00F90639" w:rsidRPr="00FC2F1B" w:rsidRDefault="00F90639" w:rsidP="00D544D0">
      <w:pPr>
        <w:ind w:left="1094" w:hanging="547"/>
        <w:jc w:val="both"/>
        <w:rPr>
          <w:rFonts w:ascii="Cambria" w:hAnsi="Cambria"/>
          <w:sz w:val="20"/>
          <w:szCs w:val="20"/>
        </w:rPr>
      </w:pPr>
    </w:p>
    <w:p w:rsidR="00F90639" w:rsidRPr="00FC2F1B" w:rsidRDefault="00F90639" w:rsidP="00D544D0">
      <w:pPr>
        <w:numPr>
          <w:ilvl w:val="0"/>
          <w:numId w:val="10"/>
        </w:numPr>
        <w:ind w:left="1094" w:hanging="547"/>
        <w:jc w:val="both"/>
        <w:rPr>
          <w:rFonts w:ascii="Cambria" w:hAnsi="Cambria"/>
          <w:sz w:val="20"/>
          <w:szCs w:val="20"/>
        </w:rPr>
      </w:pPr>
      <w:r>
        <w:rPr>
          <w:rFonts w:ascii="Cambria" w:hAnsi="Cambria"/>
          <w:sz w:val="20"/>
        </w:rPr>
        <w:t>Dar cumplimiento a las siguientes recomendaciones emitidas por el Comité contra la Tortura en relación con Guantánamo</w:t>
      </w:r>
      <w:r>
        <w:rPr>
          <w:vertAlign w:val="superscript"/>
        </w:rPr>
        <w:footnoteReference w:id="399"/>
      </w:r>
      <w:r>
        <w:rPr>
          <w:rFonts w:ascii="Cambria" w:hAnsi="Cambria"/>
          <w:sz w:val="20"/>
        </w:rPr>
        <w:t xml:space="preserve">: </w:t>
      </w:r>
    </w:p>
    <w:p w:rsidR="00F90639" w:rsidRPr="00FC2F1B" w:rsidRDefault="00F90639" w:rsidP="00F90639">
      <w:pPr>
        <w:jc w:val="both"/>
        <w:rPr>
          <w:rFonts w:ascii="Cambria" w:hAnsi="Cambria"/>
          <w:sz w:val="20"/>
          <w:szCs w:val="20"/>
        </w:rPr>
      </w:pPr>
    </w:p>
    <w:p w:rsidR="00F90639" w:rsidRPr="00FC2F1B" w:rsidRDefault="00F90639" w:rsidP="00D544D0">
      <w:pPr>
        <w:pStyle w:val="Default"/>
        <w:numPr>
          <w:ilvl w:val="1"/>
          <w:numId w:val="10"/>
        </w:numPr>
        <w:ind w:left="1526" w:hanging="547"/>
        <w:jc w:val="both"/>
        <w:rPr>
          <w:rFonts w:ascii="Cambria" w:hAnsi="Cambria"/>
          <w:color w:val="auto"/>
          <w:sz w:val="20"/>
          <w:szCs w:val="20"/>
        </w:rPr>
      </w:pPr>
      <w:r>
        <w:rPr>
          <w:rFonts w:ascii="Cambria" w:hAnsi="Cambria"/>
          <w:color w:val="auto"/>
          <w:sz w:val="20"/>
        </w:rPr>
        <w:lastRenderedPageBreak/>
        <w:t xml:space="preserve">Investigar todas las denuncias de abusos contra detenidos, incluyendo torturas y malos tratos, juzgar adecuadamente a los responsables, y garantizar una reparación efectiva para las víctimas; </w:t>
      </w:r>
    </w:p>
    <w:p w:rsidR="00F90639" w:rsidRPr="00FC2F1B" w:rsidRDefault="00F90639" w:rsidP="00D544D0">
      <w:pPr>
        <w:pStyle w:val="Default"/>
        <w:ind w:left="1526" w:hanging="547"/>
        <w:jc w:val="both"/>
        <w:rPr>
          <w:rFonts w:ascii="Cambria" w:hAnsi="Cambria"/>
          <w:color w:val="auto"/>
          <w:sz w:val="20"/>
          <w:szCs w:val="20"/>
        </w:rPr>
      </w:pPr>
    </w:p>
    <w:p w:rsidR="00F90639" w:rsidRPr="00FC2F1B" w:rsidRDefault="00F90639" w:rsidP="00D544D0">
      <w:pPr>
        <w:pStyle w:val="Default"/>
        <w:numPr>
          <w:ilvl w:val="1"/>
          <w:numId w:val="10"/>
        </w:numPr>
        <w:ind w:left="1526" w:hanging="547"/>
        <w:jc w:val="both"/>
        <w:rPr>
          <w:rFonts w:ascii="Cambria" w:hAnsi="Cambria"/>
          <w:color w:val="auto"/>
          <w:sz w:val="20"/>
          <w:szCs w:val="20"/>
        </w:rPr>
      </w:pPr>
      <w:r>
        <w:rPr>
          <w:rFonts w:ascii="Cambria" w:hAnsi="Cambria"/>
          <w:color w:val="auto"/>
          <w:sz w:val="20"/>
        </w:rPr>
        <w:t xml:space="preserve">Mejorar la situación de los detenidos con el fin de persuadirlos a culminar su huelga de hambre; y </w:t>
      </w:r>
    </w:p>
    <w:p w:rsidR="00F90639" w:rsidRPr="00FC2F1B" w:rsidRDefault="00F90639" w:rsidP="00D544D0">
      <w:pPr>
        <w:pStyle w:val="Default"/>
        <w:ind w:left="1526" w:hanging="547"/>
        <w:jc w:val="both"/>
        <w:rPr>
          <w:rFonts w:ascii="Cambria" w:hAnsi="Cambria"/>
          <w:color w:val="auto"/>
          <w:sz w:val="20"/>
          <w:szCs w:val="20"/>
        </w:rPr>
      </w:pPr>
    </w:p>
    <w:p w:rsidR="00F90639" w:rsidRPr="00FC2F1B" w:rsidRDefault="00F90639" w:rsidP="00D544D0">
      <w:pPr>
        <w:pStyle w:val="Default"/>
        <w:numPr>
          <w:ilvl w:val="1"/>
          <w:numId w:val="10"/>
        </w:numPr>
        <w:ind w:left="1526" w:hanging="547"/>
        <w:jc w:val="both"/>
        <w:rPr>
          <w:rFonts w:ascii="Cambria" w:hAnsi="Cambria"/>
          <w:color w:val="auto"/>
          <w:sz w:val="20"/>
          <w:szCs w:val="20"/>
        </w:rPr>
      </w:pPr>
      <w:r>
        <w:rPr>
          <w:rFonts w:ascii="Cambria" w:hAnsi="Cambria"/>
          <w:color w:val="auto"/>
          <w:sz w:val="20"/>
        </w:rPr>
        <w:t xml:space="preserve">Terminar con la alimentación forzosa de detenidos en huelga de hambre mientras estén en capacidad de tomar decisiones informadas. </w:t>
      </w:r>
    </w:p>
    <w:p w:rsidR="00F90639" w:rsidRPr="00FC2F1B" w:rsidRDefault="00F90639" w:rsidP="00F90639">
      <w:pPr>
        <w:ind w:left="720"/>
        <w:jc w:val="both"/>
        <w:rPr>
          <w:rFonts w:ascii="Cambria" w:hAnsi="Cambria"/>
          <w:sz w:val="20"/>
          <w:szCs w:val="20"/>
        </w:rPr>
      </w:pPr>
    </w:p>
    <w:p w:rsidR="00F90639" w:rsidRPr="00FC2F1B" w:rsidRDefault="00F90639" w:rsidP="00D544D0">
      <w:pPr>
        <w:numPr>
          <w:ilvl w:val="0"/>
          <w:numId w:val="10"/>
        </w:numPr>
        <w:ind w:left="1094" w:hanging="547"/>
        <w:jc w:val="both"/>
        <w:rPr>
          <w:rFonts w:ascii="Cambria" w:hAnsi="Cambria"/>
          <w:sz w:val="20"/>
          <w:szCs w:val="20"/>
        </w:rPr>
      </w:pPr>
      <w:r>
        <w:rPr>
          <w:rFonts w:ascii="Cambria" w:hAnsi="Cambria"/>
          <w:sz w:val="20"/>
        </w:rPr>
        <w:t xml:space="preserve">Autorizar una visita de la CIDH al centro de detención sin restricción alguna, incluyendo la posibilidad de realizar entrevistas privadas con los detenidos, de conformidad con el artículo 57(e) de su Reglamento. </w:t>
      </w:r>
    </w:p>
    <w:p w:rsidR="00F90639" w:rsidRPr="00FC2F1B" w:rsidRDefault="00F90639" w:rsidP="00F90639">
      <w:pPr>
        <w:jc w:val="both"/>
        <w:rPr>
          <w:rFonts w:ascii="Cambria" w:hAnsi="Cambria"/>
          <w:sz w:val="20"/>
          <w:szCs w:val="20"/>
        </w:rPr>
      </w:pPr>
    </w:p>
    <w:p w:rsidR="00F90639" w:rsidRPr="00FC2F1B" w:rsidRDefault="00F90639" w:rsidP="00D544D0">
      <w:pPr>
        <w:ind w:left="547"/>
        <w:jc w:val="both"/>
        <w:rPr>
          <w:rFonts w:ascii="Cambria" w:hAnsi="Cambria"/>
          <w:b/>
          <w:sz w:val="20"/>
          <w:szCs w:val="20"/>
        </w:rPr>
      </w:pPr>
      <w:r>
        <w:rPr>
          <w:rFonts w:ascii="Cambria" w:hAnsi="Cambria"/>
          <w:b/>
          <w:sz w:val="20"/>
        </w:rPr>
        <w:t>Acceso a la justicia</w:t>
      </w:r>
    </w:p>
    <w:p w:rsidR="00F90639" w:rsidRPr="00FC2F1B" w:rsidRDefault="00F90639" w:rsidP="00F90639">
      <w:pPr>
        <w:jc w:val="both"/>
        <w:rPr>
          <w:rFonts w:ascii="Cambria" w:hAnsi="Cambria"/>
          <w:sz w:val="20"/>
          <w:szCs w:val="20"/>
        </w:rPr>
      </w:pPr>
    </w:p>
    <w:p w:rsidR="00F90639" w:rsidRPr="00FC2F1B" w:rsidRDefault="00F90639" w:rsidP="00D544D0">
      <w:pPr>
        <w:numPr>
          <w:ilvl w:val="0"/>
          <w:numId w:val="10"/>
        </w:numPr>
        <w:ind w:left="1094" w:hanging="547"/>
        <w:jc w:val="both"/>
        <w:rPr>
          <w:rFonts w:ascii="Cambria" w:hAnsi="Cambria"/>
          <w:sz w:val="20"/>
          <w:szCs w:val="20"/>
        </w:rPr>
      </w:pPr>
      <w:r>
        <w:rPr>
          <w:rFonts w:ascii="Cambria" w:hAnsi="Cambria"/>
          <w:sz w:val="20"/>
        </w:rPr>
        <w:t xml:space="preserve">Juzgar ante cortes federales a los detenidos que están siendo procesados por comisiones militares, respetando los derechos de los acusados al debido proceso y a todas las garantías judiciales. </w:t>
      </w:r>
    </w:p>
    <w:p w:rsidR="00F90639" w:rsidRPr="00FC2F1B" w:rsidRDefault="00F90639" w:rsidP="00F90639">
      <w:pPr>
        <w:ind w:left="1440"/>
        <w:jc w:val="both"/>
        <w:rPr>
          <w:rFonts w:ascii="Cambria" w:hAnsi="Cambria"/>
          <w:sz w:val="20"/>
          <w:szCs w:val="20"/>
        </w:rPr>
      </w:pPr>
    </w:p>
    <w:p w:rsidR="00F90639" w:rsidRPr="00FC2F1B" w:rsidRDefault="00F90639" w:rsidP="00D544D0">
      <w:pPr>
        <w:numPr>
          <w:ilvl w:val="0"/>
          <w:numId w:val="10"/>
        </w:numPr>
        <w:ind w:left="1094" w:hanging="547"/>
        <w:jc w:val="both"/>
        <w:rPr>
          <w:rFonts w:ascii="Cambria" w:hAnsi="Cambria"/>
          <w:sz w:val="20"/>
          <w:szCs w:val="20"/>
        </w:rPr>
      </w:pPr>
      <w:r>
        <w:rPr>
          <w:rFonts w:ascii="Cambria" w:hAnsi="Cambria"/>
          <w:sz w:val="20"/>
        </w:rPr>
        <w:t xml:space="preserve">Garantizar a los detenidos el acceso a una revisión judicial adecuada de la legalidad de su detención, revisión que debe estar disponible, ser adecuada y efectiva, además de incluir la posibilidad de liberación. </w:t>
      </w:r>
    </w:p>
    <w:p w:rsidR="00F90639" w:rsidRPr="00FC2F1B" w:rsidRDefault="00F90639" w:rsidP="00F90639">
      <w:pPr>
        <w:pStyle w:val="ListParagraph"/>
        <w:rPr>
          <w:sz w:val="20"/>
          <w:szCs w:val="20"/>
        </w:rPr>
      </w:pPr>
    </w:p>
    <w:p w:rsidR="00F90639" w:rsidRPr="00FC2F1B" w:rsidRDefault="00F90639" w:rsidP="00D544D0">
      <w:pPr>
        <w:numPr>
          <w:ilvl w:val="0"/>
          <w:numId w:val="10"/>
        </w:numPr>
        <w:ind w:left="1094" w:hanging="547"/>
        <w:jc w:val="both"/>
        <w:rPr>
          <w:rFonts w:ascii="Cambria" w:hAnsi="Cambria"/>
          <w:sz w:val="20"/>
          <w:szCs w:val="20"/>
        </w:rPr>
      </w:pPr>
      <w:r>
        <w:rPr>
          <w:rFonts w:ascii="Cambria" w:hAnsi="Cambria"/>
          <w:sz w:val="20"/>
        </w:rPr>
        <w:t xml:space="preserve">Llevar a cabo una evaluación judicial rigurosa del material probatorio del gobierno para garantizar que toda detención en este contexto esté basada en prueba clara y convincente. Una decisión de la Corte Suprema de Estados Unidos podría arrojar luz respecto a si a los detenidos de Guantánamo se les está proporcionando una oportunidad significativa de cuestionar la legalidad de su detención. </w:t>
      </w:r>
    </w:p>
    <w:p w:rsidR="00F90639" w:rsidRPr="00FC2F1B" w:rsidRDefault="00F90639" w:rsidP="00F90639">
      <w:pPr>
        <w:ind w:left="1440"/>
        <w:jc w:val="both"/>
        <w:rPr>
          <w:rFonts w:ascii="Cambria" w:hAnsi="Cambria"/>
          <w:sz w:val="20"/>
          <w:szCs w:val="20"/>
        </w:rPr>
      </w:pPr>
    </w:p>
    <w:p w:rsidR="00F90639" w:rsidRPr="00FC2F1B" w:rsidRDefault="00F90639" w:rsidP="00D544D0">
      <w:pPr>
        <w:numPr>
          <w:ilvl w:val="0"/>
          <w:numId w:val="10"/>
        </w:numPr>
        <w:ind w:left="1094" w:hanging="547"/>
        <w:jc w:val="both"/>
        <w:rPr>
          <w:rFonts w:ascii="Cambria" w:hAnsi="Cambria"/>
          <w:sz w:val="20"/>
          <w:szCs w:val="20"/>
        </w:rPr>
      </w:pPr>
      <w:r>
        <w:rPr>
          <w:rFonts w:ascii="Cambria" w:hAnsi="Cambria"/>
          <w:sz w:val="20"/>
        </w:rPr>
        <w:t xml:space="preserve">Asegurar el respeto del secreto profesional entre abogado y cliente. </w:t>
      </w:r>
    </w:p>
    <w:p w:rsidR="00F90639" w:rsidRPr="00FC2F1B" w:rsidRDefault="00F90639" w:rsidP="00F90639">
      <w:pPr>
        <w:ind w:left="1440"/>
        <w:jc w:val="both"/>
        <w:rPr>
          <w:rFonts w:ascii="Cambria" w:hAnsi="Cambria"/>
          <w:sz w:val="20"/>
          <w:szCs w:val="20"/>
        </w:rPr>
      </w:pPr>
    </w:p>
    <w:p w:rsidR="00F90639" w:rsidRPr="00FC2F1B" w:rsidRDefault="00F90639" w:rsidP="00D544D0">
      <w:pPr>
        <w:numPr>
          <w:ilvl w:val="0"/>
          <w:numId w:val="10"/>
        </w:numPr>
        <w:ind w:left="1094" w:hanging="547"/>
        <w:jc w:val="both"/>
        <w:rPr>
          <w:rFonts w:ascii="Cambria" w:hAnsi="Cambria"/>
          <w:sz w:val="20"/>
          <w:szCs w:val="20"/>
        </w:rPr>
      </w:pPr>
      <w:r>
        <w:rPr>
          <w:rFonts w:ascii="Cambria" w:hAnsi="Cambria"/>
          <w:sz w:val="20"/>
        </w:rPr>
        <w:t xml:space="preserve">Proporcionar a los detenidos y a sus abogados toda la prueba utilizada para justificar la detención. </w:t>
      </w:r>
    </w:p>
    <w:p w:rsidR="00F90639" w:rsidRPr="00FC2F1B" w:rsidRDefault="00F90639" w:rsidP="00F90639">
      <w:pPr>
        <w:jc w:val="both"/>
        <w:rPr>
          <w:rFonts w:ascii="Cambria" w:hAnsi="Cambria"/>
          <w:bCs/>
          <w:sz w:val="20"/>
          <w:szCs w:val="20"/>
        </w:rPr>
      </w:pPr>
    </w:p>
    <w:p w:rsidR="00F90639" w:rsidRPr="00FC2F1B" w:rsidRDefault="00F90639" w:rsidP="00D544D0">
      <w:pPr>
        <w:ind w:left="547"/>
        <w:jc w:val="both"/>
        <w:rPr>
          <w:rFonts w:ascii="Cambria" w:hAnsi="Cambria"/>
          <w:b/>
          <w:bCs/>
          <w:sz w:val="20"/>
          <w:szCs w:val="20"/>
        </w:rPr>
      </w:pPr>
      <w:r>
        <w:rPr>
          <w:rFonts w:ascii="Cambria" w:hAnsi="Cambria"/>
          <w:b/>
          <w:sz w:val="20"/>
        </w:rPr>
        <w:t>Cierre de Guantánamo</w:t>
      </w:r>
    </w:p>
    <w:p w:rsidR="00F90639" w:rsidRPr="00FC2F1B" w:rsidRDefault="00F90639" w:rsidP="00F90639">
      <w:pPr>
        <w:ind w:left="720"/>
        <w:jc w:val="both"/>
        <w:rPr>
          <w:rFonts w:ascii="Cambria" w:hAnsi="Cambria"/>
          <w:sz w:val="20"/>
          <w:szCs w:val="20"/>
        </w:rPr>
      </w:pPr>
    </w:p>
    <w:p w:rsidR="00F90639" w:rsidRPr="00FC2F1B" w:rsidRDefault="00F90639" w:rsidP="00D544D0">
      <w:pPr>
        <w:numPr>
          <w:ilvl w:val="0"/>
          <w:numId w:val="10"/>
        </w:numPr>
        <w:ind w:left="1094" w:hanging="547"/>
        <w:jc w:val="both"/>
        <w:rPr>
          <w:rFonts w:ascii="Cambria" w:hAnsi="Cambria"/>
          <w:sz w:val="20"/>
          <w:szCs w:val="20"/>
        </w:rPr>
      </w:pPr>
      <w:r>
        <w:rPr>
          <w:rFonts w:ascii="Cambria" w:hAnsi="Cambria"/>
          <w:sz w:val="20"/>
        </w:rPr>
        <w:t xml:space="preserve">Cerrar el centro de detención de la Bahía de Guantánamo. </w:t>
      </w:r>
    </w:p>
    <w:p w:rsidR="00F90639" w:rsidRPr="00FC2F1B" w:rsidRDefault="00F90639" w:rsidP="00F90639">
      <w:pPr>
        <w:ind w:left="1440"/>
        <w:jc w:val="both"/>
        <w:rPr>
          <w:rFonts w:ascii="Cambria" w:hAnsi="Cambria"/>
          <w:sz w:val="20"/>
          <w:szCs w:val="20"/>
        </w:rPr>
      </w:pPr>
    </w:p>
    <w:p w:rsidR="00F90639" w:rsidRPr="00FC2F1B" w:rsidRDefault="00F90639" w:rsidP="00D544D0">
      <w:pPr>
        <w:numPr>
          <w:ilvl w:val="0"/>
          <w:numId w:val="10"/>
        </w:numPr>
        <w:ind w:left="1094" w:hanging="547"/>
        <w:jc w:val="both"/>
        <w:rPr>
          <w:rFonts w:ascii="Cambria" w:hAnsi="Cambria"/>
          <w:sz w:val="20"/>
          <w:szCs w:val="20"/>
        </w:rPr>
      </w:pPr>
      <w:r>
        <w:rPr>
          <w:rFonts w:ascii="Cambria" w:hAnsi="Cambria"/>
          <w:sz w:val="20"/>
        </w:rPr>
        <w:t>Derogar las disposiciones de la Ley de Autorización de Defensa Nacional (</w:t>
      </w:r>
      <w:proofErr w:type="spellStart"/>
      <w:r>
        <w:rPr>
          <w:rFonts w:ascii="Cambria" w:hAnsi="Cambria"/>
          <w:i/>
          <w:sz w:val="20"/>
        </w:rPr>
        <w:t>National</w:t>
      </w:r>
      <w:proofErr w:type="spellEnd"/>
      <w:r>
        <w:rPr>
          <w:rFonts w:ascii="Cambria" w:hAnsi="Cambria"/>
          <w:i/>
          <w:sz w:val="20"/>
        </w:rPr>
        <w:t xml:space="preserve"> </w:t>
      </w:r>
      <w:proofErr w:type="spellStart"/>
      <w:r>
        <w:rPr>
          <w:rFonts w:ascii="Cambria" w:hAnsi="Cambria"/>
          <w:i/>
          <w:sz w:val="20"/>
        </w:rPr>
        <w:t>Defense</w:t>
      </w:r>
      <w:proofErr w:type="spellEnd"/>
      <w:r>
        <w:rPr>
          <w:rFonts w:ascii="Cambria" w:hAnsi="Cambria"/>
          <w:i/>
          <w:sz w:val="20"/>
        </w:rPr>
        <w:t xml:space="preserve"> </w:t>
      </w:r>
      <w:proofErr w:type="spellStart"/>
      <w:r>
        <w:rPr>
          <w:rFonts w:ascii="Cambria" w:hAnsi="Cambria"/>
          <w:i/>
          <w:sz w:val="20"/>
        </w:rPr>
        <w:t>Authorization</w:t>
      </w:r>
      <w:proofErr w:type="spellEnd"/>
      <w:r>
        <w:rPr>
          <w:rFonts w:ascii="Cambria" w:hAnsi="Cambria"/>
          <w:i/>
          <w:sz w:val="20"/>
        </w:rPr>
        <w:t xml:space="preserve"> </w:t>
      </w:r>
      <w:proofErr w:type="spellStart"/>
      <w:r>
        <w:rPr>
          <w:rFonts w:ascii="Cambria" w:hAnsi="Cambria"/>
          <w:i/>
          <w:sz w:val="20"/>
        </w:rPr>
        <w:t>Act</w:t>
      </w:r>
      <w:proofErr w:type="spellEnd"/>
      <w:r>
        <w:rPr>
          <w:rFonts w:ascii="Cambria" w:hAnsi="Cambria"/>
          <w:sz w:val="20"/>
        </w:rPr>
        <w:t xml:space="preserve">, “NDAA” por sus siglas en inglés) que prohíben el traslado de detenidos de Guantánamo hacia Estados Unidos para su enjuiciamiento, privación de libertad y tratamiento médico, así como reducir todas las restricciones de traslados a terceros países. </w:t>
      </w:r>
    </w:p>
    <w:p w:rsidR="00F90639" w:rsidRPr="00FC2F1B" w:rsidRDefault="00F90639" w:rsidP="00F90639">
      <w:pPr>
        <w:ind w:left="1440"/>
        <w:jc w:val="both"/>
        <w:rPr>
          <w:rFonts w:ascii="Cambria" w:hAnsi="Cambria"/>
          <w:sz w:val="20"/>
          <w:szCs w:val="20"/>
        </w:rPr>
      </w:pPr>
    </w:p>
    <w:p w:rsidR="00F90639" w:rsidRPr="00FC2F1B" w:rsidRDefault="00F90639" w:rsidP="00D544D0">
      <w:pPr>
        <w:numPr>
          <w:ilvl w:val="0"/>
          <w:numId w:val="10"/>
        </w:numPr>
        <w:ind w:left="1094" w:hanging="547"/>
        <w:jc w:val="both"/>
        <w:rPr>
          <w:rFonts w:ascii="Cambria" w:hAnsi="Cambria"/>
          <w:sz w:val="20"/>
          <w:szCs w:val="20"/>
        </w:rPr>
      </w:pPr>
      <w:r>
        <w:rPr>
          <w:rFonts w:ascii="Cambria" w:hAnsi="Cambria"/>
          <w:sz w:val="20"/>
        </w:rPr>
        <w:t xml:space="preserve">Acelerar el proceso de la Junta de Revisión Periódica y liberar inmediatamente a todos los detenidos que no serán acusados ni juzgados. </w:t>
      </w:r>
    </w:p>
    <w:p w:rsidR="00F90639" w:rsidRPr="00FC2F1B" w:rsidRDefault="00F90639" w:rsidP="00F90639">
      <w:pPr>
        <w:ind w:left="1440"/>
        <w:jc w:val="both"/>
        <w:rPr>
          <w:rFonts w:ascii="Cambria" w:hAnsi="Cambria"/>
          <w:sz w:val="20"/>
          <w:szCs w:val="20"/>
        </w:rPr>
      </w:pPr>
    </w:p>
    <w:p w:rsidR="00F90639" w:rsidRPr="00FC2F1B" w:rsidRDefault="00F90639" w:rsidP="00D544D0">
      <w:pPr>
        <w:numPr>
          <w:ilvl w:val="0"/>
          <w:numId w:val="10"/>
        </w:numPr>
        <w:ind w:left="1094" w:hanging="547"/>
        <w:jc w:val="both"/>
        <w:rPr>
          <w:rFonts w:ascii="Cambria" w:hAnsi="Cambria"/>
          <w:sz w:val="20"/>
          <w:szCs w:val="20"/>
        </w:rPr>
      </w:pPr>
      <w:r>
        <w:rPr>
          <w:rFonts w:ascii="Cambria" w:hAnsi="Cambria"/>
          <w:sz w:val="20"/>
        </w:rPr>
        <w:lastRenderedPageBreak/>
        <w:t xml:space="preserve">Acelerar los traslados de detenidos a sus países de origen, o a terceros países cuando su derecho a la vida o a la libertad personal corran peligro, de conformidad con el principio de </w:t>
      </w:r>
      <w:r>
        <w:rPr>
          <w:rFonts w:ascii="Cambria" w:hAnsi="Cambria"/>
          <w:i/>
          <w:sz w:val="20"/>
        </w:rPr>
        <w:t>non-</w:t>
      </w:r>
      <w:proofErr w:type="spellStart"/>
      <w:r>
        <w:rPr>
          <w:rFonts w:ascii="Cambria" w:hAnsi="Cambria"/>
          <w:i/>
          <w:sz w:val="20"/>
        </w:rPr>
        <w:t>refoulement</w:t>
      </w:r>
      <w:proofErr w:type="spellEnd"/>
      <w:r>
        <w:rPr>
          <w:rFonts w:ascii="Cambria" w:hAnsi="Cambria"/>
          <w:sz w:val="20"/>
        </w:rPr>
        <w:t xml:space="preserve">, así como abstenerse de confiar en las garantías diplomáticas en casos de riesgo de persecución.  </w:t>
      </w:r>
    </w:p>
    <w:p w:rsidR="00F90639" w:rsidRPr="00FC2F1B" w:rsidRDefault="00F90639" w:rsidP="00F90639">
      <w:pPr>
        <w:ind w:left="1440"/>
        <w:jc w:val="both"/>
        <w:rPr>
          <w:rFonts w:ascii="Cambria" w:hAnsi="Cambria"/>
          <w:sz w:val="20"/>
          <w:szCs w:val="20"/>
        </w:rPr>
      </w:pPr>
    </w:p>
    <w:p w:rsidR="00F90639" w:rsidRPr="00FC2F1B" w:rsidRDefault="00F90639" w:rsidP="00D544D0">
      <w:pPr>
        <w:numPr>
          <w:ilvl w:val="0"/>
          <w:numId w:val="10"/>
        </w:numPr>
        <w:ind w:left="1094" w:hanging="547"/>
        <w:jc w:val="both"/>
        <w:rPr>
          <w:rFonts w:ascii="Cambria" w:hAnsi="Cambria"/>
          <w:sz w:val="20"/>
          <w:szCs w:val="20"/>
        </w:rPr>
      </w:pPr>
      <w:r>
        <w:rPr>
          <w:rFonts w:ascii="Cambria" w:hAnsi="Cambria"/>
          <w:sz w:val="20"/>
        </w:rPr>
        <w:t xml:space="preserve">Revisar la situación de los detenidos de Yemen sobre la base de una evaluación individual caso a caso. </w:t>
      </w:r>
    </w:p>
    <w:p w:rsidR="00F90639" w:rsidRPr="00FC2F1B" w:rsidRDefault="00F90639" w:rsidP="00F90639">
      <w:pPr>
        <w:ind w:left="1440"/>
        <w:jc w:val="both"/>
        <w:rPr>
          <w:rFonts w:ascii="Cambria" w:hAnsi="Cambria"/>
          <w:sz w:val="20"/>
          <w:szCs w:val="20"/>
        </w:rPr>
      </w:pPr>
    </w:p>
    <w:p w:rsidR="00F90639" w:rsidRPr="00FC2F1B" w:rsidRDefault="00F90639" w:rsidP="00D544D0">
      <w:pPr>
        <w:numPr>
          <w:ilvl w:val="0"/>
          <w:numId w:val="10"/>
        </w:numPr>
        <w:ind w:left="1094" w:hanging="547"/>
        <w:jc w:val="both"/>
        <w:rPr>
          <w:rFonts w:ascii="Cambria" w:hAnsi="Cambria"/>
          <w:sz w:val="20"/>
          <w:szCs w:val="20"/>
        </w:rPr>
      </w:pPr>
      <w:r>
        <w:rPr>
          <w:rFonts w:ascii="Cambria" w:hAnsi="Cambria"/>
          <w:sz w:val="20"/>
        </w:rPr>
        <w:t xml:space="preserve">Trasladar a Estados Unidos a los detenidos que están siendo procesados para que sean juzgados ante cortes federales. </w:t>
      </w:r>
    </w:p>
    <w:p w:rsidR="00F90639" w:rsidRPr="00FC2F1B" w:rsidRDefault="00F90639" w:rsidP="00F90639">
      <w:pPr>
        <w:ind w:left="1440"/>
        <w:jc w:val="both"/>
        <w:rPr>
          <w:rFonts w:ascii="Cambria" w:hAnsi="Cambria"/>
          <w:sz w:val="20"/>
          <w:szCs w:val="20"/>
        </w:rPr>
      </w:pPr>
    </w:p>
    <w:p w:rsidR="00F90639" w:rsidRPr="00FC2F1B" w:rsidRDefault="00F90639" w:rsidP="00D544D0">
      <w:pPr>
        <w:numPr>
          <w:ilvl w:val="0"/>
          <w:numId w:val="10"/>
        </w:numPr>
        <w:ind w:left="1094" w:hanging="547"/>
        <w:jc w:val="both"/>
        <w:rPr>
          <w:rFonts w:ascii="Cambria" w:hAnsi="Cambria"/>
          <w:sz w:val="20"/>
          <w:szCs w:val="20"/>
        </w:rPr>
      </w:pPr>
      <w:r>
        <w:rPr>
          <w:rFonts w:ascii="Cambria" w:hAnsi="Cambria"/>
          <w:sz w:val="20"/>
        </w:rPr>
        <w:t>Trasladar a prisiones federales a los detenidos que han sido condenados para que cumplan el resto de sus condenas.</w:t>
      </w:r>
    </w:p>
    <w:p w:rsidR="00F90639" w:rsidRPr="00FC2F1B" w:rsidRDefault="00F90639" w:rsidP="00F90639">
      <w:pPr>
        <w:ind w:firstLine="720"/>
        <w:jc w:val="both"/>
        <w:rPr>
          <w:rFonts w:ascii="Cambria" w:hAnsi="Cambria"/>
          <w:sz w:val="20"/>
          <w:szCs w:val="20"/>
        </w:rPr>
      </w:pPr>
    </w:p>
    <w:p w:rsidR="00F90639" w:rsidRPr="00FC2F1B" w:rsidRDefault="00F90639" w:rsidP="00724CD2">
      <w:pPr>
        <w:numPr>
          <w:ilvl w:val="0"/>
          <w:numId w:val="5"/>
        </w:numPr>
        <w:ind w:left="547" w:hanging="547"/>
        <w:jc w:val="both"/>
        <w:rPr>
          <w:rFonts w:ascii="Cambria" w:hAnsi="Cambria"/>
          <w:sz w:val="20"/>
          <w:szCs w:val="20"/>
        </w:rPr>
      </w:pPr>
      <w:r>
        <w:rPr>
          <w:rFonts w:ascii="Cambria" w:hAnsi="Cambria"/>
          <w:sz w:val="20"/>
        </w:rPr>
        <w:t>La Comisión Interamericana reitera además su llamado a los Estados Miembros de la OEA para que consideren recibir a detenidos de Guantánamo en un esfuerzo por cumplir el objetivo de cerrar el centro de detención y reafirmar la generosa tradición de asilo y protección de refugiados en la región</w:t>
      </w:r>
      <w:r>
        <w:rPr>
          <w:vertAlign w:val="superscript"/>
        </w:rPr>
        <w:footnoteReference w:id="400"/>
      </w:r>
      <w:r>
        <w:rPr>
          <w:rFonts w:ascii="Cambria" w:hAnsi="Cambria"/>
          <w:sz w:val="20"/>
          <w:vertAlign w:val="superscript"/>
        </w:rPr>
        <w:t>.</w:t>
      </w:r>
      <w:r>
        <w:rPr>
          <w:rFonts w:ascii="Cambria" w:hAnsi="Cambria"/>
          <w:sz w:val="20"/>
        </w:rPr>
        <w:t xml:space="preserve"> </w:t>
      </w:r>
    </w:p>
    <w:p w:rsidR="00370CF8" w:rsidRPr="00FC2F1B" w:rsidRDefault="00370CF8" w:rsidP="00F90639">
      <w:pPr>
        <w:jc w:val="center"/>
        <w:rPr>
          <w:rFonts w:ascii="Cambria" w:hAnsi="Cambria"/>
          <w:sz w:val="20"/>
          <w:szCs w:val="20"/>
        </w:rPr>
      </w:pPr>
    </w:p>
    <w:sectPr w:rsidR="00370CF8" w:rsidRPr="00FC2F1B" w:rsidSect="00DA3A14">
      <w:headerReference w:type="default" r:id="rId43"/>
      <w:footerReference w:type="default" r:id="rId44"/>
      <w:type w:val="oddPage"/>
      <w:pgSz w:w="10325" w:h="14573" w:code="13"/>
      <w:pgMar w:top="1152" w:right="1152" w:bottom="1152" w:left="1440" w:header="720" w:footer="720" w:gutter="0"/>
      <w:cols w:space="720"/>
      <w:vAlign w:val="cen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021" w:rsidRDefault="00CD7021">
      <w:r>
        <w:separator/>
      </w:r>
    </w:p>
  </w:endnote>
  <w:endnote w:type="continuationSeparator" w:id="0">
    <w:p w:rsidR="00CD7021" w:rsidRDefault="00CD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Univers">
    <w:altName w:val="Arial"/>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0B" w:rsidRDefault="00AF130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0B" w:rsidRPr="00DB24DC" w:rsidRDefault="00AF130B" w:rsidP="00F010D6">
    <w:pPr>
      <w:pStyle w:val="Footer"/>
      <w:jc w:val="right"/>
      <w:rPr>
        <w:rFonts w:ascii="Calibri" w:hAnsi="Calibri"/>
        <w:color w:val="4A442A"/>
        <w:sz w:val="14"/>
        <w:szCs w:val="14"/>
      </w:rPr>
    </w:pPr>
  </w:p>
  <w:p w:rsidR="00AF130B" w:rsidRPr="00DB24DC" w:rsidRDefault="00AF130B" w:rsidP="00F010D6">
    <w:pPr>
      <w:pStyle w:val="Footer"/>
      <w:jc w:val="right"/>
      <w:rPr>
        <w:rFonts w:ascii="Calibri" w:hAnsi="Calibri"/>
        <w:color w:val="4A442A"/>
        <w:sz w:val="14"/>
        <w:szCs w:val="14"/>
      </w:rPr>
    </w:pPr>
  </w:p>
  <w:p w:rsidR="00AF130B" w:rsidRPr="00DB24DC" w:rsidRDefault="00AF130B" w:rsidP="00F010D6">
    <w:pPr>
      <w:pStyle w:val="Footer"/>
      <w:jc w:val="right"/>
      <w:rPr>
        <w:rFonts w:ascii="Calibri" w:hAnsi="Calibri"/>
        <w:color w:val="4A442A"/>
        <w:sz w:val="14"/>
        <w:szCs w:val="14"/>
      </w:rPr>
    </w:pPr>
  </w:p>
  <w:p w:rsidR="00AF130B" w:rsidRPr="00DB24DC" w:rsidRDefault="00AF130B" w:rsidP="00F010D6">
    <w:pPr>
      <w:pStyle w:val="Footer"/>
      <w:jc w:val="right"/>
      <w:rPr>
        <w:rFonts w:ascii="Calibri" w:hAnsi="Calibri"/>
        <w:color w:val="4A442A"/>
        <w:sz w:val="14"/>
        <w:szCs w:val="14"/>
      </w:rPr>
    </w:pPr>
    <w:r w:rsidRPr="00DB24DC">
      <w:rPr>
        <w:rFonts w:ascii="Calibri" w:hAnsi="Calibri"/>
        <w:color w:val="4A442A"/>
        <w:sz w:val="14"/>
        <w:szCs w:val="14"/>
      </w:rPr>
      <w:t xml:space="preserve">Comisión Interamericana de Derechos Humanos  | </w:t>
    </w:r>
    <w:r w:rsidRPr="00DB24DC">
      <w:rPr>
        <w:rFonts w:ascii="Calibri" w:hAnsi="Calibri"/>
        <w:b/>
        <w:color w:val="4A442A"/>
        <w:sz w:val="14"/>
        <w:szCs w:val="14"/>
      </w:rPr>
      <w:t>CIDH</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0B" w:rsidRPr="008B2EEC" w:rsidRDefault="00AF130B" w:rsidP="008B2EEC">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0B" w:rsidRPr="00DB24DC" w:rsidRDefault="00AF130B" w:rsidP="00370CF8">
    <w:pPr>
      <w:pStyle w:val="Footer"/>
      <w:jc w:val="right"/>
      <w:rPr>
        <w:rFonts w:ascii="Calibri" w:hAnsi="Calibri"/>
        <w:color w:val="4A442A"/>
        <w:sz w:val="14"/>
        <w:szCs w:val="14"/>
      </w:rPr>
    </w:pPr>
  </w:p>
  <w:p w:rsidR="00AF130B" w:rsidRPr="00DB24DC" w:rsidRDefault="00AF130B" w:rsidP="00370CF8">
    <w:pPr>
      <w:pStyle w:val="Footer"/>
      <w:jc w:val="right"/>
      <w:rPr>
        <w:rFonts w:ascii="Calibri" w:hAnsi="Calibri"/>
        <w:color w:val="4A442A"/>
        <w:sz w:val="14"/>
        <w:szCs w:val="14"/>
      </w:rPr>
    </w:pPr>
  </w:p>
  <w:p w:rsidR="00AF130B" w:rsidRPr="00DB24DC" w:rsidRDefault="00AF130B" w:rsidP="00370CF8">
    <w:pPr>
      <w:pStyle w:val="Footer"/>
      <w:jc w:val="right"/>
      <w:rPr>
        <w:rFonts w:ascii="Calibri" w:hAnsi="Calibri"/>
        <w:color w:val="4A442A"/>
        <w:sz w:val="14"/>
        <w:szCs w:val="14"/>
      </w:rPr>
    </w:pPr>
  </w:p>
  <w:p w:rsidR="00AF130B" w:rsidRPr="00DB24DC" w:rsidRDefault="00AF130B" w:rsidP="00370CF8">
    <w:pPr>
      <w:pStyle w:val="Footer"/>
      <w:jc w:val="right"/>
      <w:rPr>
        <w:rFonts w:ascii="Calibri" w:hAnsi="Calibri"/>
        <w:color w:val="4A442A"/>
        <w:sz w:val="14"/>
        <w:szCs w:val="14"/>
      </w:rPr>
    </w:pPr>
    <w:r w:rsidRPr="00DB24DC">
      <w:rPr>
        <w:rFonts w:ascii="Calibri" w:hAnsi="Calibri"/>
        <w:color w:val="4A442A"/>
        <w:sz w:val="14"/>
        <w:szCs w:val="14"/>
      </w:rPr>
      <w:t xml:space="preserve">Comisión Interamericana de Derechos Humanos  | </w:t>
    </w:r>
    <w:r w:rsidRPr="00DB24DC">
      <w:rPr>
        <w:rFonts w:ascii="Calibri" w:hAnsi="Calibri"/>
        <w:b/>
        <w:color w:val="4A442A"/>
        <w:sz w:val="14"/>
        <w:szCs w:val="14"/>
      </w:rPr>
      <w:t>CIDH</w:t>
    </w:r>
    <w:r w:rsidRPr="00DB24DC">
      <w:rPr>
        <w:rFonts w:ascii="Calibri" w:hAnsi="Calibri"/>
        <w:color w:val="4A442A"/>
        <w:sz w:val="14"/>
        <w:szCs w:val="14"/>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0B" w:rsidRPr="00CC4100" w:rsidRDefault="00AF130B" w:rsidP="00CC4100">
    <w:pPr>
      <w:pStyle w:val="Footer"/>
    </w:pPr>
    <w:r w:rsidRPr="00CC4100">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0B" w:rsidRPr="00DB24DC" w:rsidRDefault="00AF130B" w:rsidP="00CC4100">
    <w:pPr>
      <w:pStyle w:val="Footer"/>
      <w:jc w:val="right"/>
      <w:rPr>
        <w:rFonts w:ascii="Calibri" w:hAnsi="Calibri"/>
        <w:color w:val="4A442A"/>
        <w:sz w:val="14"/>
        <w:szCs w:val="14"/>
      </w:rPr>
    </w:pPr>
  </w:p>
  <w:p w:rsidR="00AF130B" w:rsidRPr="00DB24DC" w:rsidRDefault="00AF130B" w:rsidP="00CC4100">
    <w:pPr>
      <w:pStyle w:val="Footer"/>
      <w:jc w:val="right"/>
      <w:rPr>
        <w:rFonts w:ascii="Calibri" w:hAnsi="Calibri"/>
        <w:color w:val="4A442A"/>
        <w:sz w:val="14"/>
        <w:szCs w:val="14"/>
      </w:rPr>
    </w:pPr>
  </w:p>
  <w:p w:rsidR="00AF130B" w:rsidRPr="00DB24DC" w:rsidRDefault="00AF130B" w:rsidP="00CC4100">
    <w:pPr>
      <w:pStyle w:val="Footer"/>
      <w:jc w:val="right"/>
      <w:rPr>
        <w:rFonts w:ascii="Calibri" w:hAnsi="Calibri"/>
        <w:color w:val="4A442A"/>
        <w:sz w:val="14"/>
        <w:szCs w:val="14"/>
      </w:rPr>
    </w:pPr>
  </w:p>
  <w:p w:rsidR="00AF130B" w:rsidRPr="00CC4100" w:rsidRDefault="00AF130B" w:rsidP="00CC4100">
    <w:pPr>
      <w:pStyle w:val="Footer"/>
      <w:jc w:val="right"/>
    </w:pPr>
    <w:r w:rsidRPr="00DB24DC">
      <w:rPr>
        <w:rFonts w:ascii="Calibri" w:hAnsi="Calibri"/>
        <w:color w:val="4A442A"/>
        <w:sz w:val="14"/>
        <w:szCs w:val="14"/>
      </w:rPr>
      <w:t xml:space="preserve">Comisión Interamericana de Derechos Humanos  | </w:t>
    </w:r>
    <w:r w:rsidRPr="00DB24DC">
      <w:rPr>
        <w:rFonts w:ascii="Calibri" w:hAnsi="Calibri"/>
        <w:b/>
        <w:color w:val="4A442A"/>
        <w:sz w:val="14"/>
        <w:szCs w:val="14"/>
      </w:rPr>
      <w:t>CIDH</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0B" w:rsidRPr="00F90639" w:rsidRDefault="00AF130B" w:rsidP="00F90639">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0B" w:rsidRDefault="00AF130B" w:rsidP="008A7057">
    <w:pPr>
      <w:pStyle w:val="Footer"/>
      <w:jc w:val="right"/>
      <w:rPr>
        <w:rFonts w:ascii="Calibri" w:hAnsi="Calibri"/>
        <w:color w:val="4A442A"/>
        <w:sz w:val="14"/>
        <w:szCs w:val="14"/>
      </w:rPr>
    </w:pPr>
  </w:p>
  <w:p w:rsidR="00AF130B" w:rsidRPr="00DB24DC" w:rsidRDefault="00AF130B" w:rsidP="008A7057">
    <w:pPr>
      <w:pStyle w:val="Footer"/>
      <w:jc w:val="right"/>
      <w:rPr>
        <w:rFonts w:ascii="Calibri" w:hAnsi="Calibri"/>
        <w:color w:val="4A442A"/>
        <w:sz w:val="14"/>
        <w:szCs w:val="14"/>
      </w:rPr>
    </w:pPr>
  </w:p>
  <w:p w:rsidR="00AF130B" w:rsidRPr="00DB24DC" w:rsidRDefault="00AF130B" w:rsidP="008A7057">
    <w:pPr>
      <w:pStyle w:val="Footer"/>
      <w:jc w:val="right"/>
      <w:rPr>
        <w:rFonts w:ascii="Calibri" w:hAnsi="Calibri"/>
        <w:color w:val="4A442A"/>
        <w:sz w:val="14"/>
        <w:szCs w:val="14"/>
      </w:rPr>
    </w:pPr>
  </w:p>
  <w:p w:rsidR="00AF130B" w:rsidRPr="00DB24DC" w:rsidRDefault="00AF130B" w:rsidP="008A7057">
    <w:pPr>
      <w:pStyle w:val="Footer"/>
      <w:jc w:val="right"/>
      <w:rPr>
        <w:rFonts w:ascii="Calibri" w:hAnsi="Calibri"/>
        <w:color w:val="4A442A"/>
        <w:sz w:val="14"/>
        <w:szCs w:val="14"/>
      </w:rPr>
    </w:pPr>
    <w:r w:rsidRPr="00DB24DC">
      <w:rPr>
        <w:rFonts w:ascii="Calibri" w:hAnsi="Calibri"/>
        <w:color w:val="4A442A"/>
        <w:sz w:val="14"/>
        <w:szCs w:val="14"/>
      </w:rPr>
      <w:t xml:space="preserve">Comisión Interamericana de Derechos Humanos  | </w:t>
    </w:r>
    <w:r w:rsidRPr="00DB24DC">
      <w:rPr>
        <w:rFonts w:ascii="Calibri" w:hAnsi="Calibri"/>
        <w:b/>
        <w:color w:val="4A442A"/>
        <w:sz w:val="14"/>
        <w:szCs w:val="14"/>
      </w:rPr>
      <w:t>CIDH</w:t>
    </w:r>
    <w:r w:rsidRPr="00DB24DC">
      <w:rPr>
        <w:rFonts w:ascii="Calibri" w:hAnsi="Calibri"/>
        <w:color w:val="4A442A"/>
        <w:sz w:val="14"/>
        <w:szCs w:val="1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0B" w:rsidRPr="006B3828" w:rsidRDefault="00AF130B" w:rsidP="006B38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0B" w:rsidRPr="00DB24DC" w:rsidRDefault="00AF130B" w:rsidP="00CC4100">
    <w:pPr>
      <w:pStyle w:val="Footer"/>
      <w:rPr>
        <w:rFonts w:ascii="Calibri" w:hAnsi="Calibri"/>
        <w:color w:val="4A442A"/>
        <w:sz w:val="14"/>
        <w:szCs w:val="14"/>
      </w:rPr>
    </w:pPr>
  </w:p>
  <w:p w:rsidR="00AF130B" w:rsidRPr="00DB24DC" w:rsidRDefault="00AF130B" w:rsidP="00CC4100">
    <w:pPr>
      <w:pStyle w:val="Footer"/>
      <w:rPr>
        <w:rFonts w:ascii="Calibri" w:hAnsi="Calibri"/>
        <w:color w:val="4A442A"/>
        <w:sz w:val="14"/>
        <w:szCs w:val="14"/>
      </w:rPr>
    </w:pPr>
  </w:p>
  <w:p w:rsidR="00AF130B" w:rsidRPr="00DB24DC" w:rsidRDefault="00AF130B" w:rsidP="00CC4100">
    <w:pPr>
      <w:pStyle w:val="Footer"/>
      <w:rPr>
        <w:rFonts w:ascii="Calibri" w:hAnsi="Calibri"/>
        <w:color w:val="4A442A"/>
        <w:sz w:val="14"/>
        <w:szCs w:val="14"/>
      </w:rPr>
    </w:pPr>
  </w:p>
  <w:p w:rsidR="00AF130B" w:rsidRPr="00DB24DC" w:rsidRDefault="00AF130B" w:rsidP="00CC4100">
    <w:pPr>
      <w:pStyle w:val="Footer"/>
      <w:rPr>
        <w:rFonts w:ascii="Calibri" w:hAnsi="Calibri"/>
        <w:color w:val="4A442A"/>
        <w:sz w:val="14"/>
        <w:szCs w:val="14"/>
      </w:rPr>
    </w:pPr>
    <w:r w:rsidRPr="00DB24DC">
      <w:rPr>
        <w:rFonts w:ascii="Calibri" w:hAnsi="Calibri"/>
        <w:color w:val="4A442A"/>
        <w:sz w:val="14"/>
        <w:szCs w:val="14"/>
      </w:rPr>
      <w:t xml:space="preserve">Organización de los Estados Americanos  |  </w:t>
    </w:r>
    <w:r w:rsidRPr="00DB24DC">
      <w:rPr>
        <w:rFonts w:ascii="Calibri" w:hAnsi="Calibri"/>
        <w:b/>
        <w:color w:val="4A442A"/>
        <w:sz w:val="14"/>
        <w:szCs w:val="14"/>
      </w:rPr>
      <w:t>OEA</w:t>
    </w:r>
    <w:r w:rsidRPr="00DB24DC">
      <w:rPr>
        <w:rFonts w:ascii="Calibri" w:hAnsi="Calibri"/>
        <w:color w:val="4A442A"/>
        <w:sz w:val="14"/>
        <w:szCs w:val="1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0B" w:rsidRPr="00DB24DC" w:rsidRDefault="00AF130B" w:rsidP="002A0750">
    <w:pPr>
      <w:pStyle w:val="Footer"/>
      <w:jc w:val="right"/>
      <w:rPr>
        <w:rFonts w:ascii="Calibri" w:hAnsi="Calibri"/>
        <w:color w:val="4A442A"/>
        <w:sz w:val="14"/>
        <w:szCs w:val="14"/>
      </w:rPr>
    </w:pPr>
  </w:p>
  <w:p w:rsidR="00AF130B" w:rsidRPr="00DB24DC" w:rsidRDefault="00AF130B" w:rsidP="002A0750">
    <w:pPr>
      <w:pStyle w:val="Footer"/>
      <w:jc w:val="right"/>
      <w:rPr>
        <w:rFonts w:ascii="Calibri" w:hAnsi="Calibri"/>
        <w:color w:val="4A442A"/>
        <w:sz w:val="14"/>
        <w:szCs w:val="14"/>
      </w:rPr>
    </w:pPr>
  </w:p>
  <w:p w:rsidR="00AF130B" w:rsidRPr="00DB24DC" w:rsidRDefault="00AF130B" w:rsidP="002A0750">
    <w:pPr>
      <w:pStyle w:val="Footer"/>
      <w:jc w:val="right"/>
      <w:rPr>
        <w:rFonts w:ascii="Calibri" w:hAnsi="Calibri"/>
        <w:color w:val="4A442A"/>
        <w:sz w:val="14"/>
        <w:szCs w:val="14"/>
      </w:rPr>
    </w:pPr>
  </w:p>
  <w:p w:rsidR="00AF130B" w:rsidRPr="00DB24DC" w:rsidRDefault="00AF130B" w:rsidP="002A0750">
    <w:pPr>
      <w:pStyle w:val="Footer"/>
      <w:jc w:val="right"/>
      <w:rPr>
        <w:rFonts w:ascii="Calibri" w:hAnsi="Calibri"/>
        <w:color w:val="4A442A"/>
        <w:sz w:val="14"/>
        <w:szCs w:val="14"/>
      </w:rPr>
    </w:pPr>
    <w:r w:rsidRPr="00DB24DC">
      <w:rPr>
        <w:rFonts w:ascii="Calibri" w:hAnsi="Calibri"/>
        <w:color w:val="4A442A"/>
        <w:sz w:val="14"/>
        <w:szCs w:val="14"/>
      </w:rPr>
      <w:t xml:space="preserve">Comisión Interamericana de Derechos Humanos  | </w:t>
    </w:r>
    <w:r w:rsidRPr="00DB24DC">
      <w:rPr>
        <w:rFonts w:ascii="Calibri" w:hAnsi="Calibri"/>
        <w:b/>
        <w:color w:val="4A442A"/>
        <w:sz w:val="14"/>
        <w:szCs w:val="14"/>
      </w:rPr>
      <w:t>CIDH</w:t>
    </w:r>
    <w:r w:rsidRPr="00DB24DC">
      <w:rPr>
        <w:rFonts w:ascii="Calibri" w:hAnsi="Calibri"/>
        <w:color w:val="4A442A"/>
        <w:sz w:val="14"/>
        <w:szCs w:val="1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0B" w:rsidRPr="00CB7C09" w:rsidRDefault="00AF130B" w:rsidP="00CB7C0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0B" w:rsidRPr="00DB24DC" w:rsidRDefault="00AF130B" w:rsidP="002A0750">
    <w:pPr>
      <w:pStyle w:val="Footer"/>
      <w:jc w:val="right"/>
      <w:rPr>
        <w:rFonts w:ascii="Calibri" w:hAnsi="Calibri"/>
        <w:color w:val="4A442A"/>
        <w:sz w:val="14"/>
        <w:szCs w:val="14"/>
      </w:rPr>
    </w:pPr>
  </w:p>
  <w:p w:rsidR="00AF130B" w:rsidRPr="00DB24DC" w:rsidRDefault="00AF130B" w:rsidP="002A0750">
    <w:pPr>
      <w:pStyle w:val="Footer"/>
      <w:jc w:val="right"/>
      <w:rPr>
        <w:rFonts w:ascii="Calibri" w:hAnsi="Calibri"/>
        <w:color w:val="4A442A"/>
        <w:sz w:val="14"/>
        <w:szCs w:val="14"/>
      </w:rPr>
    </w:pPr>
  </w:p>
  <w:p w:rsidR="00AF130B" w:rsidRPr="00DB24DC" w:rsidRDefault="00AF130B" w:rsidP="002A0750">
    <w:pPr>
      <w:pStyle w:val="Footer"/>
      <w:jc w:val="right"/>
      <w:rPr>
        <w:rFonts w:ascii="Calibri" w:hAnsi="Calibri"/>
        <w:color w:val="4A442A"/>
        <w:sz w:val="14"/>
        <w:szCs w:val="14"/>
      </w:rPr>
    </w:pPr>
  </w:p>
  <w:p w:rsidR="00AF130B" w:rsidRPr="00DB24DC" w:rsidRDefault="00AF130B" w:rsidP="002A0750">
    <w:pPr>
      <w:pStyle w:val="Footer"/>
      <w:jc w:val="right"/>
      <w:rPr>
        <w:rFonts w:ascii="Calibri" w:hAnsi="Calibri"/>
        <w:color w:val="4A442A"/>
        <w:sz w:val="14"/>
        <w:szCs w:val="14"/>
      </w:rPr>
    </w:pPr>
    <w:r w:rsidRPr="00DB24DC">
      <w:rPr>
        <w:rFonts w:ascii="Calibri" w:hAnsi="Calibri"/>
        <w:color w:val="4A442A"/>
        <w:sz w:val="14"/>
        <w:szCs w:val="14"/>
      </w:rPr>
      <w:t xml:space="preserve">Comisión Interamericana de Derechos Humanos  | </w:t>
    </w:r>
    <w:r w:rsidRPr="00DB24DC">
      <w:rPr>
        <w:rFonts w:ascii="Calibri" w:hAnsi="Calibri"/>
        <w:b/>
        <w:color w:val="4A442A"/>
        <w:sz w:val="14"/>
        <w:szCs w:val="14"/>
      </w:rPr>
      <w:t>CIDH</w:t>
    </w:r>
    <w:r w:rsidRPr="00DB24DC">
      <w:rPr>
        <w:rFonts w:ascii="Calibri" w:hAnsi="Calibri"/>
        <w:color w:val="4A442A"/>
        <w:sz w:val="14"/>
        <w:szCs w:val="14"/>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0B" w:rsidRPr="00C12992" w:rsidRDefault="00AF130B" w:rsidP="00C12992">
    <w:pPr>
      <w:pStyle w:val="Footer"/>
      <w:jc w:val="righ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0B" w:rsidRPr="00DB24DC" w:rsidRDefault="00AF130B" w:rsidP="00C12992">
    <w:pPr>
      <w:pStyle w:val="Footer"/>
      <w:jc w:val="right"/>
      <w:rPr>
        <w:rFonts w:ascii="Calibri" w:hAnsi="Calibri"/>
        <w:color w:val="4A442A"/>
        <w:sz w:val="14"/>
        <w:szCs w:val="14"/>
      </w:rPr>
    </w:pPr>
  </w:p>
  <w:p w:rsidR="00AF130B" w:rsidRPr="00DB24DC" w:rsidRDefault="00AF130B" w:rsidP="00C12992">
    <w:pPr>
      <w:pStyle w:val="Footer"/>
      <w:jc w:val="right"/>
      <w:rPr>
        <w:rFonts w:ascii="Calibri" w:hAnsi="Calibri"/>
        <w:color w:val="4A442A"/>
        <w:sz w:val="14"/>
        <w:szCs w:val="14"/>
      </w:rPr>
    </w:pPr>
  </w:p>
  <w:p w:rsidR="00AF130B" w:rsidRPr="00DB24DC" w:rsidRDefault="00AF130B" w:rsidP="00C12992">
    <w:pPr>
      <w:pStyle w:val="Footer"/>
      <w:jc w:val="right"/>
      <w:rPr>
        <w:rFonts w:ascii="Calibri" w:hAnsi="Calibri"/>
        <w:color w:val="4A442A"/>
        <w:sz w:val="14"/>
        <w:szCs w:val="14"/>
      </w:rPr>
    </w:pPr>
  </w:p>
  <w:p w:rsidR="00AF130B" w:rsidRPr="00DB24DC" w:rsidRDefault="00AF130B" w:rsidP="00C12992">
    <w:pPr>
      <w:pStyle w:val="Footer"/>
      <w:jc w:val="right"/>
      <w:rPr>
        <w:rFonts w:ascii="Calibri" w:hAnsi="Calibri"/>
        <w:color w:val="4A442A"/>
        <w:sz w:val="14"/>
        <w:szCs w:val="14"/>
      </w:rPr>
    </w:pPr>
    <w:r w:rsidRPr="00DB24DC">
      <w:rPr>
        <w:rFonts w:ascii="Calibri" w:hAnsi="Calibri"/>
        <w:color w:val="4A442A"/>
        <w:sz w:val="14"/>
        <w:szCs w:val="14"/>
      </w:rPr>
      <w:t xml:space="preserve">Comisión Interamericana de Derechos Humanos  | </w:t>
    </w:r>
    <w:r w:rsidRPr="00DB24DC">
      <w:rPr>
        <w:rFonts w:ascii="Calibri" w:hAnsi="Calibri"/>
        <w:b/>
        <w:color w:val="4A442A"/>
        <w:sz w:val="14"/>
        <w:szCs w:val="14"/>
      </w:rPr>
      <w:t>CIDH</w:t>
    </w:r>
    <w:r w:rsidRPr="00DB24DC">
      <w:rPr>
        <w:rFonts w:ascii="Calibri" w:hAnsi="Calibri"/>
        <w:color w:val="4A442A"/>
        <w:sz w:val="14"/>
        <w:szCs w:val="14"/>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0B" w:rsidRPr="00F010D6" w:rsidRDefault="00AF130B" w:rsidP="00F010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021" w:rsidRPr="00B63B41" w:rsidRDefault="00CD7021" w:rsidP="00B63B41">
      <w:pPr>
        <w:rPr>
          <w:rFonts w:ascii="Calibri" w:hAnsi="Calibri"/>
          <w:color w:val="808080"/>
          <w:sz w:val="16"/>
          <w:szCs w:val="16"/>
        </w:rPr>
      </w:pPr>
      <w:r w:rsidRPr="00B63B41">
        <w:rPr>
          <w:rFonts w:ascii="Calibri" w:hAnsi="Calibri"/>
          <w:color w:val="808080"/>
          <w:sz w:val="16"/>
          <w:szCs w:val="16"/>
        </w:rPr>
        <w:continuationSeparator/>
      </w:r>
    </w:p>
    <w:p w:rsidR="00CD7021" w:rsidRPr="00B63B41" w:rsidRDefault="00CD7021" w:rsidP="00B63B41">
      <w:pPr>
        <w:pStyle w:val="Footer"/>
        <w:rPr>
          <w:sz w:val="16"/>
          <w:szCs w:val="16"/>
        </w:rPr>
      </w:pPr>
    </w:p>
  </w:footnote>
  <w:footnote w:type="continuationSeparator" w:id="0">
    <w:p w:rsidR="00CD7021" w:rsidRPr="00EB1FC4" w:rsidRDefault="00CD7021">
      <w:pPr>
        <w:rPr>
          <w:rFonts w:ascii="Calibri" w:hAnsi="Calibri"/>
          <w:color w:val="808080"/>
          <w:sz w:val="16"/>
          <w:szCs w:val="16"/>
        </w:rPr>
      </w:pPr>
      <w:r w:rsidRPr="00EB1FC4">
        <w:rPr>
          <w:rFonts w:ascii="Calibri" w:hAnsi="Calibri"/>
          <w:color w:val="808080"/>
          <w:sz w:val="16"/>
          <w:szCs w:val="16"/>
        </w:rPr>
        <w:continuationSeparator/>
      </w:r>
    </w:p>
  </w:footnote>
  <w:footnote w:id="1">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rPr>
          <w:rFonts w:asciiTheme="minorHAnsi" w:hAnsiTheme="minorHAnsi"/>
          <w:sz w:val="16"/>
        </w:rPr>
        <w:tab/>
        <w:t xml:space="preserve">CIDH, Resolución, Terrorismo y Derechos Humanos, 12 de diciembre de 2001. Disponible en: </w:t>
      </w:r>
      <w:hyperlink r:id="rId1">
        <w:r>
          <w:rPr>
            <w:rStyle w:val="Hyperlink"/>
            <w:rFonts w:asciiTheme="minorHAnsi" w:hAnsiTheme="minorHAnsi"/>
            <w:sz w:val="16"/>
          </w:rPr>
          <w:t>http://www.cidh.org/Terrorism/Span/t.htm</w:t>
        </w:r>
      </w:hyperlink>
      <w:r>
        <w:rPr>
          <w:rFonts w:asciiTheme="minorHAnsi" w:hAnsiTheme="minorHAnsi"/>
          <w:sz w:val="16"/>
        </w:rPr>
        <w:t xml:space="preserve"> </w:t>
      </w:r>
    </w:p>
  </w:footnote>
  <w:footnote w:id="2">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w:t>
      </w:r>
      <w:r>
        <w:rPr>
          <w:rFonts w:asciiTheme="minorHAnsi" w:hAnsiTheme="minorHAnsi"/>
          <w:i/>
          <w:sz w:val="16"/>
        </w:rPr>
        <w:t>Informe sobre Terrorismo y Derechos Humanos,</w:t>
      </w:r>
      <w:r>
        <w:rPr>
          <w:rFonts w:asciiTheme="minorHAnsi" w:hAnsiTheme="minorHAnsi"/>
          <w:sz w:val="16"/>
        </w:rPr>
        <w:t xml:space="preserve"> OEA/</w:t>
      </w:r>
      <w:proofErr w:type="spellStart"/>
      <w:r>
        <w:rPr>
          <w:rFonts w:asciiTheme="minorHAnsi" w:hAnsiTheme="minorHAnsi"/>
          <w:sz w:val="16"/>
        </w:rPr>
        <w:t>Ser.L</w:t>
      </w:r>
      <w:proofErr w:type="spellEnd"/>
      <w:r>
        <w:rPr>
          <w:rFonts w:asciiTheme="minorHAnsi" w:hAnsiTheme="minorHAnsi"/>
          <w:sz w:val="16"/>
        </w:rPr>
        <w:t xml:space="preserve">/V/II.116.Doc.5 rev.1, 22 de octubre de 2002. Disponible en: </w:t>
      </w:r>
      <w:hyperlink r:id="rId2">
        <w:r>
          <w:rPr>
            <w:rStyle w:val="Hyperlink"/>
            <w:rFonts w:asciiTheme="minorHAnsi" w:hAnsiTheme="minorHAnsi"/>
            <w:sz w:val="16"/>
          </w:rPr>
          <w:t>http://www.cidh.org/Terrorism/Span/indice.htm</w:t>
        </w:r>
      </w:hyperlink>
      <w:r>
        <w:rPr>
          <w:rFonts w:asciiTheme="minorHAnsi" w:hAnsiTheme="minorHAnsi"/>
          <w:sz w:val="16"/>
        </w:rPr>
        <w:t xml:space="preserve"> </w:t>
      </w:r>
    </w:p>
  </w:footnote>
  <w:footnote w:id="3">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La reunión de expertos se llevó a cabo en la sede de la CIDH en Washington, D.C., el 3 de octubre de 2013. Los participantes fueron: Profesor David D. Cole (Profesor de derecho constitucional, seguridad nacional y justicia penal del Georgetown </w:t>
      </w:r>
      <w:proofErr w:type="spellStart"/>
      <w:r>
        <w:rPr>
          <w:rFonts w:asciiTheme="minorHAnsi" w:hAnsiTheme="minorHAnsi"/>
          <w:sz w:val="16"/>
        </w:rPr>
        <w:t>University</w:t>
      </w:r>
      <w:proofErr w:type="spellEnd"/>
      <w:r>
        <w:rPr>
          <w:rFonts w:asciiTheme="minorHAnsi" w:hAnsiTheme="minorHAnsi"/>
          <w:sz w:val="16"/>
        </w:rPr>
        <w:t xml:space="preserve"> </w:t>
      </w:r>
      <w:proofErr w:type="spellStart"/>
      <w:r>
        <w:rPr>
          <w:rFonts w:asciiTheme="minorHAnsi" w:hAnsiTheme="minorHAnsi"/>
          <w:sz w:val="16"/>
        </w:rPr>
        <w:t>Law</w:t>
      </w:r>
      <w:proofErr w:type="spellEnd"/>
      <w:r>
        <w:rPr>
          <w:rFonts w:asciiTheme="minorHAnsi" w:hAnsiTheme="minorHAnsi"/>
          <w:sz w:val="16"/>
        </w:rPr>
        <w:t xml:space="preserve"> Center), J. Wells Dixon (abogado senior del Center </w:t>
      </w:r>
      <w:proofErr w:type="spellStart"/>
      <w:r>
        <w:rPr>
          <w:rFonts w:asciiTheme="minorHAnsi" w:hAnsiTheme="minorHAnsi"/>
          <w:sz w:val="16"/>
        </w:rPr>
        <w:t>for</w:t>
      </w:r>
      <w:proofErr w:type="spellEnd"/>
      <w:r>
        <w:rPr>
          <w:rFonts w:asciiTheme="minorHAnsi" w:hAnsiTheme="minorHAnsi"/>
          <w:sz w:val="16"/>
        </w:rPr>
        <w:t xml:space="preserve"> </w:t>
      </w:r>
      <w:proofErr w:type="spellStart"/>
      <w:r>
        <w:rPr>
          <w:rFonts w:asciiTheme="minorHAnsi" w:hAnsiTheme="minorHAnsi"/>
          <w:sz w:val="16"/>
        </w:rPr>
        <w:t>Constitutional</w:t>
      </w:r>
      <w:proofErr w:type="spellEnd"/>
      <w:r>
        <w:rPr>
          <w:rFonts w:asciiTheme="minorHAnsi" w:hAnsiTheme="minorHAnsi"/>
          <w:sz w:val="16"/>
        </w:rPr>
        <w:t xml:space="preserve"> </w:t>
      </w:r>
      <w:proofErr w:type="spellStart"/>
      <w:r>
        <w:rPr>
          <w:rFonts w:asciiTheme="minorHAnsi" w:hAnsiTheme="minorHAnsi"/>
          <w:sz w:val="16"/>
        </w:rPr>
        <w:t>Rights</w:t>
      </w:r>
      <w:proofErr w:type="spellEnd"/>
      <w:r>
        <w:rPr>
          <w:rFonts w:asciiTheme="minorHAnsi" w:hAnsiTheme="minorHAnsi"/>
          <w:sz w:val="16"/>
        </w:rPr>
        <w:t xml:space="preserve"> y representante de detenidos de Guantánamo ante cortes federales y ante comisiones militares), Profesor Marc </w:t>
      </w:r>
      <w:proofErr w:type="spellStart"/>
      <w:r>
        <w:rPr>
          <w:rFonts w:asciiTheme="minorHAnsi" w:hAnsiTheme="minorHAnsi"/>
          <w:sz w:val="16"/>
        </w:rPr>
        <w:t>Falkoff</w:t>
      </w:r>
      <w:proofErr w:type="spellEnd"/>
      <w:r>
        <w:rPr>
          <w:rFonts w:asciiTheme="minorHAnsi" w:hAnsiTheme="minorHAnsi"/>
          <w:sz w:val="16"/>
        </w:rPr>
        <w:t xml:space="preserve"> (Profesor Asociado de derecho penal en el </w:t>
      </w:r>
      <w:proofErr w:type="spellStart"/>
      <w:r>
        <w:rPr>
          <w:rFonts w:asciiTheme="minorHAnsi" w:hAnsiTheme="minorHAnsi"/>
          <w:sz w:val="16"/>
        </w:rPr>
        <w:t>Northern</w:t>
      </w:r>
      <w:proofErr w:type="spellEnd"/>
      <w:r>
        <w:rPr>
          <w:rFonts w:asciiTheme="minorHAnsi" w:hAnsiTheme="minorHAnsi"/>
          <w:sz w:val="16"/>
        </w:rPr>
        <w:t xml:space="preserve"> Illinois </w:t>
      </w:r>
      <w:proofErr w:type="spellStart"/>
      <w:r>
        <w:rPr>
          <w:rFonts w:asciiTheme="minorHAnsi" w:hAnsiTheme="minorHAnsi"/>
          <w:sz w:val="16"/>
        </w:rPr>
        <w:t>University</w:t>
      </w:r>
      <w:proofErr w:type="spellEnd"/>
      <w:r>
        <w:rPr>
          <w:rFonts w:asciiTheme="minorHAnsi" w:hAnsiTheme="minorHAnsi"/>
          <w:sz w:val="16"/>
        </w:rPr>
        <w:t xml:space="preserve"> </w:t>
      </w:r>
      <w:proofErr w:type="spellStart"/>
      <w:r>
        <w:rPr>
          <w:rFonts w:asciiTheme="minorHAnsi" w:hAnsiTheme="minorHAnsi"/>
          <w:sz w:val="16"/>
        </w:rPr>
        <w:t>College</w:t>
      </w:r>
      <w:proofErr w:type="spellEnd"/>
      <w:r>
        <w:rPr>
          <w:rFonts w:asciiTheme="minorHAnsi" w:hAnsiTheme="minorHAnsi"/>
          <w:sz w:val="16"/>
        </w:rPr>
        <w:t xml:space="preserve"> of </w:t>
      </w:r>
      <w:proofErr w:type="spellStart"/>
      <w:r>
        <w:rPr>
          <w:rFonts w:asciiTheme="minorHAnsi" w:hAnsiTheme="minorHAnsi"/>
          <w:sz w:val="16"/>
        </w:rPr>
        <w:t>Law</w:t>
      </w:r>
      <w:proofErr w:type="spellEnd"/>
      <w:r>
        <w:rPr>
          <w:rFonts w:asciiTheme="minorHAnsi" w:hAnsiTheme="minorHAnsi"/>
          <w:sz w:val="16"/>
        </w:rPr>
        <w:t xml:space="preserve"> y abogado principal en la representación de recursos de hábeas corpus de diecisiete prisioneros de Guantánamo), Profesor Jonathan </w:t>
      </w:r>
      <w:proofErr w:type="spellStart"/>
      <w:r>
        <w:rPr>
          <w:rFonts w:asciiTheme="minorHAnsi" w:hAnsiTheme="minorHAnsi"/>
          <w:sz w:val="16"/>
        </w:rPr>
        <w:t>Hafetz</w:t>
      </w:r>
      <w:proofErr w:type="spellEnd"/>
      <w:r>
        <w:rPr>
          <w:rFonts w:asciiTheme="minorHAnsi" w:hAnsiTheme="minorHAnsi"/>
          <w:sz w:val="16"/>
        </w:rPr>
        <w:t xml:space="preserve"> (Profesor Asociado de </w:t>
      </w:r>
      <w:proofErr w:type="spellStart"/>
      <w:r>
        <w:rPr>
          <w:rFonts w:asciiTheme="minorHAnsi" w:hAnsiTheme="minorHAnsi"/>
          <w:sz w:val="16"/>
        </w:rPr>
        <w:t>Seton</w:t>
      </w:r>
      <w:proofErr w:type="spellEnd"/>
      <w:r>
        <w:rPr>
          <w:rFonts w:asciiTheme="minorHAnsi" w:hAnsiTheme="minorHAnsi"/>
          <w:sz w:val="16"/>
        </w:rPr>
        <w:t xml:space="preserve"> Hall </w:t>
      </w:r>
      <w:proofErr w:type="spellStart"/>
      <w:r>
        <w:rPr>
          <w:rFonts w:asciiTheme="minorHAnsi" w:hAnsiTheme="minorHAnsi"/>
          <w:sz w:val="16"/>
        </w:rPr>
        <w:t>Law</w:t>
      </w:r>
      <w:proofErr w:type="spellEnd"/>
      <w:r>
        <w:rPr>
          <w:rFonts w:asciiTheme="minorHAnsi" w:hAnsiTheme="minorHAnsi"/>
          <w:sz w:val="16"/>
        </w:rPr>
        <w:t xml:space="preserve"> </w:t>
      </w:r>
      <w:proofErr w:type="spellStart"/>
      <w:r>
        <w:rPr>
          <w:rFonts w:asciiTheme="minorHAnsi" w:hAnsiTheme="minorHAnsi"/>
          <w:sz w:val="16"/>
        </w:rPr>
        <w:t>School</w:t>
      </w:r>
      <w:proofErr w:type="spellEnd"/>
      <w:r>
        <w:rPr>
          <w:rFonts w:asciiTheme="minorHAnsi" w:hAnsiTheme="minorHAnsi"/>
          <w:sz w:val="16"/>
        </w:rPr>
        <w:t xml:space="preserve"> y miembro de los equipos legales en los casos </w:t>
      </w:r>
      <w:proofErr w:type="spellStart"/>
      <w:r>
        <w:rPr>
          <w:rFonts w:asciiTheme="minorHAnsi" w:hAnsiTheme="minorHAnsi"/>
          <w:i/>
          <w:sz w:val="16"/>
        </w:rPr>
        <w:t>Boumediene</w:t>
      </w:r>
      <w:proofErr w:type="spellEnd"/>
      <w:r>
        <w:rPr>
          <w:rFonts w:asciiTheme="minorHAnsi" w:hAnsiTheme="minorHAnsi"/>
          <w:i/>
          <w:sz w:val="16"/>
        </w:rPr>
        <w:t xml:space="preserve"> v. Bush</w:t>
      </w:r>
      <w:r>
        <w:rPr>
          <w:rFonts w:asciiTheme="minorHAnsi" w:hAnsiTheme="minorHAnsi"/>
          <w:sz w:val="16"/>
        </w:rPr>
        <w:t xml:space="preserve"> y </w:t>
      </w:r>
      <w:proofErr w:type="spellStart"/>
      <w:r>
        <w:rPr>
          <w:rFonts w:asciiTheme="minorHAnsi" w:hAnsiTheme="minorHAnsi"/>
          <w:i/>
          <w:sz w:val="16"/>
        </w:rPr>
        <w:t>Rasul</w:t>
      </w:r>
      <w:proofErr w:type="spellEnd"/>
      <w:r>
        <w:rPr>
          <w:rFonts w:asciiTheme="minorHAnsi" w:hAnsiTheme="minorHAnsi"/>
          <w:i/>
          <w:sz w:val="16"/>
        </w:rPr>
        <w:t xml:space="preserve"> v. Rumsfeld</w:t>
      </w:r>
      <w:r>
        <w:rPr>
          <w:rFonts w:asciiTheme="minorHAnsi" w:hAnsiTheme="minorHAnsi"/>
          <w:sz w:val="16"/>
        </w:rPr>
        <w:t xml:space="preserve">), Stephanie </w:t>
      </w:r>
      <w:proofErr w:type="spellStart"/>
      <w:r>
        <w:rPr>
          <w:rFonts w:asciiTheme="minorHAnsi" w:hAnsiTheme="minorHAnsi"/>
          <w:sz w:val="16"/>
        </w:rPr>
        <w:t>Selg</w:t>
      </w:r>
      <w:proofErr w:type="spellEnd"/>
      <w:r>
        <w:rPr>
          <w:rFonts w:asciiTheme="minorHAnsi" w:hAnsiTheme="minorHAnsi"/>
          <w:sz w:val="16"/>
        </w:rPr>
        <w:t xml:space="preserve"> (Asistente del Relator Especial sobre la tortura y otros tratos o penas cueles, inhumanos o degradantes), Rita </w:t>
      </w:r>
      <w:proofErr w:type="spellStart"/>
      <w:r>
        <w:rPr>
          <w:rFonts w:asciiTheme="minorHAnsi" w:hAnsiTheme="minorHAnsi"/>
          <w:sz w:val="16"/>
        </w:rPr>
        <w:t>Siemion</w:t>
      </w:r>
      <w:proofErr w:type="spellEnd"/>
      <w:r>
        <w:rPr>
          <w:rFonts w:asciiTheme="minorHAnsi" w:hAnsiTheme="minorHAnsi"/>
          <w:sz w:val="16"/>
        </w:rPr>
        <w:t xml:space="preserve"> (abogada de Human </w:t>
      </w:r>
      <w:proofErr w:type="spellStart"/>
      <w:r>
        <w:rPr>
          <w:rFonts w:asciiTheme="minorHAnsi" w:hAnsiTheme="minorHAnsi"/>
          <w:sz w:val="16"/>
        </w:rPr>
        <w:t>Rights</w:t>
      </w:r>
      <w:proofErr w:type="spellEnd"/>
      <w:r>
        <w:rPr>
          <w:rFonts w:asciiTheme="minorHAnsi" w:hAnsiTheme="minorHAnsi"/>
          <w:sz w:val="16"/>
        </w:rPr>
        <w:t xml:space="preserve"> </w:t>
      </w:r>
      <w:proofErr w:type="spellStart"/>
      <w:r>
        <w:rPr>
          <w:rFonts w:asciiTheme="minorHAnsi" w:hAnsiTheme="minorHAnsi"/>
          <w:sz w:val="16"/>
        </w:rPr>
        <w:t>First</w:t>
      </w:r>
      <w:proofErr w:type="spellEnd"/>
      <w:r>
        <w:rPr>
          <w:rFonts w:asciiTheme="minorHAnsi" w:hAnsiTheme="minorHAnsi"/>
          <w:sz w:val="16"/>
        </w:rPr>
        <w:t xml:space="preserve">, asesora del Programa de Derecho y Seguridad), </w:t>
      </w:r>
      <w:proofErr w:type="spellStart"/>
      <w:r>
        <w:rPr>
          <w:rFonts w:asciiTheme="minorHAnsi" w:hAnsiTheme="minorHAnsi"/>
          <w:sz w:val="16"/>
        </w:rPr>
        <w:t>Ashika</w:t>
      </w:r>
      <w:proofErr w:type="spellEnd"/>
      <w:r>
        <w:rPr>
          <w:rFonts w:asciiTheme="minorHAnsi" w:hAnsiTheme="minorHAnsi"/>
          <w:sz w:val="16"/>
        </w:rPr>
        <w:t xml:space="preserve"> Singh (Abogada Asesora de la Oficina de Asuntos Políticos Militares, Oficina de Asesoría Legal del Departamento de Estado), </w:t>
      </w:r>
      <w:proofErr w:type="spellStart"/>
      <w:r>
        <w:rPr>
          <w:rFonts w:asciiTheme="minorHAnsi" w:hAnsiTheme="minorHAnsi"/>
          <w:sz w:val="16"/>
        </w:rPr>
        <w:t>Clifford</w:t>
      </w:r>
      <w:proofErr w:type="spellEnd"/>
      <w:r>
        <w:rPr>
          <w:rFonts w:asciiTheme="minorHAnsi" w:hAnsiTheme="minorHAnsi"/>
          <w:sz w:val="16"/>
        </w:rPr>
        <w:t xml:space="preserve"> M. </w:t>
      </w:r>
      <w:proofErr w:type="spellStart"/>
      <w:r>
        <w:rPr>
          <w:rFonts w:asciiTheme="minorHAnsi" w:hAnsiTheme="minorHAnsi"/>
          <w:sz w:val="16"/>
        </w:rPr>
        <w:t>Sloan</w:t>
      </w:r>
      <w:proofErr w:type="spellEnd"/>
      <w:r>
        <w:rPr>
          <w:rFonts w:asciiTheme="minorHAnsi" w:hAnsiTheme="minorHAnsi"/>
          <w:sz w:val="16"/>
        </w:rPr>
        <w:t xml:space="preserve"> (Enviado Especial para el Cierre de Guantánamo en el Departamento de Estado de Estados Unidos), Capitán Edward S. White (Jefe de Litigio de la Oficina del Fiscal en Jefe de las Comisiones Militares), Mayor </w:t>
      </w:r>
      <w:proofErr w:type="spellStart"/>
      <w:r>
        <w:rPr>
          <w:rFonts w:asciiTheme="minorHAnsi" w:hAnsiTheme="minorHAnsi"/>
          <w:sz w:val="16"/>
        </w:rPr>
        <w:t>Jason</w:t>
      </w:r>
      <w:proofErr w:type="spellEnd"/>
      <w:r>
        <w:rPr>
          <w:rFonts w:asciiTheme="minorHAnsi" w:hAnsiTheme="minorHAnsi"/>
          <w:sz w:val="16"/>
        </w:rPr>
        <w:t xml:space="preserve"> Wright (Oficina del Jefe de la Defensa de las Comisiones Militares) y Brigadier General (</w:t>
      </w:r>
      <w:proofErr w:type="spellStart"/>
      <w:r>
        <w:rPr>
          <w:rFonts w:asciiTheme="minorHAnsi" w:hAnsiTheme="minorHAnsi"/>
          <w:sz w:val="16"/>
        </w:rPr>
        <w:t>Ret</w:t>
      </w:r>
      <w:proofErr w:type="spellEnd"/>
      <w:r>
        <w:rPr>
          <w:rFonts w:asciiTheme="minorHAnsi" w:hAnsiTheme="minorHAnsi"/>
          <w:sz w:val="16"/>
        </w:rPr>
        <w:t xml:space="preserve">) Stephen N. </w:t>
      </w:r>
      <w:proofErr w:type="spellStart"/>
      <w:r>
        <w:rPr>
          <w:rFonts w:asciiTheme="minorHAnsi" w:hAnsiTheme="minorHAnsi"/>
          <w:sz w:val="16"/>
        </w:rPr>
        <w:t>Xenakis</w:t>
      </w:r>
      <w:proofErr w:type="spellEnd"/>
      <w:r>
        <w:rPr>
          <w:rFonts w:asciiTheme="minorHAnsi" w:hAnsiTheme="minorHAnsi"/>
          <w:sz w:val="16"/>
        </w:rPr>
        <w:t xml:space="preserve">, M.D., (funcionario retirado de los cuerpos médicos del Ejército Estadounidense y perito médico y psiquiátrico en numerosos casos relacionados con detenidos de Guantánamo). </w:t>
      </w:r>
    </w:p>
  </w:footnote>
  <w:footnote w:id="4">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Organización de los Estados Americanos, Departamento de Derecho Internacional, Carta de la Organización de los Estados Americanos, Firmas y Ratificaciones, disponible en: </w:t>
      </w:r>
      <w:hyperlink r:id="rId3">
        <w:r>
          <w:rPr>
            <w:rStyle w:val="Hyperlink"/>
            <w:rFonts w:asciiTheme="minorHAnsi" w:hAnsiTheme="minorHAnsi"/>
            <w:sz w:val="16"/>
          </w:rPr>
          <w:t>http://www.oas.org/dil/esp/tratados_A-41_Carta_de_la_Organizacion_de_los_Estados_Americanos_firmas.htm</w:t>
        </w:r>
      </w:hyperlink>
      <w:r>
        <w:rPr>
          <w:rFonts w:asciiTheme="minorHAnsi" w:hAnsiTheme="minorHAnsi"/>
          <w:sz w:val="16"/>
        </w:rPr>
        <w:t xml:space="preserve">   </w:t>
      </w:r>
    </w:p>
  </w:footnote>
  <w:footnote w:id="5">
    <w:p w:rsidR="00AF130B" w:rsidRPr="006425BA" w:rsidRDefault="00AF130B" w:rsidP="00CE3EC6">
      <w:pPr>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Véase, en general, CIDH, Informe No. 80/11, Caso 12.626, Fondo, </w:t>
      </w:r>
      <w:r>
        <w:rPr>
          <w:rFonts w:asciiTheme="minorHAnsi" w:hAnsiTheme="minorHAnsi"/>
          <w:i/>
          <w:sz w:val="16"/>
        </w:rPr>
        <w:t>Jessica Lenahan (Gonzales) y otros</w:t>
      </w:r>
      <w:r>
        <w:rPr>
          <w:rFonts w:asciiTheme="minorHAnsi" w:hAnsiTheme="minorHAnsi"/>
          <w:sz w:val="16"/>
        </w:rPr>
        <w:t xml:space="preserve">, Estados Unidos, 21 de julio de 2011, párr. 118; CIDH, Informe Nº 81/10, Caso 12.562, </w:t>
      </w:r>
      <w:r>
        <w:rPr>
          <w:rFonts w:asciiTheme="minorHAnsi" w:hAnsiTheme="minorHAnsi"/>
          <w:i/>
          <w:sz w:val="16"/>
        </w:rPr>
        <w:t xml:space="preserve">Wayne Smith, Hugo </w:t>
      </w:r>
      <w:proofErr w:type="spellStart"/>
      <w:r>
        <w:rPr>
          <w:rFonts w:asciiTheme="minorHAnsi" w:hAnsiTheme="minorHAnsi"/>
          <w:i/>
          <w:sz w:val="16"/>
        </w:rPr>
        <w:t>Armendariz</w:t>
      </w:r>
      <w:proofErr w:type="spellEnd"/>
      <w:r>
        <w:rPr>
          <w:rFonts w:asciiTheme="minorHAnsi" w:hAnsiTheme="minorHAnsi"/>
          <w:i/>
          <w:sz w:val="16"/>
        </w:rPr>
        <w:t>, y otros</w:t>
      </w:r>
      <w:r>
        <w:rPr>
          <w:rFonts w:asciiTheme="minorHAnsi" w:hAnsiTheme="minorHAnsi"/>
          <w:sz w:val="16"/>
        </w:rPr>
        <w:t xml:space="preserve">, Estados Unidos, 12 de Julio de 2010; CIDH, Informe Nº 63/08, Caso 12.534, </w:t>
      </w:r>
      <w:r>
        <w:rPr>
          <w:rFonts w:asciiTheme="minorHAnsi" w:hAnsiTheme="minorHAnsi"/>
          <w:i/>
          <w:sz w:val="16"/>
        </w:rPr>
        <w:t xml:space="preserve">Andrea </w:t>
      </w:r>
      <w:proofErr w:type="spellStart"/>
      <w:r>
        <w:rPr>
          <w:rFonts w:asciiTheme="minorHAnsi" w:hAnsiTheme="minorHAnsi"/>
          <w:i/>
          <w:sz w:val="16"/>
        </w:rPr>
        <w:t>Mortlock</w:t>
      </w:r>
      <w:proofErr w:type="spellEnd"/>
      <w:r>
        <w:rPr>
          <w:rFonts w:asciiTheme="minorHAnsi" w:hAnsiTheme="minorHAnsi"/>
          <w:i/>
          <w:sz w:val="16"/>
        </w:rPr>
        <w:t>, Estados Unidos,</w:t>
      </w:r>
      <w:r>
        <w:rPr>
          <w:rFonts w:asciiTheme="minorHAnsi" w:hAnsiTheme="minorHAnsi"/>
          <w:sz w:val="16"/>
        </w:rPr>
        <w:t xml:space="preserve"> 25 de julio de 2008; CIDH, Informe Nº 40/04, Caso 12.053, Comunidad Indígena Maya, </w:t>
      </w:r>
      <w:proofErr w:type="spellStart"/>
      <w:r>
        <w:rPr>
          <w:rFonts w:asciiTheme="minorHAnsi" w:hAnsiTheme="minorHAnsi"/>
          <w:sz w:val="16"/>
        </w:rPr>
        <w:t>Belize</w:t>
      </w:r>
      <w:proofErr w:type="spellEnd"/>
      <w:r>
        <w:rPr>
          <w:rFonts w:asciiTheme="minorHAnsi" w:hAnsiTheme="minorHAnsi"/>
          <w:sz w:val="16"/>
        </w:rPr>
        <w:t xml:space="preserve">, 12 de </w:t>
      </w:r>
      <w:r w:rsidRPr="006425BA">
        <w:rPr>
          <w:rFonts w:asciiTheme="minorHAnsi" w:hAnsiTheme="minorHAnsi"/>
          <w:sz w:val="16"/>
        </w:rPr>
        <w:t xml:space="preserve">octubre de 2004; CIDH, Informe Nº 75/02, Caso 11.140, </w:t>
      </w:r>
      <w:r w:rsidRPr="006425BA">
        <w:rPr>
          <w:rFonts w:asciiTheme="minorHAnsi" w:hAnsiTheme="minorHAnsi"/>
          <w:i/>
          <w:sz w:val="16"/>
        </w:rPr>
        <w:t xml:space="preserve">Mary y </w:t>
      </w:r>
      <w:proofErr w:type="spellStart"/>
      <w:r w:rsidRPr="006425BA">
        <w:rPr>
          <w:rFonts w:asciiTheme="minorHAnsi" w:hAnsiTheme="minorHAnsi"/>
          <w:i/>
          <w:sz w:val="16"/>
        </w:rPr>
        <w:t>Carrie</w:t>
      </w:r>
      <w:proofErr w:type="spellEnd"/>
      <w:r w:rsidRPr="006425BA">
        <w:rPr>
          <w:rFonts w:asciiTheme="minorHAnsi" w:hAnsiTheme="minorHAnsi"/>
          <w:i/>
          <w:sz w:val="16"/>
        </w:rPr>
        <w:t xml:space="preserve"> </w:t>
      </w:r>
      <w:proofErr w:type="spellStart"/>
      <w:r w:rsidRPr="006425BA">
        <w:rPr>
          <w:rFonts w:asciiTheme="minorHAnsi" w:hAnsiTheme="minorHAnsi"/>
          <w:i/>
          <w:sz w:val="16"/>
        </w:rPr>
        <w:t>Dann</w:t>
      </w:r>
      <w:proofErr w:type="spellEnd"/>
      <w:r w:rsidRPr="006425BA">
        <w:rPr>
          <w:rFonts w:asciiTheme="minorHAnsi" w:hAnsiTheme="minorHAnsi"/>
          <w:sz w:val="16"/>
        </w:rPr>
        <w:t xml:space="preserve">, Estado Unidos, 27 de diciembre de 2002; CIDH, Informe Nº 62/02, Caso 12.285, </w:t>
      </w:r>
      <w:r w:rsidRPr="006425BA">
        <w:rPr>
          <w:rFonts w:asciiTheme="minorHAnsi" w:hAnsiTheme="minorHAnsi"/>
          <w:i/>
          <w:sz w:val="16"/>
        </w:rPr>
        <w:t xml:space="preserve">Michael </w:t>
      </w:r>
      <w:proofErr w:type="spellStart"/>
      <w:r w:rsidRPr="006425BA">
        <w:rPr>
          <w:rFonts w:asciiTheme="minorHAnsi" w:hAnsiTheme="minorHAnsi"/>
          <w:i/>
          <w:sz w:val="16"/>
        </w:rPr>
        <w:t>Domingues</w:t>
      </w:r>
      <w:proofErr w:type="spellEnd"/>
      <w:r w:rsidRPr="006425BA">
        <w:rPr>
          <w:rFonts w:asciiTheme="minorHAnsi" w:hAnsiTheme="minorHAnsi"/>
          <w:sz w:val="16"/>
        </w:rPr>
        <w:t xml:space="preserve">, Estados Unidos, 22 de octubre de 2002.  </w:t>
      </w:r>
    </w:p>
  </w:footnote>
  <w:footnote w:id="6">
    <w:p w:rsidR="00AF130B" w:rsidRPr="006425BA" w:rsidRDefault="00AF130B" w:rsidP="00CE3EC6">
      <w:pPr>
        <w:pStyle w:val="FootnoteText"/>
        <w:ind w:left="547" w:hanging="547"/>
        <w:jc w:val="both"/>
        <w:rPr>
          <w:rFonts w:asciiTheme="minorHAnsi" w:hAnsiTheme="minorHAnsi"/>
          <w:sz w:val="16"/>
          <w:szCs w:val="16"/>
        </w:rPr>
      </w:pPr>
      <w:r w:rsidRPr="006425BA">
        <w:rPr>
          <w:rStyle w:val="FootnoteReference"/>
          <w:rFonts w:asciiTheme="minorHAnsi" w:hAnsiTheme="minorHAnsi"/>
          <w:sz w:val="16"/>
        </w:rPr>
        <w:footnoteRef/>
      </w:r>
      <w:r w:rsidRPr="006425BA">
        <w:rPr>
          <w:rFonts w:asciiTheme="minorHAnsi" w:hAnsiTheme="minorHAnsi"/>
          <w:sz w:val="16"/>
        </w:rPr>
        <w:t xml:space="preserve"> </w:t>
      </w:r>
      <w:r w:rsidRPr="006425BA">
        <w:tab/>
      </w:r>
      <w:r w:rsidRPr="006425BA">
        <w:rPr>
          <w:rFonts w:asciiTheme="minorHAnsi" w:hAnsiTheme="minorHAnsi"/>
          <w:sz w:val="16"/>
        </w:rPr>
        <w:t>Comunicación del Gobierno de Estados Unidos dirigida a la Comisión Interamericana de Derechos Humanos respecto del Informe Preliminar sobre el Cierre de Guantánamo, OEA/</w:t>
      </w:r>
      <w:proofErr w:type="spellStart"/>
      <w:r w:rsidRPr="006425BA">
        <w:rPr>
          <w:rFonts w:asciiTheme="minorHAnsi" w:hAnsiTheme="minorHAnsi"/>
          <w:sz w:val="16"/>
        </w:rPr>
        <w:t>Ser.L</w:t>
      </w:r>
      <w:proofErr w:type="spellEnd"/>
      <w:r w:rsidRPr="006425BA">
        <w:rPr>
          <w:rFonts w:asciiTheme="minorHAnsi" w:hAnsiTheme="minorHAnsi"/>
          <w:sz w:val="16"/>
        </w:rPr>
        <w:t>/V/II.doc. 30 de enero de 2015, 30 de marzo de 2015, pág. 2.</w:t>
      </w:r>
    </w:p>
  </w:footnote>
  <w:footnote w:id="7">
    <w:p w:rsidR="00AF130B" w:rsidRPr="005D0288" w:rsidRDefault="00AF130B" w:rsidP="00CE3EC6">
      <w:pPr>
        <w:pStyle w:val="FootnoteText"/>
        <w:ind w:left="547" w:hanging="547"/>
        <w:jc w:val="both"/>
        <w:rPr>
          <w:rFonts w:asciiTheme="minorHAnsi" w:hAnsiTheme="minorHAnsi"/>
          <w:sz w:val="16"/>
          <w:szCs w:val="16"/>
        </w:rPr>
      </w:pPr>
      <w:r w:rsidRPr="006425BA">
        <w:rPr>
          <w:rStyle w:val="FootnoteReference"/>
          <w:rFonts w:asciiTheme="minorHAnsi" w:hAnsiTheme="minorHAnsi"/>
          <w:sz w:val="16"/>
        </w:rPr>
        <w:footnoteRef/>
      </w:r>
      <w:r w:rsidRPr="006425BA">
        <w:rPr>
          <w:rFonts w:asciiTheme="minorHAnsi" w:hAnsiTheme="minorHAnsi"/>
          <w:sz w:val="16"/>
        </w:rPr>
        <w:t xml:space="preserve"> </w:t>
      </w:r>
      <w:r w:rsidRPr="006425BA">
        <w:tab/>
      </w:r>
      <w:r w:rsidRPr="006425BA">
        <w:rPr>
          <w:rFonts w:asciiTheme="minorHAnsi" w:hAnsiTheme="minorHAnsi"/>
          <w:i/>
          <w:sz w:val="16"/>
        </w:rPr>
        <w:t xml:space="preserve">Véase </w:t>
      </w:r>
      <w:r w:rsidRPr="006425BA">
        <w:rPr>
          <w:rFonts w:asciiTheme="minorHAnsi" w:hAnsiTheme="minorHAnsi"/>
          <w:sz w:val="16"/>
        </w:rPr>
        <w:t xml:space="preserve">Corte IDH, </w:t>
      </w:r>
      <w:r w:rsidRPr="006425BA">
        <w:rPr>
          <w:rFonts w:asciiTheme="minorHAnsi" w:hAnsiTheme="minorHAnsi"/>
          <w:i/>
          <w:sz w:val="16"/>
        </w:rPr>
        <w:t>Opinión Consultiva OC-10/89 "Interpretación de la Declaración de los Derechos y Deberes del</w:t>
      </w:r>
      <w:r>
        <w:rPr>
          <w:rFonts w:asciiTheme="minorHAnsi" w:hAnsiTheme="minorHAnsi"/>
          <w:i/>
          <w:sz w:val="16"/>
        </w:rPr>
        <w:t xml:space="preserve"> Hombre en el Marco del Artículo 64 de la Convención Americana sobre Derechos Humanos”, </w:t>
      </w:r>
      <w:r>
        <w:rPr>
          <w:rFonts w:asciiTheme="minorHAnsi" w:hAnsiTheme="minorHAnsi"/>
          <w:sz w:val="16"/>
        </w:rPr>
        <w:t xml:space="preserve">14 de julio de 1989, Ser. A Nº 10 (1989), </w:t>
      </w:r>
      <w:proofErr w:type="spellStart"/>
      <w:r>
        <w:rPr>
          <w:rFonts w:asciiTheme="minorHAnsi" w:hAnsiTheme="minorHAnsi"/>
          <w:sz w:val="16"/>
        </w:rPr>
        <w:t>párrs</w:t>
      </w:r>
      <w:proofErr w:type="spellEnd"/>
      <w:r>
        <w:rPr>
          <w:rFonts w:asciiTheme="minorHAnsi" w:hAnsiTheme="minorHAnsi"/>
          <w:sz w:val="16"/>
        </w:rPr>
        <w:t xml:space="preserve">. 35-45. </w:t>
      </w:r>
    </w:p>
  </w:footnote>
  <w:footnote w:id="8">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Carta de la Organización de los Estados Americanos, Artículos 3, 16, 51.</w:t>
      </w:r>
    </w:p>
  </w:footnote>
  <w:footnote w:id="9">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Corte IDH, </w:t>
      </w:r>
      <w:r>
        <w:rPr>
          <w:rFonts w:asciiTheme="minorHAnsi" w:hAnsiTheme="minorHAnsi"/>
          <w:i/>
          <w:sz w:val="16"/>
        </w:rPr>
        <w:t xml:space="preserve">Opinión Consultiva OC-10/89 "Interpretación de la Declaración de los Derechos y Deberes del Hombre en el Marco del Artículo 64 de la Convención Americana sobre Derechos Humanos”, </w:t>
      </w:r>
      <w:r>
        <w:rPr>
          <w:rFonts w:asciiTheme="minorHAnsi" w:hAnsiTheme="minorHAnsi"/>
          <w:sz w:val="16"/>
        </w:rPr>
        <w:t>14 de julio de 1989, Ser. A Nº 10 (1989), párr. 41.</w:t>
      </w:r>
    </w:p>
  </w:footnote>
  <w:footnote w:id="10">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Véase, por ejemplo, Asamblea General de la OEA, Resolución 314, AG/RES. 314 (VII-O/77), 22 de junio de 1977 , (encomendando a la Comisión Interamericana la preparación de un estudio para “establecer las obligaciones para la implementación de los compromisos asumidos en la Declaración Americana de Derechos y Deberes del Hombre”); OEA, Asamblea General, Resolución 371, AG/RES (VIII-O/78), 1 de julio de 1978 (reafirmando su compromiso de “promover la observancia de la Declaración Americana de Derechos y Deberes del Hombre”); OEA, Asamblea General, Resolución 370, AG/RES. 370 (VIII-O/78), 1 de julio de 1978 (en referencia a los “compromisos internacionales” de los Estados Parte de la OEA de respetar los derechos reconocidos en la Declaración Americana de Derechos y Deberes del Hombre).</w:t>
      </w:r>
    </w:p>
  </w:footnote>
  <w:footnote w:id="11">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Véase, CIDH, Informe No. 80/11, Caso 12.626, Fondo, </w:t>
      </w:r>
      <w:r>
        <w:rPr>
          <w:rFonts w:asciiTheme="minorHAnsi" w:hAnsiTheme="minorHAnsi"/>
          <w:i/>
          <w:sz w:val="16"/>
        </w:rPr>
        <w:t>Jessica Lenahan (Gonzales) y otros</w:t>
      </w:r>
      <w:r>
        <w:rPr>
          <w:rFonts w:asciiTheme="minorHAnsi" w:hAnsiTheme="minorHAnsi"/>
          <w:sz w:val="16"/>
        </w:rPr>
        <w:t xml:space="preserve">, Estados Unidos, 21 de julio de 2011, </w:t>
      </w:r>
      <w:proofErr w:type="spellStart"/>
      <w:r>
        <w:rPr>
          <w:rFonts w:asciiTheme="minorHAnsi" w:hAnsiTheme="minorHAnsi"/>
          <w:sz w:val="16"/>
        </w:rPr>
        <w:t>párrs</w:t>
      </w:r>
      <w:proofErr w:type="spellEnd"/>
      <w:r>
        <w:rPr>
          <w:rFonts w:asciiTheme="minorHAnsi" w:hAnsiTheme="minorHAnsi"/>
          <w:sz w:val="16"/>
        </w:rPr>
        <w:t>. 115 y 117.</w:t>
      </w:r>
    </w:p>
  </w:footnote>
  <w:footnote w:id="12">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Estatuto de la Comisión Interamericana de Derechos Humanos, Artículo 20(b).</w:t>
      </w:r>
    </w:p>
  </w:footnote>
  <w:footnote w:id="13">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Informe No. 80/11, Caso 12.626, Fondo, </w:t>
      </w:r>
      <w:r>
        <w:rPr>
          <w:rFonts w:asciiTheme="minorHAnsi" w:hAnsiTheme="minorHAnsi"/>
          <w:i/>
          <w:sz w:val="16"/>
        </w:rPr>
        <w:t>Jessica Lenahan (Gonzales) y otros</w:t>
      </w:r>
      <w:r>
        <w:rPr>
          <w:rFonts w:asciiTheme="minorHAnsi" w:hAnsiTheme="minorHAnsi"/>
          <w:sz w:val="16"/>
        </w:rPr>
        <w:t>, Estados Unidos, 21 de julio de 2011, párr. 118.</w:t>
      </w:r>
    </w:p>
  </w:footnote>
  <w:footnote w:id="14">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Informe No. 112/10, Petición Interestatal PI-02, </w:t>
      </w:r>
      <w:r>
        <w:rPr>
          <w:rFonts w:asciiTheme="minorHAnsi" w:hAnsiTheme="minorHAnsi"/>
          <w:i/>
          <w:sz w:val="16"/>
        </w:rPr>
        <w:t xml:space="preserve">Franklin Guillermo </w:t>
      </w:r>
      <w:proofErr w:type="spellStart"/>
      <w:r>
        <w:rPr>
          <w:rFonts w:asciiTheme="minorHAnsi" w:hAnsiTheme="minorHAnsi"/>
          <w:i/>
          <w:sz w:val="16"/>
        </w:rPr>
        <w:t>Aisalla</w:t>
      </w:r>
      <w:proofErr w:type="spellEnd"/>
      <w:r>
        <w:rPr>
          <w:rFonts w:asciiTheme="minorHAnsi" w:hAnsiTheme="minorHAnsi"/>
          <w:i/>
          <w:sz w:val="16"/>
        </w:rPr>
        <w:t xml:space="preserve"> Molina</w:t>
      </w:r>
      <w:r>
        <w:rPr>
          <w:rFonts w:asciiTheme="minorHAnsi" w:hAnsiTheme="minorHAnsi"/>
          <w:sz w:val="16"/>
        </w:rPr>
        <w:t>, Ecuador – Colombia, 21 de octubre de 2010.</w:t>
      </w:r>
    </w:p>
  </w:footnote>
  <w:footnote w:id="15">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Medida Cautelar 259/02 – Personas detenidas por los Estados Unidos en la Bahía de Guantánamo, 12 de marzo de 2002; Medida Cautelar 8/06 – Omar </w:t>
      </w:r>
      <w:proofErr w:type="spellStart"/>
      <w:r>
        <w:rPr>
          <w:rFonts w:asciiTheme="minorHAnsi" w:hAnsiTheme="minorHAnsi"/>
          <w:sz w:val="16"/>
        </w:rPr>
        <w:t>Khadr</w:t>
      </w:r>
      <w:proofErr w:type="spellEnd"/>
      <w:r>
        <w:rPr>
          <w:rFonts w:asciiTheme="minorHAnsi" w:hAnsiTheme="minorHAnsi"/>
          <w:sz w:val="16"/>
        </w:rPr>
        <w:t xml:space="preserve">, Estados Unidos, 21 de marzo de 2006; Medida Cautelar 211/08 </w:t>
      </w:r>
      <w:proofErr w:type="spellStart"/>
      <w:r>
        <w:rPr>
          <w:rFonts w:asciiTheme="minorHAnsi" w:hAnsiTheme="minorHAnsi"/>
          <w:sz w:val="16"/>
        </w:rPr>
        <w:t>Djamel</w:t>
      </w:r>
      <w:proofErr w:type="spellEnd"/>
      <w:r>
        <w:rPr>
          <w:rFonts w:asciiTheme="minorHAnsi" w:hAnsiTheme="minorHAnsi"/>
          <w:sz w:val="16"/>
        </w:rPr>
        <w:t xml:space="preserve"> </w:t>
      </w:r>
      <w:proofErr w:type="spellStart"/>
      <w:r>
        <w:rPr>
          <w:rFonts w:asciiTheme="minorHAnsi" w:hAnsiTheme="minorHAnsi"/>
          <w:sz w:val="16"/>
        </w:rPr>
        <w:t>Ameziane</w:t>
      </w:r>
      <w:proofErr w:type="spellEnd"/>
      <w:r>
        <w:rPr>
          <w:rFonts w:asciiTheme="minorHAnsi" w:hAnsiTheme="minorHAnsi"/>
          <w:sz w:val="16"/>
        </w:rPr>
        <w:t xml:space="preserve">, 20 de agosto de 2008; Resolución No. 2/06 Sobre las Medidas Cautelares para los Detenidos en Guantánamo, 28 de julio de 2006; Resolución No. 2/11, Sobre la Situación de los Detenidos de la Bahía de Guantánamo, Medida Cautelar 259-02, 22 de julio de 2011; Informe No. 17/12, </w:t>
      </w:r>
      <w:proofErr w:type="spellStart"/>
      <w:r>
        <w:rPr>
          <w:rFonts w:asciiTheme="minorHAnsi" w:hAnsiTheme="minorHAnsi"/>
          <w:sz w:val="16"/>
        </w:rPr>
        <w:t>Djamel</w:t>
      </w:r>
      <w:proofErr w:type="spellEnd"/>
      <w:r>
        <w:rPr>
          <w:rFonts w:asciiTheme="minorHAnsi" w:hAnsiTheme="minorHAnsi"/>
          <w:sz w:val="16"/>
        </w:rPr>
        <w:t xml:space="preserve"> </w:t>
      </w:r>
      <w:proofErr w:type="spellStart"/>
      <w:r>
        <w:rPr>
          <w:rFonts w:asciiTheme="minorHAnsi" w:hAnsiTheme="minorHAnsi"/>
          <w:sz w:val="16"/>
        </w:rPr>
        <w:t>Ameziane</w:t>
      </w:r>
      <w:proofErr w:type="spellEnd"/>
      <w:r>
        <w:rPr>
          <w:rFonts w:asciiTheme="minorHAnsi" w:hAnsiTheme="minorHAnsi"/>
          <w:sz w:val="16"/>
        </w:rPr>
        <w:t xml:space="preserve">, P-900-08, Estados Unidos, 20 de marzo de 2012. Una lista de las audiencias públicas, reuniones de trabajo, comunicados de prensa y solicitudes para visitar el centro de detención está disponible en: </w:t>
      </w:r>
      <w:hyperlink r:id="rId4">
        <w:r>
          <w:rPr>
            <w:rStyle w:val="Hyperlink"/>
            <w:rFonts w:asciiTheme="minorHAnsi" w:hAnsiTheme="minorHAnsi"/>
            <w:sz w:val="16"/>
          </w:rPr>
          <w:t>http://www.oas.org/es/cidh/ppl/decisiones/Guantanamo.asp</w:t>
        </w:r>
      </w:hyperlink>
      <w:r>
        <w:rPr>
          <w:rFonts w:asciiTheme="minorHAnsi" w:hAnsiTheme="minorHAnsi"/>
          <w:sz w:val="16"/>
        </w:rPr>
        <w:t xml:space="preserve"> </w:t>
      </w:r>
    </w:p>
  </w:footnote>
  <w:footnote w:id="16">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Reglamento de la Comisión Interamericana de Derechos Humanos, Artículo 25. </w:t>
      </w:r>
    </w:p>
  </w:footnote>
  <w:footnote w:id="17">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CIDH, Medida Cautelar 259/02 – Personas detenidas por los Estados Unidos en la Bahía de Guantánamo, 12 de marzo de 2002.</w:t>
      </w:r>
    </w:p>
  </w:footnote>
  <w:footnote w:id="18">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Medida Cautelar 8/06 – Omar </w:t>
      </w:r>
      <w:proofErr w:type="spellStart"/>
      <w:r>
        <w:rPr>
          <w:rFonts w:asciiTheme="minorHAnsi" w:hAnsiTheme="minorHAnsi"/>
          <w:sz w:val="16"/>
        </w:rPr>
        <w:t>Khadr</w:t>
      </w:r>
      <w:proofErr w:type="spellEnd"/>
      <w:r>
        <w:rPr>
          <w:rFonts w:asciiTheme="minorHAnsi" w:hAnsiTheme="minorHAnsi"/>
          <w:sz w:val="16"/>
        </w:rPr>
        <w:t xml:space="preserve">, Estados Unidos, 21 de marzo de 2006. Disponible en: </w:t>
      </w:r>
      <w:hyperlink r:id="rId5" w:anchor="MC806">
        <w:r>
          <w:rPr>
            <w:rStyle w:val="Hyperlink"/>
            <w:rFonts w:asciiTheme="minorHAnsi" w:hAnsiTheme="minorHAnsi"/>
            <w:sz w:val="16"/>
          </w:rPr>
          <w:t>http://www.oas.org/es/cidh/ppl/decisiones/GuantanamoMC.asp#MC806</w:t>
        </w:r>
      </w:hyperlink>
      <w:r>
        <w:rPr>
          <w:rFonts w:asciiTheme="minorHAnsi" w:hAnsiTheme="minorHAnsi"/>
          <w:sz w:val="16"/>
        </w:rPr>
        <w:t xml:space="preserve"> </w:t>
      </w:r>
    </w:p>
  </w:footnote>
  <w:footnote w:id="19">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Véase CBC News </w:t>
      </w:r>
      <w:proofErr w:type="spellStart"/>
      <w:r>
        <w:rPr>
          <w:rFonts w:asciiTheme="minorHAnsi" w:hAnsiTheme="minorHAnsi"/>
          <w:sz w:val="16"/>
        </w:rPr>
        <w:t>Canada</w:t>
      </w:r>
      <w:proofErr w:type="spellEnd"/>
      <w:r>
        <w:rPr>
          <w:rFonts w:asciiTheme="minorHAnsi" w:hAnsiTheme="minorHAnsi"/>
          <w:sz w:val="16"/>
        </w:rPr>
        <w:t xml:space="preserve">: Omar </w:t>
      </w:r>
      <w:proofErr w:type="spellStart"/>
      <w:r>
        <w:rPr>
          <w:rFonts w:asciiTheme="minorHAnsi" w:hAnsiTheme="minorHAnsi"/>
          <w:sz w:val="16"/>
        </w:rPr>
        <w:t>Khadr</w:t>
      </w:r>
      <w:proofErr w:type="spellEnd"/>
      <w:r>
        <w:rPr>
          <w:rFonts w:asciiTheme="minorHAnsi" w:hAnsiTheme="minorHAnsi"/>
          <w:sz w:val="16"/>
        </w:rPr>
        <w:t xml:space="preserve"> regresa a Canadá, 29 de septiembre de 2012. Disponible en: </w:t>
      </w:r>
      <w:hyperlink r:id="rId6">
        <w:r>
          <w:rPr>
            <w:rStyle w:val="Hyperlink"/>
            <w:rFonts w:asciiTheme="minorHAnsi" w:hAnsiTheme="minorHAnsi"/>
            <w:sz w:val="16"/>
          </w:rPr>
          <w:t>http://www.cbc.ca/news/canada/omar-khadr-returns-to-canada-1.937754</w:t>
        </w:r>
      </w:hyperlink>
      <w:r>
        <w:rPr>
          <w:rFonts w:asciiTheme="minorHAnsi" w:hAnsiTheme="minorHAnsi"/>
          <w:sz w:val="16"/>
        </w:rPr>
        <w:t xml:space="preserve">. </w:t>
      </w:r>
    </w:p>
  </w:footnote>
  <w:footnote w:id="20">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proofErr w:type="spellStart"/>
      <w:r>
        <w:rPr>
          <w:rFonts w:asciiTheme="minorHAnsi" w:hAnsiTheme="minorHAnsi"/>
          <w:sz w:val="16"/>
        </w:rPr>
        <w:t>See</w:t>
      </w:r>
      <w:proofErr w:type="spellEnd"/>
      <w:r>
        <w:rPr>
          <w:rFonts w:asciiTheme="minorHAnsi" w:hAnsiTheme="minorHAnsi"/>
          <w:sz w:val="16"/>
        </w:rPr>
        <w:t xml:space="preserve"> CBC News </w:t>
      </w:r>
      <w:proofErr w:type="spellStart"/>
      <w:r>
        <w:rPr>
          <w:rFonts w:asciiTheme="minorHAnsi" w:hAnsiTheme="minorHAnsi"/>
          <w:sz w:val="16"/>
        </w:rPr>
        <w:t>Canada</w:t>
      </w:r>
      <w:proofErr w:type="spellEnd"/>
      <w:r>
        <w:rPr>
          <w:rFonts w:asciiTheme="minorHAnsi" w:hAnsiTheme="minorHAnsi"/>
          <w:sz w:val="16"/>
        </w:rPr>
        <w:t xml:space="preserve">: Omar </w:t>
      </w:r>
      <w:proofErr w:type="spellStart"/>
      <w:r>
        <w:rPr>
          <w:rFonts w:asciiTheme="minorHAnsi" w:hAnsiTheme="minorHAnsi"/>
          <w:sz w:val="16"/>
        </w:rPr>
        <w:t>Khadr</w:t>
      </w:r>
      <w:proofErr w:type="spellEnd"/>
      <w:r>
        <w:rPr>
          <w:rFonts w:asciiTheme="minorHAnsi" w:hAnsiTheme="minorHAnsi"/>
          <w:sz w:val="16"/>
        </w:rPr>
        <w:t xml:space="preserve"> es trasladado a prisión de seguridad media. Disponible en: </w:t>
      </w:r>
      <w:hyperlink r:id="rId7">
        <w:r>
          <w:rPr>
            <w:rStyle w:val="Hyperlink"/>
            <w:rFonts w:asciiTheme="minorHAnsi" w:hAnsiTheme="minorHAnsi"/>
            <w:sz w:val="16"/>
          </w:rPr>
          <w:t>http://www.cbc.ca/news/canada/toronto/omar-khadr-moves-to-medium-security-prison-1.2532793</w:t>
        </w:r>
      </w:hyperlink>
      <w:r>
        <w:rPr>
          <w:rFonts w:asciiTheme="minorHAnsi" w:hAnsiTheme="minorHAnsi"/>
          <w:sz w:val="16"/>
        </w:rPr>
        <w:t xml:space="preserve"> </w:t>
      </w:r>
    </w:p>
  </w:footnote>
  <w:footnote w:id="21">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Artículo 25(6) del Reglamento de la Comisión aprobado en 2009 y reformado el 2 de septiembre de 2011: “Medidas Cautelares: […] La Comisión evaluará con periodicidad la pertinencia de mantener la vigencia de las medidas cautelares otorgadas”.</w:t>
      </w:r>
    </w:p>
  </w:footnote>
  <w:footnote w:id="22">
    <w:p w:rsidR="00AF130B" w:rsidRPr="005D0288" w:rsidRDefault="00AF130B" w:rsidP="00CE3EC6">
      <w:pPr>
        <w:pStyle w:val="FootnoteText"/>
        <w:ind w:left="547" w:hanging="547"/>
        <w:jc w:val="both"/>
        <w:rPr>
          <w:rFonts w:asciiTheme="minorHAnsi" w:hAnsiTheme="minorHAnsi"/>
          <w:sz w:val="16"/>
          <w:szCs w:val="16"/>
          <w:lang w:val="pt-BR"/>
        </w:rPr>
      </w:pPr>
      <w:r>
        <w:rPr>
          <w:rStyle w:val="FootnoteReference"/>
          <w:rFonts w:asciiTheme="minorHAnsi" w:hAnsiTheme="minorHAnsi"/>
          <w:sz w:val="16"/>
        </w:rPr>
        <w:footnoteRef/>
      </w:r>
      <w:r w:rsidRPr="00237789">
        <w:rPr>
          <w:rFonts w:asciiTheme="minorHAnsi" w:hAnsiTheme="minorHAnsi"/>
          <w:sz w:val="16"/>
          <w:lang w:val="pt-BR"/>
        </w:rPr>
        <w:t xml:space="preserve"> </w:t>
      </w:r>
      <w:r w:rsidRPr="00237789">
        <w:rPr>
          <w:lang w:val="pt-BR"/>
        </w:rPr>
        <w:tab/>
      </w:r>
      <w:r w:rsidRPr="00237789">
        <w:rPr>
          <w:rFonts w:asciiTheme="minorHAnsi" w:hAnsiTheme="minorHAnsi"/>
          <w:sz w:val="16"/>
          <w:lang w:val="pt-BR"/>
        </w:rPr>
        <w:t xml:space="preserve">CIDH, Medida Cautelar 211/08 Djamel Ameziane, Estados Unidos, 20 de agosto de 2008. </w:t>
      </w:r>
      <w:r w:rsidRPr="00237789">
        <w:rPr>
          <w:rFonts w:asciiTheme="minorHAnsi" w:hAnsiTheme="minorHAnsi"/>
          <w:sz w:val="16"/>
          <w:lang w:val="pt-BR"/>
        </w:rPr>
        <w:t xml:space="preserve">Disponible en: </w:t>
      </w:r>
      <w:r>
        <w:fldChar w:fldCharType="begin"/>
      </w:r>
      <w:r w:rsidRPr="00901FE4">
        <w:rPr>
          <w:lang w:val="pt-BR"/>
        </w:rPr>
        <w:instrText xml:space="preserve"> HYPERLINK "http://www.oas.org/es/cidh/ppl/decisiones/GuantanamoMC.asp" </w:instrText>
      </w:r>
      <w:r>
        <w:fldChar w:fldCharType="separate"/>
      </w:r>
      <w:r w:rsidRPr="00237789">
        <w:rPr>
          <w:rStyle w:val="Hyperlink"/>
          <w:rFonts w:asciiTheme="minorHAnsi" w:hAnsiTheme="minorHAnsi"/>
          <w:sz w:val="16"/>
          <w:lang w:val="pt-BR"/>
        </w:rPr>
        <w:t>http://www.oas.org/es/cidh/ppl/decisiones/GuantanamoMC.asp#MC806</w:t>
      </w:r>
      <w:r>
        <w:rPr>
          <w:rStyle w:val="Hyperlink"/>
          <w:rFonts w:asciiTheme="minorHAnsi" w:hAnsiTheme="minorHAnsi"/>
          <w:sz w:val="16"/>
          <w:lang w:val="pt-BR"/>
        </w:rPr>
        <w:fldChar w:fldCharType="end"/>
      </w:r>
      <w:r w:rsidRPr="00237789">
        <w:rPr>
          <w:rFonts w:asciiTheme="minorHAnsi" w:hAnsiTheme="minorHAnsi"/>
          <w:sz w:val="16"/>
          <w:lang w:val="pt-BR"/>
        </w:rPr>
        <w:t xml:space="preserve"> </w:t>
      </w:r>
    </w:p>
  </w:footnote>
  <w:footnote w:id="23">
    <w:p w:rsidR="00AF130B" w:rsidRPr="006425BA"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sidRPr="00237789">
        <w:rPr>
          <w:rFonts w:asciiTheme="minorHAnsi" w:hAnsiTheme="minorHAnsi"/>
          <w:sz w:val="16"/>
          <w:lang w:val="pt-BR"/>
        </w:rPr>
        <w:t xml:space="preserve"> </w:t>
      </w:r>
      <w:r w:rsidRPr="00237789">
        <w:rPr>
          <w:lang w:val="pt-BR"/>
        </w:rPr>
        <w:tab/>
      </w:r>
      <w:r w:rsidRPr="00237789">
        <w:rPr>
          <w:rFonts w:asciiTheme="minorHAnsi" w:hAnsiTheme="minorHAnsi"/>
          <w:sz w:val="16"/>
          <w:lang w:val="pt-BR"/>
        </w:rPr>
        <w:t>Comunicado de Prensa 103/13: CIDH condena transferencia forzada de Djamel Ameziane de Guantánamo a Argelia. </w:t>
      </w:r>
      <w:r>
        <w:rPr>
          <w:rFonts w:asciiTheme="minorHAnsi" w:hAnsiTheme="minorHAnsi"/>
          <w:sz w:val="16"/>
        </w:rPr>
        <w:t xml:space="preserve">19 de diciembre de 2013. Disponible en: </w:t>
      </w:r>
      <w:hyperlink r:id="rId8">
        <w:r w:rsidRPr="006425BA">
          <w:rPr>
            <w:rStyle w:val="Hyperlink"/>
            <w:rFonts w:asciiTheme="minorHAnsi" w:hAnsiTheme="minorHAnsi"/>
            <w:sz w:val="16"/>
          </w:rPr>
          <w:t>http://www.oas.org/es/cidh/prensa/comunicados/2013/103.asp</w:t>
        </w:r>
      </w:hyperlink>
      <w:r w:rsidRPr="006425BA">
        <w:rPr>
          <w:rFonts w:asciiTheme="minorHAnsi" w:hAnsiTheme="minorHAnsi"/>
          <w:sz w:val="16"/>
        </w:rPr>
        <w:t xml:space="preserve"> </w:t>
      </w:r>
    </w:p>
  </w:footnote>
  <w:footnote w:id="24">
    <w:p w:rsidR="00AF130B" w:rsidRPr="00237789" w:rsidRDefault="00AF130B" w:rsidP="00CE3EC6">
      <w:pPr>
        <w:pStyle w:val="FootnoteText"/>
        <w:ind w:left="547" w:hanging="547"/>
        <w:jc w:val="both"/>
        <w:rPr>
          <w:rFonts w:asciiTheme="minorHAnsi" w:hAnsiTheme="minorHAnsi"/>
          <w:sz w:val="16"/>
          <w:szCs w:val="16"/>
        </w:rPr>
      </w:pPr>
      <w:r w:rsidRPr="006425BA">
        <w:rPr>
          <w:rStyle w:val="FootnoteReference"/>
          <w:rFonts w:asciiTheme="minorHAnsi" w:hAnsiTheme="minorHAnsi"/>
          <w:sz w:val="16"/>
        </w:rPr>
        <w:footnoteRef/>
      </w:r>
      <w:r w:rsidRPr="006425BA">
        <w:rPr>
          <w:rFonts w:asciiTheme="minorHAnsi" w:hAnsiTheme="minorHAnsi"/>
          <w:sz w:val="16"/>
        </w:rPr>
        <w:t xml:space="preserve"> </w:t>
      </w:r>
      <w:r w:rsidRPr="006425BA">
        <w:tab/>
      </w:r>
      <w:r w:rsidRPr="006425BA">
        <w:rPr>
          <w:rFonts w:asciiTheme="minorHAnsi" w:hAnsiTheme="minorHAnsi"/>
          <w:sz w:val="16"/>
        </w:rPr>
        <w:t xml:space="preserve">CIDH, resolución 10/2015, Medida cautelar Nº 46-15, </w:t>
      </w:r>
      <w:proofErr w:type="spellStart"/>
      <w:r w:rsidRPr="006425BA">
        <w:rPr>
          <w:rFonts w:asciiTheme="minorHAnsi" w:hAnsiTheme="minorHAnsi"/>
          <w:sz w:val="16"/>
        </w:rPr>
        <w:t>Moath</w:t>
      </w:r>
      <w:proofErr w:type="spellEnd"/>
      <w:r w:rsidRPr="006425BA">
        <w:rPr>
          <w:rFonts w:asciiTheme="minorHAnsi" w:hAnsiTheme="minorHAnsi"/>
          <w:sz w:val="16"/>
        </w:rPr>
        <w:t xml:space="preserve"> al-</w:t>
      </w:r>
      <w:proofErr w:type="spellStart"/>
      <w:r w:rsidRPr="006425BA">
        <w:rPr>
          <w:rFonts w:asciiTheme="minorHAnsi" w:hAnsiTheme="minorHAnsi"/>
          <w:sz w:val="16"/>
        </w:rPr>
        <w:t>Alwi</w:t>
      </w:r>
      <w:proofErr w:type="spellEnd"/>
      <w:r w:rsidRPr="006425BA">
        <w:rPr>
          <w:rFonts w:asciiTheme="minorHAnsi" w:hAnsiTheme="minorHAnsi"/>
          <w:sz w:val="16"/>
        </w:rPr>
        <w:t>, Estados Unidos, 31 de marzo de 2015.</w:t>
      </w:r>
    </w:p>
  </w:footnote>
  <w:footnote w:id="25">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Resolución No. 2/06 Sobre las Medidas Cautelares para los Detenidos en Guantánamo, 28 de julio de 2006. Disponible en: </w:t>
      </w:r>
      <w:hyperlink r:id="rId9">
        <w:r>
          <w:rPr>
            <w:rStyle w:val="Hyperlink"/>
            <w:rFonts w:asciiTheme="minorHAnsi" w:hAnsiTheme="minorHAnsi"/>
            <w:sz w:val="16"/>
          </w:rPr>
          <w:t>http://www.cidh.oas.org/Resoluciones/reso.2.06.sp.htm</w:t>
        </w:r>
      </w:hyperlink>
      <w:r>
        <w:rPr>
          <w:rFonts w:asciiTheme="minorHAnsi" w:hAnsiTheme="minorHAnsi"/>
          <w:sz w:val="16"/>
        </w:rPr>
        <w:t xml:space="preserve"> </w:t>
      </w:r>
    </w:p>
  </w:footnote>
  <w:footnote w:id="26">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CIDH, Resolución No. 2/06 Sobre las Medidas Cautelares para los Detenidos en Guantánamo, 28 de julio de 2006, párr. 3.</w:t>
      </w:r>
    </w:p>
  </w:footnote>
  <w:footnote w:id="27">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Resolución No. 2/11, Sobre la Situación de los Detenidos de la Bahía de Guantánamo, Estados Unidos, MC 259-02, 22 de julio de 2011. Disponible en: </w:t>
      </w:r>
      <w:hyperlink r:id="rId10">
        <w:r>
          <w:rPr>
            <w:rStyle w:val="Hyperlink"/>
            <w:rFonts w:asciiTheme="minorHAnsi" w:hAnsiTheme="minorHAnsi"/>
            <w:sz w:val="16"/>
          </w:rPr>
          <w:t>http://www.cidh.oas.org/pdf%20files/Resoluci%C3%B3n%202-11%20Guant%C3%A1namo.pdf</w:t>
        </w:r>
      </w:hyperlink>
      <w:r>
        <w:rPr>
          <w:rFonts w:asciiTheme="minorHAnsi" w:hAnsiTheme="minorHAnsi"/>
          <w:sz w:val="16"/>
        </w:rPr>
        <w:t xml:space="preserve">  </w:t>
      </w:r>
    </w:p>
  </w:footnote>
  <w:footnote w:id="28">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Audiencias de la CIDH sobre la Medida Cautelar 259/02 a favor de los detenidos por Estados Unidos en la Bahía de Guantánamo: 116 período de sesiones, 16 de octubre de 2002; 118 Período de Sesiones, 20 de octubre de 2003; 122 Período de Sesiones, 3 de marzo de 2005; 123 Período de Sesiones, 20 de octubre de 2005; 128 período de sesiones, 20 de julio de 2007; 133 Período de Sesiones, 28 de octubre de 2008. Disponibles en: </w:t>
      </w:r>
      <w:hyperlink r:id="rId11" w:anchor="Audiencias">
        <w:r>
          <w:rPr>
            <w:rStyle w:val="Hyperlink"/>
            <w:rFonts w:asciiTheme="minorHAnsi" w:hAnsiTheme="minorHAnsi"/>
            <w:sz w:val="16"/>
          </w:rPr>
          <w:t>http://www.oas.org/es/cidh/ppl/decisiones/Guantanamo.asp#Audiencias</w:t>
        </w:r>
      </w:hyperlink>
      <w:r>
        <w:rPr>
          <w:rFonts w:asciiTheme="minorHAnsi" w:hAnsiTheme="minorHAnsi"/>
          <w:sz w:val="16"/>
        </w:rPr>
        <w:t xml:space="preserve"> </w:t>
      </w:r>
    </w:p>
  </w:footnote>
  <w:footnote w:id="29">
    <w:p w:rsidR="00AF130B" w:rsidRPr="005D0288" w:rsidRDefault="00AF130B" w:rsidP="00CE3EC6">
      <w:pPr>
        <w:pStyle w:val="FootnoteText"/>
        <w:ind w:left="547" w:hanging="547"/>
        <w:jc w:val="both"/>
        <w:rPr>
          <w:rFonts w:asciiTheme="minorHAnsi" w:hAnsiTheme="minorHAnsi" w:cs="Tahoma"/>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Audiencia de la CIDH, Medida Cautelar 259/02 a favor de los detenidos por Estados Unidos en la Bahía de Guantánamo, y MC 211/08, </w:t>
      </w:r>
      <w:proofErr w:type="spellStart"/>
      <w:r>
        <w:rPr>
          <w:rFonts w:asciiTheme="minorHAnsi" w:hAnsiTheme="minorHAnsi"/>
          <w:sz w:val="16"/>
        </w:rPr>
        <w:t>Djamel</w:t>
      </w:r>
      <w:proofErr w:type="spellEnd"/>
      <w:r>
        <w:rPr>
          <w:rFonts w:asciiTheme="minorHAnsi" w:hAnsiTheme="minorHAnsi"/>
          <w:sz w:val="16"/>
        </w:rPr>
        <w:t xml:space="preserve"> </w:t>
      </w:r>
      <w:proofErr w:type="spellStart"/>
      <w:r>
        <w:rPr>
          <w:rFonts w:asciiTheme="minorHAnsi" w:hAnsiTheme="minorHAnsi"/>
          <w:sz w:val="16"/>
        </w:rPr>
        <w:t>Ameziane</w:t>
      </w:r>
      <w:proofErr w:type="spellEnd"/>
      <w:r>
        <w:rPr>
          <w:rFonts w:asciiTheme="minorHAnsi" w:hAnsiTheme="minorHAnsi"/>
          <w:sz w:val="16"/>
        </w:rPr>
        <w:t xml:space="preserve">, 133 período de sesiones, 28 de octubre de 2008. Disponible en: </w:t>
      </w:r>
      <w:hyperlink r:id="rId12" w:anchor="Audiencias">
        <w:r>
          <w:rPr>
            <w:rStyle w:val="Hyperlink"/>
            <w:rFonts w:asciiTheme="minorHAnsi" w:hAnsiTheme="minorHAnsi"/>
            <w:sz w:val="16"/>
          </w:rPr>
          <w:t>http://www.oas.org/es/cidh/ppl/decisiones/Guantanamo.asp#Audiencias</w:t>
        </w:r>
      </w:hyperlink>
      <w:r>
        <w:rPr>
          <w:rFonts w:asciiTheme="minorHAnsi" w:hAnsiTheme="minorHAnsi"/>
          <w:sz w:val="16"/>
        </w:rPr>
        <w:t xml:space="preserve"> </w:t>
      </w:r>
    </w:p>
  </w:footnote>
  <w:footnote w:id="30">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Audiencia de la CIDH, Petición 900-08, </w:t>
      </w:r>
      <w:proofErr w:type="spellStart"/>
      <w:r>
        <w:rPr>
          <w:rFonts w:asciiTheme="minorHAnsi" w:hAnsiTheme="minorHAnsi"/>
          <w:sz w:val="16"/>
        </w:rPr>
        <w:t>Djamel</w:t>
      </w:r>
      <w:proofErr w:type="spellEnd"/>
      <w:r>
        <w:rPr>
          <w:rFonts w:asciiTheme="minorHAnsi" w:hAnsiTheme="minorHAnsi"/>
          <w:sz w:val="16"/>
        </w:rPr>
        <w:t xml:space="preserve"> </w:t>
      </w:r>
      <w:proofErr w:type="spellStart"/>
      <w:r>
        <w:rPr>
          <w:rFonts w:asciiTheme="minorHAnsi" w:hAnsiTheme="minorHAnsi"/>
          <w:sz w:val="16"/>
        </w:rPr>
        <w:t>Ameziane</w:t>
      </w:r>
      <w:proofErr w:type="spellEnd"/>
      <w:r>
        <w:rPr>
          <w:rFonts w:asciiTheme="minorHAnsi" w:hAnsiTheme="minorHAnsi"/>
          <w:sz w:val="16"/>
        </w:rPr>
        <w:t xml:space="preserve">, Estados Unidos, 140 </w:t>
      </w:r>
      <w:proofErr w:type="gramStart"/>
      <w:r>
        <w:rPr>
          <w:rFonts w:asciiTheme="minorHAnsi" w:hAnsiTheme="minorHAnsi"/>
          <w:sz w:val="16"/>
        </w:rPr>
        <w:t>período</w:t>
      </w:r>
      <w:proofErr w:type="gramEnd"/>
      <w:r>
        <w:rPr>
          <w:rFonts w:asciiTheme="minorHAnsi" w:hAnsiTheme="minorHAnsi"/>
          <w:sz w:val="16"/>
        </w:rPr>
        <w:t xml:space="preserve"> de sesiones, 29 de octubre de 2010. Disponible en: </w:t>
      </w:r>
      <w:hyperlink r:id="rId13" w:anchor="Audiencias">
        <w:r>
          <w:rPr>
            <w:rStyle w:val="Hyperlink"/>
            <w:rFonts w:asciiTheme="minorHAnsi" w:hAnsiTheme="minorHAnsi"/>
            <w:sz w:val="16"/>
          </w:rPr>
          <w:t>http://www.oas.org/es/cidh/ppl/decisiones/Guantanamo.asp#Audiencias</w:t>
        </w:r>
      </w:hyperlink>
      <w:r>
        <w:rPr>
          <w:rFonts w:asciiTheme="minorHAnsi" w:hAnsiTheme="minorHAnsi"/>
          <w:sz w:val="16"/>
        </w:rPr>
        <w:t xml:space="preserve"> </w:t>
      </w:r>
    </w:p>
  </w:footnote>
  <w:footnote w:id="31">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Audiencia de la CIDH, Medica Cautelar 8/06, Omar </w:t>
      </w:r>
      <w:proofErr w:type="spellStart"/>
      <w:r>
        <w:rPr>
          <w:rFonts w:asciiTheme="minorHAnsi" w:hAnsiTheme="minorHAnsi"/>
          <w:sz w:val="16"/>
        </w:rPr>
        <w:t>Khadr</w:t>
      </w:r>
      <w:proofErr w:type="spellEnd"/>
      <w:r>
        <w:rPr>
          <w:rFonts w:asciiTheme="minorHAnsi" w:hAnsiTheme="minorHAnsi"/>
          <w:sz w:val="16"/>
        </w:rPr>
        <w:t xml:space="preserve">, Estados Unidos, 124 Período de Sesiones, 13 de marzo de 2006. Disponible en: </w:t>
      </w:r>
      <w:hyperlink r:id="rId14" w:anchor="Audiencias">
        <w:r>
          <w:rPr>
            <w:rStyle w:val="Hyperlink"/>
            <w:rFonts w:asciiTheme="minorHAnsi" w:hAnsiTheme="minorHAnsi"/>
            <w:sz w:val="16"/>
          </w:rPr>
          <w:t>http://www.oas.org/en/iachr/pdl/decisions/Guantanamo.asp#Audiencias</w:t>
        </w:r>
      </w:hyperlink>
      <w:r>
        <w:rPr>
          <w:rFonts w:asciiTheme="minorHAnsi" w:hAnsiTheme="minorHAnsi"/>
          <w:sz w:val="16"/>
        </w:rPr>
        <w:t xml:space="preserve"> </w:t>
      </w:r>
    </w:p>
  </w:footnote>
  <w:footnote w:id="32">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Audiencia de la CIDH, Situación de los Detenidos en Guantánamo, 147 período de sesiones, Situación de </w:t>
      </w:r>
      <w:r w:rsidRPr="006425BA">
        <w:rPr>
          <w:rFonts w:asciiTheme="minorHAnsi" w:hAnsiTheme="minorHAnsi"/>
          <w:sz w:val="16"/>
        </w:rPr>
        <w:t xml:space="preserve">Derechos Humanos de los Detenidos en la Base Naval de Guantánamo, Estados Unidos, 149 Período de Sesiones y Situación de Derechos Humanos de los Detenidos en la Base Naval de Guantánamo, Estados Unidos, 154 período de sesiones. Disponible en: </w:t>
      </w:r>
      <w:hyperlink r:id="rId15" w:anchor="Audiencias">
        <w:r w:rsidRPr="006425BA">
          <w:rPr>
            <w:rStyle w:val="Hyperlink"/>
            <w:rFonts w:asciiTheme="minorHAnsi" w:hAnsiTheme="minorHAnsi"/>
            <w:sz w:val="16"/>
          </w:rPr>
          <w:t>http://www.oas.org/en/iachr/pdl/decisions/Guantanamo.asp#Audiencias</w:t>
        </w:r>
      </w:hyperlink>
      <w:r>
        <w:rPr>
          <w:rFonts w:asciiTheme="minorHAnsi" w:hAnsiTheme="minorHAnsi"/>
          <w:sz w:val="16"/>
        </w:rPr>
        <w:t xml:space="preserve"> </w:t>
      </w:r>
    </w:p>
  </w:footnote>
  <w:footnote w:id="33">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Comunicado de Prensa 103/13: CIDH condena transferencia forzada de </w:t>
      </w:r>
      <w:proofErr w:type="spellStart"/>
      <w:r>
        <w:rPr>
          <w:rFonts w:asciiTheme="minorHAnsi" w:hAnsiTheme="minorHAnsi"/>
          <w:sz w:val="16"/>
        </w:rPr>
        <w:t>Djamel</w:t>
      </w:r>
      <w:proofErr w:type="spellEnd"/>
      <w:r>
        <w:rPr>
          <w:rFonts w:asciiTheme="minorHAnsi" w:hAnsiTheme="minorHAnsi"/>
          <w:sz w:val="16"/>
        </w:rPr>
        <w:t xml:space="preserve"> </w:t>
      </w:r>
      <w:proofErr w:type="spellStart"/>
      <w:r>
        <w:rPr>
          <w:rFonts w:asciiTheme="minorHAnsi" w:hAnsiTheme="minorHAnsi"/>
          <w:sz w:val="16"/>
        </w:rPr>
        <w:t>Ameziane</w:t>
      </w:r>
      <w:proofErr w:type="spellEnd"/>
      <w:r>
        <w:rPr>
          <w:rFonts w:asciiTheme="minorHAnsi" w:hAnsiTheme="minorHAnsi"/>
          <w:sz w:val="16"/>
        </w:rPr>
        <w:t xml:space="preserve"> de Guantánamo a Argelia, 19 de diciembre de 2013. Disponible en: </w:t>
      </w:r>
      <w:hyperlink r:id="rId16">
        <w:r>
          <w:rPr>
            <w:rStyle w:val="Hyperlink"/>
            <w:rFonts w:asciiTheme="minorHAnsi" w:hAnsiTheme="minorHAnsi"/>
            <w:sz w:val="16"/>
          </w:rPr>
          <w:t>http://www.oas.org/es/cidh/prensa/comunicados/2013/103.asp</w:t>
        </w:r>
      </w:hyperlink>
      <w:r>
        <w:rPr>
          <w:rFonts w:asciiTheme="minorHAnsi" w:hAnsiTheme="minorHAnsi"/>
          <w:sz w:val="16"/>
        </w:rPr>
        <w:t xml:space="preserve"> </w:t>
      </w:r>
    </w:p>
  </w:footnote>
  <w:footnote w:id="34">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Informe No. 17/12, </w:t>
      </w:r>
      <w:proofErr w:type="spellStart"/>
      <w:r>
        <w:rPr>
          <w:rFonts w:asciiTheme="minorHAnsi" w:hAnsiTheme="minorHAnsi"/>
          <w:sz w:val="16"/>
        </w:rPr>
        <w:t>Djamel</w:t>
      </w:r>
      <w:proofErr w:type="spellEnd"/>
      <w:r>
        <w:rPr>
          <w:rFonts w:asciiTheme="minorHAnsi" w:hAnsiTheme="minorHAnsi"/>
          <w:sz w:val="16"/>
        </w:rPr>
        <w:t xml:space="preserve"> </w:t>
      </w:r>
      <w:proofErr w:type="spellStart"/>
      <w:r>
        <w:rPr>
          <w:rFonts w:asciiTheme="minorHAnsi" w:hAnsiTheme="minorHAnsi"/>
          <w:sz w:val="16"/>
        </w:rPr>
        <w:t>Ameziane</w:t>
      </w:r>
      <w:proofErr w:type="spellEnd"/>
      <w:r>
        <w:rPr>
          <w:rFonts w:asciiTheme="minorHAnsi" w:hAnsiTheme="minorHAnsi"/>
          <w:sz w:val="16"/>
        </w:rPr>
        <w:t>, P-900-08, Estados Unidos, 20 de marzo de 2012.</w:t>
      </w:r>
    </w:p>
  </w:footnote>
  <w:footnote w:id="35">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Argentina (Diciembre 2004, Diciembre 2006, Abril 2009 y Junio 2010); Bolivia (Noviembre 2006); Brasil (Junio 2005 y Septiembre 2006); Chile (Agosto 2008); Colombia (Noviembre 2005); República Dominicana (Agosto 2006); Ecuador (Mayo 2010); El Salvador (Octubre 2010); Guatemala (Noviembre 2004); Haití (Junio 2007); Honduras (Diciembre 2004 y Abril 2012); México (Agosto 2007); Paraguay (Septiembre 2008); Surinam (Mayo 2011); Estados Unidos (Julio 2009 y Abril 2014); y Uruguay (Mayo 2009 y Julio2011).</w:t>
      </w:r>
    </w:p>
  </w:footnote>
  <w:footnote w:id="36">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Solicitudes de Anuencia para realizar una Visita. Disponible en: </w:t>
      </w:r>
      <w:hyperlink r:id="rId17" w:anchor="Visita">
        <w:r>
          <w:rPr>
            <w:rStyle w:val="Hyperlink"/>
            <w:rFonts w:asciiTheme="minorHAnsi" w:hAnsiTheme="minorHAnsi"/>
            <w:sz w:val="16"/>
          </w:rPr>
          <w:t>http://www.oas.org/es/cidh/ppl/decisiones/Guantanamo.asp#Visita</w:t>
        </w:r>
      </w:hyperlink>
      <w:r>
        <w:rPr>
          <w:rFonts w:asciiTheme="minorHAnsi" w:hAnsiTheme="minorHAnsi"/>
          <w:sz w:val="16"/>
        </w:rPr>
        <w:t xml:space="preserve"> </w:t>
      </w:r>
    </w:p>
  </w:footnote>
  <w:footnote w:id="37">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Ver CIDH, Decisiones sobre el Centro de Detención de EEUU en Guantánamo, Comunicados de Prensa. Disponible en: </w:t>
      </w:r>
      <w:hyperlink r:id="rId18" w:anchor="Comunicados">
        <w:r>
          <w:rPr>
            <w:rStyle w:val="Hyperlink"/>
            <w:rFonts w:asciiTheme="minorHAnsi" w:hAnsiTheme="minorHAnsi"/>
            <w:sz w:val="16"/>
          </w:rPr>
          <w:t>http://www.oas.org/es/cidh/ppl/decisiones/Guantanamo.asp#Comunicados</w:t>
        </w:r>
      </w:hyperlink>
      <w:r>
        <w:rPr>
          <w:rFonts w:asciiTheme="minorHAnsi" w:hAnsiTheme="minorHAnsi"/>
          <w:sz w:val="16"/>
        </w:rPr>
        <w:t xml:space="preserve"> </w:t>
      </w:r>
    </w:p>
  </w:footnote>
  <w:footnote w:id="38">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Comunicado de Prensa 29/13: CIDH, Grupo de Trabajo de ONU sobre la Detención Arbitraria, Relator de ONU contra la Tortura, Relator de ONU para los derechos humanos en la lucha contra el terrorismo, y Relator de ONU sobre la salud reiteran necesidad de terminar con la detención indefinida de personas en la Base Naval de Guantánamo ante actual crisis de derechos humanos, 1 de mayo de 2013. Disponible en:</w:t>
      </w:r>
      <w:r>
        <w:rPr>
          <w:rFonts w:asciiTheme="minorHAnsi" w:hAnsiTheme="minorHAnsi"/>
          <w:color w:val="333333"/>
          <w:sz w:val="16"/>
        </w:rPr>
        <w:t xml:space="preserve"> </w:t>
      </w:r>
      <w:hyperlink r:id="rId19">
        <w:r>
          <w:rPr>
            <w:rStyle w:val="Hyperlink"/>
            <w:rFonts w:asciiTheme="minorHAnsi" w:hAnsiTheme="minorHAnsi"/>
            <w:sz w:val="16"/>
          </w:rPr>
          <w:t>http://www.oas.org/es/cidh/prensa/comunicados/2013/029.asp</w:t>
        </w:r>
      </w:hyperlink>
      <w:r>
        <w:rPr>
          <w:rFonts w:asciiTheme="minorHAnsi" w:hAnsiTheme="minorHAnsi"/>
          <w:sz w:val="16"/>
        </w:rPr>
        <w:t xml:space="preserve"> </w:t>
      </w:r>
      <w:r>
        <w:rPr>
          <w:rFonts w:asciiTheme="minorHAnsi" w:hAnsiTheme="minorHAnsi"/>
          <w:color w:val="333333"/>
          <w:sz w:val="16"/>
        </w:rPr>
        <w:t xml:space="preserve"> </w:t>
      </w:r>
    </w:p>
  </w:footnote>
  <w:footnote w:id="39">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Ver, </w:t>
      </w:r>
      <w:r>
        <w:rPr>
          <w:rFonts w:asciiTheme="minorHAnsi" w:hAnsiTheme="minorHAnsi"/>
          <w:i/>
          <w:sz w:val="16"/>
        </w:rPr>
        <w:t xml:space="preserve">mutatis </w:t>
      </w:r>
      <w:proofErr w:type="spellStart"/>
      <w:r>
        <w:rPr>
          <w:rFonts w:asciiTheme="minorHAnsi" w:hAnsiTheme="minorHAnsi"/>
          <w:i/>
          <w:sz w:val="16"/>
        </w:rPr>
        <w:t>mutandi</w:t>
      </w:r>
      <w:proofErr w:type="spellEnd"/>
      <w:r>
        <w:rPr>
          <w:rFonts w:asciiTheme="minorHAnsi" w:hAnsiTheme="minorHAnsi"/>
          <w:sz w:val="16"/>
        </w:rPr>
        <w:t xml:space="preserve">, CIDH, </w:t>
      </w:r>
      <w:r>
        <w:rPr>
          <w:rFonts w:asciiTheme="minorHAnsi" w:hAnsiTheme="minorHAnsi"/>
          <w:i/>
          <w:sz w:val="16"/>
        </w:rPr>
        <w:t>Informe sobre el uso de la Prisión Preventiva en las Américas</w:t>
      </w:r>
      <w:r>
        <w:rPr>
          <w:rFonts w:asciiTheme="minorHAnsi" w:hAnsiTheme="minorHAnsi"/>
          <w:sz w:val="16"/>
        </w:rPr>
        <w:t>, OEA/</w:t>
      </w:r>
      <w:proofErr w:type="spellStart"/>
      <w:r>
        <w:rPr>
          <w:rFonts w:asciiTheme="minorHAnsi" w:hAnsiTheme="minorHAnsi"/>
          <w:sz w:val="16"/>
        </w:rPr>
        <w:t>Ser.L</w:t>
      </w:r>
      <w:proofErr w:type="spellEnd"/>
      <w:r>
        <w:rPr>
          <w:rFonts w:asciiTheme="minorHAnsi" w:hAnsiTheme="minorHAnsi"/>
          <w:sz w:val="16"/>
        </w:rPr>
        <w:t>./V/II. Doc. 46/13, 30 de diciembre de 2013, párr. 133.</w:t>
      </w:r>
    </w:p>
  </w:footnote>
  <w:footnote w:id="40">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w:t>
      </w:r>
      <w:r>
        <w:rPr>
          <w:rFonts w:asciiTheme="minorHAnsi" w:hAnsiTheme="minorHAnsi"/>
          <w:i/>
          <w:sz w:val="16"/>
        </w:rPr>
        <w:t>Informe sobre Terrorismo y Derechos Humanos</w:t>
      </w:r>
      <w:r>
        <w:rPr>
          <w:rFonts w:asciiTheme="minorHAnsi" w:hAnsiTheme="minorHAnsi"/>
          <w:sz w:val="16"/>
        </w:rPr>
        <w:t>, OEA/</w:t>
      </w:r>
      <w:proofErr w:type="spellStart"/>
      <w:r>
        <w:rPr>
          <w:rFonts w:asciiTheme="minorHAnsi" w:hAnsiTheme="minorHAnsi"/>
          <w:sz w:val="16"/>
        </w:rPr>
        <w:t>Ser.L</w:t>
      </w:r>
      <w:proofErr w:type="spellEnd"/>
      <w:r>
        <w:rPr>
          <w:rFonts w:asciiTheme="minorHAnsi" w:hAnsiTheme="minorHAnsi"/>
          <w:sz w:val="16"/>
        </w:rPr>
        <w:t>/V/II.116.Doc.5 rev.1, 22 de octubre de 2002, párr. 120.</w:t>
      </w:r>
    </w:p>
  </w:footnote>
  <w:footnote w:id="41">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Ver, </w:t>
      </w:r>
      <w:r>
        <w:rPr>
          <w:rFonts w:asciiTheme="minorHAnsi" w:hAnsiTheme="minorHAnsi"/>
          <w:i/>
          <w:sz w:val="16"/>
        </w:rPr>
        <w:t xml:space="preserve">mutatis </w:t>
      </w:r>
      <w:proofErr w:type="spellStart"/>
      <w:r>
        <w:rPr>
          <w:rFonts w:asciiTheme="minorHAnsi" w:hAnsiTheme="minorHAnsi"/>
          <w:i/>
          <w:sz w:val="16"/>
        </w:rPr>
        <w:t>mutandi</w:t>
      </w:r>
      <w:proofErr w:type="spellEnd"/>
      <w:r>
        <w:rPr>
          <w:rFonts w:asciiTheme="minorHAnsi" w:hAnsiTheme="minorHAnsi"/>
          <w:sz w:val="16"/>
        </w:rPr>
        <w:t xml:space="preserve">, CIDH, </w:t>
      </w:r>
      <w:r>
        <w:rPr>
          <w:rFonts w:asciiTheme="minorHAnsi" w:hAnsiTheme="minorHAnsi"/>
          <w:i/>
          <w:sz w:val="16"/>
        </w:rPr>
        <w:t>Tercer Informe sobre la Situación de Derechos Humanos en las Américas</w:t>
      </w:r>
      <w:r>
        <w:rPr>
          <w:rFonts w:asciiTheme="minorHAnsi" w:hAnsiTheme="minorHAnsi"/>
          <w:sz w:val="16"/>
        </w:rPr>
        <w:t>, OEA/</w:t>
      </w:r>
      <w:proofErr w:type="spellStart"/>
      <w:r>
        <w:rPr>
          <w:rFonts w:asciiTheme="minorHAnsi" w:hAnsiTheme="minorHAnsi"/>
          <w:sz w:val="16"/>
        </w:rPr>
        <w:t>Ser.L</w:t>
      </w:r>
      <w:proofErr w:type="spellEnd"/>
      <w:r>
        <w:rPr>
          <w:rFonts w:asciiTheme="minorHAnsi" w:hAnsiTheme="minorHAnsi"/>
          <w:sz w:val="16"/>
        </w:rPr>
        <w:t xml:space="preserve">/V/II.102, 26 de febrero de 1999, </w:t>
      </w:r>
      <w:proofErr w:type="spellStart"/>
      <w:r>
        <w:rPr>
          <w:rFonts w:asciiTheme="minorHAnsi" w:hAnsiTheme="minorHAnsi"/>
          <w:sz w:val="16"/>
        </w:rPr>
        <w:t>párrs</w:t>
      </w:r>
      <w:proofErr w:type="spellEnd"/>
      <w:r>
        <w:rPr>
          <w:rFonts w:asciiTheme="minorHAnsi" w:hAnsiTheme="minorHAnsi"/>
          <w:sz w:val="16"/>
        </w:rPr>
        <w:t>. 10-12.</w:t>
      </w:r>
    </w:p>
  </w:footnote>
  <w:footnote w:id="42">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Ver, </w:t>
      </w:r>
      <w:r>
        <w:rPr>
          <w:rFonts w:asciiTheme="minorHAnsi" w:hAnsiTheme="minorHAnsi"/>
          <w:i/>
          <w:sz w:val="16"/>
        </w:rPr>
        <w:t xml:space="preserve">mutatis </w:t>
      </w:r>
      <w:proofErr w:type="spellStart"/>
      <w:r>
        <w:rPr>
          <w:rFonts w:asciiTheme="minorHAnsi" w:hAnsiTheme="minorHAnsi"/>
          <w:i/>
          <w:sz w:val="16"/>
        </w:rPr>
        <w:t>mutandi</w:t>
      </w:r>
      <w:proofErr w:type="spellEnd"/>
      <w:r>
        <w:rPr>
          <w:rFonts w:asciiTheme="minorHAnsi" w:hAnsiTheme="minorHAnsi"/>
          <w:sz w:val="16"/>
        </w:rPr>
        <w:t xml:space="preserve">, CIDH, </w:t>
      </w:r>
      <w:r>
        <w:rPr>
          <w:rFonts w:asciiTheme="minorHAnsi" w:hAnsiTheme="minorHAnsi"/>
          <w:i/>
          <w:sz w:val="16"/>
        </w:rPr>
        <w:t xml:space="preserve">Tercer Informe sobre la Situación de Derechos Humanos en las </w:t>
      </w:r>
      <w:proofErr w:type="gramStart"/>
      <w:r>
        <w:rPr>
          <w:rFonts w:asciiTheme="minorHAnsi" w:hAnsiTheme="minorHAnsi"/>
          <w:i/>
          <w:sz w:val="16"/>
        </w:rPr>
        <w:t xml:space="preserve">Américas </w:t>
      </w:r>
      <w:r>
        <w:rPr>
          <w:rFonts w:asciiTheme="minorHAnsi" w:hAnsiTheme="minorHAnsi"/>
          <w:sz w:val="16"/>
        </w:rPr>
        <w:t>,</w:t>
      </w:r>
      <w:proofErr w:type="gramEnd"/>
      <w:r>
        <w:rPr>
          <w:rFonts w:asciiTheme="minorHAnsi" w:hAnsiTheme="minorHAnsi"/>
          <w:sz w:val="16"/>
        </w:rPr>
        <w:t xml:space="preserve"> OEA/</w:t>
      </w:r>
      <w:proofErr w:type="spellStart"/>
      <w:r>
        <w:rPr>
          <w:rFonts w:asciiTheme="minorHAnsi" w:hAnsiTheme="minorHAnsi"/>
          <w:sz w:val="16"/>
        </w:rPr>
        <w:t>Ser.L</w:t>
      </w:r>
      <w:proofErr w:type="spellEnd"/>
      <w:r>
        <w:rPr>
          <w:rFonts w:asciiTheme="minorHAnsi" w:hAnsiTheme="minorHAnsi"/>
          <w:sz w:val="16"/>
        </w:rPr>
        <w:t xml:space="preserve">/V/II.102, 26 de febrero de 1999, </w:t>
      </w:r>
      <w:proofErr w:type="spellStart"/>
      <w:r>
        <w:rPr>
          <w:rFonts w:asciiTheme="minorHAnsi" w:hAnsiTheme="minorHAnsi"/>
          <w:sz w:val="16"/>
        </w:rPr>
        <w:t>párrs</w:t>
      </w:r>
      <w:proofErr w:type="spellEnd"/>
      <w:r>
        <w:rPr>
          <w:rFonts w:asciiTheme="minorHAnsi" w:hAnsiTheme="minorHAnsi"/>
          <w:sz w:val="16"/>
        </w:rPr>
        <w:t>. 10-12.</w:t>
      </w:r>
    </w:p>
  </w:footnote>
  <w:footnote w:id="43">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w:t>
      </w:r>
      <w:r>
        <w:rPr>
          <w:rFonts w:asciiTheme="minorHAnsi" w:hAnsiTheme="minorHAnsi"/>
          <w:i/>
          <w:sz w:val="16"/>
        </w:rPr>
        <w:t>Tercer Informe sobre la Situación de Derechos Humanos en Colombia</w:t>
      </w:r>
      <w:r>
        <w:rPr>
          <w:rFonts w:asciiTheme="minorHAnsi" w:hAnsiTheme="minorHAnsi"/>
          <w:sz w:val="16"/>
        </w:rPr>
        <w:t>, OEA/</w:t>
      </w:r>
      <w:proofErr w:type="spellStart"/>
      <w:r>
        <w:rPr>
          <w:rFonts w:asciiTheme="minorHAnsi" w:hAnsiTheme="minorHAnsi"/>
          <w:sz w:val="16"/>
        </w:rPr>
        <w:t>Ser.L</w:t>
      </w:r>
      <w:proofErr w:type="spellEnd"/>
      <w:r>
        <w:rPr>
          <w:rFonts w:asciiTheme="minorHAnsi" w:hAnsiTheme="minorHAnsi"/>
          <w:sz w:val="16"/>
        </w:rPr>
        <w:t>/V/II.102, 26 de febrero de 1999, Capítulo IV, párr. 13.</w:t>
      </w:r>
    </w:p>
  </w:footnote>
  <w:footnote w:id="44">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Informe escrito del Gobierno de Estados Unidos en seguimiento a la audiencia temática de la CIDH sobre la “Situación de Derechos Humanos de las Personas Detenidas en la Base Naval Estadounidense en la Bahía de Guantánamo” celebrada el 28 de octubre de 2013, p. 2.</w:t>
      </w:r>
    </w:p>
  </w:footnote>
  <w:footnote w:id="45">
    <w:p w:rsidR="00AF130B" w:rsidRPr="006425BA"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Respuesta del Gobierno de Estados Unidos de América de fecha 21 de octubre de 2005 a la Solicitud de los Relatores Especiales de la ONU de fecha 8 de agosto de 2005, Relativa a los Detenidos de Guantánamo, p. 3, </w:t>
      </w:r>
      <w:r>
        <w:rPr>
          <w:rFonts w:asciiTheme="minorHAnsi" w:hAnsiTheme="minorHAnsi"/>
          <w:i/>
          <w:sz w:val="16"/>
        </w:rPr>
        <w:t>citada en:</w:t>
      </w:r>
      <w:r>
        <w:rPr>
          <w:rFonts w:asciiTheme="minorHAnsi" w:hAnsiTheme="minorHAnsi"/>
          <w:sz w:val="16"/>
        </w:rPr>
        <w:t xml:space="preserve"> Consejo Económico y Social, </w:t>
      </w:r>
      <w:r>
        <w:rPr>
          <w:rFonts w:asciiTheme="minorHAnsi" w:hAnsiTheme="minorHAnsi"/>
          <w:i/>
          <w:sz w:val="16"/>
        </w:rPr>
        <w:t>Situación de los Detenidos en la Bahía de Guantánamo</w:t>
      </w:r>
      <w:r>
        <w:rPr>
          <w:rFonts w:asciiTheme="minorHAnsi" w:hAnsiTheme="minorHAnsi"/>
          <w:sz w:val="16"/>
        </w:rPr>
        <w:t xml:space="preserve">, E/CN.4/2006/120, 27 de febrero 2006, párr. 19. Disponible en: </w:t>
      </w:r>
      <w:hyperlink r:id="rId20">
        <w:r w:rsidRPr="006425BA">
          <w:rPr>
            <w:rStyle w:val="Hyperlink"/>
            <w:rFonts w:asciiTheme="minorHAnsi" w:hAnsiTheme="minorHAnsi"/>
            <w:sz w:val="16"/>
          </w:rPr>
          <w:t>http://daccess-dds-ny.un.org/doc/UNDOC/GEN/G06/112/79/PDF/G0611279.pdf?OpenElement</w:t>
        </w:r>
      </w:hyperlink>
      <w:r w:rsidRPr="006425BA">
        <w:rPr>
          <w:rFonts w:asciiTheme="minorHAnsi" w:hAnsiTheme="minorHAnsi"/>
          <w:sz w:val="16"/>
        </w:rPr>
        <w:t xml:space="preserve"> </w:t>
      </w:r>
      <w:r w:rsidRPr="006425BA">
        <w:rPr>
          <w:rFonts w:asciiTheme="minorHAnsi" w:hAnsiTheme="minorHAnsi"/>
          <w:b/>
          <w:sz w:val="16"/>
        </w:rPr>
        <w:t xml:space="preserve"> </w:t>
      </w:r>
    </w:p>
  </w:footnote>
  <w:footnote w:id="46">
    <w:p w:rsidR="00AF130B" w:rsidRPr="006425BA" w:rsidRDefault="00AF130B" w:rsidP="00CE3EC6">
      <w:pPr>
        <w:pStyle w:val="FootnoteText"/>
        <w:ind w:left="547" w:hanging="547"/>
        <w:jc w:val="both"/>
        <w:rPr>
          <w:rFonts w:asciiTheme="minorHAnsi" w:hAnsiTheme="minorHAnsi"/>
          <w:sz w:val="16"/>
          <w:szCs w:val="16"/>
        </w:rPr>
      </w:pPr>
      <w:r w:rsidRPr="006425BA">
        <w:rPr>
          <w:rStyle w:val="FootnoteReference"/>
          <w:rFonts w:asciiTheme="minorHAnsi" w:hAnsiTheme="minorHAnsi"/>
          <w:sz w:val="16"/>
        </w:rPr>
        <w:footnoteRef/>
      </w:r>
      <w:r w:rsidRPr="006425BA">
        <w:rPr>
          <w:rFonts w:asciiTheme="minorHAnsi" w:hAnsiTheme="minorHAnsi"/>
          <w:sz w:val="16"/>
        </w:rPr>
        <w:t xml:space="preserve"> </w:t>
      </w:r>
      <w:r w:rsidRPr="006425BA">
        <w:tab/>
      </w:r>
      <w:r w:rsidRPr="006425BA">
        <w:rPr>
          <w:rFonts w:asciiTheme="minorHAnsi" w:hAnsiTheme="minorHAnsi"/>
          <w:sz w:val="16"/>
        </w:rPr>
        <w:t>Comunicación del Gobierno de Estados Unidos dirigida a la Comisión Interamericana de Derechos Humanos respecto del Informe Preliminar sobre el Cierre de Guantánamo, OEA/</w:t>
      </w:r>
      <w:proofErr w:type="spellStart"/>
      <w:r w:rsidRPr="006425BA">
        <w:rPr>
          <w:rFonts w:asciiTheme="minorHAnsi" w:hAnsiTheme="minorHAnsi"/>
          <w:sz w:val="16"/>
        </w:rPr>
        <w:t>Ser.L</w:t>
      </w:r>
      <w:proofErr w:type="spellEnd"/>
      <w:r w:rsidRPr="006425BA">
        <w:rPr>
          <w:rFonts w:asciiTheme="minorHAnsi" w:hAnsiTheme="minorHAnsi"/>
          <w:sz w:val="16"/>
        </w:rPr>
        <w:t>/V/II.doc. 30 de enero de 2015, 30 de marzo de 2015, pág. 1.</w:t>
      </w:r>
    </w:p>
  </w:footnote>
  <w:footnote w:id="47">
    <w:p w:rsidR="00AF130B" w:rsidRPr="005D0288" w:rsidRDefault="00AF130B" w:rsidP="00CE3EC6">
      <w:pPr>
        <w:pStyle w:val="FootnoteText"/>
        <w:ind w:left="547" w:hanging="547"/>
        <w:jc w:val="both"/>
        <w:rPr>
          <w:rFonts w:asciiTheme="minorHAnsi" w:hAnsiTheme="minorHAnsi"/>
          <w:sz w:val="16"/>
          <w:szCs w:val="16"/>
          <w:lang w:val="es-EC"/>
        </w:rPr>
      </w:pPr>
      <w:r w:rsidRPr="006425BA">
        <w:rPr>
          <w:rStyle w:val="FootnoteReference"/>
          <w:rFonts w:asciiTheme="minorHAnsi" w:hAnsiTheme="minorHAnsi"/>
          <w:sz w:val="16"/>
        </w:rPr>
        <w:footnoteRef/>
      </w:r>
      <w:r w:rsidRPr="006425BA">
        <w:rPr>
          <w:rFonts w:asciiTheme="minorHAnsi" w:hAnsiTheme="minorHAnsi"/>
          <w:sz w:val="16"/>
        </w:rPr>
        <w:t xml:space="preserve"> </w:t>
      </w:r>
      <w:r w:rsidRPr="006425BA">
        <w:tab/>
      </w:r>
      <w:r w:rsidRPr="006425BA">
        <w:rPr>
          <w:rFonts w:asciiTheme="minorHAnsi" w:hAnsiTheme="minorHAnsi"/>
          <w:sz w:val="16"/>
        </w:rPr>
        <w:t>CIDH, Resolución No. 2/06 Sobre las Medidas Cautelares de Guantánamo, 28 de julio de 2006.</w:t>
      </w:r>
      <w:r>
        <w:rPr>
          <w:rFonts w:asciiTheme="minorHAnsi" w:hAnsiTheme="minorHAnsi"/>
          <w:sz w:val="16"/>
        </w:rPr>
        <w:t xml:space="preserve"> </w:t>
      </w:r>
    </w:p>
  </w:footnote>
  <w:footnote w:id="48">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Autorización para el Uso de la Fuerza Militar, Pub. L. No. 107-40, 115 </w:t>
      </w:r>
      <w:proofErr w:type="spellStart"/>
      <w:r>
        <w:rPr>
          <w:rFonts w:asciiTheme="minorHAnsi" w:hAnsiTheme="minorHAnsi"/>
          <w:sz w:val="16"/>
        </w:rPr>
        <w:t>Stat</w:t>
      </w:r>
      <w:proofErr w:type="spellEnd"/>
      <w:r>
        <w:rPr>
          <w:rFonts w:asciiTheme="minorHAnsi" w:hAnsiTheme="minorHAnsi"/>
          <w:sz w:val="16"/>
        </w:rPr>
        <w:t xml:space="preserve">. 224 (2001). Disponible en: </w:t>
      </w:r>
      <w:hyperlink r:id="rId21">
        <w:r>
          <w:rPr>
            <w:rStyle w:val="Hyperlink"/>
            <w:rFonts w:asciiTheme="minorHAnsi" w:hAnsiTheme="minorHAnsi"/>
            <w:sz w:val="16"/>
          </w:rPr>
          <w:t>http://www.gpo.gov/fdsys/pkg/PLAW-107publ40/pdf/PLAW-107publ40.pdf</w:t>
        </w:r>
      </w:hyperlink>
      <w:r>
        <w:rPr>
          <w:rFonts w:asciiTheme="minorHAnsi" w:hAnsiTheme="minorHAnsi"/>
          <w:sz w:val="16"/>
        </w:rPr>
        <w:t xml:space="preserve"> </w:t>
      </w:r>
    </w:p>
  </w:footnote>
  <w:footnote w:id="49">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Decreto Militar de 13 de noviembre de 2001, Detención, Tratamiento y Juicio de Ciertos No-Ciudadanos en la Guerra contra el Terrorismo. Disponible en: </w:t>
      </w:r>
      <w:hyperlink r:id="rId22">
        <w:r>
          <w:rPr>
            <w:rStyle w:val="Hyperlink"/>
            <w:rFonts w:asciiTheme="minorHAnsi" w:hAnsiTheme="minorHAnsi"/>
            <w:sz w:val="16"/>
          </w:rPr>
          <w:t>http://fas.org/irp/offdocs/eo/mo-111301.htm</w:t>
        </w:r>
      </w:hyperlink>
      <w:r>
        <w:rPr>
          <w:rFonts w:asciiTheme="minorHAnsi" w:hAnsiTheme="minorHAnsi"/>
          <w:sz w:val="16"/>
        </w:rPr>
        <w:t xml:space="preserve"> </w:t>
      </w:r>
    </w:p>
  </w:footnote>
  <w:footnote w:id="50">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Decreto Militar de 13 de noviembre de 2001, Detención, Tratamiento y Juicio de Ciertos No-Ciudadanos en la Guerra contra el Terrorismo, Sec. 7(b</w:t>
      </w:r>
      <w:proofErr w:type="gramStart"/>
      <w:r>
        <w:rPr>
          <w:rFonts w:asciiTheme="minorHAnsi" w:hAnsiTheme="minorHAnsi"/>
          <w:sz w:val="16"/>
        </w:rPr>
        <w:t>)(</w:t>
      </w:r>
      <w:proofErr w:type="gramEnd"/>
      <w:r>
        <w:rPr>
          <w:rFonts w:asciiTheme="minorHAnsi" w:hAnsiTheme="minorHAnsi"/>
          <w:sz w:val="16"/>
        </w:rPr>
        <w:t>2).</w:t>
      </w:r>
    </w:p>
  </w:footnote>
  <w:footnote w:id="51">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Memorando para William J. </w:t>
      </w:r>
      <w:proofErr w:type="spellStart"/>
      <w:r>
        <w:rPr>
          <w:rFonts w:asciiTheme="minorHAnsi" w:hAnsiTheme="minorHAnsi"/>
          <w:sz w:val="16"/>
        </w:rPr>
        <w:t>Haynes</w:t>
      </w:r>
      <w:proofErr w:type="spellEnd"/>
      <w:r>
        <w:rPr>
          <w:rFonts w:asciiTheme="minorHAnsi" w:hAnsiTheme="minorHAnsi"/>
          <w:sz w:val="16"/>
        </w:rPr>
        <w:t xml:space="preserve">, II, General </w:t>
      </w:r>
      <w:proofErr w:type="spellStart"/>
      <w:r>
        <w:rPr>
          <w:rFonts w:asciiTheme="minorHAnsi" w:hAnsiTheme="minorHAnsi"/>
          <w:sz w:val="16"/>
        </w:rPr>
        <w:t>Counsel</w:t>
      </w:r>
      <w:proofErr w:type="spellEnd"/>
      <w:r>
        <w:rPr>
          <w:rFonts w:asciiTheme="minorHAnsi" w:hAnsiTheme="minorHAnsi"/>
          <w:sz w:val="16"/>
        </w:rPr>
        <w:t xml:space="preserve">, Departamento de Defensa, asunto: Posible Jurisdicción sobre Hábeas Corpus presentados por Extranjeros Detenidos en la Bahía de Guantánamo, Cuba, de Patrick F. </w:t>
      </w:r>
      <w:proofErr w:type="spellStart"/>
      <w:r>
        <w:rPr>
          <w:rFonts w:asciiTheme="minorHAnsi" w:hAnsiTheme="minorHAnsi"/>
          <w:sz w:val="16"/>
        </w:rPr>
        <w:t>Philbin</w:t>
      </w:r>
      <w:proofErr w:type="spellEnd"/>
      <w:r>
        <w:rPr>
          <w:rFonts w:asciiTheme="minorHAnsi" w:hAnsiTheme="minorHAnsi"/>
          <w:sz w:val="16"/>
        </w:rPr>
        <w:t xml:space="preserve"> y John C. </w:t>
      </w:r>
      <w:proofErr w:type="spellStart"/>
      <w:r>
        <w:rPr>
          <w:rFonts w:asciiTheme="minorHAnsi" w:hAnsiTheme="minorHAnsi"/>
          <w:sz w:val="16"/>
        </w:rPr>
        <w:t>Yoo</w:t>
      </w:r>
      <w:proofErr w:type="spellEnd"/>
      <w:r>
        <w:rPr>
          <w:rFonts w:asciiTheme="minorHAnsi" w:hAnsiTheme="minorHAnsi"/>
          <w:sz w:val="16"/>
        </w:rPr>
        <w:t xml:space="preserve">, </w:t>
      </w:r>
      <w:proofErr w:type="spellStart"/>
      <w:r>
        <w:rPr>
          <w:rFonts w:asciiTheme="minorHAnsi" w:hAnsiTheme="minorHAnsi"/>
          <w:sz w:val="16"/>
        </w:rPr>
        <w:t>Deputy</w:t>
      </w:r>
      <w:proofErr w:type="spellEnd"/>
      <w:r>
        <w:rPr>
          <w:rFonts w:asciiTheme="minorHAnsi" w:hAnsiTheme="minorHAnsi"/>
          <w:sz w:val="16"/>
        </w:rPr>
        <w:t xml:space="preserve"> </w:t>
      </w:r>
      <w:proofErr w:type="spellStart"/>
      <w:r>
        <w:rPr>
          <w:rFonts w:asciiTheme="minorHAnsi" w:hAnsiTheme="minorHAnsi"/>
          <w:sz w:val="16"/>
        </w:rPr>
        <w:t>Assistant</w:t>
      </w:r>
      <w:proofErr w:type="spellEnd"/>
      <w:r>
        <w:rPr>
          <w:rFonts w:asciiTheme="minorHAnsi" w:hAnsiTheme="minorHAnsi"/>
          <w:sz w:val="16"/>
        </w:rPr>
        <w:t xml:space="preserve"> </w:t>
      </w:r>
      <w:proofErr w:type="spellStart"/>
      <w:r>
        <w:rPr>
          <w:rFonts w:asciiTheme="minorHAnsi" w:hAnsiTheme="minorHAnsi"/>
          <w:sz w:val="16"/>
        </w:rPr>
        <w:t>Attorneys</w:t>
      </w:r>
      <w:proofErr w:type="spellEnd"/>
      <w:r>
        <w:rPr>
          <w:rFonts w:asciiTheme="minorHAnsi" w:hAnsiTheme="minorHAnsi"/>
          <w:sz w:val="16"/>
        </w:rPr>
        <w:t xml:space="preserve"> General, Office of Legal </w:t>
      </w:r>
      <w:proofErr w:type="spellStart"/>
      <w:r>
        <w:rPr>
          <w:rFonts w:asciiTheme="minorHAnsi" w:hAnsiTheme="minorHAnsi"/>
          <w:sz w:val="16"/>
        </w:rPr>
        <w:t>Counsel</w:t>
      </w:r>
      <w:proofErr w:type="spellEnd"/>
      <w:r>
        <w:rPr>
          <w:rFonts w:asciiTheme="minorHAnsi" w:hAnsiTheme="minorHAnsi"/>
          <w:sz w:val="16"/>
        </w:rPr>
        <w:t xml:space="preserve">, Departamento de Justicia de EE.UU., 28 de diciembre de 2001. Disponible en: </w:t>
      </w:r>
      <w:hyperlink r:id="rId23">
        <w:r>
          <w:rPr>
            <w:rStyle w:val="Hyperlink"/>
            <w:rFonts w:asciiTheme="minorHAnsi" w:hAnsiTheme="minorHAnsi"/>
            <w:sz w:val="16"/>
          </w:rPr>
          <w:t>http://www.torturingdemocracy.org/documents/20011228.pdf</w:t>
        </w:r>
      </w:hyperlink>
      <w:r>
        <w:rPr>
          <w:rFonts w:asciiTheme="minorHAnsi" w:hAnsiTheme="minorHAnsi"/>
          <w:sz w:val="16"/>
        </w:rPr>
        <w:t xml:space="preserve">  </w:t>
      </w:r>
    </w:p>
  </w:footnote>
  <w:footnote w:id="52">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Memorando para William J. </w:t>
      </w:r>
      <w:proofErr w:type="spellStart"/>
      <w:r>
        <w:rPr>
          <w:rFonts w:asciiTheme="minorHAnsi" w:hAnsiTheme="minorHAnsi"/>
          <w:sz w:val="16"/>
        </w:rPr>
        <w:t>Haynes</w:t>
      </w:r>
      <w:proofErr w:type="spellEnd"/>
      <w:r>
        <w:rPr>
          <w:rFonts w:asciiTheme="minorHAnsi" w:hAnsiTheme="minorHAnsi"/>
          <w:sz w:val="16"/>
        </w:rPr>
        <w:t xml:space="preserve">, II, General </w:t>
      </w:r>
      <w:proofErr w:type="spellStart"/>
      <w:r>
        <w:rPr>
          <w:rFonts w:asciiTheme="minorHAnsi" w:hAnsiTheme="minorHAnsi"/>
          <w:sz w:val="16"/>
        </w:rPr>
        <w:t>Counsel</w:t>
      </w:r>
      <w:proofErr w:type="spellEnd"/>
      <w:r>
        <w:rPr>
          <w:rFonts w:asciiTheme="minorHAnsi" w:hAnsiTheme="minorHAnsi"/>
          <w:sz w:val="16"/>
        </w:rPr>
        <w:t xml:space="preserve">, Departamento de Defensa, asunto: Posible Jurisdicción sobre Hábeas Corpus presentados por Extranjeros Detenidos en la Bahía de Guantánamo, Cuba, de Patrick F. </w:t>
      </w:r>
      <w:proofErr w:type="spellStart"/>
      <w:r>
        <w:rPr>
          <w:rFonts w:asciiTheme="minorHAnsi" w:hAnsiTheme="minorHAnsi"/>
          <w:sz w:val="16"/>
        </w:rPr>
        <w:t>Philbin</w:t>
      </w:r>
      <w:proofErr w:type="spellEnd"/>
      <w:r>
        <w:rPr>
          <w:rFonts w:asciiTheme="minorHAnsi" w:hAnsiTheme="minorHAnsi"/>
          <w:sz w:val="16"/>
        </w:rPr>
        <w:t xml:space="preserve"> y John C. </w:t>
      </w:r>
      <w:proofErr w:type="spellStart"/>
      <w:r>
        <w:rPr>
          <w:rFonts w:asciiTheme="minorHAnsi" w:hAnsiTheme="minorHAnsi"/>
          <w:sz w:val="16"/>
        </w:rPr>
        <w:t>Yoo</w:t>
      </w:r>
      <w:proofErr w:type="spellEnd"/>
      <w:r>
        <w:rPr>
          <w:rFonts w:asciiTheme="minorHAnsi" w:hAnsiTheme="minorHAnsi"/>
          <w:sz w:val="16"/>
        </w:rPr>
        <w:t xml:space="preserve">, </w:t>
      </w:r>
      <w:proofErr w:type="spellStart"/>
      <w:r>
        <w:rPr>
          <w:rFonts w:asciiTheme="minorHAnsi" w:hAnsiTheme="minorHAnsi"/>
          <w:sz w:val="16"/>
        </w:rPr>
        <w:t>Deputy</w:t>
      </w:r>
      <w:proofErr w:type="spellEnd"/>
      <w:r>
        <w:rPr>
          <w:rFonts w:asciiTheme="minorHAnsi" w:hAnsiTheme="minorHAnsi"/>
          <w:sz w:val="16"/>
        </w:rPr>
        <w:t xml:space="preserve"> </w:t>
      </w:r>
      <w:proofErr w:type="spellStart"/>
      <w:r>
        <w:rPr>
          <w:rFonts w:asciiTheme="minorHAnsi" w:hAnsiTheme="minorHAnsi"/>
          <w:sz w:val="16"/>
        </w:rPr>
        <w:t>Assistant</w:t>
      </w:r>
      <w:proofErr w:type="spellEnd"/>
      <w:r>
        <w:rPr>
          <w:rFonts w:asciiTheme="minorHAnsi" w:hAnsiTheme="minorHAnsi"/>
          <w:sz w:val="16"/>
        </w:rPr>
        <w:t xml:space="preserve"> </w:t>
      </w:r>
      <w:proofErr w:type="spellStart"/>
      <w:r>
        <w:rPr>
          <w:rFonts w:asciiTheme="minorHAnsi" w:hAnsiTheme="minorHAnsi"/>
          <w:sz w:val="16"/>
        </w:rPr>
        <w:t>Attorneys</w:t>
      </w:r>
      <w:proofErr w:type="spellEnd"/>
      <w:r>
        <w:rPr>
          <w:rFonts w:asciiTheme="minorHAnsi" w:hAnsiTheme="minorHAnsi"/>
          <w:sz w:val="16"/>
        </w:rPr>
        <w:t xml:space="preserve"> General, Office of Legal </w:t>
      </w:r>
      <w:proofErr w:type="spellStart"/>
      <w:r>
        <w:rPr>
          <w:rFonts w:asciiTheme="minorHAnsi" w:hAnsiTheme="minorHAnsi"/>
          <w:sz w:val="16"/>
        </w:rPr>
        <w:t>Counsel</w:t>
      </w:r>
      <w:proofErr w:type="spellEnd"/>
      <w:r>
        <w:rPr>
          <w:rFonts w:asciiTheme="minorHAnsi" w:hAnsiTheme="minorHAnsi"/>
          <w:sz w:val="16"/>
        </w:rPr>
        <w:t>, Departamento de Justicia de EE.UU., 28 de diciembre de 2001, p.3.</w:t>
      </w:r>
    </w:p>
  </w:footnote>
  <w:footnote w:id="53">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Memorando para William J. </w:t>
      </w:r>
      <w:proofErr w:type="spellStart"/>
      <w:r>
        <w:rPr>
          <w:rFonts w:asciiTheme="minorHAnsi" w:hAnsiTheme="minorHAnsi"/>
          <w:sz w:val="16"/>
        </w:rPr>
        <w:t>Haynes</w:t>
      </w:r>
      <w:proofErr w:type="spellEnd"/>
      <w:r>
        <w:rPr>
          <w:rFonts w:asciiTheme="minorHAnsi" w:hAnsiTheme="minorHAnsi"/>
          <w:sz w:val="16"/>
        </w:rPr>
        <w:t xml:space="preserve">, II, General </w:t>
      </w:r>
      <w:proofErr w:type="spellStart"/>
      <w:r>
        <w:rPr>
          <w:rFonts w:asciiTheme="minorHAnsi" w:hAnsiTheme="minorHAnsi"/>
          <w:sz w:val="16"/>
        </w:rPr>
        <w:t>Counsel</w:t>
      </w:r>
      <w:proofErr w:type="spellEnd"/>
      <w:r>
        <w:rPr>
          <w:rFonts w:asciiTheme="minorHAnsi" w:hAnsiTheme="minorHAnsi"/>
          <w:sz w:val="16"/>
        </w:rPr>
        <w:t xml:space="preserve">, Departamento de Defensa, asunto: Aplicación de Tratados y Leyes a Detenidos de Al Qaeda y Talibanes, de John </w:t>
      </w:r>
      <w:proofErr w:type="spellStart"/>
      <w:r>
        <w:rPr>
          <w:rFonts w:asciiTheme="minorHAnsi" w:hAnsiTheme="minorHAnsi"/>
          <w:sz w:val="16"/>
        </w:rPr>
        <w:t>Yoo</w:t>
      </w:r>
      <w:proofErr w:type="spellEnd"/>
      <w:r>
        <w:rPr>
          <w:rFonts w:asciiTheme="minorHAnsi" w:hAnsiTheme="minorHAnsi"/>
          <w:sz w:val="16"/>
        </w:rPr>
        <w:t xml:space="preserve">, </w:t>
      </w:r>
      <w:proofErr w:type="spellStart"/>
      <w:r>
        <w:rPr>
          <w:rFonts w:asciiTheme="minorHAnsi" w:hAnsiTheme="minorHAnsi"/>
          <w:sz w:val="16"/>
        </w:rPr>
        <w:t>Deputy</w:t>
      </w:r>
      <w:proofErr w:type="spellEnd"/>
      <w:r>
        <w:rPr>
          <w:rFonts w:asciiTheme="minorHAnsi" w:hAnsiTheme="minorHAnsi"/>
          <w:sz w:val="16"/>
        </w:rPr>
        <w:t xml:space="preserve"> </w:t>
      </w:r>
      <w:proofErr w:type="spellStart"/>
      <w:r>
        <w:rPr>
          <w:rFonts w:asciiTheme="minorHAnsi" w:hAnsiTheme="minorHAnsi"/>
          <w:sz w:val="16"/>
        </w:rPr>
        <w:t>Assistant</w:t>
      </w:r>
      <w:proofErr w:type="spellEnd"/>
      <w:r>
        <w:rPr>
          <w:rFonts w:asciiTheme="minorHAnsi" w:hAnsiTheme="minorHAnsi"/>
          <w:sz w:val="16"/>
        </w:rPr>
        <w:t xml:space="preserve"> </w:t>
      </w:r>
      <w:proofErr w:type="spellStart"/>
      <w:r>
        <w:rPr>
          <w:rFonts w:asciiTheme="minorHAnsi" w:hAnsiTheme="minorHAnsi"/>
          <w:sz w:val="16"/>
        </w:rPr>
        <w:t>Attorney</w:t>
      </w:r>
      <w:proofErr w:type="spellEnd"/>
      <w:r>
        <w:rPr>
          <w:rFonts w:asciiTheme="minorHAnsi" w:hAnsiTheme="minorHAnsi"/>
          <w:sz w:val="16"/>
        </w:rPr>
        <w:t xml:space="preserve"> General, y Robert J. </w:t>
      </w:r>
      <w:proofErr w:type="spellStart"/>
      <w:r>
        <w:rPr>
          <w:rFonts w:asciiTheme="minorHAnsi" w:hAnsiTheme="minorHAnsi"/>
          <w:sz w:val="16"/>
        </w:rPr>
        <w:t>Delahunty</w:t>
      </w:r>
      <w:proofErr w:type="spellEnd"/>
      <w:r>
        <w:rPr>
          <w:rFonts w:asciiTheme="minorHAnsi" w:hAnsiTheme="minorHAnsi"/>
          <w:sz w:val="16"/>
        </w:rPr>
        <w:t xml:space="preserve">, </w:t>
      </w:r>
      <w:proofErr w:type="spellStart"/>
      <w:r>
        <w:rPr>
          <w:rFonts w:asciiTheme="minorHAnsi" w:hAnsiTheme="minorHAnsi"/>
          <w:sz w:val="16"/>
        </w:rPr>
        <w:t>Special</w:t>
      </w:r>
      <w:proofErr w:type="spellEnd"/>
      <w:r>
        <w:rPr>
          <w:rFonts w:asciiTheme="minorHAnsi" w:hAnsiTheme="minorHAnsi"/>
          <w:sz w:val="16"/>
        </w:rPr>
        <w:t xml:space="preserve"> </w:t>
      </w:r>
      <w:proofErr w:type="spellStart"/>
      <w:r>
        <w:rPr>
          <w:rFonts w:asciiTheme="minorHAnsi" w:hAnsiTheme="minorHAnsi"/>
          <w:sz w:val="16"/>
        </w:rPr>
        <w:t>Counsel</w:t>
      </w:r>
      <w:proofErr w:type="spellEnd"/>
      <w:r>
        <w:rPr>
          <w:rFonts w:asciiTheme="minorHAnsi" w:hAnsiTheme="minorHAnsi"/>
          <w:sz w:val="16"/>
        </w:rPr>
        <w:t xml:space="preserve">, Office of Legal </w:t>
      </w:r>
      <w:proofErr w:type="spellStart"/>
      <w:r>
        <w:rPr>
          <w:rFonts w:asciiTheme="minorHAnsi" w:hAnsiTheme="minorHAnsi"/>
          <w:sz w:val="16"/>
        </w:rPr>
        <w:t>Counsel</w:t>
      </w:r>
      <w:proofErr w:type="spellEnd"/>
      <w:r>
        <w:rPr>
          <w:rFonts w:asciiTheme="minorHAnsi" w:hAnsiTheme="minorHAnsi"/>
          <w:sz w:val="16"/>
        </w:rPr>
        <w:t xml:space="preserve">, Departamento de Justicia de Estados Unidos, 9 de enero de 2002. Disponible en: </w:t>
      </w:r>
      <w:hyperlink r:id="rId24">
        <w:r>
          <w:rPr>
            <w:rStyle w:val="Hyperlink"/>
            <w:rFonts w:asciiTheme="minorHAnsi" w:hAnsiTheme="minorHAnsi"/>
            <w:sz w:val="16"/>
          </w:rPr>
          <w:t>http://www2.gwu.edu/~nsarchiv/NSAEBB/NSAEBB127/02.01.09.pdf</w:t>
        </w:r>
      </w:hyperlink>
      <w:r>
        <w:rPr>
          <w:rFonts w:asciiTheme="minorHAnsi" w:hAnsiTheme="minorHAnsi"/>
          <w:sz w:val="16"/>
        </w:rPr>
        <w:t xml:space="preserve"> </w:t>
      </w:r>
    </w:p>
  </w:footnote>
  <w:footnote w:id="54">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Memorando para William J. </w:t>
      </w:r>
      <w:proofErr w:type="spellStart"/>
      <w:r>
        <w:rPr>
          <w:rFonts w:asciiTheme="minorHAnsi" w:hAnsiTheme="minorHAnsi"/>
          <w:sz w:val="16"/>
        </w:rPr>
        <w:t>Haynes</w:t>
      </w:r>
      <w:proofErr w:type="spellEnd"/>
      <w:r>
        <w:rPr>
          <w:rFonts w:asciiTheme="minorHAnsi" w:hAnsiTheme="minorHAnsi"/>
          <w:sz w:val="16"/>
        </w:rPr>
        <w:t xml:space="preserve">, II, General </w:t>
      </w:r>
      <w:proofErr w:type="spellStart"/>
      <w:r>
        <w:rPr>
          <w:rFonts w:asciiTheme="minorHAnsi" w:hAnsiTheme="minorHAnsi"/>
          <w:sz w:val="16"/>
        </w:rPr>
        <w:t>Counsel</w:t>
      </w:r>
      <w:proofErr w:type="spellEnd"/>
      <w:r>
        <w:rPr>
          <w:rFonts w:asciiTheme="minorHAnsi" w:hAnsiTheme="minorHAnsi"/>
          <w:sz w:val="16"/>
        </w:rPr>
        <w:t xml:space="preserve">, Departamento de Defensa, asunto: Aplicación de Tratados y Leyes a Detenidos de Al Qaeda y Talibanes, de John </w:t>
      </w:r>
      <w:proofErr w:type="spellStart"/>
      <w:r>
        <w:rPr>
          <w:rFonts w:asciiTheme="minorHAnsi" w:hAnsiTheme="minorHAnsi"/>
          <w:sz w:val="16"/>
        </w:rPr>
        <w:t>Yoo</w:t>
      </w:r>
      <w:proofErr w:type="spellEnd"/>
      <w:r>
        <w:rPr>
          <w:rFonts w:asciiTheme="minorHAnsi" w:hAnsiTheme="minorHAnsi"/>
          <w:sz w:val="16"/>
        </w:rPr>
        <w:t xml:space="preserve">, </w:t>
      </w:r>
      <w:proofErr w:type="spellStart"/>
      <w:r>
        <w:rPr>
          <w:rFonts w:asciiTheme="minorHAnsi" w:hAnsiTheme="minorHAnsi"/>
          <w:sz w:val="16"/>
        </w:rPr>
        <w:t>Deputy</w:t>
      </w:r>
      <w:proofErr w:type="spellEnd"/>
      <w:r>
        <w:rPr>
          <w:rFonts w:asciiTheme="minorHAnsi" w:hAnsiTheme="minorHAnsi"/>
          <w:sz w:val="16"/>
        </w:rPr>
        <w:t xml:space="preserve"> </w:t>
      </w:r>
      <w:proofErr w:type="spellStart"/>
      <w:r>
        <w:rPr>
          <w:rFonts w:asciiTheme="minorHAnsi" w:hAnsiTheme="minorHAnsi"/>
          <w:sz w:val="16"/>
        </w:rPr>
        <w:t>Assistant</w:t>
      </w:r>
      <w:proofErr w:type="spellEnd"/>
      <w:r>
        <w:rPr>
          <w:rFonts w:asciiTheme="minorHAnsi" w:hAnsiTheme="minorHAnsi"/>
          <w:sz w:val="16"/>
        </w:rPr>
        <w:t xml:space="preserve"> </w:t>
      </w:r>
      <w:proofErr w:type="spellStart"/>
      <w:r>
        <w:rPr>
          <w:rFonts w:asciiTheme="minorHAnsi" w:hAnsiTheme="minorHAnsi"/>
          <w:sz w:val="16"/>
        </w:rPr>
        <w:t>Attorney</w:t>
      </w:r>
      <w:proofErr w:type="spellEnd"/>
      <w:r>
        <w:rPr>
          <w:rFonts w:asciiTheme="minorHAnsi" w:hAnsiTheme="minorHAnsi"/>
          <w:sz w:val="16"/>
        </w:rPr>
        <w:t xml:space="preserve"> General, y Robert J. </w:t>
      </w:r>
      <w:proofErr w:type="spellStart"/>
      <w:r>
        <w:rPr>
          <w:rFonts w:asciiTheme="minorHAnsi" w:hAnsiTheme="minorHAnsi"/>
          <w:sz w:val="16"/>
        </w:rPr>
        <w:t>Delahunty</w:t>
      </w:r>
      <w:proofErr w:type="spellEnd"/>
      <w:r>
        <w:rPr>
          <w:rFonts w:asciiTheme="minorHAnsi" w:hAnsiTheme="minorHAnsi"/>
          <w:sz w:val="16"/>
        </w:rPr>
        <w:t xml:space="preserve">, </w:t>
      </w:r>
      <w:proofErr w:type="spellStart"/>
      <w:r>
        <w:rPr>
          <w:rFonts w:asciiTheme="minorHAnsi" w:hAnsiTheme="minorHAnsi"/>
          <w:sz w:val="16"/>
        </w:rPr>
        <w:t>Special</w:t>
      </w:r>
      <w:proofErr w:type="spellEnd"/>
      <w:r>
        <w:rPr>
          <w:rFonts w:asciiTheme="minorHAnsi" w:hAnsiTheme="minorHAnsi"/>
          <w:sz w:val="16"/>
        </w:rPr>
        <w:t xml:space="preserve"> </w:t>
      </w:r>
      <w:proofErr w:type="spellStart"/>
      <w:r>
        <w:rPr>
          <w:rFonts w:asciiTheme="minorHAnsi" w:hAnsiTheme="minorHAnsi"/>
          <w:sz w:val="16"/>
        </w:rPr>
        <w:t>Counsel</w:t>
      </w:r>
      <w:proofErr w:type="spellEnd"/>
      <w:r>
        <w:rPr>
          <w:rFonts w:asciiTheme="minorHAnsi" w:hAnsiTheme="minorHAnsi"/>
          <w:sz w:val="16"/>
        </w:rPr>
        <w:t xml:space="preserve">, Office of Legal </w:t>
      </w:r>
      <w:proofErr w:type="spellStart"/>
      <w:r>
        <w:rPr>
          <w:rFonts w:asciiTheme="minorHAnsi" w:hAnsiTheme="minorHAnsi"/>
          <w:sz w:val="16"/>
        </w:rPr>
        <w:t>Counsel</w:t>
      </w:r>
      <w:proofErr w:type="spellEnd"/>
      <w:r>
        <w:rPr>
          <w:rFonts w:asciiTheme="minorHAnsi" w:hAnsiTheme="minorHAnsi"/>
          <w:sz w:val="16"/>
        </w:rPr>
        <w:t>, Departamento de Justicia de Estados Unidos, 9 de enero de 2002, p. 1.</w:t>
      </w:r>
    </w:p>
  </w:footnote>
  <w:footnote w:id="55">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Memorando para el Presidente, asunto: Decisión sobre la Aplicación del Convenio de Ginebra sobre Prisioneros de Guerra al Conflicto con Al Qaeda y los Talibanes, de Alberto R. Gonzales, 25 de enero de 2002. Disponible en: </w:t>
      </w:r>
      <w:hyperlink r:id="rId25">
        <w:r>
          <w:rPr>
            <w:rStyle w:val="Hyperlink"/>
            <w:rFonts w:asciiTheme="minorHAnsi" w:hAnsiTheme="minorHAnsi"/>
            <w:sz w:val="16"/>
          </w:rPr>
          <w:t>http://www2.gwu.edu/~nsarchiv/NSAEBB/NSAEBB127/02.01.25.pdf</w:t>
        </w:r>
      </w:hyperlink>
      <w:r>
        <w:rPr>
          <w:rFonts w:asciiTheme="minorHAnsi" w:hAnsiTheme="minorHAnsi"/>
          <w:sz w:val="16"/>
        </w:rPr>
        <w:t xml:space="preserve"> </w:t>
      </w:r>
    </w:p>
  </w:footnote>
  <w:footnote w:id="56">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Declaración del Relator Especial de Naciones Unidas sobre la tortura y otros tratos o penas crueles, inhumanos o degradantes, Juan Méndez, Audiencia de la CIDH sobre la Situación de Derechos Humanos de los detenidos en la Base Naval de Guantánamo, Estados Unidos, Washington, D.C, 28 de octubre de 2013.</w:t>
      </w:r>
    </w:p>
  </w:footnote>
  <w:footnote w:id="57">
    <w:p w:rsidR="00AF130B" w:rsidRPr="005D0288" w:rsidRDefault="00AF130B" w:rsidP="00CE3EC6">
      <w:pPr>
        <w:pStyle w:val="FootnoteText"/>
        <w:ind w:left="547" w:hanging="547"/>
        <w:jc w:val="both"/>
        <w:rPr>
          <w:rFonts w:asciiTheme="minorHAnsi" w:hAnsiTheme="minorHAnsi"/>
          <w:sz w:val="16"/>
          <w:szCs w:val="16"/>
          <w:lang w:val="en-US"/>
        </w:rPr>
      </w:pPr>
      <w:r>
        <w:rPr>
          <w:rStyle w:val="FootnoteReference"/>
          <w:rFonts w:asciiTheme="minorHAnsi" w:hAnsiTheme="minorHAnsi"/>
          <w:sz w:val="16"/>
        </w:rPr>
        <w:footnoteRef/>
      </w:r>
      <w:r w:rsidRPr="00237789">
        <w:rPr>
          <w:rFonts w:asciiTheme="minorHAnsi" w:hAnsiTheme="minorHAnsi"/>
          <w:sz w:val="16"/>
          <w:lang w:val="en-US"/>
        </w:rPr>
        <w:t xml:space="preserve"> </w:t>
      </w:r>
      <w:r w:rsidRPr="00237789">
        <w:rPr>
          <w:lang w:val="en-US"/>
        </w:rPr>
        <w:tab/>
      </w:r>
      <w:proofErr w:type="spellStart"/>
      <w:proofErr w:type="gramStart"/>
      <w:r w:rsidRPr="00237789">
        <w:rPr>
          <w:rFonts w:asciiTheme="minorHAnsi" w:hAnsiTheme="minorHAnsi"/>
          <w:sz w:val="16"/>
          <w:lang w:val="en-US"/>
        </w:rPr>
        <w:t>Boumediene</w:t>
      </w:r>
      <w:proofErr w:type="spellEnd"/>
      <w:r w:rsidRPr="00237789">
        <w:rPr>
          <w:rFonts w:asciiTheme="minorHAnsi" w:hAnsiTheme="minorHAnsi"/>
          <w:sz w:val="16"/>
          <w:lang w:val="en-US"/>
        </w:rPr>
        <w:t xml:space="preserve"> v. Bush, 553 U.S. 723, 769 (2008).</w:t>
      </w:r>
      <w:proofErr w:type="gramEnd"/>
    </w:p>
  </w:footnote>
  <w:footnote w:id="58">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Memorando de los Demandados Sobre la Facultad del Gobierno de Mantener Privados de Libertad a los Detenidos en la Bahía de Guantánamo, asunto: Litigio de los Detenidos de Guantánamo No. 08-mc-442 (TFH) (D.D.C. 13 de marzo de 2009). Disponible en: </w:t>
      </w:r>
      <w:hyperlink r:id="rId26">
        <w:r>
          <w:rPr>
            <w:rStyle w:val="Hyperlink"/>
            <w:rFonts w:asciiTheme="minorHAnsi" w:hAnsiTheme="minorHAnsi"/>
            <w:sz w:val="16"/>
          </w:rPr>
          <w:t>http://www.justice.gov/opa/documents/memo-re-det-auth.pdf</w:t>
        </w:r>
      </w:hyperlink>
      <w:r>
        <w:rPr>
          <w:rFonts w:asciiTheme="minorHAnsi" w:hAnsiTheme="minorHAnsi"/>
          <w:sz w:val="16"/>
        </w:rPr>
        <w:t xml:space="preserve">. Ver también, Comunicado de Prensa, Departamento de Justicia, Oficina de Asuntos Públicos: Departamento de Justicia Retira la Definición de “Enemigos Combatientes” para los Detenidos de Guantánamo, 13 de marzo de 2009. Disponible en: </w:t>
      </w:r>
      <w:hyperlink r:id="rId27">
        <w:r>
          <w:rPr>
            <w:rStyle w:val="Hyperlink"/>
            <w:rFonts w:asciiTheme="minorHAnsi" w:hAnsiTheme="minorHAnsi"/>
            <w:sz w:val="16"/>
          </w:rPr>
          <w:t>http://www.justice.gov/opa/pr/2009/March/09-ag-232.html</w:t>
        </w:r>
      </w:hyperlink>
      <w:r>
        <w:rPr>
          <w:rFonts w:asciiTheme="minorHAnsi" w:hAnsiTheme="minorHAnsi"/>
          <w:sz w:val="16"/>
        </w:rPr>
        <w:t xml:space="preserve"> </w:t>
      </w:r>
    </w:p>
  </w:footnote>
  <w:footnote w:id="59">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proofErr w:type="spellStart"/>
      <w:r>
        <w:rPr>
          <w:rFonts w:asciiTheme="minorHAnsi" w:hAnsiTheme="minorHAnsi"/>
          <w:sz w:val="16"/>
        </w:rPr>
        <w:t>Hamdi</w:t>
      </w:r>
      <w:proofErr w:type="spellEnd"/>
      <w:r>
        <w:rPr>
          <w:rFonts w:asciiTheme="minorHAnsi" w:hAnsiTheme="minorHAnsi"/>
          <w:sz w:val="16"/>
        </w:rPr>
        <w:t xml:space="preserve"> v. Rumsfeld, 542 U.S. 507, 521 (2004) y </w:t>
      </w:r>
      <w:proofErr w:type="spellStart"/>
      <w:r>
        <w:rPr>
          <w:rFonts w:asciiTheme="minorHAnsi" w:hAnsiTheme="minorHAnsi"/>
          <w:sz w:val="16"/>
        </w:rPr>
        <w:t>Hamdan</w:t>
      </w:r>
      <w:proofErr w:type="spellEnd"/>
      <w:r>
        <w:rPr>
          <w:rFonts w:asciiTheme="minorHAnsi" w:hAnsiTheme="minorHAnsi"/>
          <w:sz w:val="16"/>
        </w:rPr>
        <w:t xml:space="preserve"> v. Rumsfeld, 548 U.S. 557, 603-04 (2006).</w:t>
      </w:r>
    </w:p>
  </w:footnote>
  <w:footnote w:id="60">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Informe Final del Grupo de Trabajo para la Revisión de Guantánamo, 22 de enero de 2010, párr. 25-26.  Disponible en: </w:t>
      </w:r>
      <w:hyperlink r:id="rId28">
        <w:r>
          <w:rPr>
            <w:rStyle w:val="Hyperlink"/>
            <w:rFonts w:asciiTheme="minorHAnsi" w:hAnsiTheme="minorHAnsi"/>
            <w:sz w:val="16"/>
          </w:rPr>
          <w:t>http://www.justice.gov/ag/guantanamo-review-final-report.pdf</w:t>
        </w:r>
      </w:hyperlink>
      <w:r>
        <w:rPr>
          <w:rFonts w:asciiTheme="minorHAnsi" w:hAnsiTheme="minorHAnsi"/>
          <w:sz w:val="16"/>
        </w:rPr>
        <w:t xml:space="preserve"> </w:t>
      </w:r>
    </w:p>
  </w:footnote>
  <w:footnote w:id="61">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Acta de Autorización de Defensa Nacional para el Año Fiscal 2012, Sec. 1023. Disponible en: </w:t>
      </w:r>
      <w:hyperlink r:id="rId29">
        <w:r>
          <w:rPr>
            <w:rStyle w:val="Hyperlink"/>
            <w:rFonts w:asciiTheme="minorHAnsi" w:hAnsiTheme="minorHAnsi"/>
            <w:sz w:val="16"/>
          </w:rPr>
          <w:t>http://www.gpo.gov/fdsys/pkg/BILLS-112hr1540enr/pdf/BILLS-112hr1540enr.pdf</w:t>
        </w:r>
      </w:hyperlink>
      <w:r>
        <w:rPr>
          <w:rFonts w:asciiTheme="minorHAnsi" w:hAnsiTheme="minorHAnsi"/>
          <w:sz w:val="16"/>
        </w:rPr>
        <w:t xml:space="preserve">. </w:t>
      </w:r>
    </w:p>
  </w:footnote>
  <w:footnote w:id="62">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Declaración del Relator Especial de Naciones Unidas sobre la tortura y otros tratos o penas crueles, inhumanos o degradantes, Juan Méndez, Audiencia de la CIDH sobre la Situación de Derechos Humanos de los detenidos en la Base Naval de Guantánamo, Estados Unidos, Washington, D.C, 28 de octubre de 2013.</w:t>
      </w:r>
    </w:p>
  </w:footnote>
  <w:footnote w:id="63">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CIDH, Resolución 2/11 Sobre la Situación de los Detenidos de la Bahía de Guantánamo, Estados Unidos, MC 259-02, 22 de julio de 2011.</w:t>
      </w:r>
    </w:p>
  </w:footnote>
  <w:footnote w:id="64">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Memorando de los Demandados Sobre la Facultad del Gobierno de Mantener Privados de Libertad a los Detenidos en la Bahía de Guantánamo, asunto: Litigio de los Detenidos de Guantánamo No. 08-mc-442 (TFH) (D.D.C. 13 de marzo de 2009).</w:t>
      </w:r>
    </w:p>
  </w:footnote>
  <w:footnote w:id="65">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w:t>
      </w:r>
      <w:r>
        <w:rPr>
          <w:rFonts w:asciiTheme="minorHAnsi" w:hAnsiTheme="minorHAnsi"/>
          <w:i/>
          <w:sz w:val="16"/>
        </w:rPr>
        <w:t>Verdad, Justicia y Reparación: Cuarto Informe sobre la Situación de Derechos Humanos en Colombia</w:t>
      </w:r>
      <w:r>
        <w:rPr>
          <w:rFonts w:asciiTheme="minorHAnsi" w:hAnsiTheme="minorHAnsi"/>
          <w:sz w:val="16"/>
        </w:rPr>
        <w:t>, OEA/</w:t>
      </w:r>
      <w:proofErr w:type="spellStart"/>
      <w:r>
        <w:rPr>
          <w:rFonts w:asciiTheme="minorHAnsi" w:hAnsiTheme="minorHAnsi"/>
          <w:sz w:val="16"/>
        </w:rPr>
        <w:t>Ser.L</w:t>
      </w:r>
      <w:proofErr w:type="spellEnd"/>
      <w:r>
        <w:rPr>
          <w:rFonts w:asciiTheme="minorHAnsi" w:hAnsiTheme="minorHAnsi"/>
          <w:sz w:val="16"/>
        </w:rPr>
        <w:t xml:space="preserve">/V/II. Doc. 49/13, 31 de diciembre de 2013, párr. 232. </w:t>
      </w:r>
    </w:p>
  </w:footnote>
  <w:footnote w:id="66">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w:t>
      </w:r>
      <w:r>
        <w:rPr>
          <w:rFonts w:asciiTheme="minorHAnsi" w:hAnsiTheme="minorHAnsi"/>
          <w:i/>
          <w:sz w:val="16"/>
        </w:rPr>
        <w:t>Informe sobre Terrorismo y Derechos Humanos</w:t>
      </w:r>
      <w:r>
        <w:rPr>
          <w:rFonts w:asciiTheme="minorHAnsi" w:hAnsiTheme="minorHAnsi"/>
          <w:sz w:val="16"/>
        </w:rPr>
        <w:t>, OEA/</w:t>
      </w:r>
      <w:proofErr w:type="spellStart"/>
      <w:r>
        <w:rPr>
          <w:rFonts w:asciiTheme="minorHAnsi" w:hAnsiTheme="minorHAnsi"/>
          <w:sz w:val="16"/>
        </w:rPr>
        <w:t>Ser.L</w:t>
      </w:r>
      <w:proofErr w:type="spellEnd"/>
      <w:r>
        <w:rPr>
          <w:rFonts w:asciiTheme="minorHAnsi" w:hAnsiTheme="minorHAnsi"/>
          <w:sz w:val="16"/>
        </w:rPr>
        <w:t>/V/II.116.Doc.5 rev.1, 22 de octubre de 2002, párr. 8.</w:t>
      </w:r>
    </w:p>
  </w:footnote>
  <w:footnote w:id="67">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International </w:t>
      </w:r>
      <w:proofErr w:type="spellStart"/>
      <w:r>
        <w:rPr>
          <w:rFonts w:asciiTheme="minorHAnsi" w:hAnsiTheme="minorHAnsi"/>
          <w:sz w:val="16"/>
        </w:rPr>
        <w:t>Review</w:t>
      </w:r>
      <w:proofErr w:type="spellEnd"/>
      <w:r>
        <w:rPr>
          <w:rFonts w:asciiTheme="minorHAnsi" w:hAnsiTheme="minorHAnsi"/>
          <w:sz w:val="16"/>
        </w:rPr>
        <w:t xml:space="preserve"> of </w:t>
      </w:r>
      <w:proofErr w:type="spellStart"/>
      <w:r>
        <w:rPr>
          <w:rFonts w:asciiTheme="minorHAnsi" w:hAnsiTheme="minorHAnsi"/>
          <w:sz w:val="16"/>
        </w:rPr>
        <w:t>the</w:t>
      </w:r>
      <w:proofErr w:type="spellEnd"/>
      <w:r>
        <w:rPr>
          <w:rFonts w:asciiTheme="minorHAnsi" w:hAnsiTheme="minorHAnsi"/>
          <w:sz w:val="16"/>
        </w:rPr>
        <w:t xml:space="preserve"> Red Cross, Informes y Documentos, Reunión de expertos sobre las garantías procesales de la detención por razones de seguridad en conflictos armados no internacionales, Chatham </w:t>
      </w:r>
      <w:proofErr w:type="spellStart"/>
      <w:r>
        <w:rPr>
          <w:rFonts w:asciiTheme="minorHAnsi" w:hAnsiTheme="minorHAnsi"/>
          <w:sz w:val="16"/>
        </w:rPr>
        <w:t>House</w:t>
      </w:r>
      <w:proofErr w:type="spellEnd"/>
      <w:r>
        <w:rPr>
          <w:rFonts w:asciiTheme="minorHAnsi" w:hAnsiTheme="minorHAnsi"/>
          <w:sz w:val="16"/>
        </w:rPr>
        <w:t xml:space="preserve"> y Comité Internacional de la Cruz Roja, Londres, 22-23 de septiembre de 2008, Volumen 91 Número 876, Diciembre de 2009. Disponible en: </w:t>
      </w:r>
      <w:hyperlink r:id="rId30">
        <w:r>
          <w:rPr>
            <w:rStyle w:val="Hyperlink"/>
            <w:rFonts w:asciiTheme="minorHAnsi" w:hAnsiTheme="minorHAnsi"/>
            <w:sz w:val="16"/>
          </w:rPr>
          <w:t>http://www.icrc.org/eng/assets/files/other/irrc-876-expert-meeting.pdf</w:t>
        </w:r>
      </w:hyperlink>
      <w:r>
        <w:rPr>
          <w:rFonts w:asciiTheme="minorHAnsi" w:hAnsiTheme="minorHAnsi"/>
          <w:sz w:val="16"/>
        </w:rPr>
        <w:t xml:space="preserve"> </w:t>
      </w:r>
    </w:p>
  </w:footnote>
  <w:footnote w:id="68">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International </w:t>
      </w:r>
      <w:proofErr w:type="spellStart"/>
      <w:r>
        <w:rPr>
          <w:rFonts w:asciiTheme="minorHAnsi" w:hAnsiTheme="minorHAnsi"/>
          <w:sz w:val="16"/>
        </w:rPr>
        <w:t>Review</w:t>
      </w:r>
      <w:proofErr w:type="spellEnd"/>
      <w:r>
        <w:rPr>
          <w:rFonts w:asciiTheme="minorHAnsi" w:hAnsiTheme="minorHAnsi"/>
          <w:sz w:val="16"/>
        </w:rPr>
        <w:t xml:space="preserve"> of </w:t>
      </w:r>
      <w:proofErr w:type="spellStart"/>
      <w:r>
        <w:rPr>
          <w:rFonts w:asciiTheme="minorHAnsi" w:hAnsiTheme="minorHAnsi"/>
          <w:sz w:val="16"/>
        </w:rPr>
        <w:t>the</w:t>
      </w:r>
      <w:proofErr w:type="spellEnd"/>
      <w:r>
        <w:rPr>
          <w:rFonts w:asciiTheme="minorHAnsi" w:hAnsiTheme="minorHAnsi"/>
          <w:sz w:val="16"/>
        </w:rPr>
        <w:t xml:space="preserve"> Red Cross, Informes y Documentos, Reunión de expertos sobre las garantías procesales de la detención por razones de seguridad en conflictos armados no internacionales, Chatham </w:t>
      </w:r>
      <w:proofErr w:type="spellStart"/>
      <w:r>
        <w:rPr>
          <w:rFonts w:asciiTheme="minorHAnsi" w:hAnsiTheme="minorHAnsi"/>
          <w:sz w:val="16"/>
        </w:rPr>
        <w:t>House</w:t>
      </w:r>
      <w:proofErr w:type="spellEnd"/>
      <w:r>
        <w:rPr>
          <w:rFonts w:asciiTheme="minorHAnsi" w:hAnsiTheme="minorHAnsi"/>
          <w:sz w:val="16"/>
        </w:rPr>
        <w:t xml:space="preserve"> y Comité Internacional de la Cruz Roja, Londres, 22-23 de septiembre de 2008, Volumen 91 Número 876, Diciembre de 2009, p. 863.</w:t>
      </w:r>
    </w:p>
  </w:footnote>
  <w:footnote w:id="69">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International </w:t>
      </w:r>
      <w:proofErr w:type="spellStart"/>
      <w:r>
        <w:rPr>
          <w:rFonts w:asciiTheme="minorHAnsi" w:hAnsiTheme="minorHAnsi"/>
          <w:sz w:val="16"/>
        </w:rPr>
        <w:t>Review</w:t>
      </w:r>
      <w:proofErr w:type="spellEnd"/>
      <w:r>
        <w:rPr>
          <w:rFonts w:asciiTheme="minorHAnsi" w:hAnsiTheme="minorHAnsi"/>
          <w:sz w:val="16"/>
        </w:rPr>
        <w:t xml:space="preserve"> of </w:t>
      </w:r>
      <w:proofErr w:type="spellStart"/>
      <w:r>
        <w:rPr>
          <w:rFonts w:asciiTheme="minorHAnsi" w:hAnsiTheme="minorHAnsi"/>
          <w:sz w:val="16"/>
        </w:rPr>
        <w:t>the</w:t>
      </w:r>
      <w:proofErr w:type="spellEnd"/>
      <w:r>
        <w:rPr>
          <w:rFonts w:asciiTheme="minorHAnsi" w:hAnsiTheme="minorHAnsi"/>
          <w:sz w:val="16"/>
        </w:rPr>
        <w:t xml:space="preserve"> Red Cross, Informes y Documentos, Reunión de expertos sobre las garantías procesales de la detención por razones de seguridad en conflictos armados no internacionales, Chatham </w:t>
      </w:r>
      <w:proofErr w:type="spellStart"/>
      <w:r>
        <w:rPr>
          <w:rFonts w:asciiTheme="minorHAnsi" w:hAnsiTheme="minorHAnsi"/>
          <w:sz w:val="16"/>
        </w:rPr>
        <w:t>House</w:t>
      </w:r>
      <w:proofErr w:type="spellEnd"/>
      <w:r>
        <w:rPr>
          <w:rFonts w:asciiTheme="minorHAnsi" w:hAnsiTheme="minorHAnsi"/>
          <w:sz w:val="16"/>
        </w:rPr>
        <w:t xml:space="preserve"> y Comité Internacional de la Cruz Roja, Londres, 22-23 de septiembre de 2008, Volumen 91 Número 876, Diciembre de 2009, p. 865.</w:t>
      </w:r>
    </w:p>
  </w:footnote>
  <w:footnote w:id="70">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International </w:t>
      </w:r>
      <w:proofErr w:type="spellStart"/>
      <w:r>
        <w:rPr>
          <w:rFonts w:asciiTheme="minorHAnsi" w:hAnsiTheme="minorHAnsi"/>
          <w:sz w:val="16"/>
        </w:rPr>
        <w:t>Review</w:t>
      </w:r>
      <w:proofErr w:type="spellEnd"/>
      <w:r>
        <w:rPr>
          <w:rFonts w:asciiTheme="minorHAnsi" w:hAnsiTheme="minorHAnsi"/>
          <w:sz w:val="16"/>
        </w:rPr>
        <w:t xml:space="preserve"> of </w:t>
      </w:r>
      <w:proofErr w:type="spellStart"/>
      <w:r>
        <w:rPr>
          <w:rFonts w:asciiTheme="minorHAnsi" w:hAnsiTheme="minorHAnsi"/>
          <w:sz w:val="16"/>
        </w:rPr>
        <w:t>the</w:t>
      </w:r>
      <w:proofErr w:type="spellEnd"/>
      <w:r>
        <w:rPr>
          <w:rFonts w:asciiTheme="minorHAnsi" w:hAnsiTheme="minorHAnsi"/>
          <w:sz w:val="16"/>
        </w:rPr>
        <w:t xml:space="preserve"> Red Cross, Informes y Documentos, Reunión de expertos sobre las garantías procesales de la detención por razones de seguridad en conflictos armados no internacionales, Chatham </w:t>
      </w:r>
      <w:proofErr w:type="spellStart"/>
      <w:r>
        <w:rPr>
          <w:rFonts w:asciiTheme="minorHAnsi" w:hAnsiTheme="minorHAnsi"/>
          <w:sz w:val="16"/>
        </w:rPr>
        <w:t>House</w:t>
      </w:r>
      <w:proofErr w:type="spellEnd"/>
      <w:r>
        <w:rPr>
          <w:rFonts w:asciiTheme="minorHAnsi" w:hAnsiTheme="minorHAnsi"/>
          <w:sz w:val="16"/>
        </w:rPr>
        <w:t xml:space="preserve"> y Comité Internacional de la Cruz Roja, Londres, 22-23 de septiembre de 2008, Volumen 91 Número 876, Diciembre de 2009, p. 866.</w:t>
      </w:r>
    </w:p>
  </w:footnote>
  <w:footnote w:id="71">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w:t>
      </w:r>
      <w:r>
        <w:rPr>
          <w:rFonts w:asciiTheme="minorHAnsi" w:hAnsiTheme="minorHAnsi"/>
          <w:i/>
          <w:sz w:val="16"/>
        </w:rPr>
        <w:t>Informe sobre Terrorismo y Derechos Humanos</w:t>
      </w:r>
      <w:r>
        <w:rPr>
          <w:rFonts w:asciiTheme="minorHAnsi" w:hAnsiTheme="minorHAnsi"/>
          <w:sz w:val="16"/>
        </w:rPr>
        <w:t>, OEA/</w:t>
      </w:r>
      <w:proofErr w:type="spellStart"/>
      <w:r>
        <w:rPr>
          <w:rFonts w:asciiTheme="minorHAnsi" w:hAnsiTheme="minorHAnsi"/>
          <w:sz w:val="16"/>
        </w:rPr>
        <w:t>Ser.L</w:t>
      </w:r>
      <w:proofErr w:type="spellEnd"/>
      <w:r>
        <w:rPr>
          <w:rFonts w:asciiTheme="minorHAnsi" w:hAnsiTheme="minorHAnsi"/>
          <w:sz w:val="16"/>
        </w:rPr>
        <w:t>/V/II.116.Doc.5 rev.1, 22 de octubre de 2002, párr. 25.</w:t>
      </w:r>
    </w:p>
  </w:footnote>
  <w:footnote w:id="72">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w:t>
      </w:r>
      <w:r>
        <w:rPr>
          <w:rFonts w:asciiTheme="minorHAnsi" w:hAnsiTheme="minorHAnsi"/>
          <w:i/>
          <w:sz w:val="16"/>
        </w:rPr>
        <w:t>Informe sobre Terrorismo y Derechos Humanos</w:t>
      </w:r>
      <w:r>
        <w:rPr>
          <w:rFonts w:asciiTheme="minorHAnsi" w:hAnsiTheme="minorHAnsi"/>
          <w:sz w:val="16"/>
        </w:rPr>
        <w:t>, OEA/</w:t>
      </w:r>
      <w:proofErr w:type="spellStart"/>
      <w:r>
        <w:rPr>
          <w:rFonts w:asciiTheme="minorHAnsi" w:hAnsiTheme="minorHAnsi"/>
          <w:sz w:val="16"/>
        </w:rPr>
        <w:t>Ser.L</w:t>
      </w:r>
      <w:proofErr w:type="spellEnd"/>
      <w:r>
        <w:rPr>
          <w:rFonts w:asciiTheme="minorHAnsi" w:hAnsiTheme="minorHAnsi"/>
          <w:sz w:val="16"/>
        </w:rPr>
        <w:t xml:space="preserve">/V/II.116.Doc.5 rev.1, 22 de octubre de 2002, </w:t>
      </w:r>
      <w:proofErr w:type="spellStart"/>
      <w:r>
        <w:rPr>
          <w:rFonts w:asciiTheme="minorHAnsi" w:hAnsiTheme="minorHAnsi"/>
          <w:sz w:val="16"/>
        </w:rPr>
        <w:t>párrs</w:t>
      </w:r>
      <w:proofErr w:type="spellEnd"/>
      <w:r>
        <w:rPr>
          <w:rFonts w:asciiTheme="minorHAnsi" w:hAnsiTheme="minorHAnsi"/>
          <w:sz w:val="16"/>
        </w:rPr>
        <w:t>. 50 y 51.</w:t>
      </w:r>
    </w:p>
  </w:footnote>
  <w:footnote w:id="73">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w:t>
      </w:r>
      <w:r>
        <w:rPr>
          <w:rFonts w:asciiTheme="minorHAnsi" w:hAnsiTheme="minorHAnsi"/>
          <w:i/>
          <w:sz w:val="16"/>
        </w:rPr>
        <w:t>Informe sobre Terrorismo y Derechos Humanos</w:t>
      </w:r>
      <w:r>
        <w:rPr>
          <w:rFonts w:asciiTheme="minorHAnsi" w:hAnsiTheme="minorHAnsi"/>
          <w:sz w:val="16"/>
        </w:rPr>
        <w:t>, OEA/</w:t>
      </w:r>
      <w:proofErr w:type="spellStart"/>
      <w:r>
        <w:rPr>
          <w:rFonts w:asciiTheme="minorHAnsi" w:hAnsiTheme="minorHAnsi"/>
          <w:sz w:val="16"/>
        </w:rPr>
        <w:t>Ser.L</w:t>
      </w:r>
      <w:proofErr w:type="spellEnd"/>
      <w:r>
        <w:rPr>
          <w:rFonts w:asciiTheme="minorHAnsi" w:hAnsiTheme="minorHAnsi"/>
          <w:sz w:val="16"/>
        </w:rPr>
        <w:t>/V/II.116.Doc.5 rev.1, 22 de octubre de 2002, párr. 140.</w:t>
      </w:r>
    </w:p>
  </w:footnote>
  <w:footnote w:id="74">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w:t>
      </w:r>
      <w:r>
        <w:rPr>
          <w:rFonts w:asciiTheme="minorHAnsi" w:hAnsiTheme="minorHAnsi"/>
          <w:i/>
          <w:sz w:val="16"/>
        </w:rPr>
        <w:t>Informe sobre Terrorismo y Derechos Humanos</w:t>
      </w:r>
      <w:r>
        <w:rPr>
          <w:rFonts w:asciiTheme="minorHAnsi" w:hAnsiTheme="minorHAnsi"/>
          <w:sz w:val="16"/>
        </w:rPr>
        <w:t>, OEA/</w:t>
      </w:r>
      <w:proofErr w:type="spellStart"/>
      <w:r>
        <w:rPr>
          <w:rFonts w:asciiTheme="minorHAnsi" w:hAnsiTheme="minorHAnsi"/>
          <w:sz w:val="16"/>
        </w:rPr>
        <w:t>Ser.L</w:t>
      </w:r>
      <w:proofErr w:type="spellEnd"/>
      <w:r>
        <w:rPr>
          <w:rFonts w:asciiTheme="minorHAnsi" w:hAnsiTheme="minorHAnsi"/>
          <w:sz w:val="16"/>
        </w:rPr>
        <w:t>/V/II.116.Doc.5 rev.1, 22 de octubre de 2002, párr. 139.</w:t>
      </w:r>
    </w:p>
  </w:footnote>
  <w:footnote w:id="75">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CIDH, Comunicado de Prensa 29/13: CIDH, Grupo de Trabajo de ONU sobre la Detención Arbitraria, Relator de ONU contra la Tortura, Relator de ONU para los derechos humanos en la lucha contra el terrorismo, y Relator de ONU sobre la salud reiteran necesidad de terminar con la detención indefinida de personas en la Base Naval de Guantánamo ante actual crisis de derechos humanos, 1 de mayo de 2013.</w:t>
      </w:r>
    </w:p>
  </w:footnote>
  <w:footnote w:id="76">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CIDH, Resolución No. 2/11, Sobre la Situación de los Detenidos de la Bahía de Guantánamo, Medida Cautelar 259-02, 22 de julio de 2011.</w:t>
      </w:r>
    </w:p>
  </w:footnote>
  <w:footnote w:id="77">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Comité de Naciones Unidas contra la Tortura (CAT por sus siglas en inglés), </w:t>
      </w:r>
      <w:r>
        <w:rPr>
          <w:rFonts w:asciiTheme="minorHAnsi" w:hAnsiTheme="minorHAnsi"/>
          <w:i/>
          <w:sz w:val="16"/>
        </w:rPr>
        <w:t xml:space="preserve">Comité de la ONU contra la Tortura: Conclusiones y Recomendaciones, Estados Unidos de América, </w:t>
      </w:r>
      <w:r>
        <w:rPr>
          <w:rFonts w:asciiTheme="minorHAnsi" w:hAnsiTheme="minorHAnsi"/>
          <w:sz w:val="16"/>
        </w:rPr>
        <w:t xml:space="preserve">25 de julio de 2006, CAT/C/USA/CO/2, párr. 22. </w:t>
      </w:r>
    </w:p>
  </w:footnote>
  <w:footnote w:id="78">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Consejo Económico y Social de la ONU, E/CN.4/2006/120, 27 de febrero de 2006, párr. 23. Disponible en: </w:t>
      </w:r>
      <w:hyperlink r:id="rId31">
        <w:r>
          <w:rPr>
            <w:rStyle w:val="Hyperlink"/>
            <w:rFonts w:asciiTheme="minorHAnsi" w:hAnsiTheme="minorHAnsi"/>
            <w:sz w:val="16"/>
          </w:rPr>
          <w:t>http://www.refworld.org/docid/45377b0b0.html</w:t>
        </w:r>
      </w:hyperlink>
      <w:r>
        <w:rPr>
          <w:rFonts w:asciiTheme="minorHAnsi" w:hAnsiTheme="minorHAnsi"/>
          <w:sz w:val="16"/>
        </w:rPr>
        <w:t xml:space="preserve"> </w:t>
      </w:r>
    </w:p>
  </w:footnote>
  <w:footnote w:id="79">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Declaración del Relator Especial de Naciones Unidas sobre la tortura y otros tratos o penas crueles, inhumanos o degradantes, Juan Méndez, Audiencia de la CIDH sobre la Situación de Derechos Humanos de los detenidos en la Base Naval de Guantánamo, Estados Unidos, Washington, D.C, 28 de octubre de 2013, p. 4.</w:t>
      </w:r>
    </w:p>
  </w:footnote>
  <w:footnote w:id="80">
    <w:p w:rsidR="00AF130B" w:rsidRPr="005D0288" w:rsidRDefault="00AF130B" w:rsidP="00CE3EC6">
      <w:pPr>
        <w:pStyle w:val="Defaul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Declaración del Relator Especial de Naciones Unidas sobre la tortura y otros tratos o penas crueles, inhumanos o degradantes, Juan Méndez, Audiencia de la CIDH sobre la Situación de Derechos Humanos de los detenidos en la Base Naval de Guantánamo, Estados Unidos, Washington, D.C, 28 de octubre de 2013, p. 5.</w:t>
      </w:r>
    </w:p>
  </w:footnote>
  <w:footnote w:id="81">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w:t>
      </w:r>
      <w:r>
        <w:rPr>
          <w:rFonts w:asciiTheme="minorHAnsi" w:hAnsiTheme="minorHAnsi"/>
          <w:i/>
          <w:sz w:val="16"/>
        </w:rPr>
        <w:t xml:space="preserve">Informe sobre la Situación de Derechos Humanos de las Personas Privadas de Libertad en las Américas, </w:t>
      </w:r>
      <w:r>
        <w:rPr>
          <w:rFonts w:asciiTheme="minorHAnsi" w:hAnsiTheme="minorHAnsi"/>
          <w:sz w:val="16"/>
        </w:rPr>
        <w:t>OEA/</w:t>
      </w:r>
      <w:proofErr w:type="spellStart"/>
      <w:r>
        <w:rPr>
          <w:rFonts w:asciiTheme="minorHAnsi" w:hAnsiTheme="minorHAnsi"/>
          <w:sz w:val="16"/>
        </w:rPr>
        <w:t>Ser.L</w:t>
      </w:r>
      <w:proofErr w:type="spellEnd"/>
      <w:r>
        <w:rPr>
          <w:rFonts w:asciiTheme="minorHAnsi" w:hAnsiTheme="minorHAnsi"/>
          <w:sz w:val="16"/>
        </w:rPr>
        <w:t>/V/II.Doc.64, 31 de diciembre de2011, párr. 66.</w:t>
      </w:r>
    </w:p>
  </w:footnote>
  <w:footnote w:id="82">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w:t>
      </w:r>
      <w:r>
        <w:rPr>
          <w:rFonts w:asciiTheme="minorHAnsi" w:hAnsiTheme="minorHAnsi"/>
          <w:i/>
          <w:sz w:val="16"/>
        </w:rPr>
        <w:t>Informe sobre Terrorismo y Derechos Humanos</w:t>
      </w:r>
      <w:r>
        <w:rPr>
          <w:rFonts w:asciiTheme="minorHAnsi" w:hAnsiTheme="minorHAnsi"/>
          <w:sz w:val="16"/>
        </w:rPr>
        <w:t>, OEA/</w:t>
      </w:r>
      <w:proofErr w:type="spellStart"/>
      <w:r>
        <w:rPr>
          <w:rFonts w:asciiTheme="minorHAnsi" w:hAnsiTheme="minorHAnsi"/>
          <w:sz w:val="16"/>
        </w:rPr>
        <w:t>Ser.L</w:t>
      </w:r>
      <w:proofErr w:type="spellEnd"/>
      <w:r>
        <w:rPr>
          <w:rFonts w:asciiTheme="minorHAnsi" w:hAnsiTheme="minorHAnsi"/>
          <w:sz w:val="16"/>
        </w:rPr>
        <w:t>/V/II.116.Doc.5 rev.1, 22 de octubre de 2002, párr.  11 (resumen ejecutivo).</w:t>
      </w:r>
    </w:p>
  </w:footnote>
  <w:footnote w:id="83">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w:t>
      </w:r>
      <w:r>
        <w:rPr>
          <w:rFonts w:asciiTheme="minorHAnsi" w:hAnsiTheme="minorHAnsi"/>
          <w:i/>
          <w:sz w:val="16"/>
        </w:rPr>
        <w:t>Informe sobre Terrorismo y Derechos Humanos</w:t>
      </w:r>
      <w:r>
        <w:rPr>
          <w:rFonts w:asciiTheme="minorHAnsi" w:hAnsiTheme="minorHAnsi"/>
          <w:sz w:val="16"/>
        </w:rPr>
        <w:t>, OEA/</w:t>
      </w:r>
      <w:proofErr w:type="spellStart"/>
      <w:r>
        <w:rPr>
          <w:rFonts w:asciiTheme="minorHAnsi" w:hAnsiTheme="minorHAnsi"/>
          <w:sz w:val="16"/>
        </w:rPr>
        <w:t>Ser.L</w:t>
      </w:r>
      <w:proofErr w:type="spellEnd"/>
      <w:r>
        <w:rPr>
          <w:rFonts w:asciiTheme="minorHAnsi" w:hAnsiTheme="minorHAnsi"/>
          <w:sz w:val="16"/>
        </w:rPr>
        <w:t>/V/II.116.Doc.5 rev.1, 22 de octubre de 2002, párr. 184.</w:t>
      </w:r>
    </w:p>
  </w:footnote>
  <w:footnote w:id="84">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w:t>
      </w:r>
      <w:r>
        <w:rPr>
          <w:rFonts w:asciiTheme="minorHAnsi" w:hAnsiTheme="minorHAnsi"/>
          <w:i/>
          <w:sz w:val="16"/>
        </w:rPr>
        <w:t>Informe sobre Terrorismo y Derechos Humanos</w:t>
      </w:r>
      <w:r>
        <w:rPr>
          <w:rFonts w:asciiTheme="minorHAnsi" w:hAnsiTheme="minorHAnsi"/>
          <w:sz w:val="16"/>
        </w:rPr>
        <w:t>, OEA/</w:t>
      </w:r>
      <w:proofErr w:type="spellStart"/>
      <w:r>
        <w:rPr>
          <w:rFonts w:asciiTheme="minorHAnsi" w:hAnsiTheme="minorHAnsi"/>
          <w:sz w:val="16"/>
        </w:rPr>
        <w:t>Ser.L</w:t>
      </w:r>
      <w:proofErr w:type="spellEnd"/>
      <w:r>
        <w:rPr>
          <w:rFonts w:asciiTheme="minorHAnsi" w:hAnsiTheme="minorHAnsi"/>
          <w:sz w:val="16"/>
        </w:rPr>
        <w:t>/V/II.116.Doc.5 rev.1, 22 de octubre de 2002, párr. 185.</w:t>
      </w:r>
    </w:p>
  </w:footnote>
  <w:footnote w:id="85">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Procedimientos Operativos Estándar (SOP por sus siglas en inglés) en el Campo Delta, Grupo de Trabajo para la </w:t>
      </w:r>
      <w:proofErr w:type="spellStart"/>
      <w:r>
        <w:rPr>
          <w:rFonts w:asciiTheme="minorHAnsi" w:hAnsiTheme="minorHAnsi"/>
          <w:sz w:val="16"/>
        </w:rPr>
        <w:t>Revsión</w:t>
      </w:r>
      <w:proofErr w:type="spellEnd"/>
      <w:r>
        <w:rPr>
          <w:rFonts w:asciiTheme="minorHAnsi" w:hAnsiTheme="minorHAnsi"/>
          <w:sz w:val="16"/>
        </w:rPr>
        <w:t xml:space="preserve"> de Guantánamo – Guantánamo (JTF-GTMO por sus siglas en inglés), Bahía de Guantánamo, Cuba, Marzo 28 de 2003. Disponible en: </w:t>
      </w:r>
      <w:hyperlink r:id="rId32">
        <w:r>
          <w:rPr>
            <w:rStyle w:val="Hyperlink"/>
            <w:rFonts w:asciiTheme="minorHAnsi" w:hAnsiTheme="minorHAnsi"/>
            <w:sz w:val="16"/>
          </w:rPr>
          <w:t>http://humanrights.ucdavis.edu/projects/the-guantanamo-testimonials-project/testimonies/testimonies-of-standard-operating-procedures/camp_delta_sop.pdf</w:t>
        </w:r>
      </w:hyperlink>
      <w:r>
        <w:rPr>
          <w:rFonts w:asciiTheme="minorHAnsi" w:hAnsiTheme="minorHAnsi"/>
          <w:sz w:val="16"/>
        </w:rPr>
        <w:t xml:space="preserve"> </w:t>
      </w:r>
    </w:p>
  </w:footnote>
  <w:footnote w:id="86">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sidRPr="00237789">
        <w:rPr>
          <w:rFonts w:asciiTheme="minorHAnsi" w:hAnsiTheme="minorHAnsi"/>
          <w:sz w:val="16"/>
          <w:lang w:val="en-US"/>
        </w:rPr>
        <w:t xml:space="preserve"> </w:t>
      </w:r>
      <w:r w:rsidRPr="00237789">
        <w:rPr>
          <w:lang w:val="en-US"/>
        </w:rPr>
        <w:tab/>
      </w:r>
      <w:proofErr w:type="spellStart"/>
      <w:r w:rsidRPr="00237789">
        <w:rPr>
          <w:rFonts w:asciiTheme="minorHAnsi" w:hAnsiTheme="minorHAnsi"/>
          <w:sz w:val="16"/>
          <w:lang w:val="en-US"/>
        </w:rPr>
        <w:t>Testimonio</w:t>
      </w:r>
      <w:proofErr w:type="spellEnd"/>
      <w:r w:rsidRPr="00237789">
        <w:rPr>
          <w:rFonts w:asciiTheme="minorHAnsi" w:hAnsiTheme="minorHAnsi"/>
          <w:sz w:val="16"/>
          <w:lang w:val="en-US"/>
        </w:rPr>
        <w:t xml:space="preserve"> del </w:t>
      </w:r>
      <w:proofErr w:type="spellStart"/>
      <w:r w:rsidRPr="00237789">
        <w:rPr>
          <w:rFonts w:asciiTheme="minorHAnsi" w:hAnsiTheme="minorHAnsi"/>
          <w:sz w:val="16"/>
          <w:lang w:val="en-US"/>
        </w:rPr>
        <w:t>Spc</w:t>
      </w:r>
      <w:proofErr w:type="spellEnd"/>
      <w:r w:rsidRPr="00237789">
        <w:rPr>
          <w:rFonts w:asciiTheme="minorHAnsi" w:hAnsiTheme="minorHAnsi"/>
          <w:sz w:val="16"/>
          <w:lang w:val="en-US"/>
        </w:rPr>
        <w:t xml:space="preserve">. Brandon Neely, The Guantánamo Testimonials Project, Center for the Study of Human Rights in the Americas, 4 de </w:t>
      </w:r>
      <w:proofErr w:type="spellStart"/>
      <w:r w:rsidRPr="00237789">
        <w:rPr>
          <w:rFonts w:asciiTheme="minorHAnsi" w:hAnsiTheme="minorHAnsi"/>
          <w:sz w:val="16"/>
          <w:lang w:val="en-US"/>
        </w:rPr>
        <w:t>diciembre</w:t>
      </w:r>
      <w:proofErr w:type="spellEnd"/>
      <w:r w:rsidRPr="00237789">
        <w:rPr>
          <w:rFonts w:asciiTheme="minorHAnsi" w:hAnsiTheme="minorHAnsi"/>
          <w:sz w:val="16"/>
          <w:lang w:val="en-US"/>
        </w:rPr>
        <w:t xml:space="preserve"> de 2008. </w:t>
      </w:r>
      <w:r>
        <w:rPr>
          <w:rFonts w:asciiTheme="minorHAnsi" w:hAnsiTheme="minorHAnsi"/>
          <w:sz w:val="16"/>
        </w:rPr>
        <w:t xml:space="preserve">Disponible en: </w:t>
      </w:r>
      <w:hyperlink r:id="rId33">
        <w:r>
          <w:rPr>
            <w:rStyle w:val="Hyperlink"/>
            <w:rFonts w:asciiTheme="minorHAnsi" w:hAnsiTheme="minorHAnsi"/>
            <w:sz w:val="16"/>
          </w:rPr>
          <w:t>http://humanrights.ucdavis.edu/projects/the-guantanamo-testimonials-project/testimonies/testimonies-of-military-guards/testimony-of-brandon-neely</w:t>
        </w:r>
      </w:hyperlink>
      <w:r>
        <w:rPr>
          <w:rFonts w:asciiTheme="minorHAnsi" w:hAnsiTheme="minorHAnsi"/>
          <w:sz w:val="16"/>
        </w:rPr>
        <w:t xml:space="preserve"> </w:t>
      </w:r>
    </w:p>
  </w:footnote>
  <w:footnote w:id="87">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Informe del Comité de Servicios Armados del Senado de Estados Unidos, Investigación sobre el Tratamiento de Detenidos bajo Custodia de EE.UU., 110</w:t>
      </w:r>
      <w:r>
        <w:rPr>
          <w:rFonts w:asciiTheme="minorHAnsi" w:hAnsiTheme="minorHAnsi"/>
          <w:sz w:val="16"/>
          <w:vertAlign w:val="superscript"/>
        </w:rPr>
        <w:t>th</w:t>
      </w:r>
      <w:r>
        <w:rPr>
          <w:rFonts w:asciiTheme="minorHAnsi" w:hAnsiTheme="minorHAnsi"/>
          <w:sz w:val="16"/>
        </w:rPr>
        <w:t xml:space="preserve"> </w:t>
      </w:r>
      <w:proofErr w:type="spellStart"/>
      <w:r>
        <w:rPr>
          <w:rFonts w:asciiTheme="minorHAnsi" w:hAnsiTheme="minorHAnsi"/>
          <w:sz w:val="16"/>
        </w:rPr>
        <w:t>Congress</w:t>
      </w:r>
      <w:proofErr w:type="spellEnd"/>
      <w:r>
        <w:rPr>
          <w:rFonts w:asciiTheme="minorHAnsi" w:hAnsiTheme="minorHAnsi"/>
          <w:sz w:val="16"/>
        </w:rPr>
        <w:t>, 2</w:t>
      </w:r>
      <w:r>
        <w:rPr>
          <w:rFonts w:asciiTheme="minorHAnsi" w:hAnsiTheme="minorHAnsi"/>
          <w:sz w:val="16"/>
          <w:vertAlign w:val="superscript"/>
        </w:rPr>
        <w:t>nd</w:t>
      </w:r>
      <w:r>
        <w:rPr>
          <w:rFonts w:asciiTheme="minorHAnsi" w:hAnsiTheme="minorHAnsi"/>
          <w:sz w:val="16"/>
        </w:rPr>
        <w:t xml:space="preserve"> </w:t>
      </w:r>
      <w:proofErr w:type="spellStart"/>
      <w:r>
        <w:rPr>
          <w:rFonts w:asciiTheme="minorHAnsi" w:hAnsiTheme="minorHAnsi"/>
          <w:sz w:val="16"/>
        </w:rPr>
        <w:t>Session</w:t>
      </w:r>
      <w:proofErr w:type="spellEnd"/>
      <w:r>
        <w:rPr>
          <w:rFonts w:asciiTheme="minorHAnsi" w:hAnsiTheme="minorHAnsi"/>
          <w:sz w:val="16"/>
        </w:rPr>
        <w:t xml:space="preserve">, 20 de noviembre de 2008.  Disponible en: </w:t>
      </w:r>
      <w:hyperlink r:id="rId34">
        <w:r>
          <w:rPr>
            <w:rStyle w:val="Hyperlink"/>
            <w:rFonts w:asciiTheme="minorHAnsi" w:hAnsiTheme="minorHAnsi"/>
            <w:sz w:val="16"/>
          </w:rPr>
          <w:t>http://www.armed-services.senate.gov/imo/media/doc/Detainee-Report-Final_April-22-2009.pdf</w:t>
        </w:r>
      </w:hyperlink>
      <w:r>
        <w:rPr>
          <w:rFonts w:asciiTheme="minorHAnsi" w:hAnsiTheme="minorHAnsi"/>
          <w:sz w:val="16"/>
        </w:rPr>
        <w:t xml:space="preserve"> </w:t>
      </w:r>
    </w:p>
  </w:footnote>
  <w:footnote w:id="88">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Carta a Alberto R. Gonzales, Fiscal General, de John C. </w:t>
      </w:r>
      <w:proofErr w:type="spellStart"/>
      <w:r>
        <w:rPr>
          <w:rFonts w:asciiTheme="minorHAnsi" w:hAnsiTheme="minorHAnsi"/>
          <w:sz w:val="16"/>
        </w:rPr>
        <w:t>Yoo</w:t>
      </w:r>
      <w:proofErr w:type="spellEnd"/>
      <w:r>
        <w:rPr>
          <w:rFonts w:asciiTheme="minorHAnsi" w:hAnsiTheme="minorHAnsi"/>
          <w:sz w:val="16"/>
        </w:rPr>
        <w:t xml:space="preserve">, Fiscal General Auxiliar Adjunto, Oficina del Fiscal General, Departamento de Justicia de Estados Unidos, sobre si los métodos de interrogatorio utilizados durante los operativos de captura de Al Qaeda violarían la Convención de la ONU contra la Tortura o serían fundamento para ser procesado según el Estatuto de Roma, 1 de agosto de 2001. Disponible en: </w:t>
      </w:r>
      <w:hyperlink r:id="rId35">
        <w:r>
          <w:rPr>
            <w:rStyle w:val="Hyperlink"/>
            <w:rFonts w:asciiTheme="minorHAnsi" w:hAnsiTheme="minorHAnsi"/>
            <w:sz w:val="16"/>
          </w:rPr>
          <w:t>http://www2.gwu.edu/~nsarchiv/NSAEBB/NSAEBB127/020801.pdf</w:t>
        </w:r>
      </w:hyperlink>
      <w:r>
        <w:rPr>
          <w:rFonts w:asciiTheme="minorHAnsi" w:hAnsiTheme="minorHAnsi"/>
          <w:sz w:val="16"/>
        </w:rPr>
        <w:t xml:space="preserve">; Memorando de Alberto R. Gonzales, Fiscal General, Asunto: Estándares de Conducta para Interrogatorios según el 18 U.S.C. §§ 2340-2340A, de </w:t>
      </w:r>
      <w:proofErr w:type="spellStart"/>
      <w:r>
        <w:rPr>
          <w:rFonts w:asciiTheme="minorHAnsi" w:hAnsiTheme="minorHAnsi"/>
          <w:sz w:val="16"/>
        </w:rPr>
        <w:t>Jay</w:t>
      </w:r>
      <w:proofErr w:type="spellEnd"/>
      <w:r>
        <w:rPr>
          <w:rFonts w:asciiTheme="minorHAnsi" w:hAnsiTheme="minorHAnsi"/>
          <w:sz w:val="16"/>
        </w:rPr>
        <w:t xml:space="preserve"> S. </w:t>
      </w:r>
      <w:proofErr w:type="spellStart"/>
      <w:r>
        <w:rPr>
          <w:rFonts w:asciiTheme="minorHAnsi" w:hAnsiTheme="minorHAnsi"/>
          <w:sz w:val="16"/>
        </w:rPr>
        <w:t>Bybee</w:t>
      </w:r>
      <w:proofErr w:type="spellEnd"/>
      <w:r>
        <w:rPr>
          <w:rFonts w:asciiTheme="minorHAnsi" w:hAnsiTheme="minorHAnsi"/>
          <w:sz w:val="16"/>
        </w:rPr>
        <w:t xml:space="preserve">, Fiscal General Adjunto, Oficina del Fiscal General, Departamento de Justicia de Estados Unidos, 1 de agosto de 2002. Disponible en: </w:t>
      </w:r>
      <w:hyperlink r:id="rId36">
        <w:r>
          <w:rPr>
            <w:rStyle w:val="Hyperlink"/>
            <w:rFonts w:asciiTheme="minorHAnsi" w:hAnsiTheme="minorHAnsi"/>
            <w:sz w:val="16"/>
          </w:rPr>
          <w:t>http://dspace.wrlc.org/doc/bitstream/2041/70964/00355_020801_001display.pdf</w:t>
        </w:r>
      </w:hyperlink>
      <w:r>
        <w:rPr>
          <w:rFonts w:asciiTheme="minorHAnsi" w:hAnsiTheme="minorHAnsi"/>
          <w:sz w:val="16"/>
        </w:rPr>
        <w:t xml:space="preserve">; Memorando de John Rizzo, Fiscal General Encargado de la Agencia de Inteligencia Central, Asunto: Interrogatorio del Operativo Al Qaeda, de </w:t>
      </w:r>
      <w:proofErr w:type="spellStart"/>
      <w:r>
        <w:rPr>
          <w:rFonts w:asciiTheme="minorHAnsi" w:hAnsiTheme="minorHAnsi"/>
          <w:sz w:val="16"/>
        </w:rPr>
        <w:t>Jay</w:t>
      </w:r>
      <w:proofErr w:type="spellEnd"/>
      <w:r>
        <w:rPr>
          <w:rFonts w:asciiTheme="minorHAnsi" w:hAnsiTheme="minorHAnsi"/>
          <w:sz w:val="16"/>
        </w:rPr>
        <w:t xml:space="preserve"> S. </w:t>
      </w:r>
      <w:proofErr w:type="spellStart"/>
      <w:r>
        <w:rPr>
          <w:rFonts w:asciiTheme="minorHAnsi" w:hAnsiTheme="minorHAnsi"/>
          <w:sz w:val="16"/>
        </w:rPr>
        <w:t>Bybee</w:t>
      </w:r>
      <w:proofErr w:type="spellEnd"/>
      <w:r>
        <w:rPr>
          <w:rFonts w:asciiTheme="minorHAnsi" w:hAnsiTheme="minorHAnsi"/>
          <w:sz w:val="16"/>
        </w:rPr>
        <w:t xml:space="preserve">, Fiscal General Adjunto, Oficina del Fiscal General, Departamento de Justicia de Estados Unidos, 1 de agosto de 2002. Disponible en: </w:t>
      </w:r>
      <w:hyperlink r:id="rId37">
        <w:r>
          <w:rPr>
            <w:rStyle w:val="Hyperlink"/>
            <w:rFonts w:asciiTheme="minorHAnsi" w:hAnsiTheme="minorHAnsi"/>
            <w:sz w:val="16"/>
          </w:rPr>
          <w:t>http://dspace.wrlc.org/doc/bitstream/2041/70967/00355_020801_004display.pdf</w:t>
        </w:r>
      </w:hyperlink>
      <w:r>
        <w:rPr>
          <w:rFonts w:asciiTheme="minorHAnsi" w:hAnsiTheme="minorHAnsi"/>
          <w:sz w:val="16"/>
        </w:rPr>
        <w:t xml:space="preserve">. </w:t>
      </w:r>
    </w:p>
  </w:footnote>
  <w:footnote w:id="89">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Memorando de Alberto R. Gonzales, Fiscal General, Asunto: Estándares de Conducta para Interrogatorios según el 18 U.S.C. §§ 2340-2340A, de </w:t>
      </w:r>
      <w:proofErr w:type="spellStart"/>
      <w:r>
        <w:rPr>
          <w:rFonts w:asciiTheme="minorHAnsi" w:hAnsiTheme="minorHAnsi"/>
          <w:sz w:val="16"/>
        </w:rPr>
        <w:t>Jay</w:t>
      </w:r>
      <w:proofErr w:type="spellEnd"/>
      <w:r>
        <w:rPr>
          <w:rFonts w:asciiTheme="minorHAnsi" w:hAnsiTheme="minorHAnsi"/>
          <w:sz w:val="16"/>
        </w:rPr>
        <w:t xml:space="preserve"> S. </w:t>
      </w:r>
      <w:proofErr w:type="spellStart"/>
      <w:r>
        <w:rPr>
          <w:rFonts w:asciiTheme="minorHAnsi" w:hAnsiTheme="minorHAnsi"/>
          <w:sz w:val="16"/>
        </w:rPr>
        <w:t>Bybee</w:t>
      </w:r>
      <w:proofErr w:type="spellEnd"/>
      <w:r>
        <w:rPr>
          <w:rFonts w:asciiTheme="minorHAnsi" w:hAnsiTheme="minorHAnsi"/>
          <w:sz w:val="16"/>
        </w:rPr>
        <w:t xml:space="preserve">, Fiscal General Adjunto, Oficina del Fiscal General, Departamento de Justicia de Estados Unidos, 1 de agosto de 2002, p. 46. </w:t>
      </w:r>
      <w:proofErr w:type="spellStart"/>
      <w:r>
        <w:rPr>
          <w:rFonts w:asciiTheme="minorHAnsi" w:hAnsiTheme="minorHAnsi"/>
          <w:sz w:val="16"/>
        </w:rPr>
        <w:t>Section</w:t>
      </w:r>
      <w:proofErr w:type="spellEnd"/>
      <w:r>
        <w:rPr>
          <w:rFonts w:asciiTheme="minorHAnsi" w:hAnsiTheme="minorHAnsi"/>
          <w:sz w:val="16"/>
        </w:rPr>
        <w:t xml:space="preserve"> 2340A del </w:t>
      </w:r>
      <w:proofErr w:type="spellStart"/>
      <w:r>
        <w:rPr>
          <w:rFonts w:asciiTheme="minorHAnsi" w:hAnsiTheme="minorHAnsi"/>
          <w:sz w:val="16"/>
        </w:rPr>
        <w:t>United</w:t>
      </w:r>
      <w:proofErr w:type="spellEnd"/>
      <w:r>
        <w:rPr>
          <w:rFonts w:asciiTheme="minorHAnsi" w:hAnsiTheme="minorHAnsi"/>
          <w:sz w:val="16"/>
        </w:rPr>
        <w:t xml:space="preserve"> </w:t>
      </w:r>
      <w:proofErr w:type="spellStart"/>
      <w:r>
        <w:rPr>
          <w:rFonts w:asciiTheme="minorHAnsi" w:hAnsiTheme="minorHAnsi"/>
          <w:sz w:val="16"/>
        </w:rPr>
        <w:t>States</w:t>
      </w:r>
      <w:proofErr w:type="spellEnd"/>
      <w:r>
        <w:rPr>
          <w:rFonts w:asciiTheme="minorHAnsi" w:hAnsiTheme="minorHAnsi"/>
          <w:sz w:val="16"/>
        </w:rPr>
        <w:t xml:space="preserve"> </w:t>
      </w:r>
      <w:proofErr w:type="spellStart"/>
      <w:r>
        <w:rPr>
          <w:rFonts w:asciiTheme="minorHAnsi" w:hAnsiTheme="minorHAnsi"/>
          <w:sz w:val="16"/>
        </w:rPr>
        <w:t>Code</w:t>
      </w:r>
      <w:proofErr w:type="spellEnd"/>
      <w:r>
        <w:rPr>
          <w:rFonts w:asciiTheme="minorHAnsi" w:hAnsiTheme="minorHAnsi"/>
          <w:sz w:val="16"/>
        </w:rPr>
        <w:t xml:space="preserve"> </w:t>
      </w:r>
      <w:proofErr w:type="spellStart"/>
      <w:r>
        <w:rPr>
          <w:rFonts w:asciiTheme="minorHAnsi" w:hAnsiTheme="minorHAnsi"/>
          <w:sz w:val="16"/>
        </w:rPr>
        <w:t>prohibe</w:t>
      </w:r>
      <w:proofErr w:type="spellEnd"/>
      <w:r>
        <w:rPr>
          <w:rFonts w:asciiTheme="minorHAnsi" w:hAnsiTheme="minorHAnsi"/>
          <w:sz w:val="16"/>
        </w:rPr>
        <w:t xml:space="preserve"> la tortura llevada a cabo por agentes públicos e implemente la Convención de la ONU contra la Tortura y otros Tratos o Penas Crueles, Inhumanos o Degradantes. </w:t>
      </w:r>
    </w:p>
  </w:footnote>
  <w:footnote w:id="90">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Informe de </w:t>
      </w:r>
      <w:proofErr w:type="spellStart"/>
      <w:r>
        <w:rPr>
          <w:rFonts w:asciiTheme="minorHAnsi" w:hAnsiTheme="minorHAnsi"/>
          <w:sz w:val="16"/>
        </w:rPr>
        <w:t>The</w:t>
      </w:r>
      <w:proofErr w:type="spellEnd"/>
      <w:r>
        <w:rPr>
          <w:rFonts w:asciiTheme="minorHAnsi" w:hAnsiTheme="minorHAnsi"/>
          <w:sz w:val="16"/>
        </w:rPr>
        <w:t xml:space="preserve"> </w:t>
      </w:r>
      <w:proofErr w:type="spellStart"/>
      <w:r>
        <w:rPr>
          <w:rFonts w:asciiTheme="minorHAnsi" w:hAnsiTheme="minorHAnsi"/>
          <w:sz w:val="16"/>
        </w:rPr>
        <w:t>Constitution</w:t>
      </w:r>
      <w:proofErr w:type="spellEnd"/>
      <w:r>
        <w:rPr>
          <w:rFonts w:asciiTheme="minorHAnsi" w:hAnsiTheme="minorHAnsi"/>
          <w:sz w:val="16"/>
        </w:rPr>
        <w:t xml:space="preserve"> </w:t>
      </w:r>
      <w:proofErr w:type="spellStart"/>
      <w:r>
        <w:rPr>
          <w:rFonts w:asciiTheme="minorHAnsi" w:hAnsiTheme="minorHAnsi"/>
          <w:sz w:val="16"/>
        </w:rPr>
        <w:t>Project’s</w:t>
      </w:r>
      <w:proofErr w:type="spellEnd"/>
      <w:r>
        <w:rPr>
          <w:rFonts w:asciiTheme="minorHAnsi" w:hAnsiTheme="minorHAnsi"/>
          <w:sz w:val="16"/>
        </w:rPr>
        <w:t xml:space="preserve"> </w:t>
      </w:r>
      <w:proofErr w:type="spellStart"/>
      <w:r>
        <w:rPr>
          <w:rFonts w:asciiTheme="minorHAnsi" w:hAnsiTheme="minorHAnsi"/>
          <w:sz w:val="16"/>
        </w:rPr>
        <w:t>Task</w:t>
      </w:r>
      <w:proofErr w:type="spellEnd"/>
      <w:r>
        <w:rPr>
          <w:rFonts w:asciiTheme="minorHAnsi" w:hAnsiTheme="minorHAnsi"/>
          <w:sz w:val="16"/>
        </w:rPr>
        <w:t xml:space="preserve"> </w:t>
      </w:r>
      <w:proofErr w:type="spellStart"/>
      <w:r>
        <w:rPr>
          <w:rFonts w:asciiTheme="minorHAnsi" w:hAnsiTheme="minorHAnsi"/>
          <w:sz w:val="16"/>
        </w:rPr>
        <w:t>Force</w:t>
      </w:r>
      <w:proofErr w:type="spellEnd"/>
      <w:r>
        <w:rPr>
          <w:rFonts w:asciiTheme="minorHAnsi" w:hAnsiTheme="minorHAnsi"/>
          <w:sz w:val="16"/>
        </w:rPr>
        <w:t xml:space="preserve"> </w:t>
      </w:r>
      <w:proofErr w:type="spellStart"/>
      <w:r>
        <w:rPr>
          <w:rFonts w:asciiTheme="minorHAnsi" w:hAnsiTheme="minorHAnsi"/>
          <w:sz w:val="16"/>
        </w:rPr>
        <w:t>on</w:t>
      </w:r>
      <w:proofErr w:type="spellEnd"/>
      <w:r>
        <w:rPr>
          <w:rFonts w:asciiTheme="minorHAnsi" w:hAnsiTheme="minorHAnsi"/>
          <w:sz w:val="16"/>
        </w:rPr>
        <w:t xml:space="preserve"> </w:t>
      </w:r>
      <w:proofErr w:type="spellStart"/>
      <w:r>
        <w:rPr>
          <w:rFonts w:asciiTheme="minorHAnsi" w:hAnsiTheme="minorHAnsi"/>
          <w:sz w:val="16"/>
        </w:rPr>
        <w:t>Detainee</w:t>
      </w:r>
      <w:proofErr w:type="spellEnd"/>
      <w:r>
        <w:rPr>
          <w:rFonts w:asciiTheme="minorHAnsi" w:hAnsiTheme="minorHAnsi"/>
          <w:sz w:val="16"/>
        </w:rPr>
        <w:t xml:space="preserve"> </w:t>
      </w:r>
      <w:proofErr w:type="spellStart"/>
      <w:r>
        <w:rPr>
          <w:rFonts w:asciiTheme="minorHAnsi" w:hAnsiTheme="minorHAnsi"/>
          <w:sz w:val="16"/>
        </w:rPr>
        <w:t>Treatment</w:t>
      </w:r>
      <w:proofErr w:type="spellEnd"/>
      <w:r>
        <w:rPr>
          <w:rFonts w:asciiTheme="minorHAnsi" w:hAnsiTheme="minorHAnsi"/>
          <w:sz w:val="16"/>
        </w:rPr>
        <w:t xml:space="preserve">, Versión Resumida, </w:t>
      </w:r>
      <w:proofErr w:type="spellStart"/>
      <w:r>
        <w:rPr>
          <w:rFonts w:asciiTheme="minorHAnsi" w:hAnsiTheme="minorHAnsi"/>
          <w:sz w:val="16"/>
        </w:rPr>
        <w:t>The</w:t>
      </w:r>
      <w:proofErr w:type="spellEnd"/>
      <w:r>
        <w:rPr>
          <w:rFonts w:asciiTheme="minorHAnsi" w:hAnsiTheme="minorHAnsi"/>
          <w:sz w:val="16"/>
        </w:rPr>
        <w:t xml:space="preserve"> </w:t>
      </w:r>
      <w:proofErr w:type="spellStart"/>
      <w:r>
        <w:rPr>
          <w:rFonts w:asciiTheme="minorHAnsi" w:hAnsiTheme="minorHAnsi"/>
          <w:sz w:val="16"/>
        </w:rPr>
        <w:t>Constitution</w:t>
      </w:r>
      <w:proofErr w:type="spellEnd"/>
      <w:r>
        <w:rPr>
          <w:rFonts w:asciiTheme="minorHAnsi" w:hAnsiTheme="minorHAnsi"/>
          <w:sz w:val="16"/>
        </w:rPr>
        <w:t xml:space="preserve"> Project, Washington D.C., 2013, p.46 (p. 207 del informe completo). Informe completo disponible en:  </w:t>
      </w:r>
      <w:hyperlink r:id="rId38">
        <w:r>
          <w:rPr>
            <w:rStyle w:val="Hyperlink"/>
            <w:rFonts w:asciiTheme="minorHAnsi" w:hAnsiTheme="minorHAnsi"/>
            <w:sz w:val="16"/>
          </w:rPr>
          <w:t>http://www.detaineetaskforce.org/read/</w:t>
        </w:r>
      </w:hyperlink>
      <w:r>
        <w:rPr>
          <w:rFonts w:asciiTheme="minorHAnsi" w:hAnsiTheme="minorHAnsi"/>
          <w:sz w:val="16"/>
        </w:rPr>
        <w:t xml:space="preserve"> </w:t>
      </w:r>
    </w:p>
  </w:footnote>
  <w:footnote w:id="91">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Memorando de John Rizzo, Fiscal General Encargado de la Agencia de Inteligencia Central, Asunto: Interrogatorio del Operativo Al Qaeda, de </w:t>
      </w:r>
      <w:proofErr w:type="spellStart"/>
      <w:r>
        <w:rPr>
          <w:rFonts w:asciiTheme="minorHAnsi" w:hAnsiTheme="minorHAnsi"/>
          <w:sz w:val="16"/>
        </w:rPr>
        <w:t>Jay</w:t>
      </w:r>
      <w:proofErr w:type="spellEnd"/>
      <w:r>
        <w:rPr>
          <w:rFonts w:asciiTheme="minorHAnsi" w:hAnsiTheme="minorHAnsi"/>
          <w:sz w:val="16"/>
        </w:rPr>
        <w:t xml:space="preserve"> S. </w:t>
      </w:r>
      <w:proofErr w:type="spellStart"/>
      <w:r>
        <w:rPr>
          <w:rFonts w:asciiTheme="minorHAnsi" w:hAnsiTheme="minorHAnsi"/>
          <w:sz w:val="16"/>
        </w:rPr>
        <w:t>Bybee</w:t>
      </w:r>
      <w:proofErr w:type="spellEnd"/>
      <w:r>
        <w:rPr>
          <w:rFonts w:asciiTheme="minorHAnsi" w:hAnsiTheme="minorHAnsi"/>
          <w:sz w:val="16"/>
        </w:rPr>
        <w:t>, Fiscal General Adjunto, Oficina del Fiscal General, Departamento de Justicia de Estados Unidos, 1 de agosto de 2002, pp. 2-3.</w:t>
      </w:r>
    </w:p>
  </w:footnote>
  <w:footnote w:id="92">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Stephen </w:t>
      </w:r>
      <w:proofErr w:type="spellStart"/>
      <w:r>
        <w:rPr>
          <w:rFonts w:asciiTheme="minorHAnsi" w:hAnsiTheme="minorHAnsi"/>
          <w:sz w:val="16"/>
        </w:rPr>
        <w:t>Lendman</w:t>
      </w:r>
      <w:proofErr w:type="spellEnd"/>
      <w:r>
        <w:rPr>
          <w:rFonts w:asciiTheme="minorHAnsi" w:hAnsiTheme="minorHAnsi"/>
          <w:sz w:val="16"/>
        </w:rPr>
        <w:t>, Tortura como Política Oficial Estadounidense (</w:t>
      </w:r>
      <w:r>
        <w:rPr>
          <w:rFonts w:asciiTheme="minorHAnsi" w:hAnsiTheme="minorHAnsi"/>
          <w:i/>
          <w:sz w:val="16"/>
        </w:rPr>
        <w:t xml:space="preserve">Torture As </w:t>
      </w:r>
      <w:proofErr w:type="spellStart"/>
      <w:r>
        <w:rPr>
          <w:rFonts w:asciiTheme="minorHAnsi" w:hAnsiTheme="minorHAnsi"/>
          <w:i/>
          <w:sz w:val="16"/>
        </w:rPr>
        <w:t>Official</w:t>
      </w:r>
      <w:proofErr w:type="spellEnd"/>
      <w:r>
        <w:rPr>
          <w:rFonts w:asciiTheme="minorHAnsi" w:hAnsiTheme="minorHAnsi"/>
          <w:i/>
          <w:sz w:val="16"/>
        </w:rPr>
        <w:t xml:space="preserve"> US </w:t>
      </w:r>
      <w:proofErr w:type="spellStart"/>
      <w:r>
        <w:rPr>
          <w:rFonts w:asciiTheme="minorHAnsi" w:hAnsiTheme="minorHAnsi"/>
          <w:i/>
          <w:sz w:val="16"/>
        </w:rPr>
        <w:t>Policy</w:t>
      </w:r>
      <w:proofErr w:type="spellEnd"/>
      <w:r>
        <w:rPr>
          <w:rFonts w:asciiTheme="minorHAnsi" w:hAnsiTheme="minorHAnsi"/>
          <w:sz w:val="16"/>
        </w:rPr>
        <w:t xml:space="preserve">) Global </w:t>
      </w:r>
      <w:proofErr w:type="spellStart"/>
      <w:r>
        <w:rPr>
          <w:rFonts w:asciiTheme="minorHAnsi" w:hAnsiTheme="minorHAnsi"/>
          <w:sz w:val="16"/>
        </w:rPr>
        <w:t>Research</w:t>
      </w:r>
      <w:proofErr w:type="spellEnd"/>
      <w:r>
        <w:rPr>
          <w:rFonts w:asciiTheme="minorHAnsi" w:hAnsiTheme="minorHAnsi"/>
          <w:sz w:val="16"/>
        </w:rPr>
        <w:t xml:space="preserve">, 18 de julio de 2008. Disponible en: </w:t>
      </w:r>
      <w:hyperlink r:id="rId39">
        <w:r>
          <w:rPr>
            <w:rStyle w:val="Hyperlink"/>
            <w:rFonts w:asciiTheme="minorHAnsi" w:hAnsiTheme="minorHAnsi"/>
            <w:sz w:val="16"/>
          </w:rPr>
          <w:t>http://www.globalresearch.ca/torture-as-official-us-policy/9610</w:t>
        </w:r>
      </w:hyperlink>
      <w:r>
        <w:rPr>
          <w:rFonts w:asciiTheme="minorHAnsi" w:hAnsiTheme="minorHAnsi"/>
          <w:sz w:val="16"/>
        </w:rPr>
        <w:t xml:space="preserve"> </w:t>
      </w:r>
    </w:p>
  </w:footnote>
  <w:footnote w:id="93">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Memorando de John Rizzo, Fiscal General Encargado de la Agencia de Inteligencia Central, Asunto: Interrogatorio del Operativo Al Qaeda, de </w:t>
      </w:r>
      <w:proofErr w:type="spellStart"/>
      <w:r>
        <w:rPr>
          <w:rFonts w:asciiTheme="minorHAnsi" w:hAnsiTheme="minorHAnsi"/>
          <w:sz w:val="16"/>
        </w:rPr>
        <w:t>Jay</w:t>
      </w:r>
      <w:proofErr w:type="spellEnd"/>
      <w:r>
        <w:rPr>
          <w:rFonts w:asciiTheme="minorHAnsi" w:hAnsiTheme="minorHAnsi"/>
          <w:sz w:val="16"/>
        </w:rPr>
        <w:t xml:space="preserve"> S. </w:t>
      </w:r>
      <w:proofErr w:type="spellStart"/>
      <w:r>
        <w:rPr>
          <w:rFonts w:asciiTheme="minorHAnsi" w:hAnsiTheme="minorHAnsi"/>
          <w:sz w:val="16"/>
        </w:rPr>
        <w:t>Bybee</w:t>
      </w:r>
      <w:proofErr w:type="spellEnd"/>
      <w:r>
        <w:rPr>
          <w:rFonts w:asciiTheme="minorHAnsi" w:hAnsiTheme="minorHAnsi"/>
          <w:sz w:val="16"/>
        </w:rPr>
        <w:t>, Fiscal General Adjunto, Oficina del Fiscal General, Departamento de Justicia de Estados Unidos, 1 de agosto de 2002.</w:t>
      </w:r>
    </w:p>
  </w:footnote>
  <w:footnote w:id="94">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Táctica utilizada después de su prohibición, </w:t>
      </w:r>
      <w:proofErr w:type="spellStart"/>
      <w:r>
        <w:rPr>
          <w:rFonts w:asciiTheme="minorHAnsi" w:hAnsiTheme="minorHAnsi"/>
          <w:sz w:val="16"/>
        </w:rPr>
        <w:t>The</w:t>
      </w:r>
      <w:proofErr w:type="spellEnd"/>
      <w:r>
        <w:rPr>
          <w:rFonts w:asciiTheme="minorHAnsi" w:hAnsiTheme="minorHAnsi"/>
          <w:sz w:val="16"/>
        </w:rPr>
        <w:t xml:space="preserve"> Washington Post, 8 de agosto de 2008. Disponible en: </w:t>
      </w:r>
      <w:hyperlink r:id="rId40">
        <w:r>
          <w:rPr>
            <w:rStyle w:val="Hyperlink"/>
            <w:rFonts w:asciiTheme="minorHAnsi" w:hAnsiTheme="minorHAnsi"/>
            <w:sz w:val="16"/>
          </w:rPr>
          <w:t>http://www.washingtonpost.com/wp-dyn/content/article/2008/08/07/AR2008080703004.html</w:t>
        </w:r>
      </w:hyperlink>
      <w:r>
        <w:rPr>
          <w:rFonts w:asciiTheme="minorHAnsi" w:hAnsiTheme="minorHAnsi"/>
          <w:sz w:val="16"/>
        </w:rPr>
        <w:t xml:space="preserve"> </w:t>
      </w:r>
    </w:p>
  </w:footnote>
  <w:footnote w:id="95">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Memorando de John Rizzo, Fiscal General Encargado de la Agencia de Inteligencia Central, Asunto: Interrogatorio del Operativo Al Qaeda, de </w:t>
      </w:r>
      <w:proofErr w:type="spellStart"/>
      <w:r>
        <w:rPr>
          <w:rFonts w:asciiTheme="minorHAnsi" w:hAnsiTheme="minorHAnsi"/>
          <w:sz w:val="16"/>
        </w:rPr>
        <w:t>Jay</w:t>
      </w:r>
      <w:proofErr w:type="spellEnd"/>
      <w:r>
        <w:rPr>
          <w:rFonts w:asciiTheme="minorHAnsi" w:hAnsiTheme="minorHAnsi"/>
          <w:sz w:val="16"/>
        </w:rPr>
        <w:t xml:space="preserve"> S. </w:t>
      </w:r>
      <w:proofErr w:type="spellStart"/>
      <w:r>
        <w:rPr>
          <w:rFonts w:asciiTheme="minorHAnsi" w:hAnsiTheme="minorHAnsi"/>
          <w:sz w:val="16"/>
        </w:rPr>
        <w:t>Bybee</w:t>
      </w:r>
      <w:proofErr w:type="spellEnd"/>
      <w:r>
        <w:rPr>
          <w:rFonts w:asciiTheme="minorHAnsi" w:hAnsiTheme="minorHAnsi"/>
          <w:sz w:val="16"/>
        </w:rPr>
        <w:t>, Fiscal General Adjunto, Oficina del Fiscal General, Departamento de Justicia de Estados Unidos, 1 de agosto de 2002, p. 3.</w:t>
      </w:r>
    </w:p>
  </w:footnote>
  <w:footnote w:id="96">
    <w:p w:rsidR="00AF130B" w:rsidRPr="005D0288" w:rsidRDefault="00AF130B" w:rsidP="00CE3EC6">
      <w:pPr>
        <w:pStyle w:val="FootnoteText"/>
        <w:ind w:left="547" w:hanging="547"/>
        <w:jc w:val="both"/>
        <w:rPr>
          <w:rFonts w:asciiTheme="minorHAnsi" w:hAnsiTheme="minorHAnsi"/>
          <w:sz w:val="16"/>
          <w:szCs w:val="16"/>
          <w:lang w:val="en-US"/>
        </w:rPr>
      </w:pPr>
      <w:r>
        <w:rPr>
          <w:rStyle w:val="FootnoteReference"/>
          <w:rFonts w:asciiTheme="minorHAnsi" w:hAnsiTheme="minorHAnsi"/>
          <w:sz w:val="16"/>
        </w:rPr>
        <w:footnoteRef/>
      </w:r>
      <w:r w:rsidRPr="00237789">
        <w:rPr>
          <w:rFonts w:asciiTheme="minorHAnsi" w:hAnsiTheme="minorHAnsi"/>
          <w:sz w:val="16"/>
          <w:lang w:val="en-US"/>
        </w:rPr>
        <w:t xml:space="preserve"> </w:t>
      </w:r>
      <w:r w:rsidRPr="00237789">
        <w:rPr>
          <w:lang w:val="en-US"/>
        </w:rPr>
        <w:tab/>
      </w:r>
      <w:proofErr w:type="spellStart"/>
      <w:r w:rsidRPr="00237789">
        <w:rPr>
          <w:rFonts w:asciiTheme="minorHAnsi" w:hAnsiTheme="minorHAnsi"/>
          <w:sz w:val="16"/>
          <w:lang w:val="en-US"/>
        </w:rPr>
        <w:t>Informe</w:t>
      </w:r>
      <w:proofErr w:type="spellEnd"/>
      <w:r w:rsidRPr="00237789">
        <w:rPr>
          <w:rFonts w:asciiTheme="minorHAnsi" w:hAnsiTheme="minorHAnsi"/>
          <w:sz w:val="16"/>
          <w:lang w:val="en-US"/>
        </w:rPr>
        <w:t xml:space="preserve"> de The Constitution Project’s Task Force on Detainee Treatment, The Constitution Project, Washington D.C., 2013, p. 204.</w:t>
      </w:r>
    </w:p>
  </w:footnote>
  <w:footnote w:id="97">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proofErr w:type="spellStart"/>
      <w:r>
        <w:rPr>
          <w:rFonts w:asciiTheme="minorHAnsi" w:hAnsiTheme="minorHAnsi"/>
          <w:sz w:val="16"/>
        </w:rPr>
        <w:t>The</w:t>
      </w:r>
      <w:proofErr w:type="spellEnd"/>
      <w:r>
        <w:rPr>
          <w:rFonts w:asciiTheme="minorHAnsi" w:hAnsiTheme="minorHAnsi"/>
          <w:sz w:val="16"/>
        </w:rPr>
        <w:t xml:space="preserve"> New York Times, Cruz Roja Concluye que hay Abusos a Detenidos en Guantánamo (</w:t>
      </w:r>
      <w:r>
        <w:rPr>
          <w:rFonts w:asciiTheme="minorHAnsi" w:hAnsiTheme="minorHAnsi"/>
          <w:i/>
          <w:sz w:val="16"/>
        </w:rPr>
        <w:t xml:space="preserve">Red Cross </w:t>
      </w:r>
      <w:proofErr w:type="spellStart"/>
      <w:r>
        <w:rPr>
          <w:rFonts w:asciiTheme="minorHAnsi" w:hAnsiTheme="minorHAnsi"/>
          <w:i/>
          <w:sz w:val="16"/>
        </w:rPr>
        <w:t>Finds</w:t>
      </w:r>
      <w:proofErr w:type="spellEnd"/>
      <w:r>
        <w:rPr>
          <w:rFonts w:asciiTheme="minorHAnsi" w:hAnsiTheme="minorHAnsi"/>
          <w:i/>
          <w:sz w:val="16"/>
        </w:rPr>
        <w:t xml:space="preserve"> </w:t>
      </w:r>
      <w:proofErr w:type="spellStart"/>
      <w:r>
        <w:rPr>
          <w:rFonts w:asciiTheme="minorHAnsi" w:hAnsiTheme="minorHAnsi"/>
          <w:i/>
          <w:sz w:val="16"/>
        </w:rPr>
        <w:t>Detainee</w:t>
      </w:r>
      <w:proofErr w:type="spellEnd"/>
      <w:r>
        <w:rPr>
          <w:rFonts w:asciiTheme="minorHAnsi" w:hAnsiTheme="minorHAnsi"/>
          <w:i/>
          <w:sz w:val="16"/>
        </w:rPr>
        <w:t xml:space="preserve"> Abuse in Guantánamo</w:t>
      </w:r>
      <w:r>
        <w:rPr>
          <w:rFonts w:asciiTheme="minorHAnsi" w:hAnsiTheme="minorHAnsi"/>
          <w:sz w:val="16"/>
        </w:rPr>
        <w:t xml:space="preserve">) 30 de noviembre de 2004. Disponible en: </w:t>
      </w:r>
      <w:hyperlink r:id="rId41">
        <w:r>
          <w:rPr>
            <w:rStyle w:val="Hyperlink"/>
            <w:rFonts w:asciiTheme="minorHAnsi" w:hAnsiTheme="minorHAnsi"/>
            <w:sz w:val="16"/>
          </w:rPr>
          <w:t>http://www.nytimes.com/2004/11/30/politics/30gitmo.html?ex=1259470800&amp;en=825f1aa04c65241f&amp;ei=5088&amp;partner=rssnyt</w:t>
        </w:r>
      </w:hyperlink>
      <w:r>
        <w:rPr>
          <w:rFonts w:asciiTheme="minorHAnsi" w:hAnsiTheme="minorHAnsi"/>
          <w:sz w:val="16"/>
        </w:rPr>
        <w:t xml:space="preserve"> </w:t>
      </w:r>
    </w:p>
  </w:footnote>
  <w:footnote w:id="98">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proofErr w:type="spellStart"/>
      <w:r>
        <w:rPr>
          <w:rFonts w:asciiTheme="minorHAnsi" w:hAnsiTheme="minorHAnsi"/>
          <w:sz w:val="16"/>
        </w:rPr>
        <w:t>Iacopino</w:t>
      </w:r>
      <w:proofErr w:type="spellEnd"/>
      <w:r>
        <w:rPr>
          <w:rFonts w:asciiTheme="minorHAnsi" w:hAnsiTheme="minorHAnsi"/>
          <w:sz w:val="16"/>
        </w:rPr>
        <w:t xml:space="preserve"> V, </w:t>
      </w:r>
      <w:proofErr w:type="spellStart"/>
      <w:r>
        <w:rPr>
          <w:rFonts w:asciiTheme="minorHAnsi" w:hAnsiTheme="minorHAnsi"/>
          <w:sz w:val="16"/>
        </w:rPr>
        <w:t>Xenakis</w:t>
      </w:r>
      <w:proofErr w:type="spellEnd"/>
      <w:r>
        <w:rPr>
          <w:rFonts w:asciiTheme="minorHAnsi" w:hAnsiTheme="minorHAnsi"/>
          <w:sz w:val="16"/>
        </w:rPr>
        <w:t xml:space="preserve"> SN (2011) Negligencia frente a la evidencia médica de tortura en la Bahía de Guantánamo: una serie de caso (</w:t>
      </w:r>
      <w:proofErr w:type="spellStart"/>
      <w:r>
        <w:rPr>
          <w:rFonts w:asciiTheme="minorHAnsi" w:hAnsiTheme="minorHAnsi"/>
          <w:i/>
          <w:sz w:val="16"/>
        </w:rPr>
        <w:t>Neglect</w:t>
      </w:r>
      <w:proofErr w:type="spellEnd"/>
      <w:r>
        <w:rPr>
          <w:rFonts w:asciiTheme="minorHAnsi" w:hAnsiTheme="minorHAnsi"/>
          <w:i/>
          <w:sz w:val="16"/>
        </w:rPr>
        <w:t xml:space="preserve"> of Medical </w:t>
      </w:r>
      <w:proofErr w:type="spellStart"/>
      <w:r>
        <w:rPr>
          <w:rFonts w:asciiTheme="minorHAnsi" w:hAnsiTheme="minorHAnsi"/>
          <w:i/>
          <w:sz w:val="16"/>
        </w:rPr>
        <w:t>Evidence</w:t>
      </w:r>
      <w:proofErr w:type="spellEnd"/>
      <w:r>
        <w:rPr>
          <w:rFonts w:asciiTheme="minorHAnsi" w:hAnsiTheme="minorHAnsi"/>
          <w:i/>
          <w:sz w:val="16"/>
        </w:rPr>
        <w:t xml:space="preserve"> of Torture in Guantánamo </w:t>
      </w:r>
      <w:proofErr w:type="spellStart"/>
      <w:r>
        <w:rPr>
          <w:rFonts w:asciiTheme="minorHAnsi" w:hAnsiTheme="minorHAnsi"/>
          <w:i/>
          <w:sz w:val="16"/>
        </w:rPr>
        <w:t>Bay</w:t>
      </w:r>
      <w:proofErr w:type="spellEnd"/>
      <w:r>
        <w:rPr>
          <w:rFonts w:asciiTheme="minorHAnsi" w:hAnsiTheme="minorHAnsi"/>
          <w:i/>
          <w:sz w:val="16"/>
        </w:rPr>
        <w:t>: A Case Series)</w:t>
      </w:r>
      <w:r>
        <w:rPr>
          <w:rFonts w:asciiTheme="minorHAnsi" w:hAnsiTheme="minorHAnsi"/>
          <w:sz w:val="16"/>
        </w:rPr>
        <w:t xml:space="preserve">. </w:t>
      </w:r>
      <w:proofErr w:type="spellStart"/>
      <w:r>
        <w:rPr>
          <w:rFonts w:asciiTheme="minorHAnsi" w:hAnsiTheme="minorHAnsi"/>
          <w:sz w:val="16"/>
        </w:rPr>
        <w:t>PLoS</w:t>
      </w:r>
      <w:proofErr w:type="spellEnd"/>
      <w:r>
        <w:rPr>
          <w:rFonts w:asciiTheme="minorHAnsi" w:hAnsiTheme="minorHAnsi"/>
          <w:sz w:val="16"/>
        </w:rPr>
        <w:t xml:space="preserve"> </w:t>
      </w:r>
      <w:proofErr w:type="spellStart"/>
      <w:r>
        <w:rPr>
          <w:rFonts w:asciiTheme="minorHAnsi" w:hAnsiTheme="minorHAnsi"/>
          <w:sz w:val="16"/>
        </w:rPr>
        <w:t>Med</w:t>
      </w:r>
      <w:proofErr w:type="spellEnd"/>
      <w:r>
        <w:rPr>
          <w:rFonts w:asciiTheme="minorHAnsi" w:hAnsiTheme="minorHAnsi"/>
          <w:sz w:val="16"/>
        </w:rPr>
        <w:t xml:space="preserve"> 8(4): e1001027. doi:10.1371/journal.pmed.1001027. Disponible en: </w:t>
      </w:r>
      <w:hyperlink r:id="rId42" w:anchor="s2">
        <w:r>
          <w:rPr>
            <w:rStyle w:val="Hyperlink"/>
            <w:rFonts w:asciiTheme="minorHAnsi" w:hAnsiTheme="minorHAnsi"/>
            <w:sz w:val="16"/>
          </w:rPr>
          <w:t>http://www.plosmedicine.org/article/info%3Adoi%2F10.1371%2Fjournal.pmed.1001027#s2</w:t>
        </w:r>
      </w:hyperlink>
      <w:r>
        <w:rPr>
          <w:rFonts w:asciiTheme="minorHAnsi" w:hAnsiTheme="minorHAnsi"/>
          <w:color w:val="333333"/>
          <w:sz w:val="16"/>
        </w:rPr>
        <w:t xml:space="preserve"> </w:t>
      </w:r>
    </w:p>
  </w:footnote>
  <w:footnote w:id="99">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Comité Internacional de la Cruz Roja, Informe del CICR sobre el Tratamiento de los Catorce “Detenidos Altamente Valorados” bajo Custodia de la CIA, febrero de 2007</w:t>
      </w:r>
      <w:proofErr w:type="gramStart"/>
      <w:r>
        <w:rPr>
          <w:rFonts w:asciiTheme="minorHAnsi" w:hAnsiTheme="minorHAnsi"/>
          <w:sz w:val="16"/>
        </w:rPr>
        <w:t>, ,</w:t>
      </w:r>
      <w:proofErr w:type="gramEnd"/>
      <w:r>
        <w:rPr>
          <w:rFonts w:asciiTheme="minorHAnsi" w:hAnsiTheme="minorHAnsi"/>
          <w:sz w:val="16"/>
        </w:rPr>
        <w:t xml:space="preserve"> p. 26. Disponible en: </w:t>
      </w:r>
      <w:hyperlink r:id="rId43">
        <w:r>
          <w:rPr>
            <w:rStyle w:val="Hyperlink"/>
            <w:rFonts w:asciiTheme="minorHAnsi" w:hAnsiTheme="minorHAnsi"/>
            <w:sz w:val="16"/>
          </w:rPr>
          <w:t>http://humanrights.ucdavis.edu/projects/the-guantanamo-testimonials-project/testimonies/testimonies-of-the-red-cross/icrc_20070214.pdf</w:t>
        </w:r>
      </w:hyperlink>
      <w:r>
        <w:rPr>
          <w:rFonts w:asciiTheme="minorHAnsi" w:hAnsiTheme="minorHAnsi"/>
          <w:sz w:val="16"/>
        </w:rPr>
        <w:t xml:space="preserve"> </w:t>
      </w:r>
    </w:p>
  </w:footnote>
  <w:footnote w:id="100">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NPR, Abogado Defensor de Guantánamo Renuncia, Dice que el Caso está “Trampeado” (</w:t>
      </w:r>
      <w:proofErr w:type="spellStart"/>
      <w:r>
        <w:rPr>
          <w:rFonts w:asciiTheme="minorHAnsi" w:hAnsiTheme="minorHAnsi"/>
          <w:i/>
          <w:sz w:val="16"/>
        </w:rPr>
        <w:t>Guantanamo</w:t>
      </w:r>
      <w:proofErr w:type="spellEnd"/>
      <w:r>
        <w:rPr>
          <w:rFonts w:asciiTheme="minorHAnsi" w:hAnsiTheme="minorHAnsi"/>
          <w:i/>
          <w:sz w:val="16"/>
        </w:rPr>
        <w:t xml:space="preserve"> </w:t>
      </w:r>
      <w:proofErr w:type="spellStart"/>
      <w:r>
        <w:rPr>
          <w:rFonts w:asciiTheme="minorHAnsi" w:hAnsiTheme="minorHAnsi"/>
          <w:i/>
          <w:sz w:val="16"/>
        </w:rPr>
        <w:t>Defense</w:t>
      </w:r>
      <w:proofErr w:type="spellEnd"/>
      <w:r>
        <w:rPr>
          <w:rFonts w:asciiTheme="minorHAnsi" w:hAnsiTheme="minorHAnsi"/>
          <w:i/>
          <w:sz w:val="16"/>
        </w:rPr>
        <w:t xml:space="preserve"> </w:t>
      </w:r>
      <w:proofErr w:type="spellStart"/>
      <w:r>
        <w:rPr>
          <w:rFonts w:asciiTheme="minorHAnsi" w:hAnsiTheme="minorHAnsi"/>
          <w:i/>
          <w:sz w:val="16"/>
        </w:rPr>
        <w:t>Lawyer</w:t>
      </w:r>
      <w:proofErr w:type="spellEnd"/>
      <w:r>
        <w:rPr>
          <w:rFonts w:asciiTheme="minorHAnsi" w:hAnsiTheme="minorHAnsi"/>
          <w:i/>
          <w:sz w:val="16"/>
        </w:rPr>
        <w:t xml:space="preserve"> </w:t>
      </w:r>
      <w:proofErr w:type="spellStart"/>
      <w:r>
        <w:rPr>
          <w:rFonts w:asciiTheme="minorHAnsi" w:hAnsiTheme="minorHAnsi"/>
          <w:i/>
          <w:sz w:val="16"/>
        </w:rPr>
        <w:t>Resigns</w:t>
      </w:r>
      <w:proofErr w:type="spellEnd"/>
      <w:r>
        <w:rPr>
          <w:rFonts w:asciiTheme="minorHAnsi" w:hAnsiTheme="minorHAnsi"/>
          <w:i/>
          <w:sz w:val="16"/>
        </w:rPr>
        <w:t xml:space="preserve">, </w:t>
      </w:r>
      <w:proofErr w:type="spellStart"/>
      <w:r>
        <w:rPr>
          <w:rFonts w:asciiTheme="minorHAnsi" w:hAnsiTheme="minorHAnsi"/>
          <w:i/>
          <w:sz w:val="16"/>
        </w:rPr>
        <w:t>Says</w:t>
      </w:r>
      <w:proofErr w:type="spellEnd"/>
      <w:r>
        <w:rPr>
          <w:rFonts w:asciiTheme="minorHAnsi" w:hAnsiTheme="minorHAnsi"/>
          <w:i/>
          <w:sz w:val="16"/>
        </w:rPr>
        <w:t xml:space="preserve"> U.S. Case </w:t>
      </w:r>
      <w:proofErr w:type="spellStart"/>
      <w:r>
        <w:rPr>
          <w:rFonts w:asciiTheme="minorHAnsi" w:hAnsiTheme="minorHAnsi"/>
          <w:i/>
          <w:sz w:val="16"/>
        </w:rPr>
        <w:t>Is</w:t>
      </w:r>
      <w:proofErr w:type="spellEnd"/>
      <w:r>
        <w:rPr>
          <w:rFonts w:asciiTheme="minorHAnsi" w:hAnsiTheme="minorHAnsi"/>
          <w:i/>
          <w:sz w:val="16"/>
        </w:rPr>
        <w:t xml:space="preserve"> “</w:t>
      </w:r>
      <w:proofErr w:type="spellStart"/>
      <w:r>
        <w:rPr>
          <w:rFonts w:asciiTheme="minorHAnsi" w:hAnsiTheme="minorHAnsi"/>
          <w:i/>
          <w:sz w:val="16"/>
        </w:rPr>
        <w:t>Stacked</w:t>
      </w:r>
      <w:proofErr w:type="spellEnd"/>
      <w:r>
        <w:rPr>
          <w:rFonts w:asciiTheme="minorHAnsi" w:hAnsiTheme="minorHAnsi"/>
          <w:i/>
          <w:sz w:val="16"/>
        </w:rPr>
        <w:t>”</w:t>
      </w:r>
      <w:r>
        <w:rPr>
          <w:rFonts w:asciiTheme="minorHAnsi" w:hAnsiTheme="minorHAnsi"/>
          <w:sz w:val="16"/>
        </w:rPr>
        <w:t xml:space="preserve">) 31 de agosto de 2014. Disponible en: </w:t>
      </w:r>
      <w:hyperlink r:id="rId44">
        <w:r>
          <w:rPr>
            <w:rStyle w:val="Hyperlink"/>
            <w:rFonts w:asciiTheme="minorHAnsi" w:hAnsiTheme="minorHAnsi"/>
            <w:sz w:val="16"/>
          </w:rPr>
          <w:t>http://www.npr.org/2014/08/31/344576895/guantanamo-defense-lawyer-resigns-says-u-s-case-is-stacked</w:t>
        </w:r>
      </w:hyperlink>
      <w:r>
        <w:rPr>
          <w:rFonts w:asciiTheme="minorHAnsi" w:hAnsiTheme="minorHAnsi"/>
          <w:sz w:val="16"/>
        </w:rPr>
        <w:t xml:space="preserve"> </w:t>
      </w:r>
    </w:p>
  </w:footnote>
  <w:footnote w:id="101">
    <w:p w:rsidR="00AF130B" w:rsidRPr="006425BA"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Senado de EE.UU, Comité Selecto de Inteligencia del Senado, Estudio del Comité sobre la Detención llevada a cabo por la Agencia Central de Inteligencia y su Programa de Interrogatorios, Revisiones de Desclasificación de 3 </w:t>
      </w:r>
      <w:r w:rsidRPr="006425BA">
        <w:rPr>
          <w:rFonts w:asciiTheme="minorHAnsi" w:hAnsiTheme="minorHAnsi"/>
          <w:sz w:val="16"/>
        </w:rPr>
        <w:t xml:space="preserve">de diciembre de 2014. Disponible en: </w:t>
      </w:r>
      <w:hyperlink r:id="rId45">
        <w:r w:rsidRPr="006425BA">
          <w:rPr>
            <w:rStyle w:val="Hyperlink"/>
            <w:rFonts w:asciiTheme="minorHAnsi" w:hAnsiTheme="minorHAnsi"/>
            <w:sz w:val="16"/>
          </w:rPr>
          <w:t>http://www.intelligence.senate.gov/study2014/sscistudy1.pdf</w:t>
        </w:r>
      </w:hyperlink>
      <w:r w:rsidRPr="006425BA">
        <w:rPr>
          <w:rFonts w:asciiTheme="minorHAnsi" w:hAnsiTheme="minorHAnsi"/>
          <w:sz w:val="16"/>
        </w:rPr>
        <w:t xml:space="preserve"> </w:t>
      </w:r>
    </w:p>
  </w:footnote>
  <w:footnote w:id="102">
    <w:p w:rsidR="00AF130B" w:rsidRPr="006425BA" w:rsidRDefault="00AF130B" w:rsidP="00CE3EC6">
      <w:pPr>
        <w:pStyle w:val="FootnoteText"/>
        <w:ind w:left="547" w:hanging="547"/>
        <w:jc w:val="both"/>
        <w:rPr>
          <w:rFonts w:asciiTheme="minorHAnsi" w:hAnsiTheme="minorHAnsi"/>
          <w:sz w:val="16"/>
          <w:szCs w:val="16"/>
          <w:lang w:val="es-EC"/>
        </w:rPr>
      </w:pPr>
      <w:r w:rsidRPr="006425BA">
        <w:rPr>
          <w:rStyle w:val="FootnoteReference"/>
          <w:rFonts w:asciiTheme="minorHAnsi" w:hAnsiTheme="minorHAnsi"/>
          <w:sz w:val="16"/>
        </w:rPr>
        <w:footnoteRef/>
      </w:r>
      <w:r w:rsidRPr="006425BA">
        <w:rPr>
          <w:rFonts w:asciiTheme="minorHAnsi" w:hAnsiTheme="minorHAnsi"/>
          <w:sz w:val="16"/>
        </w:rPr>
        <w:t xml:space="preserve"> </w:t>
      </w:r>
      <w:r w:rsidRPr="006425BA">
        <w:tab/>
      </w:r>
      <w:r w:rsidRPr="006425BA">
        <w:rPr>
          <w:rFonts w:asciiTheme="minorHAnsi" w:hAnsiTheme="minorHAnsi"/>
          <w:sz w:val="16"/>
        </w:rPr>
        <w:t>CIDH hace un llamado a Estados Unidos para que investigue y castigue los actos de tortura identificados en el informe del Comité de Inteligencia del Senado, Comunicado de Prensa No. 152/14, 12 de diciembre de 2014.</w:t>
      </w:r>
    </w:p>
  </w:footnote>
  <w:footnote w:id="103">
    <w:p w:rsidR="00AF130B" w:rsidRPr="00237789" w:rsidRDefault="00AF130B" w:rsidP="00CE3EC6">
      <w:pPr>
        <w:pStyle w:val="FootnoteText"/>
        <w:ind w:left="547" w:hanging="547"/>
        <w:jc w:val="both"/>
        <w:rPr>
          <w:rFonts w:asciiTheme="minorHAnsi" w:hAnsiTheme="minorHAnsi"/>
          <w:sz w:val="16"/>
          <w:szCs w:val="16"/>
        </w:rPr>
      </w:pPr>
      <w:r w:rsidRPr="006425BA">
        <w:rPr>
          <w:rStyle w:val="FootnoteReference"/>
          <w:rFonts w:asciiTheme="minorHAnsi" w:hAnsiTheme="minorHAnsi"/>
          <w:sz w:val="16"/>
        </w:rPr>
        <w:footnoteRef/>
      </w:r>
      <w:r w:rsidRPr="006425BA">
        <w:rPr>
          <w:rFonts w:asciiTheme="minorHAnsi" w:hAnsiTheme="minorHAnsi"/>
          <w:sz w:val="16"/>
        </w:rPr>
        <w:t xml:space="preserve"> </w:t>
      </w:r>
      <w:r w:rsidRPr="006425BA">
        <w:tab/>
      </w:r>
      <w:r w:rsidRPr="006425BA">
        <w:rPr>
          <w:rFonts w:asciiTheme="minorHAnsi" w:hAnsiTheme="minorHAnsi"/>
          <w:sz w:val="16"/>
        </w:rPr>
        <w:t>CIDH, Situación de derechos humanos de personas privadas de libertad en la Base Naval de Guantánamo, Estados Unidos, 154 período de sesiones, 16 de marzo de 2015.</w:t>
      </w:r>
    </w:p>
  </w:footnote>
  <w:footnote w:id="104">
    <w:p w:rsidR="00AF130B" w:rsidRPr="006425BA" w:rsidRDefault="00AF130B" w:rsidP="00CE3EC6">
      <w:pPr>
        <w:pStyle w:val="FootnoteText"/>
        <w:ind w:left="547" w:hanging="547"/>
        <w:jc w:val="both"/>
        <w:rPr>
          <w:rFonts w:asciiTheme="minorHAnsi" w:hAnsiTheme="minorHAnsi"/>
          <w:sz w:val="16"/>
          <w:szCs w:val="16"/>
        </w:rPr>
      </w:pPr>
      <w:r w:rsidRPr="006425BA">
        <w:rPr>
          <w:rStyle w:val="FootnoteReference"/>
          <w:rFonts w:asciiTheme="minorHAnsi" w:hAnsiTheme="minorHAnsi"/>
          <w:sz w:val="16"/>
        </w:rPr>
        <w:footnoteRef/>
      </w:r>
      <w:r w:rsidRPr="006425BA">
        <w:rPr>
          <w:rStyle w:val="FootnoteReference"/>
          <w:rFonts w:asciiTheme="minorHAnsi" w:hAnsiTheme="minorHAnsi"/>
          <w:sz w:val="16"/>
        </w:rPr>
        <w:t xml:space="preserve"> </w:t>
      </w:r>
      <w:r w:rsidRPr="006425BA">
        <w:tab/>
      </w:r>
      <w:r w:rsidRPr="006425BA">
        <w:rPr>
          <w:rFonts w:asciiTheme="minorHAnsi" w:hAnsiTheme="minorHAnsi"/>
          <w:sz w:val="16"/>
        </w:rPr>
        <w:t>Comunicación del Gobierno de Estados Unidos dirigida a la Comisión Interamericana de Derechos Humanos respecto del Informe Preliminar sobre el Cierre de Guantánamo, OEA/</w:t>
      </w:r>
      <w:proofErr w:type="spellStart"/>
      <w:r w:rsidRPr="006425BA">
        <w:rPr>
          <w:rFonts w:asciiTheme="minorHAnsi" w:hAnsiTheme="minorHAnsi"/>
          <w:sz w:val="16"/>
        </w:rPr>
        <w:t>Ser.L</w:t>
      </w:r>
      <w:proofErr w:type="spellEnd"/>
      <w:r w:rsidRPr="006425BA">
        <w:rPr>
          <w:rFonts w:asciiTheme="minorHAnsi" w:hAnsiTheme="minorHAnsi"/>
          <w:sz w:val="16"/>
        </w:rPr>
        <w:t>/V/II.doc. 30 de enero de 2015, 30 de marzo de 2015, pág. 5.</w:t>
      </w:r>
    </w:p>
  </w:footnote>
  <w:footnote w:id="105">
    <w:p w:rsidR="00AF130B" w:rsidRPr="006425BA" w:rsidRDefault="00AF130B" w:rsidP="00CE3EC6">
      <w:pPr>
        <w:pStyle w:val="FootnoteText"/>
        <w:ind w:left="547" w:hanging="547"/>
        <w:jc w:val="both"/>
        <w:rPr>
          <w:rFonts w:asciiTheme="minorHAnsi" w:hAnsiTheme="minorHAnsi"/>
          <w:sz w:val="16"/>
          <w:szCs w:val="16"/>
          <w:lang w:val="es-EC"/>
        </w:rPr>
      </w:pPr>
      <w:r w:rsidRPr="006425BA">
        <w:rPr>
          <w:rStyle w:val="FootnoteReference"/>
          <w:rFonts w:asciiTheme="minorHAnsi" w:hAnsiTheme="minorHAnsi"/>
          <w:sz w:val="16"/>
        </w:rPr>
        <w:footnoteRef/>
      </w:r>
      <w:r w:rsidRPr="006425BA">
        <w:rPr>
          <w:rFonts w:asciiTheme="minorHAnsi" w:hAnsiTheme="minorHAnsi"/>
          <w:sz w:val="16"/>
        </w:rPr>
        <w:t xml:space="preserve"> </w:t>
      </w:r>
      <w:r w:rsidRPr="006425BA">
        <w:tab/>
      </w:r>
      <w:r w:rsidRPr="006425BA">
        <w:rPr>
          <w:rFonts w:asciiTheme="minorHAnsi" w:hAnsiTheme="minorHAnsi"/>
          <w:sz w:val="16"/>
        </w:rPr>
        <w:t xml:space="preserve">CIDH, </w:t>
      </w:r>
      <w:r w:rsidRPr="006425BA">
        <w:rPr>
          <w:rFonts w:asciiTheme="minorHAnsi" w:hAnsiTheme="minorHAnsi"/>
          <w:i/>
          <w:sz w:val="16"/>
        </w:rPr>
        <w:t>Informe sobre Terrorismo y Derechos Humanos</w:t>
      </w:r>
      <w:r w:rsidRPr="006425BA">
        <w:rPr>
          <w:rFonts w:asciiTheme="minorHAnsi" w:hAnsiTheme="minorHAnsi"/>
          <w:sz w:val="16"/>
        </w:rPr>
        <w:t>, OEA/</w:t>
      </w:r>
      <w:proofErr w:type="spellStart"/>
      <w:r w:rsidRPr="006425BA">
        <w:rPr>
          <w:rFonts w:asciiTheme="minorHAnsi" w:hAnsiTheme="minorHAnsi"/>
          <w:sz w:val="16"/>
        </w:rPr>
        <w:t>Ser.L</w:t>
      </w:r>
      <w:proofErr w:type="spellEnd"/>
      <w:r w:rsidRPr="006425BA">
        <w:rPr>
          <w:rFonts w:asciiTheme="minorHAnsi" w:hAnsiTheme="minorHAnsi"/>
          <w:sz w:val="16"/>
        </w:rPr>
        <w:t>/V/II.116.Doc.5 rev.1, 22 de octubre de 2002, párr. 155.</w:t>
      </w:r>
    </w:p>
  </w:footnote>
  <w:footnote w:id="106">
    <w:p w:rsidR="00AF130B" w:rsidRPr="006425BA" w:rsidRDefault="00AF130B" w:rsidP="00CE3EC6">
      <w:pPr>
        <w:pStyle w:val="FootnoteText"/>
        <w:ind w:left="547" w:hanging="547"/>
        <w:jc w:val="both"/>
        <w:rPr>
          <w:rFonts w:asciiTheme="minorHAnsi" w:hAnsiTheme="minorHAnsi"/>
          <w:sz w:val="16"/>
          <w:szCs w:val="16"/>
          <w:lang w:val="es-EC"/>
        </w:rPr>
      </w:pPr>
      <w:r w:rsidRPr="006425BA">
        <w:rPr>
          <w:rStyle w:val="FootnoteReference"/>
          <w:rFonts w:asciiTheme="minorHAnsi" w:hAnsiTheme="minorHAnsi"/>
          <w:sz w:val="16"/>
        </w:rPr>
        <w:footnoteRef/>
      </w:r>
      <w:r w:rsidRPr="006425BA">
        <w:rPr>
          <w:rFonts w:asciiTheme="minorHAnsi" w:hAnsiTheme="minorHAnsi"/>
          <w:sz w:val="16"/>
        </w:rPr>
        <w:t xml:space="preserve"> </w:t>
      </w:r>
      <w:r w:rsidRPr="006425BA">
        <w:tab/>
      </w:r>
      <w:r w:rsidRPr="006425BA">
        <w:rPr>
          <w:rFonts w:asciiTheme="minorHAnsi" w:hAnsiTheme="minorHAnsi"/>
          <w:sz w:val="16"/>
        </w:rPr>
        <w:t>Corte IDH, Caso Cantoral Benavides vs. Perú. Fondo. Sentencia de 18 de agosto de 2000. Serie C No. 69, párr. 99.</w:t>
      </w:r>
    </w:p>
  </w:footnote>
  <w:footnote w:id="107">
    <w:p w:rsidR="00AF130B" w:rsidRPr="005D0288" w:rsidRDefault="00AF130B" w:rsidP="00CE3EC6">
      <w:pPr>
        <w:pStyle w:val="FootnoteText"/>
        <w:ind w:left="547" w:hanging="547"/>
        <w:jc w:val="both"/>
        <w:rPr>
          <w:rFonts w:asciiTheme="minorHAnsi" w:hAnsiTheme="minorHAnsi"/>
          <w:sz w:val="16"/>
          <w:szCs w:val="16"/>
          <w:lang w:val="es-EC"/>
        </w:rPr>
      </w:pPr>
      <w:r w:rsidRPr="006425BA">
        <w:rPr>
          <w:rStyle w:val="FootnoteReference"/>
          <w:rFonts w:asciiTheme="minorHAnsi" w:hAnsiTheme="minorHAnsi"/>
          <w:sz w:val="16"/>
        </w:rPr>
        <w:footnoteRef/>
      </w:r>
      <w:r w:rsidRPr="00AA0C6A">
        <w:rPr>
          <w:rFonts w:asciiTheme="minorHAnsi" w:hAnsiTheme="minorHAnsi"/>
          <w:sz w:val="16"/>
        </w:rPr>
        <w:t xml:space="preserve"> </w:t>
      </w:r>
      <w:r w:rsidRPr="00AA0C6A">
        <w:tab/>
      </w:r>
      <w:r w:rsidRPr="00AA0C6A">
        <w:rPr>
          <w:rFonts w:asciiTheme="minorHAnsi" w:hAnsiTheme="minorHAnsi"/>
          <w:sz w:val="16"/>
        </w:rPr>
        <w:t xml:space="preserve">Corte IDH, </w:t>
      </w:r>
      <w:r w:rsidRPr="00AA0C6A">
        <w:rPr>
          <w:rFonts w:asciiTheme="minorHAnsi" w:hAnsiTheme="minorHAnsi"/>
          <w:i/>
          <w:sz w:val="16"/>
        </w:rPr>
        <w:t xml:space="preserve">Caso Cantoral Benavides Vs. </w:t>
      </w:r>
      <w:r w:rsidRPr="00CB139D">
        <w:rPr>
          <w:rFonts w:asciiTheme="minorHAnsi" w:hAnsiTheme="minorHAnsi"/>
          <w:i/>
          <w:sz w:val="16"/>
        </w:rPr>
        <w:t>Perú</w:t>
      </w:r>
      <w:r w:rsidRPr="006425BA">
        <w:rPr>
          <w:rFonts w:asciiTheme="minorHAnsi" w:hAnsiTheme="minorHAnsi"/>
          <w:sz w:val="16"/>
        </w:rPr>
        <w:t xml:space="preserve">. Fondo. Sentencia de 18 de agosto de 2000. Serie C No. 69, </w:t>
      </w:r>
      <w:r>
        <w:rPr>
          <w:rFonts w:asciiTheme="minorHAnsi" w:hAnsiTheme="minorHAnsi"/>
          <w:sz w:val="16"/>
        </w:rPr>
        <w:br/>
      </w:r>
      <w:r w:rsidRPr="006425BA">
        <w:rPr>
          <w:rFonts w:asciiTheme="minorHAnsi" w:hAnsiTheme="minorHAnsi"/>
          <w:sz w:val="16"/>
        </w:rPr>
        <w:t>párr. 96.</w:t>
      </w:r>
    </w:p>
  </w:footnote>
  <w:footnote w:id="108">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Declaración del Relator Especial de Naciones Unidas sobre la tortura y otros tratos o penas crueles, inhumanos o degradantes, Juan Méndez, Audiencia de la CIDH sobre la Situación de Derechos Humanos de los detenidos en la Base Naval de Guantánamo, Estados Unidos, Washington, D.C, 28 de octubre de 2013, p. 7.</w:t>
      </w:r>
    </w:p>
  </w:footnote>
  <w:footnote w:id="109">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Informe No. 117/09, Caso 12.228, Fondo (Publicación), </w:t>
      </w:r>
      <w:r>
        <w:rPr>
          <w:rFonts w:asciiTheme="minorHAnsi" w:hAnsiTheme="minorHAnsi"/>
          <w:i/>
          <w:sz w:val="16"/>
        </w:rPr>
        <w:t xml:space="preserve">Alfonso Martin del Campo </w:t>
      </w:r>
      <w:proofErr w:type="spellStart"/>
      <w:r>
        <w:rPr>
          <w:rFonts w:asciiTheme="minorHAnsi" w:hAnsiTheme="minorHAnsi"/>
          <w:i/>
          <w:sz w:val="16"/>
        </w:rPr>
        <w:t>Dodd</w:t>
      </w:r>
      <w:proofErr w:type="spellEnd"/>
      <w:r>
        <w:rPr>
          <w:rFonts w:asciiTheme="minorHAnsi" w:hAnsiTheme="minorHAnsi"/>
          <w:sz w:val="16"/>
        </w:rPr>
        <w:t xml:space="preserve">, México, 19 de noviembre de 2009; Corte IDH, </w:t>
      </w:r>
      <w:r>
        <w:rPr>
          <w:rFonts w:asciiTheme="minorHAnsi" w:hAnsiTheme="minorHAnsi"/>
          <w:i/>
          <w:sz w:val="16"/>
        </w:rPr>
        <w:t>Caso Cantoral Benavides Vs. Perú</w:t>
      </w:r>
      <w:r>
        <w:rPr>
          <w:rFonts w:asciiTheme="minorHAnsi" w:hAnsiTheme="minorHAnsi"/>
          <w:sz w:val="16"/>
        </w:rPr>
        <w:t xml:space="preserve">. Fondo. Sentencia de 18 de agosto de 2000. Serie C No. 69; Corte IDH. </w:t>
      </w:r>
      <w:r>
        <w:rPr>
          <w:rFonts w:asciiTheme="minorHAnsi" w:hAnsiTheme="minorHAnsi"/>
          <w:i/>
          <w:sz w:val="16"/>
        </w:rPr>
        <w:t xml:space="preserve">Caso </w:t>
      </w:r>
      <w:proofErr w:type="spellStart"/>
      <w:r>
        <w:rPr>
          <w:rFonts w:asciiTheme="minorHAnsi" w:hAnsiTheme="minorHAnsi"/>
          <w:i/>
          <w:sz w:val="16"/>
        </w:rPr>
        <w:t>Bayarri</w:t>
      </w:r>
      <w:proofErr w:type="spellEnd"/>
      <w:r>
        <w:rPr>
          <w:rFonts w:asciiTheme="minorHAnsi" w:hAnsiTheme="minorHAnsi"/>
          <w:i/>
          <w:sz w:val="16"/>
        </w:rPr>
        <w:t xml:space="preserve"> Vs. Argentina</w:t>
      </w:r>
      <w:r>
        <w:rPr>
          <w:rFonts w:asciiTheme="minorHAnsi" w:hAnsiTheme="minorHAnsi"/>
          <w:sz w:val="16"/>
        </w:rPr>
        <w:t>. Excepción Preliminar, Fondo, Reparaciones y Costas. Sentencia de 30 de octubre de 2008, Serie C No. 187.</w:t>
      </w:r>
    </w:p>
  </w:footnote>
  <w:footnote w:id="110">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sidRPr="00AF1564">
        <w:rPr>
          <w:rFonts w:asciiTheme="minorHAnsi" w:hAnsiTheme="minorHAnsi"/>
          <w:sz w:val="16"/>
        </w:rPr>
        <w:t xml:space="preserve"> </w:t>
      </w:r>
      <w:r w:rsidRPr="00AF1564">
        <w:tab/>
      </w:r>
      <w:r w:rsidRPr="00AF1564">
        <w:rPr>
          <w:rFonts w:asciiTheme="minorHAnsi" w:hAnsiTheme="minorHAnsi"/>
          <w:sz w:val="16"/>
        </w:rPr>
        <w:t xml:space="preserve">Corte IDH. </w:t>
      </w:r>
      <w:r w:rsidRPr="00AF1564">
        <w:rPr>
          <w:rFonts w:asciiTheme="minorHAnsi" w:hAnsiTheme="minorHAnsi"/>
          <w:i/>
          <w:sz w:val="16"/>
        </w:rPr>
        <w:t>Caso Cantoral Benavides</w:t>
      </w:r>
      <w:r>
        <w:rPr>
          <w:rFonts w:asciiTheme="minorHAnsi" w:hAnsiTheme="minorHAnsi"/>
          <w:i/>
          <w:sz w:val="16"/>
        </w:rPr>
        <w:t xml:space="preserve"> </w:t>
      </w:r>
      <w:r w:rsidRPr="00AF1564">
        <w:rPr>
          <w:rFonts w:asciiTheme="minorHAnsi" w:hAnsiTheme="minorHAnsi"/>
          <w:i/>
          <w:sz w:val="16"/>
        </w:rPr>
        <w:t xml:space="preserve">Vs. </w:t>
      </w:r>
      <w:r>
        <w:rPr>
          <w:rFonts w:asciiTheme="minorHAnsi" w:hAnsiTheme="minorHAnsi"/>
          <w:i/>
          <w:sz w:val="16"/>
        </w:rPr>
        <w:t>Perú</w:t>
      </w:r>
      <w:r>
        <w:rPr>
          <w:rFonts w:asciiTheme="minorHAnsi" w:hAnsiTheme="minorHAnsi"/>
          <w:sz w:val="16"/>
        </w:rPr>
        <w:t xml:space="preserve">. Fondo. Sentencia de 18 de agosto de 2000. Serie C No. 69, </w:t>
      </w:r>
      <w:r>
        <w:rPr>
          <w:rFonts w:asciiTheme="minorHAnsi" w:hAnsiTheme="minorHAnsi"/>
          <w:sz w:val="16"/>
        </w:rPr>
        <w:br/>
        <w:t>párr. 100.</w:t>
      </w:r>
    </w:p>
  </w:footnote>
  <w:footnote w:id="111">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Protocolo de Estambul, Manual para la investigación y documentación eficaces de la tortura y otros tratos o penas crueles, inhumanos o degradantes, Serie de Capacitación Profesional No. 8/Rev.1, Naciones Unidas, Nueva York y Ginebra, 2004, párr. 52. Disponible en: </w:t>
      </w:r>
      <w:hyperlink r:id="rId46">
        <w:r>
          <w:rPr>
            <w:rStyle w:val="Hyperlink"/>
            <w:rFonts w:asciiTheme="minorHAnsi" w:hAnsiTheme="minorHAnsi"/>
            <w:sz w:val="16"/>
          </w:rPr>
          <w:t>http://www.ohchr.org/Documents/Publications/training8Rev1en.pdf</w:t>
        </w:r>
      </w:hyperlink>
      <w:r>
        <w:rPr>
          <w:rFonts w:asciiTheme="minorHAnsi" w:hAnsiTheme="minorHAnsi"/>
          <w:sz w:val="16"/>
        </w:rPr>
        <w:t xml:space="preserve"> </w:t>
      </w:r>
    </w:p>
  </w:footnote>
  <w:footnote w:id="112">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Principios de ética médica aplicables a la función del personal de salud, especialmente los médicos, en la protección de personas presas y detenidas contra la tortura y otros tratos o penas crueles, inhumanos o degradantes, adoptados por Resolución de la Asamblea General 37/194 de 18 de diciembre de 1982. </w:t>
      </w:r>
    </w:p>
  </w:footnote>
  <w:footnote w:id="113">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Protocolo de Estambul, Manual para la investigación y documentación eficaces de la tortura y otros tratos o penas crueles, inhumanos o degradantes, Serie de Capacitación Profesional No. 8/Rev.1, Naciones Unidas, Nueva York y Ginebra, 2004, párr. 53.</w:t>
      </w:r>
    </w:p>
  </w:footnote>
  <w:footnote w:id="114">
    <w:p w:rsidR="00AF130B" w:rsidRPr="006425BA"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Decreto Ejecutivo 13491, Garantizando Interrogatorios Legales (</w:t>
      </w:r>
      <w:proofErr w:type="spellStart"/>
      <w:r>
        <w:rPr>
          <w:rFonts w:asciiTheme="minorHAnsi" w:hAnsiTheme="minorHAnsi"/>
          <w:i/>
          <w:sz w:val="16"/>
        </w:rPr>
        <w:t>Executive</w:t>
      </w:r>
      <w:proofErr w:type="spellEnd"/>
      <w:r>
        <w:rPr>
          <w:rFonts w:asciiTheme="minorHAnsi" w:hAnsiTheme="minorHAnsi"/>
          <w:i/>
          <w:sz w:val="16"/>
        </w:rPr>
        <w:t xml:space="preserve"> </w:t>
      </w:r>
      <w:proofErr w:type="spellStart"/>
      <w:r>
        <w:rPr>
          <w:rFonts w:asciiTheme="minorHAnsi" w:hAnsiTheme="minorHAnsi"/>
          <w:i/>
          <w:sz w:val="16"/>
        </w:rPr>
        <w:t>Order</w:t>
      </w:r>
      <w:proofErr w:type="spellEnd"/>
      <w:r>
        <w:rPr>
          <w:rFonts w:asciiTheme="minorHAnsi" w:hAnsiTheme="minorHAnsi"/>
          <w:i/>
          <w:sz w:val="16"/>
        </w:rPr>
        <w:t xml:space="preserve"> 13491, </w:t>
      </w:r>
      <w:proofErr w:type="spellStart"/>
      <w:r>
        <w:rPr>
          <w:rFonts w:asciiTheme="minorHAnsi" w:hAnsiTheme="minorHAnsi"/>
          <w:i/>
          <w:sz w:val="16"/>
        </w:rPr>
        <w:t>Ensuring</w:t>
      </w:r>
      <w:proofErr w:type="spellEnd"/>
      <w:r>
        <w:rPr>
          <w:rFonts w:asciiTheme="minorHAnsi" w:hAnsiTheme="minorHAnsi"/>
          <w:i/>
          <w:sz w:val="16"/>
        </w:rPr>
        <w:t xml:space="preserve"> </w:t>
      </w:r>
      <w:proofErr w:type="spellStart"/>
      <w:r>
        <w:rPr>
          <w:rFonts w:asciiTheme="minorHAnsi" w:hAnsiTheme="minorHAnsi"/>
          <w:i/>
          <w:sz w:val="16"/>
        </w:rPr>
        <w:t>Lawful</w:t>
      </w:r>
      <w:proofErr w:type="spellEnd"/>
      <w:r>
        <w:rPr>
          <w:rFonts w:asciiTheme="minorHAnsi" w:hAnsiTheme="minorHAnsi"/>
          <w:i/>
          <w:sz w:val="16"/>
        </w:rPr>
        <w:t xml:space="preserve"> </w:t>
      </w:r>
      <w:proofErr w:type="spellStart"/>
      <w:r w:rsidRPr="006425BA">
        <w:rPr>
          <w:rFonts w:asciiTheme="minorHAnsi" w:hAnsiTheme="minorHAnsi"/>
          <w:i/>
          <w:sz w:val="16"/>
        </w:rPr>
        <w:t>Interrogations</w:t>
      </w:r>
      <w:proofErr w:type="spellEnd"/>
      <w:r w:rsidRPr="006425BA">
        <w:rPr>
          <w:rFonts w:asciiTheme="minorHAnsi" w:hAnsiTheme="minorHAnsi"/>
          <w:i/>
          <w:sz w:val="16"/>
        </w:rPr>
        <w:t xml:space="preserve">) </w:t>
      </w:r>
      <w:r w:rsidRPr="006425BA">
        <w:rPr>
          <w:rFonts w:asciiTheme="minorHAnsi" w:hAnsiTheme="minorHAnsi"/>
          <w:sz w:val="16"/>
        </w:rPr>
        <w:t xml:space="preserve">22 de enero de 2009. Disponible en: </w:t>
      </w:r>
      <w:hyperlink r:id="rId47">
        <w:r w:rsidRPr="006425BA">
          <w:rPr>
            <w:rStyle w:val="Hyperlink"/>
            <w:rFonts w:asciiTheme="minorHAnsi" w:hAnsiTheme="minorHAnsi"/>
            <w:sz w:val="16"/>
          </w:rPr>
          <w:t>http://www.whitehouse.gov/the-press-office/ensuring-lawful-interrogations</w:t>
        </w:r>
      </w:hyperlink>
      <w:r w:rsidRPr="006425BA">
        <w:rPr>
          <w:rFonts w:asciiTheme="minorHAnsi" w:hAnsiTheme="minorHAnsi"/>
          <w:sz w:val="16"/>
        </w:rPr>
        <w:t xml:space="preserve"> </w:t>
      </w:r>
    </w:p>
  </w:footnote>
  <w:footnote w:id="115">
    <w:p w:rsidR="00AF130B" w:rsidRPr="00237789" w:rsidRDefault="00AF130B" w:rsidP="00CE3EC6">
      <w:pPr>
        <w:pStyle w:val="FootnoteText"/>
        <w:ind w:left="547" w:hanging="547"/>
        <w:jc w:val="both"/>
        <w:rPr>
          <w:rFonts w:asciiTheme="minorHAnsi" w:hAnsiTheme="minorHAnsi"/>
          <w:sz w:val="16"/>
          <w:szCs w:val="16"/>
        </w:rPr>
      </w:pPr>
      <w:r w:rsidRPr="006425BA">
        <w:rPr>
          <w:rStyle w:val="FootnoteReference"/>
          <w:rFonts w:asciiTheme="minorHAnsi" w:hAnsiTheme="minorHAnsi"/>
          <w:sz w:val="16"/>
        </w:rPr>
        <w:footnoteRef/>
      </w:r>
      <w:r w:rsidRPr="006425BA">
        <w:rPr>
          <w:rFonts w:asciiTheme="minorHAnsi" w:hAnsiTheme="minorHAnsi"/>
          <w:sz w:val="16"/>
        </w:rPr>
        <w:t xml:space="preserve"> </w:t>
      </w:r>
      <w:r w:rsidRPr="006425BA">
        <w:tab/>
      </w:r>
      <w:r w:rsidRPr="006425BA">
        <w:rPr>
          <w:rFonts w:asciiTheme="minorHAnsi" w:hAnsiTheme="minorHAnsi"/>
          <w:sz w:val="16"/>
        </w:rPr>
        <w:t>Comunicación del Gobierno de Estados Unidos dirigida a la Comisión Interamericana de Derechos Humanos respecto del Informe Preliminar sobre el Cierre de Guantánamo, OEA/</w:t>
      </w:r>
      <w:proofErr w:type="spellStart"/>
      <w:r w:rsidRPr="006425BA">
        <w:rPr>
          <w:rFonts w:asciiTheme="minorHAnsi" w:hAnsiTheme="minorHAnsi"/>
          <w:sz w:val="16"/>
        </w:rPr>
        <w:t>Ser.L</w:t>
      </w:r>
      <w:proofErr w:type="spellEnd"/>
      <w:r w:rsidRPr="006425BA">
        <w:rPr>
          <w:rFonts w:asciiTheme="minorHAnsi" w:hAnsiTheme="minorHAnsi"/>
          <w:sz w:val="16"/>
        </w:rPr>
        <w:t>/V/II.doc. 30 de enero de 2015, 30 de marzo de 2015, pág. 5.</w:t>
      </w:r>
    </w:p>
  </w:footnote>
  <w:footnote w:id="116">
    <w:p w:rsidR="00AF130B" w:rsidRPr="006425BA"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Departamento de Justicia, Oficina de Responsabilidad Profesional, Informe, Investigación sobre los Memorandos de la Oficina del Fiscal General Relativos al Uso por parte de la Agencia Central de Inteligencia de “Técnicas de Interrogatorio Mejoradas” respecto de Supuestos Terroristas, 29 de julio de 2009, Disponible en: </w:t>
      </w:r>
      <w:hyperlink r:id="rId48">
        <w:r w:rsidRPr="006425BA">
          <w:rPr>
            <w:rStyle w:val="Hyperlink"/>
            <w:rFonts w:asciiTheme="minorHAnsi" w:hAnsiTheme="minorHAnsi"/>
            <w:sz w:val="16"/>
          </w:rPr>
          <w:t>https://www.aclu.org/files/pdfs/natsec/opr20100219/20090729_OPR_Final_Report_with_20100719_declassifications.pdf</w:t>
        </w:r>
      </w:hyperlink>
      <w:r w:rsidRPr="006425BA">
        <w:rPr>
          <w:rFonts w:asciiTheme="minorHAnsi" w:hAnsiTheme="minorHAnsi"/>
          <w:sz w:val="16"/>
        </w:rPr>
        <w:t xml:space="preserve"> </w:t>
      </w:r>
    </w:p>
  </w:footnote>
  <w:footnote w:id="117">
    <w:p w:rsidR="00AF130B" w:rsidRPr="006425BA" w:rsidRDefault="00AF130B" w:rsidP="00CE3EC6">
      <w:pPr>
        <w:ind w:left="547" w:hanging="547"/>
        <w:jc w:val="both"/>
        <w:rPr>
          <w:rFonts w:asciiTheme="minorHAnsi" w:hAnsiTheme="minorHAnsi"/>
          <w:sz w:val="16"/>
          <w:szCs w:val="16"/>
        </w:rPr>
      </w:pPr>
      <w:r w:rsidRPr="006425BA">
        <w:rPr>
          <w:rStyle w:val="FootnoteReference"/>
          <w:rFonts w:asciiTheme="minorHAnsi" w:hAnsiTheme="minorHAnsi"/>
          <w:sz w:val="16"/>
        </w:rPr>
        <w:footnoteRef/>
      </w:r>
      <w:r w:rsidRPr="006425BA">
        <w:rPr>
          <w:rFonts w:asciiTheme="minorHAnsi" w:hAnsiTheme="minorHAnsi"/>
          <w:sz w:val="16"/>
        </w:rPr>
        <w:t xml:space="preserve"> </w:t>
      </w:r>
      <w:r w:rsidRPr="006425BA">
        <w:tab/>
      </w:r>
      <w:r w:rsidRPr="006425BA">
        <w:rPr>
          <w:rFonts w:asciiTheme="minorHAnsi" w:hAnsiTheme="minorHAnsi"/>
          <w:sz w:val="16"/>
        </w:rPr>
        <w:t>Comunicación del Gobierno de Estados Unidos dirigida a la Comisión Interamericana de Derechos Humanos respecto del Informe Preliminar sobre el Cierre de Guantánamo, OEA/</w:t>
      </w:r>
      <w:proofErr w:type="spellStart"/>
      <w:r w:rsidRPr="006425BA">
        <w:rPr>
          <w:rFonts w:asciiTheme="minorHAnsi" w:hAnsiTheme="minorHAnsi"/>
          <w:sz w:val="16"/>
        </w:rPr>
        <w:t>Ser.L</w:t>
      </w:r>
      <w:proofErr w:type="spellEnd"/>
      <w:r w:rsidRPr="006425BA">
        <w:rPr>
          <w:rFonts w:asciiTheme="minorHAnsi" w:hAnsiTheme="minorHAnsi"/>
          <w:sz w:val="16"/>
        </w:rPr>
        <w:t>/V/II.doc. 30 de enero de 2015, 30 de marzo de 2015, pág. 6.</w:t>
      </w:r>
    </w:p>
  </w:footnote>
  <w:footnote w:id="118">
    <w:p w:rsidR="00AF130B" w:rsidRPr="006425BA" w:rsidRDefault="00AF130B" w:rsidP="00CE3EC6">
      <w:pPr>
        <w:pStyle w:val="FootnoteText"/>
        <w:ind w:left="547" w:hanging="547"/>
        <w:jc w:val="both"/>
        <w:rPr>
          <w:rFonts w:asciiTheme="minorHAnsi" w:hAnsiTheme="minorHAnsi"/>
          <w:sz w:val="16"/>
          <w:szCs w:val="16"/>
          <w:lang w:val="es-EC"/>
        </w:rPr>
      </w:pPr>
      <w:r w:rsidRPr="006425BA">
        <w:rPr>
          <w:rStyle w:val="FootnoteReference"/>
          <w:rFonts w:asciiTheme="minorHAnsi" w:hAnsiTheme="minorHAnsi"/>
          <w:sz w:val="16"/>
        </w:rPr>
        <w:footnoteRef/>
      </w:r>
      <w:r w:rsidRPr="006425BA">
        <w:rPr>
          <w:rFonts w:asciiTheme="minorHAnsi" w:hAnsiTheme="minorHAnsi"/>
          <w:sz w:val="16"/>
        </w:rPr>
        <w:t xml:space="preserve"> </w:t>
      </w:r>
      <w:r w:rsidRPr="006425BA">
        <w:tab/>
      </w:r>
      <w:r w:rsidRPr="006425BA">
        <w:rPr>
          <w:rFonts w:asciiTheme="minorHAnsi" w:hAnsiTheme="minorHAnsi"/>
          <w:sz w:val="16"/>
        </w:rPr>
        <w:t>CIDH, Medida Cautelar 259/02 – Detenidos por Estados Unidos en la Bahía de Guantánamo. 12 de marzo de 2002 (ampliación otorgada el 28 de octubre de 2005).</w:t>
      </w:r>
    </w:p>
  </w:footnote>
  <w:footnote w:id="119">
    <w:p w:rsidR="00AF130B" w:rsidRPr="005D0288" w:rsidRDefault="00AF130B" w:rsidP="00CE3EC6">
      <w:pPr>
        <w:pStyle w:val="FootnoteText"/>
        <w:ind w:left="547" w:hanging="547"/>
        <w:jc w:val="both"/>
        <w:rPr>
          <w:rFonts w:asciiTheme="minorHAnsi" w:hAnsiTheme="minorHAnsi"/>
          <w:sz w:val="16"/>
          <w:szCs w:val="16"/>
        </w:rPr>
      </w:pPr>
      <w:r w:rsidRPr="006425BA">
        <w:rPr>
          <w:rStyle w:val="FootnoteReference"/>
          <w:rFonts w:asciiTheme="minorHAnsi" w:hAnsiTheme="minorHAnsi"/>
          <w:sz w:val="16"/>
        </w:rPr>
        <w:footnoteRef/>
      </w:r>
      <w:r w:rsidRPr="006425BA">
        <w:rPr>
          <w:rFonts w:asciiTheme="minorHAnsi" w:hAnsiTheme="minorHAnsi"/>
          <w:sz w:val="16"/>
        </w:rPr>
        <w:t xml:space="preserve"> </w:t>
      </w:r>
      <w:r w:rsidRPr="006425BA">
        <w:tab/>
      </w:r>
      <w:r w:rsidRPr="006425BA">
        <w:rPr>
          <w:rFonts w:asciiTheme="minorHAnsi" w:hAnsiTheme="minorHAnsi"/>
          <w:sz w:val="16"/>
        </w:rPr>
        <w:t>CIDH, Caso No. 12.519, Garcia Lucero y otros, Chile, Demanda presentada ante la Corte IDH, 20 de septiembre</w:t>
      </w:r>
      <w:r>
        <w:rPr>
          <w:rFonts w:asciiTheme="minorHAnsi" w:hAnsiTheme="minorHAnsi"/>
          <w:sz w:val="16"/>
        </w:rPr>
        <w:t xml:space="preserve"> de 2011, párr. 76. Disponible en: </w:t>
      </w:r>
      <w:hyperlink r:id="rId49">
        <w:r>
          <w:rPr>
            <w:rStyle w:val="Hyperlink"/>
            <w:rFonts w:asciiTheme="minorHAnsi" w:hAnsiTheme="minorHAnsi"/>
            <w:sz w:val="16"/>
          </w:rPr>
          <w:t>http://www.cidh.oas.org/demandas/12.519Eng.pdf</w:t>
        </w:r>
      </w:hyperlink>
      <w:r>
        <w:rPr>
          <w:rFonts w:asciiTheme="minorHAnsi" w:hAnsiTheme="minorHAnsi"/>
          <w:sz w:val="16"/>
        </w:rPr>
        <w:t xml:space="preserve"> </w:t>
      </w:r>
    </w:p>
  </w:footnote>
  <w:footnote w:id="120">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CIDH, Resolución 2/11: Sobre la Situación de los Detenidos de la Bahía de Guantánamo, Estados Unidos; Medidas Cautelares 259-02, 22 de julio de 2011.</w:t>
      </w:r>
    </w:p>
  </w:footnote>
  <w:footnote w:id="121">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CICR. DIH Consuetudinario, Regla 150. Reparación. Disponible en: </w:t>
      </w:r>
      <w:hyperlink r:id="rId50">
        <w:r>
          <w:rPr>
            <w:rStyle w:val="Hyperlink"/>
            <w:rFonts w:asciiTheme="minorHAnsi" w:hAnsiTheme="minorHAnsi"/>
            <w:sz w:val="16"/>
          </w:rPr>
          <w:t>https://www.icrc.org/customary-ihl/eng/docs/v1_rul_rule150</w:t>
        </w:r>
      </w:hyperlink>
      <w:r>
        <w:rPr>
          <w:rFonts w:asciiTheme="minorHAnsi" w:hAnsiTheme="minorHAnsi"/>
          <w:sz w:val="16"/>
        </w:rPr>
        <w:t xml:space="preserve"> </w:t>
      </w:r>
    </w:p>
  </w:footnote>
  <w:footnote w:id="122">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International </w:t>
      </w:r>
      <w:proofErr w:type="spellStart"/>
      <w:r>
        <w:rPr>
          <w:rFonts w:asciiTheme="minorHAnsi" w:hAnsiTheme="minorHAnsi"/>
          <w:sz w:val="16"/>
        </w:rPr>
        <w:t>Rehabilitation</w:t>
      </w:r>
      <w:proofErr w:type="spellEnd"/>
      <w:r>
        <w:rPr>
          <w:rFonts w:asciiTheme="minorHAnsi" w:hAnsiTheme="minorHAnsi"/>
          <w:sz w:val="16"/>
        </w:rPr>
        <w:t xml:space="preserve"> Council </w:t>
      </w:r>
      <w:proofErr w:type="spellStart"/>
      <w:r>
        <w:rPr>
          <w:rFonts w:asciiTheme="minorHAnsi" w:hAnsiTheme="minorHAnsi"/>
          <w:sz w:val="16"/>
        </w:rPr>
        <w:t>for</w:t>
      </w:r>
      <w:proofErr w:type="spellEnd"/>
      <w:r>
        <w:rPr>
          <w:rFonts w:asciiTheme="minorHAnsi" w:hAnsiTheme="minorHAnsi"/>
          <w:sz w:val="16"/>
        </w:rPr>
        <w:t xml:space="preserve"> Torture </w:t>
      </w:r>
      <w:proofErr w:type="spellStart"/>
      <w:r>
        <w:rPr>
          <w:rFonts w:asciiTheme="minorHAnsi" w:hAnsiTheme="minorHAnsi"/>
          <w:sz w:val="16"/>
        </w:rPr>
        <w:t>Victims</w:t>
      </w:r>
      <w:proofErr w:type="spellEnd"/>
      <w:r>
        <w:rPr>
          <w:rFonts w:asciiTheme="minorHAnsi" w:hAnsiTheme="minorHAnsi"/>
          <w:sz w:val="16"/>
        </w:rPr>
        <w:t xml:space="preserve">, Efectos de la Tortura. Disponible en: </w:t>
      </w:r>
      <w:hyperlink r:id="rId51">
        <w:r>
          <w:rPr>
            <w:rStyle w:val="Hyperlink"/>
            <w:rFonts w:asciiTheme="minorHAnsi" w:hAnsiTheme="minorHAnsi"/>
            <w:sz w:val="16"/>
          </w:rPr>
          <w:t>http://www.irct.org/what-is-torture/effects-of-torture.aspx</w:t>
        </w:r>
      </w:hyperlink>
      <w:r>
        <w:rPr>
          <w:rFonts w:asciiTheme="minorHAnsi" w:hAnsiTheme="minorHAnsi"/>
          <w:sz w:val="16"/>
        </w:rPr>
        <w:t xml:space="preserve"> </w:t>
      </w:r>
    </w:p>
  </w:footnote>
  <w:footnote w:id="123">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Senado de EE.UU, Comité Selecto de Inteligencia del Senado, Estudio del Comité sobre la Detención llevada a cabo por la Agencia Central de Inteligencia y su Programa de Interrogatorios, Revisiones de Desclasificación de 3 de diciembre de 2014.</w:t>
      </w:r>
    </w:p>
  </w:footnote>
  <w:footnote w:id="124">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i/>
          <w:sz w:val="16"/>
        </w:rPr>
        <w:t>Al respecto véase</w:t>
      </w:r>
      <w:r>
        <w:rPr>
          <w:rFonts w:asciiTheme="minorHAnsi" w:hAnsiTheme="minorHAnsi"/>
          <w:sz w:val="16"/>
        </w:rPr>
        <w:t xml:space="preserve">, Center </w:t>
      </w:r>
      <w:proofErr w:type="spellStart"/>
      <w:r>
        <w:rPr>
          <w:rFonts w:asciiTheme="minorHAnsi" w:hAnsiTheme="minorHAnsi"/>
          <w:sz w:val="16"/>
        </w:rPr>
        <w:t>for</w:t>
      </w:r>
      <w:proofErr w:type="spellEnd"/>
      <w:r>
        <w:rPr>
          <w:rFonts w:asciiTheme="minorHAnsi" w:hAnsiTheme="minorHAnsi"/>
          <w:sz w:val="16"/>
        </w:rPr>
        <w:t xml:space="preserve"> </w:t>
      </w:r>
      <w:proofErr w:type="spellStart"/>
      <w:r>
        <w:rPr>
          <w:rFonts w:asciiTheme="minorHAnsi" w:hAnsiTheme="minorHAnsi"/>
          <w:sz w:val="16"/>
        </w:rPr>
        <w:t>Constitutional</w:t>
      </w:r>
      <w:proofErr w:type="spellEnd"/>
      <w:r>
        <w:rPr>
          <w:rFonts w:asciiTheme="minorHAnsi" w:hAnsiTheme="minorHAnsi"/>
          <w:sz w:val="16"/>
        </w:rPr>
        <w:t xml:space="preserve"> </w:t>
      </w:r>
      <w:proofErr w:type="spellStart"/>
      <w:r>
        <w:rPr>
          <w:rFonts w:asciiTheme="minorHAnsi" w:hAnsiTheme="minorHAnsi"/>
          <w:sz w:val="16"/>
        </w:rPr>
        <w:t>Rights</w:t>
      </w:r>
      <w:proofErr w:type="spellEnd"/>
      <w:r>
        <w:rPr>
          <w:rFonts w:asciiTheme="minorHAnsi" w:hAnsiTheme="minorHAnsi"/>
          <w:sz w:val="16"/>
        </w:rPr>
        <w:t xml:space="preserve">, </w:t>
      </w:r>
      <w:proofErr w:type="spellStart"/>
      <w:r>
        <w:rPr>
          <w:rFonts w:asciiTheme="minorHAnsi" w:hAnsiTheme="minorHAnsi"/>
          <w:sz w:val="16"/>
        </w:rPr>
        <w:t>Hamad</w:t>
      </w:r>
      <w:proofErr w:type="spellEnd"/>
      <w:r>
        <w:rPr>
          <w:rFonts w:asciiTheme="minorHAnsi" w:hAnsiTheme="minorHAnsi"/>
          <w:sz w:val="16"/>
        </w:rPr>
        <w:t xml:space="preserve"> v. Gates (escrito de </w:t>
      </w:r>
      <w:proofErr w:type="spellStart"/>
      <w:r>
        <w:rPr>
          <w:rFonts w:asciiTheme="minorHAnsi" w:hAnsiTheme="minorHAnsi"/>
          <w:sz w:val="16"/>
        </w:rPr>
        <w:t>amicus</w:t>
      </w:r>
      <w:proofErr w:type="spellEnd"/>
      <w:r>
        <w:rPr>
          <w:rFonts w:asciiTheme="minorHAnsi" w:hAnsiTheme="minorHAnsi"/>
          <w:sz w:val="16"/>
        </w:rPr>
        <w:t xml:space="preserve"> </w:t>
      </w:r>
      <w:proofErr w:type="spellStart"/>
      <w:r>
        <w:rPr>
          <w:rFonts w:asciiTheme="minorHAnsi" w:hAnsiTheme="minorHAnsi"/>
          <w:sz w:val="16"/>
        </w:rPr>
        <w:t>curiae</w:t>
      </w:r>
      <w:proofErr w:type="spellEnd"/>
      <w:r>
        <w:rPr>
          <w:rFonts w:asciiTheme="minorHAnsi" w:hAnsiTheme="minorHAnsi"/>
          <w:sz w:val="16"/>
        </w:rPr>
        <w:t xml:space="preserve">). Disponible en: </w:t>
      </w:r>
      <w:hyperlink r:id="rId52">
        <w:r>
          <w:rPr>
            <w:rStyle w:val="Hyperlink"/>
            <w:rFonts w:asciiTheme="minorHAnsi" w:hAnsiTheme="minorHAnsi"/>
            <w:sz w:val="16"/>
          </w:rPr>
          <w:t>http://ccrjustice.org/ourcases/current-cases/hamad-v.-gates-amicus</w:t>
        </w:r>
      </w:hyperlink>
      <w:r>
        <w:rPr>
          <w:rFonts w:asciiTheme="minorHAnsi" w:hAnsiTheme="minorHAnsi"/>
          <w:sz w:val="16"/>
        </w:rPr>
        <w:t xml:space="preserve">; y ACLU, Mohamed et al. v. </w:t>
      </w:r>
      <w:proofErr w:type="spellStart"/>
      <w:r>
        <w:rPr>
          <w:rFonts w:asciiTheme="minorHAnsi" w:hAnsiTheme="minorHAnsi"/>
          <w:sz w:val="16"/>
        </w:rPr>
        <w:t>Jeppesen</w:t>
      </w:r>
      <w:proofErr w:type="spellEnd"/>
      <w:r>
        <w:rPr>
          <w:rFonts w:asciiTheme="minorHAnsi" w:hAnsiTheme="minorHAnsi"/>
          <w:sz w:val="16"/>
        </w:rPr>
        <w:t xml:space="preserve"> </w:t>
      </w:r>
      <w:proofErr w:type="spellStart"/>
      <w:r>
        <w:rPr>
          <w:rFonts w:asciiTheme="minorHAnsi" w:hAnsiTheme="minorHAnsi"/>
          <w:sz w:val="16"/>
        </w:rPr>
        <w:t>Dataplan</w:t>
      </w:r>
      <w:proofErr w:type="spellEnd"/>
      <w:r>
        <w:rPr>
          <w:rFonts w:asciiTheme="minorHAnsi" w:hAnsiTheme="minorHAnsi"/>
          <w:sz w:val="16"/>
        </w:rPr>
        <w:t xml:space="preserve">, Inc., 15 de noviembre de 2011. Disponible en: </w:t>
      </w:r>
      <w:hyperlink r:id="rId53">
        <w:r>
          <w:rPr>
            <w:rStyle w:val="Hyperlink"/>
            <w:rFonts w:asciiTheme="minorHAnsi" w:hAnsiTheme="minorHAnsi"/>
            <w:sz w:val="16"/>
          </w:rPr>
          <w:t>https://www.aclu.org/national-security/mohamed-et-al-v-jeppesen-dataplan-inc</w:t>
        </w:r>
      </w:hyperlink>
      <w:r>
        <w:rPr>
          <w:rFonts w:asciiTheme="minorHAnsi" w:hAnsiTheme="minorHAnsi"/>
          <w:sz w:val="16"/>
        </w:rPr>
        <w:t xml:space="preserve">  </w:t>
      </w:r>
    </w:p>
  </w:footnote>
  <w:footnote w:id="125">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Departamento de Defensa de Estados Unidos (</w:t>
      </w:r>
      <w:proofErr w:type="spellStart"/>
      <w:r>
        <w:rPr>
          <w:rFonts w:asciiTheme="minorHAnsi" w:hAnsiTheme="minorHAnsi"/>
          <w:sz w:val="16"/>
        </w:rPr>
        <w:t>DoD</w:t>
      </w:r>
      <w:proofErr w:type="spellEnd"/>
      <w:r>
        <w:rPr>
          <w:rFonts w:asciiTheme="minorHAnsi" w:hAnsiTheme="minorHAnsi"/>
          <w:sz w:val="16"/>
        </w:rPr>
        <w:t xml:space="preserve">), Noticias del </w:t>
      </w:r>
      <w:proofErr w:type="spellStart"/>
      <w:r>
        <w:rPr>
          <w:rFonts w:asciiTheme="minorHAnsi" w:hAnsiTheme="minorHAnsi"/>
          <w:sz w:val="16"/>
        </w:rPr>
        <w:t>DoD</w:t>
      </w:r>
      <w:proofErr w:type="spellEnd"/>
      <w:r>
        <w:rPr>
          <w:rFonts w:asciiTheme="minorHAnsi" w:hAnsiTheme="minorHAnsi"/>
          <w:sz w:val="16"/>
        </w:rPr>
        <w:t xml:space="preserve">, Almirante Naval Liderará Revisión de las Instalaciones de Detención de Guantánamo, 3 de febrero de 2009. Disponible en: </w:t>
      </w:r>
      <w:hyperlink r:id="rId54">
        <w:r>
          <w:rPr>
            <w:rStyle w:val="Hyperlink"/>
            <w:rFonts w:asciiTheme="minorHAnsi" w:hAnsiTheme="minorHAnsi"/>
            <w:sz w:val="16"/>
          </w:rPr>
          <w:t>http://www.defense.gov/news/newsarticle.aspx?id=52940</w:t>
        </w:r>
      </w:hyperlink>
      <w:r>
        <w:rPr>
          <w:rFonts w:asciiTheme="minorHAnsi" w:hAnsiTheme="minorHAnsi"/>
          <w:sz w:val="16"/>
        </w:rPr>
        <w:t xml:space="preserve"> </w:t>
      </w:r>
    </w:p>
  </w:footnote>
  <w:footnote w:id="126">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Departamento de Defensa de Estados Unidos, Evaluación del Cumplimiento del Departamento con el Decreto Ejecutivo del Presidente sobre las Condiciones de Detención, 23 de febrero de 2009, Disponible en: </w:t>
      </w:r>
      <w:hyperlink r:id="rId55">
        <w:r>
          <w:rPr>
            <w:rStyle w:val="Hyperlink"/>
            <w:rFonts w:asciiTheme="minorHAnsi" w:hAnsiTheme="minorHAnsi"/>
            <w:sz w:val="16"/>
          </w:rPr>
          <w:t>http://www.defense.gov/pubs/pdfs/REVIEW_OF_DEPARTMENT_COMPLIANCE_WITH_PRESIDENTS_EXECUTIVE_ORDER_ON_DETAINEE_CONDITIONS_OF_CONFINEMENTa.pdf</w:t>
        </w:r>
      </w:hyperlink>
      <w:r>
        <w:rPr>
          <w:rFonts w:asciiTheme="minorHAnsi" w:hAnsiTheme="minorHAnsi"/>
          <w:sz w:val="16"/>
        </w:rPr>
        <w:t xml:space="preserve"> </w:t>
      </w:r>
    </w:p>
  </w:footnote>
  <w:footnote w:id="127">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Carta conjunta al Secretario </w:t>
      </w:r>
      <w:proofErr w:type="spellStart"/>
      <w:r>
        <w:rPr>
          <w:rFonts w:asciiTheme="minorHAnsi" w:hAnsiTheme="minorHAnsi"/>
          <w:sz w:val="16"/>
        </w:rPr>
        <w:t>Hagel</w:t>
      </w:r>
      <w:proofErr w:type="spellEnd"/>
      <w:r>
        <w:rPr>
          <w:rFonts w:asciiTheme="minorHAnsi" w:hAnsiTheme="minorHAnsi"/>
          <w:sz w:val="16"/>
        </w:rPr>
        <w:t xml:space="preserve">, Asunto: Solicitudes de Mejora de las Condiciones de Detención en Guantánamo, de abogados defensores militares y civiles, 20 de mayo de 2013. Carta presentada durante la Reunión de Expertos sobre la situación de los detenidos en la Base Naval de la Bahía de Guantánamo, celebrada por la CIDH el 3 de octubre de 2013. </w:t>
      </w:r>
    </w:p>
  </w:footnote>
  <w:footnote w:id="128">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Carta conjunta al Secretario </w:t>
      </w:r>
      <w:proofErr w:type="spellStart"/>
      <w:r>
        <w:rPr>
          <w:rFonts w:asciiTheme="minorHAnsi" w:hAnsiTheme="minorHAnsi"/>
          <w:sz w:val="16"/>
        </w:rPr>
        <w:t>Hagel</w:t>
      </w:r>
      <w:proofErr w:type="spellEnd"/>
      <w:r>
        <w:rPr>
          <w:rFonts w:asciiTheme="minorHAnsi" w:hAnsiTheme="minorHAnsi"/>
          <w:sz w:val="16"/>
        </w:rPr>
        <w:t>, Asunto: Solicitudes de Mejora de las Condiciones de Detención en Guantánamo, de abogados defensores militares y civiles, 20 de mayo de 2013. Carta presentada durante la Reunión de Expertos sobre la situación de los detenidos en la Base Naval de la Bahía de Guantánamo, celebrada por la CIDH el 3 de octubre de 2013.</w:t>
      </w:r>
    </w:p>
  </w:footnote>
  <w:footnote w:id="129">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Departamento de Defensa de Estados Unidos, Evaluación del Cumplimiento del Departamento con el Decreto Ejecutivo del Presidente sobre las Condiciones de Detención, 23 de febrero de 2009, pp. 5 y 26.</w:t>
      </w:r>
    </w:p>
  </w:footnote>
  <w:footnote w:id="130">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proofErr w:type="spellStart"/>
      <w:r>
        <w:rPr>
          <w:rFonts w:asciiTheme="minorHAnsi" w:hAnsiTheme="minorHAnsi"/>
          <w:sz w:val="16"/>
        </w:rPr>
        <w:t>The</w:t>
      </w:r>
      <w:proofErr w:type="spellEnd"/>
      <w:r>
        <w:rPr>
          <w:rFonts w:asciiTheme="minorHAnsi" w:hAnsiTheme="minorHAnsi"/>
          <w:sz w:val="16"/>
        </w:rPr>
        <w:t xml:space="preserve"> New York Times, 23 detenidos intentan suicidarse durante protesta en la base, dice militar. 25 de enero de 2005. Disponible en: </w:t>
      </w:r>
      <w:hyperlink r:id="rId56">
        <w:r>
          <w:rPr>
            <w:rStyle w:val="Hyperlink"/>
            <w:rFonts w:asciiTheme="minorHAnsi" w:hAnsiTheme="minorHAnsi"/>
            <w:sz w:val="16"/>
          </w:rPr>
          <w:t>http://query.nytimes.com/gst/fullpage.html?res=9507E3DC1F38F936A15752C0A9639C8B63&amp;sec=health</w:t>
        </w:r>
      </w:hyperlink>
      <w:r>
        <w:rPr>
          <w:rFonts w:asciiTheme="minorHAnsi" w:hAnsiTheme="minorHAnsi"/>
          <w:sz w:val="16"/>
        </w:rPr>
        <w:t xml:space="preserve"> </w:t>
      </w:r>
    </w:p>
  </w:footnote>
  <w:footnote w:id="131">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proofErr w:type="spellStart"/>
      <w:r>
        <w:rPr>
          <w:rFonts w:asciiTheme="minorHAnsi" w:hAnsiTheme="minorHAnsi"/>
          <w:sz w:val="16"/>
        </w:rPr>
        <w:t>The</w:t>
      </w:r>
      <w:proofErr w:type="spellEnd"/>
      <w:r>
        <w:rPr>
          <w:rFonts w:asciiTheme="minorHAnsi" w:hAnsiTheme="minorHAnsi"/>
          <w:sz w:val="16"/>
        </w:rPr>
        <w:t xml:space="preserve"> New York Times, Militar identifica a detenido de Guantánamo que falleció, 11 de septiembre de 2012.  Disponible en: </w:t>
      </w:r>
      <w:hyperlink r:id="rId57">
        <w:r>
          <w:rPr>
            <w:rStyle w:val="Hyperlink"/>
            <w:rFonts w:asciiTheme="minorHAnsi" w:hAnsiTheme="minorHAnsi"/>
            <w:sz w:val="16"/>
          </w:rPr>
          <w:t>http://www.nytimes.com/2012/09/12/us/politics/detainee-who-died-at-guantanamo-had-release-blocked-by-court.html?_r=0</w:t>
        </w:r>
      </w:hyperlink>
      <w:r>
        <w:rPr>
          <w:rFonts w:asciiTheme="minorHAnsi" w:hAnsiTheme="minorHAnsi"/>
          <w:sz w:val="16"/>
        </w:rPr>
        <w:t xml:space="preserve"> </w:t>
      </w:r>
    </w:p>
  </w:footnote>
  <w:footnote w:id="132">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Style w:val="FootnoteReference"/>
          <w:rFonts w:asciiTheme="minorHAnsi" w:hAnsiTheme="minorHAnsi"/>
          <w:sz w:val="16"/>
        </w:rPr>
        <w:t xml:space="preserve"> </w:t>
      </w:r>
      <w:r>
        <w:tab/>
      </w:r>
      <w:r>
        <w:rPr>
          <w:rFonts w:asciiTheme="minorHAnsi" w:hAnsiTheme="minorHAnsi"/>
          <w:sz w:val="16"/>
        </w:rPr>
        <w:t>Comité Judicial del Senado: Cierre de Guantánamo: Implicaciones de Seguridad Nacional, Fiscales y de Derechos Humanos (</w:t>
      </w:r>
      <w:proofErr w:type="spellStart"/>
      <w:r>
        <w:rPr>
          <w:rFonts w:asciiTheme="minorHAnsi" w:hAnsiTheme="minorHAnsi"/>
          <w:i/>
          <w:sz w:val="16"/>
        </w:rPr>
        <w:t>Closing</w:t>
      </w:r>
      <w:proofErr w:type="spellEnd"/>
      <w:r>
        <w:rPr>
          <w:rFonts w:asciiTheme="minorHAnsi" w:hAnsiTheme="minorHAnsi"/>
          <w:i/>
          <w:sz w:val="16"/>
        </w:rPr>
        <w:t xml:space="preserve"> </w:t>
      </w:r>
      <w:proofErr w:type="spellStart"/>
      <w:r>
        <w:rPr>
          <w:rFonts w:asciiTheme="minorHAnsi" w:hAnsiTheme="minorHAnsi"/>
          <w:i/>
          <w:sz w:val="16"/>
        </w:rPr>
        <w:t>Guantanamo</w:t>
      </w:r>
      <w:proofErr w:type="spellEnd"/>
      <w:r>
        <w:rPr>
          <w:rFonts w:asciiTheme="minorHAnsi" w:hAnsiTheme="minorHAnsi"/>
          <w:i/>
          <w:sz w:val="16"/>
        </w:rPr>
        <w:t xml:space="preserve">: </w:t>
      </w:r>
      <w:proofErr w:type="spellStart"/>
      <w:r>
        <w:rPr>
          <w:rFonts w:asciiTheme="minorHAnsi" w:hAnsiTheme="minorHAnsi"/>
          <w:i/>
          <w:sz w:val="16"/>
        </w:rPr>
        <w:t>The</w:t>
      </w:r>
      <w:proofErr w:type="spellEnd"/>
      <w:r>
        <w:rPr>
          <w:rFonts w:asciiTheme="minorHAnsi" w:hAnsiTheme="minorHAnsi"/>
          <w:i/>
          <w:sz w:val="16"/>
        </w:rPr>
        <w:t xml:space="preserve"> </w:t>
      </w:r>
      <w:proofErr w:type="spellStart"/>
      <w:r>
        <w:rPr>
          <w:rFonts w:asciiTheme="minorHAnsi" w:hAnsiTheme="minorHAnsi"/>
          <w:i/>
          <w:sz w:val="16"/>
        </w:rPr>
        <w:t>National</w:t>
      </w:r>
      <w:proofErr w:type="spellEnd"/>
      <w:r>
        <w:rPr>
          <w:rFonts w:asciiTheme="minorHAnsi" w:hAnsiTheme="minorHAnsi"/>
          <w:i/>
          <w:sz w:val="16"/>
        </w:rPr>
        <w:t xml:space="preserve"> Security, Fiscal, and Human </w:t>
      </w:r>
      <w:proofErr w:type="spellStart"/>
      <w:r>
        <w:rPr>
          <w:rFonts w:asciiTheme="minorHAnsi" w:hAnsiTheme="minorHAnsi"/>
          <w:i/>
          <w:sz w:val="16"/>
        </w:rPr>
        <w:t>Rights</w:t>
      </w:r>
      <w:proofErr w:type="spellEnd"/>
      <w:r>
        <w:rPr>
          <w:rFonts w:asciiTheme="minorHAnsi" w:hAnsiTheme="minorHAnsi"/>
          <w:i/>
          <w:sz w:val="16"/>
        </w:rPr>
        <w:t xml:space="preserve"> </w:t>
      </w:r>
      <w:proofErr w:type="spellStart"/>
      <w:r>
        <w:rPr>
          <w:rFonts w:asciiTheme="minorHAnsi" w:hAnsiTheme="minorHAnsi"/>
          <w:i/>
          <w:sz w:val="16"/>
        </w:rPr>
        <w:t>Implications</w:t>
      </w:r>
      <w:proofErr w:type="spellEnd"/>
      <w:r>
        <w:rPr>
          <w:rFonts w:asciiTheme="minorHAnsi" w:hAnsiTheme="minorHAnsi"/>
          <w:sz w:val="16"/>
        </w:rPr>
        <w:t xml:space="preserve">), Declaración de Stephen N. </w:t>
      </w:r>
      <w:proofErr w:type="spellStart"/>
      <w:r>
        <w:rPr>
          <w:rFonts w:asciiTheme="minorHAnsi" w:hAnsiTheme="minorHAnsi"/>
          <w:sz w:val="16"/>
        </w:rPr>
        <w:t>Xenakis</w:t>
      </w:r>
      <w:proofErr w:type="spellEnd"/>
      <w:r>
        <w:rPr>
          <w:rFonts w:asciiTheme="minorHAnsi" w:hAnsiTheme="minorHAnsi"/>
          <w:sz w:val="16"/>
        </w:rPr>
        <w:t xml:space="preserve">, M.D., Brigadier General (Retirado), U.S. </w:t>
      </w:r>
      <w:proofErr w:type="spellStart"/>
      <w:r>
        <w:rPr>
          <w:rFonts w:asciiTheme="minorHAnsi" w:hAnsiTheme="minorHAnsi"/>
          <w:sz w:val="16"/>
        </w:rPr>
        <w:t>Army</w:t>
      </w:r>
      <w:proofErr w:type="spellEnd"/>
      <w:r>
        <w:rPr>
          <w:rFonts w:asciiTheme="minorHAnsi" w:hAnsiTheme="minorHAnsi"/>
          <w:sz w:val="16"/>
        </w:rPr>
        <w:t xml:space="preserve">, 24 de julio de 2013, pp. 5-6 </w:t>
      </w:r>
    </w:p>
  </w:footnote>
  <w:footnote w:id="133">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Amnistía Internacional, Acción Urgente, Detenido de Guantánamo bajo Medida de Aislamiento, 7 de mayo de 2010. Disponible en: </w:t>
      </w:r>
      <w:hyperlink r:id="rId58">
        <w:r>
          <w:rPr>
            <w:rStyle w:val="Hyperlink"/>
            <w:rFonts w:asciiTheme="minorHAnsi" w:hAnsiTheme="minorHAnsi"/>
            <w:sz w:val="16"/>
          </w:rPr>
          <w:t>http://www.amnesty.org/en/library/asset/AMR51/037/2010/en/a2f4f943-40c9-45ab-a344-a5741f4f3f03/amr510372010en.pdf</w:t>
        </w:r>
      </w:hyperlink>
      <w:r>
        <w:rPr>
          <w:rFonts w:asciiTheme="minorHAnsi" w:hAnsiTheme="minorHAnsi"/>
          <w:sz w:val="16"/>
        </w:rPr>
        <w:t xml:space="preserve"> </w:t>
      </w:r>
    </w:p>
  </w:footnote>
  <w:footnote w:id="134">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Style w:val="FootnoteReference"/>
          <w:rFonts w:asciiTheme="minorHAnsi" w:hAnsiTheme="minorHAnsi"/>
          <w:sz w:val="16"/>
        </w:rPr>
        <w:t xml:space="preserve"> </w:t>
      </w:r>
      <w:r>
        <w:tab/>
      </w:r>
      <w:r>
        <w:rPr>
          <w:rFonts w:asciiTheme="minorHAnsi" w:hAnsiTheme="minorHAnsi"/>
          <w:sz w:val="16"/>
        </w:rPr>
        <w:t xml:space="preserve">CIDH, Reunión de Expertos sobre la situación de los detenidos en la Base Naval de la Bahía de Guantánamo, 3 de octubre de 2013. </w:t>
      </w:r>
    </w:p>
  </w:footnote>
  <w:footnote w:id="135">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CIDH, Reunión de Expertos sobre la situación de los detenidos en la Base Naval de la Bahía de Guantánamo, 3 de octubre de 2013.</w:t>
      </w:r>
    </w:p>
  </w:footnote>
  <w:footnote w:id="136">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Comité Judicial del Senado: Cierre de Guantánamo: Implicaciones de Seguridad Nacional, Fiscales y de Derechos Humanos (</w:t>
      </w:r>
      <w:proofErr w:type="spellStart"/>
      <w:r>
        <w:rPr>
          <w:rFonts w:asciiTheme="minorHAnsi" w:hAnsiTheme="minorHAnsi"/>
          <w:i/>
          <w:sz w:val="16"/>
        </w:rPr>
        <w:t>Closing</w:t>
      </w:r>
      <w:proofErr w:type="spellEnd"/>
      <w:r>
        <w:rPr>
          <w:rFonts w:asciiTheme="minorHAnsi" w:hAnsiTheme="minorHAnsi"/>
          <w:i/>
          <w:sz w:val="16"/>
        </w:rPr>
        <w:t xml:space="preserve"> </w:t>
      </w:r>
      <w:proofErr w:type="spellStart"/>
      <w:r>
        <w:rPr>
          <w:rFonts w:asciiTheme="minorHAnsi" w:hAnsiTheme="minorHAnsi"/>
          <w:i/>
          <w:sz w:val="16"/>
        </w:rPr>
        <w:t>Guantanamo</w:t>
      </w:r>
      <w:proofErr w:type="spellEnd"/>
      <w:r>
        <w:rPr>
          <w:rFonts w:asciiTheme="minorHAnsi" w:hAnsiTheme="minorHAnsi"/>
          <w:i/>
          <w:sz w:val="16"/>
        </w:rPr>
        <w:t xml:space="preserve">: </w:t>
      </w:r>
      <w:proofErr w:type="spellStart"/>
      <w:r>
        <w:rPr>
          <w:rFonts w:asciiTheme="minorHAnsi" w:hAnsiTheme="minorHAnsi"/>
          <w:i/>
          <w:sz w:val="16"/>
        </w:rPr>
        <w:t>The</w:t>
      </w:r>
      <w:proofErr w:type="spellEnd"/>
      <w:r>
        <w:rPr>
          <w:rFonts w:asciiTheme="minorHAnsi" w:hAnsiTheme="minorHAnsi"/>
          <w:i/>
          <w:sz w:val="16"/>
        </w:rPr>
        <w:t xml:space="preserve"> </w:t>
      </w:r>
      <w:proofErr w:type="spellStart"/>
      <w:r>
        <w:rPr>
          <w:rFonts w:asciiTheme="minorHAnsi" w:hAnsiTheme="minorHAnsi"/>
          <w:i/>
          <w:sz w:val="16"/>
        </w:rPr>
        <w:t>National</w:t>
      </w:r>
      <w:proofErr w:type="spellEnd"/>
      <w:r>
        <w:rPr>
          <w:rFonts w:asciiTheme="minorHAnsi" w:hAnsiTheme="minorHAnsi"/>
          <w:i/>
          <w:sz w:val="16"/>
        </w:rPr>
        <w:t xml:space="preserve"> Security, Fiscal, and Human </w:t>
      </w:r>
      <w:proofErr w:type="spellStart"/>
      <w:r>
        <w:rPr>
          <w:rFonts w:asciiTheme="minorHAnsi" w:hAnsiTheme="minorHAnsi"/>
          <w:i/>
          <w:sz w:val="16"/>
        </w:rPr>
        <w:t>Rights</w:t>
      </w:r>
      <w:proofErr w:type="spellEnd"/>
      <w:r>
        <w:rPr>
          <w:rFonts w:asciiTheme="minorHAnsi" w:hAnsiTheme="minorHAnsi"/>
          <w:i/>
          <w:sz w:val="16"/>
        </w:rPr>
        <w:t xml:space="preserve"> </w:t>
      </w:r>
      <w:proofErr w:type="spellStart"/>
      <w:r>
        <w:rPr>
          <w:rFonts w:asciiTheme="minorHAnsi" w:hAnsiTheme="minorHAnsi"/>
          <w:i/>
          <w:sz w:val="16"/>
        </w:rPr>
        <w:t>Implications</w:t>
      </w:r>
      <w:proofErr w:type="spellEnd"/>
      <w:r>
        <w:rPr>
          <w:rFonts w:asciiTheme="minorHAnsi" w:hAnsiTheme="minorHAnsi"/>
          <w:sz w:val="16"/>
        </w:rPr>
        <w:t xml:space="preserve">), Declaración de Stephen N. </w:t>
      </w:r>
      <w:proofErr w:type="spellStart"/>
      <w:r>
        <w:rPr>
          <w:rFonts w:asciiTheme="minorHAnsi" w:hAnsiTheme="minorHAnsi"/>
          <w:sz w:val="16"/>
        </w:rPr>
        <w:t>Xenakis</w:t>
      </w:r>
      <w:proofErr w:type="spellEnd"/>
      <w:r>
        <w:rPr>
          <w:rFonts w:asciiTheme="minorHAnsi" w:hAnsiTheme="minorHAnsi"/>
          <w:sz w:val="16"/>
        </w:rPr>
        <w:t xml:space="preserve">, M.D., Brigadier General (Retirado), U.S. </w:t>
      </w:r>
      <w:proofErr w:type="spellStart"/>
      <w:r>
        <w:rPr>
          <w:rFonts w:asciiTheme="minorHAnsi" w:hAnsiTheme="minorHAnsi"/>
          <w:sz w:val="16"/>
        </w:rPr>
        <w:t>Army</w:t>
      </w:r>
      <w:proofErr w:type="spellEnd"/>
      <w:r>
        <w:rPr>
          <w:rFonts w:asciiTheme="minorHAnsi" w:hAnsiTheme="minorHAnsi"/>
          <w:sz w:val="16"/>
        </w:rPr>
        <w:t xml:space="preserve">, 24 de julio de 2013. Disponible en:  </w:t>
      </w:r>
      <w:hyperlink r:id="rId59">
        <w:r>
          <w:rPr>
            <w:rStyle w:val="Hyperlink"/>
            <w:rFonts w:asciiTheme="minorHAnsi" w:hAnsiTheme="minorHAnsi"/>
            <w:sz w:val="16"/>
          </w:rPr>
          <w:t>http://www.judiciary.senate.gov/imo/media/doc/7-24-13XenakisTestimony.pdf</w:t>
        </w:r>
      </w:hyperlink>
      <w:r>
        <w:rPr>
          <w:rFonts w:asciiTheme="minorHAnsi" w:hAnsiTheme="minorHAnsi"/>
          <w:sz w:val="16"/>
        </w:rPr>
        <w:t xml:space="preserve"> </w:t>
      </w:r>
    </w:p>
  </w:footnote>
  <w:footnote w:id="137">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Style w:val="FootnoteReference"/>
          <w:rFonts w:asciiTheme="minorHAnsi" w:hAnsiTheme="minorHAnsi"/>
          <w:sz w:val="16"/>
        </w:rPr>
        <w:t xml:space="preserve"> </w:t>
      </w:r>
      <w:r>
        <w:tab/>
      </w:r>
      <w:r>
        <w:rPr>
          <w:rFonts w:asciiTheme="minorHAnsi" w:hAnsiTheme="minorHAnsi"/>
          <w:sz w:val="16"/>
        </w:rPr>
        <w:t>CIDH, Reunión de Expertos sobre la situación de los detenidos en la Base Naval de la Bahía de Guantánamo, 3 de octubre de 2013.</w:t>
      </w:r>
    </w:p>
  </w:footnote>
  <w:footnote w:id="138">
    <w:p w:rsidR="00AF130B" w:rsidRPr="002E2C5C" w:rsidRDefault="00AF130B" w:rsidP="00CE3EC6">
      <w:pPr>
        <w:pStyle w:val="FootnoteText"/>
        <w:ind w:left="547" w:hanging="547"/>
        <w:jc w:val="both"/>
        <w:rPr>
          <w:rFonts w:asciiTheme="minorHAnsi" w:hAnsiTheme="minorHAnsi"/>
          <w:sz w:val="16"/>
          <w:szCs w:val="16"/>
        </w:rPr>
      </w:pPr>
      <w:r w:rsidRPr="002E2C5C">
        <w:rPr>
          <w:rStyle w:val="FootnoteReference"/>
          <w:rFonts w:asciiTheme="minorHAnsi" w:hAnsiTheme="minorHAnsi"/>
          <w:sz w:val="16"/>
        </w:rPr>
        <w:footnoteRef/>
      </w:r>
      <w:r w:rsidRPr="002E2C5C">
        <w:rPr>
          <w:rFonts w:asciiTheme="minorHAnsi" w:hAnsiTheme="minorHAnsi"/>
          <w:sz w:val="16"/>
        </w:rPr>
        <w:t xml:space="preserve"> </w:t>
      </w:r>
      <w:r w:rsidRPr="002E2C5C">
        <w:tab/>
      </w:r>
      <w:r w:rsidRPr="002E2C5C">
        <w:rPr>
          <w:rFonts w:asciiTheme="minorHAnsi" w:hAnsiTheme="minorHAnsi"/>
          <w:sz w:val="16"/>
        </w:rPr>
        <w:t>Comunicación del Gobierno de Estados Unidos dirigida a la Comisión Interamericana de Derechos Humanos respecto del Informe Preliminar sobre el Cierre de Guantánamo, OEA/</w:t>
      </w:r>
      <w:proofErr w:type="spellStart"/>
      <w:r w:rsidRPr="002E2C5C">
        <w:rPr>
          <w:rFonts w:asciiTheme="minorHAnsi" w:hAnsiTheme="minorHAnsi"/>
          <w:sz w:val="16"/>
        </w:rPr>
        <w:t>Ser.L</w:t>
      </w:r>
      <w:proofErr w:type="spellEnd"/>
      <w:r w:rsidRPr="002E2C5C">
        <w:rPr>
          <w:rFonts w:asciiTheme="minorHAnsi" w:hAnsiTheme="minorHAnsi"/>
          <w:sz w:val="16"/>
        </w:rPr>
        <w:t>/V/II.doc. 30 de enero de 2015, 30 de marzo de 2015, pág. 7.</w:t>
      </w:r>
    </w:p>
  </w:footnote>
  <w:footnote w:id="139">
    <w:p w:rsidR="00AF130B" w:rsidRPr="005D0288" w:rsidRDefault="00AF130B" w:rsidP="00CE3EC6">
      <w:pPr>
        <w:pStyle w:val="FootnoteText"/>
        <w:ind w:left="547" w:hanging="547"/>
        <w:jc w:val="both"/>
        <w:rPr>
          <w:rFonts w:asciiTheme="minorHAnsi" w:hAnsiTheme="minorHAnsi"/>
          <w:sz w:val="16"/>
          <w:szCs w:val="16"/>
          <w:lang w:val="es-EC"/>
        </w:rPr>
      </w:pPr>
      <w:r w:rsidRPr="002E2C5C">
        <w:rPr>
          <w:rStyle w:val="FootnoteReference"/>
          <w:rFonts w:asciiTheme="minorHAnsi" w:hAnsiTheme="minorHAnsi"/>
          <w:sz w:val="16"/>
        </w:rPr>
        <w:footnoteRef/>
      </w:r>
      <w:r w:rsidRPr="002E2C5C">
        <w:rPr>
          <w:rStyle w:val="FootnoteReference"/>
          <w:rFonts w:asciiTheme="minorHAnsi" w:hAnsiTheme="minorHAnsi"/>
          <w:sz w:val="16"/>
        </w:rPr>
        <w:t xml:space="preserve"> </w:t>
      </w:r>
      <w:r w:rsidRPr="002E2C5C">
        <w:tab/>
      </w:r>
      <w:r w:rsidRPr="002E2C5C">
        <w:rPr>
          <w:rFonts w:asciiTheme="minorHAnsi" w:hAnsiTheme="minorHAnsi"/>
          <w:sz w:val="16"/>
        </w:rPr>
        <w:t>Comité Judicial del Senado: Cierre de Guantánamo: Implicaciones de Seguridad Nacional, Fiscales y de Derechos</w:t>
      </w:r>
      <w:r>
        <w:rPr>
          <w:rFonts w:asciiTheme="minorHAnsi" w:hAnsiTheme="minorHAnsi"/>
          <w:sz w:val="16"/>
        </w:rPr>
        <w:t xml:space="preserve"> Humanos (</w:t>
      </w:r>
      <w:proofErr w:type="spellStart"/>
      <w:r>
        <w:rPr>
          <w:rFonts w:asciiTheme="minorHAnsi" w:hAnsiTheme="minorHAnsi"/>
          <w:i/>
          <w:sz w:val="16"/>
        </w:rPr>
        <w:t>Closing</w:t>
      </w:r>
      <w:proofErr w:type="spellEnd"/>
      <w:r>
        <w:rPr>
          <w:rFonts w:asciiTheme="minorHAnsi" w:hAnsiTheme="minorHAnsi"/>
          <w:i/>
          <w:sz w:val="16"/>
        </w:rPr>
        <w:t xml:space="preserve"> </w:t>
      </w:r>
      <w:proofErr w:type="spellStart"/>
      <w:r>
        <w:rPr>
          <w:rFonts w:asciiTheme="minorHAnsi" w:hAnsiTheme="minorHAnsi"/>
          <w:i/>
          <w:sz w:val="16"/>
        </w:rPr>
        <w:t>Guantanamo</w:t>
      </w:r>
      <w:proofErr w:type="spellEnd"/>
      <w:r>
        <w:rPr>
          <w:rFonts w:asciiTheme="minorHAnsi" w:hAnsiTheme="minorHAnsi"/>
          <w:i/>
          <w:sz w:val="16"/>
        </w:rPr>
        <w:t xml:space="preserve">: </w:t>
      </w:r>
      <w:proofErr w:type="spellStart"/>
      <w:r>
        <w:rPr>
          <w:rFonts w:asciiTheme="minorHAnsi" w:hAnsiTheme="minorHAnsi"/>
          <w:i/>
          <w:sz w:val="16"/>
        </w:rPr>
        <w:t>The</w:t>
      </w:r>
      <w:proofErr w:type="spellEnd"/>
      <w:r>
        <w:rPr>
          <w:rFonts w:asciiTheme="minorHAnsi" w:hAnsiTheme="minorHAnsi"/>
          <w:i/>
          <w:sz w:val="16"/>
        </w:rPr>
        <w:t xml:space="preserve"> </w:t>
      </w:r>
      <w:proofErr w:type="spellStart"/>
      <w:r>
        <w:rPr>
          <w:rFonts w:asciiTheme="minorHAnsi" w:hAnsiTheme="minorHAnsi"/>
          <w:i/>
          <w:sz w:val="16"/>
        </w:rPr>
        <w:t>National</w:t>
      </w:r>
      <w:proofErr w:type="spellEnd"/>
      <w:r>
        <w:rPr>
          <w:rFonts w:asciiTheme="minorHAnsi" w:hAnsiTheme="minorHAnsi"/>
          <w:i/>
          <w:sz w:val="16"/>
        </w:rPr>
        <w:t xml:space="preserve"> Security, Fiscal, and Human </w:t>
      </w:r>
      <w:proofErr w:type="spellStart"/>
      <w:r>
        <w:rPr>
          <w:rFonts w:asciiTheme="minorHAnsi" w:hAnsiTheme="minorHAnsi"/>
          <w:i/>
          <w:sz w:val="16"/>
        </w:rPr>
        <w:t>Rights</w:t>
      </w:r>
      <w:proofErr w:type="spellEnd"/>
      <w:r>
        <w:rPr>
          <w:rFonts w:asciiTheme="minorHAnsi" w:hAnsiTheme="minorHAnsi"/>
          <w:i/>
          <w:sz w:val="16"/>
        </w:rPr>
        <w:t xml:space="preserve"> </w:t>
      </w:r>
      <w:proofErr w:type="spellStart"/>
      <w:r>
        <w:rPr>
          <w:rFonts w:asciiTheme="minorHAnsi" w:hAnsiTheme="minorHAnsi"/>
          <w:i/>
          <w:sz w:val="16"/>
        </w:rPr>
        <w:t>Implications</w:t>
      </w:r>
      <w:proofErr w:type="spellEnd"/>
      <w:r>
        <w:rPr>
          <w:rFonts w:asciiTheme="minorHAnsi" w:hAnsiTheme="minorHAnsi"/>
          <w:sz w:val="16"/>
        </w:rPr>
        <w:t xml:space="preserve">), Declaración de Stephen N. </w:t>
      </w:r>
      <w:proofErr w:type="spellStart"/>
      <w:r>
        <w:rPr>
          <w:rFonts w:asciiTheme="minorHAnsi" w:hAnsiTheme="minorHAnsi"/>
          <w:sz w:val="16"/>
        </w:rPr>
        <w:t>Xenakis</w:t>
      </w:r>
      <w:proofErr w:type="spellEnd"/>
      <w:r>
        <w:rPr>
          <w:rFonts w:asciiTheme="minorHAnsi" w:hAnsiTheme="minorHAnsi"/>
          <w:sz w:val="16"/>
        </w:rPr>
        <w:t xml:space="preserve">, M.D., Brigadier General (Retirado), U.S. </w:t>
      </w:r>
      <w:proofErr w:type="spellStart"/>
      <w:r>
        <w:rPr>
          <w:rFonts w:asciiTheme="minorHAnsi" w:hAnsiTheme="minorHAnsi"/>
          <w:sz w:val="16"/>
        </w:rPr>
        <w:t>Army</w:t>
      </w:r>
      <w:proofErr w:type="spellEnd"/>
      <w:r>
        <w:rPr>
          <w:rFonts w:asciiTheme="minorHAnsi" w:hAnsiTheme="minorHAnsi"/>
          <w:sz w:val="16"/>
        </w:rPr>
        <w:t>, 24 de julio de 2013, p. 3.</w:t>
      </w:r>
    </w:p>
  </w:footnote>
  <w:footnote w:id="140">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Style w:val="FootnoteReference"/>
          <w:rFonts w:asciiTheme="minorHAnsi" w:hAnsiTheme="minorHAnsi"/>
          <w:sz w:val="16"/>
        </w:rPr>
        <w:t xml:space="preserve"> </w:t>
      </w:r>
      <w:r>
        <w:tab/>
      </w:r>
      <w:r>
        <w:rPr>
          <w:rFonts w:asciiTheme="minorHAnsi" w:hAnsiTheme="minorHAnsi"/>
          <w:sz w:val="16"/>
        </w:rPr>
        <w:t>Comité Judicial del Senado: Cierre de Guantánamo: Implicaciones de Seguridad Nacional, Fiscales y de Derechos Humanos (</w:t>
      </w:r>
      <w:proofErr w:type="spellStart"/>
      <w:r>
        <w:rPr>
          <w:rFonts w:asciiTheme="minorHAnsi" w:hAnsiTheme="minorHAnsi"/>
          <w:i/>
          <w:sz w:val="16"/>
        </w:rPr>
        <w:t>Closing</w:t>
      </w:r>
      <w:proofErr w:type="spellEnd"/>
      <w:r>
        <w:rPr>
          <w:rFonts w:asciiTheme="minorHAnsi" w:hAnsiTheme="minorHAnsi"/>
          <w:i/>
          <w:sz w:val="16"/>
        </w:rPr>
        <w:t xml:space="preserve"> </w:t>
      </w:r>
      <w:proofErr w:type="spellStart"/>
      <w:r>
        <w:rPr>
          <w:rFonts w:asciiTheme="minorHAnsi" w:hAnsiTheme="minorHAnsi"/>
          <w:i/>
          <w:sz w:val="16"/>
        </w:rPr>
        <w:t>Guantanamo</w:t>
      </w:r>
      <w:proofErr w:type="spellEnd"/>
      <w:r>
        <w:rPr>
          <w:rFonts w:asciiTheme="minorHAnsi" w:hAnsiTheme="minorHAnsi"/>
          <w:i/>
          <w:sz w:val="16"/>
        </w:rPr>
        <w:t xml:space="preserve">: </w:t>
      </w:r>
      <w:proofErr w:type="spellStart"/>
      <w:r>
        <w:rPr>
          <w:rFonts w:asciiTheme="minorHAnsi" w:hAnsiTheme="minorHAnsi"/>
          <w:i/>
          <w:sz w:val="16"/>
        </w:rPr>
        <w:t>The</w:t>
      </w:r>
      <w:proofErr w:type="spellEnd"/>
      <w:r>
        <w:rPr>
          <w:rFonts w:asciiTheme="minorHAnsi" w:hAnsiTheme="minorHAnsi"/>
          <w:i/>
          <w:sz w:val="16"/>
        </w:rPr>
        <w:t xml:space="preserve"> </w:t>
      </w:r>
      <w:proofErr w:type="spellStart"/>
      <w:r>
        <w:rPr>
          <w:rFonts w:asciiTheme="minorHAnsi" w:hAnsiTheme="minorHAnsi"/>
          <w:i/>
          <w:sz w:val="16"/>
        </w:rPr>
        <w:t>National</w:t>
      </w:r>
      <w:proofErr w:type="spellEnd"/>
      <w:r>
        <w:rPr>
          <w:rFonts w:asciiTheme="minorHAnsi" w:hAnsiTheme="minorHAnsi"/>
          <w:i/>
          <w:sz w:val="16"/>
        </w:rPr>
        <w:t xml:space="preserve"> Security, Fiscal, and Human </w:t>
      </w:r>
      <w:proofErr w:type="spellStart"/>
      <w:r>
        <w:rPr>
          <w:rFonts w:asciiTheme="minorHAnsi" w:hAnsiTheme="minorHAnsi"/>
          <w:i/>
          <w:sz w:val="16"/>
        </w:rPr>
        <w:t>Rights</w:t>
      </w:r>
      <w:proofErr w:type="spellEnd"/>
      <w:r>
        <w:rPr>
          <w:rFonts w:asciiTheme="minorHAnsi" w:hAnsiTheme="minorHAnsi"/>
          <w:i/>
          <w:sz w:val="16"/>
        </w:rPr>
        <w:t xml:space="preserve"> </w:t>
      </w:r>
      <w:proofErr w:type="spellStart"/>
      <w:r>
        <w:rPr>
          <w:rFonts w:asciiTheme="minorHAnsi" w:hAnsiTheme="minorHAnsi"/>
          <w:i/>
          <w:sz w:val="16"/>
        </w:rPr>
        <w:t>Implications</w:t>
      </w:r>
      <w:proofErr w:type="spellEnd"/>
      <w:r>
        <w:rPr>
          <w:rFonts w:asciiTheme="minorHAnsi" w:hAnsiTheme="minorHAnsi"/>
          <w:sz w:val="16"/>
        </w:rPr>
        <w:t xml:space="preserve">), Declaración de Stephen N. </w:t>
      </w:r>
      <w:proofErr w:type="spellStart"/>
      <w:r>
        <w:rPr>
          <w:rFonts w:asciiTheme="minorHAnsi" w:hAnsiTheme="minorHAnsi"/>
          <w:sz w:val="16"/>
        </w:rPr>
        <w:t>Xenakis</w:t>
      </w:r>
      <w:proofErr w:type="spellEnd"/>
      <w:r>
        <w:rPr>
          <w:rFonts w:asciiTheme="minorHAnsi" w:hAnsiTheme="minorHAnsi"/>
          <w:sz w:val="16"/>
        </w:rPr>
        <w:t xml:space="preserve">, M.D., Brigadier General (Retirado), U.S. </w:t>
      </w:r>
      <w:proofErr w:type="spellStart"/>
      <w:r>
        <w:rPr>
          <w:rFonts w:asciiTheme="minorHAnsi" w:hAnsiTheme="minorHAnsi"/>
          <w:sz w:val="16"/>
        </w:rPr>
        <w:t>Army</w:t>
      </w:r>
      <w:proofErr w:type="spellEnd"/>
      <w:r>
        <w:rPr>
          <w:rFonts w:asciiTheme="minorHAnsi" w:hAnsiTheme="minorHAnsi"/>
          <w:sz w:val="16"/>
        </w:rPr>
        <w:t>, 24 de julio de 2013, pp. 3-4.</w:t>
      </w:r>
    </w:p>
  </w:footnote>
  <w:footnote w:id="141">
    <w:p w:rsidR="00AF130B" w:rsidRPr="002E2C5C" w:rsidRDefault="00AF130B" w:rsidP="00CE3EC6">
      <w:pPr>
        <w:pStyle w:val="FootnoteText"/>
        <w:ind w:left="547" w:hanging="547"/>
        <w:jc w:val="both"/>
        <w:rPr>
          <w:rFonts w:asciiTheme="minorHAnsi" w:hAnsiTheme="minorHAnsi"/>
          <w:sz w:val="16"/>
          <w:szCs w:val="16"/>
        </w:rPr>
      </w:pPr>
      <w:r w:rsidRPr="002E2C5C">
        <w:rPr>
          <w:rStyle w:val="FootnoteReference"/>
          <w:rFonts w:asciiTheme="minorHAnsi" w:hAnsiTheme="minorHAnsi"/>
          <w:sz w:val="16"/>
        </w:rPr>
        <w:footnoteRef/>
      </w:r>
      <w:r w:rsidRPr="002E2C5C">
        <w:rPr>
          <w:rStyle w:val="FootnoteReference"/>
          <w:rFonts w:asciiTheme="minorHAnsi" w:hAnsiTheme="minorHAnsi"/>
          <w:sz w:val="16"/>
        </w:rPr>
        <w:t xml:space="preserve"> </w:t>
      </w:r>
      <w:r w:rsidRPr="002E2C5C">
        <w:tab/>
      </w:r>
      <w:r w:rsidRPr="002E2C5C">
        <w:rPr>
          <w:rFonts w:asciiTheme="minorHAnsi" w:hAnsiTheme="minorHAnsi"/>
          <w:sz w:val="16"/>
        </w:rPr>
        <w:t>Comunicación del Gobierno de Estados Unidos dirigida a la Comisión Interamericana de Derechos Humanos respecto del Informe Preliminar sobre el Cierre de Guantánamo, OEA/</w:t>
      </w:r>
      <w:proofErr w:type="spellStart"/>
      <w:r w:rsidRPr="002E2C5C">
        <w:rPr>
          <w:rFonts w:asciiTheme="minorHAnsi" w:hAnsiTheme="minorHAnsi"/>
          <w:sz w:val="16"/>
        </w:rPr>
        <w:t>Ser.L</w:t>
      </w:r>
      <w:proofErr w:type="spellEnd"/>
      <w:r w:rsidRPr="002E2C5C">
        <w:rPr>
          <w:rFonts w:asciiTheme="minorHAnsi" w:hAnsiTheme="minorHAnsi"/>
          <w:sz w:val="16"/>
        </w:rPr>
        <w:t>/V/II.doc. 30 de enero de 2015, 30 de marzo de 2015, pág. 7.</w:t>
      </w:r>
    </w:p>
  </w:footnote>
  <w:footnote w:id="142">
    <w:p w:rsidR="00AF130B" w:rsidRPr="002E2C5C" w:rsidRDefault="00AF130B" w:rsidP="00CE3EC6">
      <w:pPr>
        <w:pStyle w:val="FootnoteText"/>
        <w:ind w:left="547" w:hanging="547"/>
        <w:jc w:val="both"/>
        <w:rPr>
          <w:rFonts w:asciiTheme="minorHAnsi" w:hAnsiTheme="minorHAnsi"/>
          <w:sz w:val="16"/>
          <w:szCs w:val="16"/>
          <w:lang w:val="es-EC"/>
        </w:rPr>
      </w:pPr>
      <w:r w:rsidRPr="002E2C5C">
        <w:rPr>
          <w:rStyle w:val="FootnoteReference"/>
          <w:rFonts w:asciiTheme="minorHAnsi" w:hAnsiTheme="minorHAnsi"/>
          <w:sz w:val="16"/>
        </w:rPr>
        <w:footnoteRef/>
      </w:r>
      <w:r w:rsidRPr="002E2C5C">
        <w:rPr>
          <w:rFonts w:asciiTheme="minorHAnsi" w:hAnsiTheme="minorHAnsi"/>
          <w:sz w:val="16"/>
        </w:rPr>
        <w:t xml:space="preserve"> </w:t>
      </w:r>
      <w:r w:rsidRPr="002E2C5C">
        <w:tab/>
      </w:r>
      <w:r w:rsidRPr="002E2C5C">
        <w:rPr>
          <w:rFonts w:asciiTheme="minorHAnsi" w:hAnsiTheme="minorHAnsi"/>
          <w:sz w:val="16"/>
        </w:rPr>
        <w:t>CIDH, Reunión de Expertos sobre la situación de los detenidos en la Base Naval de la Bahía de Guantánamo, 3 de octubre de 2013.</w:t>
      </w:r>
    </w:p>
  </w:footnote>
  <w:footnote w:id="143">
    <w:p w:rsidR="00AF130B" w:rsidRPr="002E2C5C" w:rsidRDefault="00AF130B" w:rsidP="00CE3EC6">
      <w:pPr>
        <w:pStyle w:val="FootnoteText"/>
        <w:ind w:left="547" w:hanging="547"/>
        <w:jc w:val="both"/>
        <w:rPr>
          <w:rFonts w:asciiTheme="minorHAnsi" w:hAnsiTheme="minorHAnsi"/>
          <w:sz w:val="16"/>
          <w:szCs w:val="16"/>
          <w:lang w:val="es-EC"/>
        </w:rPr>
      </w:pPr>
      <w:r w:rsidRPr="002E2C5C">
        <w:rPr>
          <w:rStyle w:val="FootnoteReference"/>
          <w:rFonts w:asciiTheme="minorHAnsi" w:hAnsiTheme="minorHAnsi"/>
          <w:sz w:val="16"/>
        </w:rPr>
        <w:footnoteRef/>
      </w:r>
      <w:r w:rsidRPr="002E2C5C">
        <w:rPr>
          <w:rFonts w:asciiTheme="minorHAnsi" w:hAnsiTheme="minorHAnsi"/>
          <w:sz w:val="16"/>
        </w:rPr>
        <w:t xml:space="preserve"> </w:t>
      </w:r>
      <w:r w:rsidRPr="002E2C5C">
        <w:tab/>
      </w:r>
      <w:r w:rsidRPr="002E2C5C">
        <w:rPr>
          <w:rFonts w:asciiTheme="minorHAnsi" w:hAnsiTheme="minorHAnsi"/>
          <w:sz w:val="16"/>
        </w:rPr>
        <w:t>Departamento de Defensa de Estados Unidos, Evaluación del Cumplimiento del Departamento con el Decreto Ejecutivo del Presidente sobre las Condiciones de Detención, 23 de febrero de 2009, p. 23.</w:t>
      </w:r>
    </w:p>
  </w:footnote>
  <w:footnote w:id="144">
    <w:p w:rsidR="00AF130B" w:rsidRPr="002E2C5C" w:rsidRDefault="00AF130B" w:rsidP="00CE3EC6">
      <w:pPr>
        <w:pStyle w:val="FootnoteText"/>
        <w:ind w:left="547" w:hanging="547"/>
        <w:jc w:val="both"/>
        <w:rPr>
          <w:rFonts w:asciiTheme="minorHAnsi" w:hAnsiTheme="minorHAnsi"/>
          <w:sz w:val="16"/>
          <w:szCs w:val="16"/>
        </w:rPr>
      </w:pPr>
      <w:r w:rsidRPr="002E2C5C">
        <w:rPr>
          <w:rStyle w:val="FootnoteReference"/>
          <w:rFonts w:asciiTheme="minorHAnsi" w:hAnsiTheme="minorHAnsi"/>
          <w:sz w:val="16"/>
        </w:rPr>
        <w:footnoteRef/>
      </w:r>
      <w:r w:rsidRPr="002E2C5C">
        <w:rPr>
          <w:rFonts w:asciiTheme="minorHAnsi" w:hAnsiTheme="minorHAnsi"/>
          <w:sz w:val="16"/>
        </w:rPr>
        <w:t xml:space="preserve"> </w:t>
      </w:r>
      <w:r w:rsidRPr="002E2C5C">
        <w:tab/>
      </w:r>
      <w:proofErr w:type="spellStart"/>
      <w:r w:rsidRPr="002E2C5C">
        <w:rPr>
          <w:rFonts w:asciiTheme="minorHAnsi" w:hAnsiTheme="minorHAnsi"/>
          <w:sz w:val="16"/>
        </w:rPr>
        <w:t>The</w:t>
      </w:r>
      <w:proofErr w:type="spellEnd"/>
      <w:r w:rsidRPr="002E2C5C">
        <w:rPr>
          <w:rFonts w:asciiTheme="minorHAnsi" w:hAnsiTheme="minorHAnsi"/>
          <w:sz w:val="16"/>
        </w:rPr>
        <w:t xml:space="preserve"> Express </w:t>
      </w:r>
      <w:proofErr w:type="spellStart"/>
      <w:r w:rsidRPr="002E2C5C">
        <w:rPr>
          <w:rFonts w:asciiTheme="minorHAnsi" w:hAnsiTheme="minorHAnsi"/>
          <w:sz w:val="16"/>
        </w:rPr>
        <w:t>Tribune</w:t>
      </w:r>
      <w:proofErr w:type="spellEnd"/>
      <w:r w:rsidRPr="002E2C5C">
        <w:rPr>
          <w:rFonts w:asciiTheme="minorHAnsi" w:hAnsiTheme="minorHAnsi"/>
          <w:sz w:val="16"/>
        </w:rPr>
        <w:t xml:space="preserve">, Comandante estadounidense niega que se esté ofreciendo comida no halal a detenidos de Guantánamo. 1 de marzo de 2012. Disponible en: </w:t>
      </w:r>
      <w:hyperlink r:id="rId60">
        <w:r w:rsidRPr="002E2C5C">
          <w:rPr>
            <w:rStyle w:val="Hyperlink"/>
            <w:rFonts w:asciiTheme="minorHAnsi" w:hAnsiTheme="minorHAnsi"/>
            <w:sz w:val="16"/>
          </w:rPr>
          <w:t>http://tribune.com.pk/story/343989/us-commander-denies-non-halal-food-given-to-gitmo-detainees/</w:t>
        </w:r>
      </w:hyperlink>
      <w:r w:rsidRPr="002E2C5C">
        <w:rPr>
          <w:rFonts w:asciiTheme="minorHAnsi" w:hAnsiTheme="minorHAnsi"/>
          <w:sz w:val="16"/>
        </w:rPr>
        <w:t xml:space="preserve"> </w:t>
      </w:r>
    </w:p>
  </w:footnote>
  <w:footnote w:id="145">
    <w:p w:rsidR="00AF130B" w:rsidRPr="002E2C5C" w:rsidRDefault="00AF130B" w:rsidP="00CE3EC6">
      <w:pPr>
        <w:pStyle w:val="FootnoteText"/>
        <w:ind w:left="547" w:hanging="547"/>
        <w:jc w:val="both"/>
        <w:rPr>
          <w:rFonts w:asciiTheme="minorHAnsi" w:hAnsiTheme="minorHAnsi"/>
          <w:sz w:val="16"/>
          <w:szCs w:val="16"/>
        </w:rPr>
      </w:pPr>
      <w:r w:rsidRPr="002E2C5C">
        <w:rPr>
          <w:rStyle w:val="FootnoteReference"/>
          <w:rFonts w:asciiTheme="minorHAnsi" w:hAnsiTheme="minorHAnsi"/>
          <w:sz w:val="16"/>
        </w:rPr>
        <w:footnoteRef/>
      </w:r>
      <w:r w:rsidRPr="002E2C5C">
        <w:rPr>
          <w:rStyle w:val="FootnoteReference"/>
          <w:rFonts w:asciiTheme="minorHAnsi" w:hAnsiTheme="minorHAnsi"/>
          <w:sz w:val="16"/>
        </w:rPr>
        <w:t xml:space="preserve"> </w:t>
      </w:r>
      <w:r w:rsidRPr="002E2C5C">
        <w:tab/>
      </w:r>
      <w:r w:rsidRPr="002E2C5C">
        <w:rPr>
          <w:rFonts w:asciiTheme="minorHAnsi" w:hAnsiTheme="minorHAnsi"/>
          <w:sz w:val="16"/>
        </w:rPr>
        <w:t>Comunicación del Gobierno de Estados Unidos dirigida a la Comisión Interamericana de Derechos Humanos respecto del Informe Preliminar sobre el Cierre de Guantánamo, OEA/</w:t>
      </w:r>
      <w:proofErr w:type="spellStart"/>
      <w:r w:rsidRPr="002E2C5C">
        <w:rPr>
          <w:rFonts w:asciiTheme="minorHAnsi" w:hAnsiTheme="minorHAnsi"/>
          <w:sz w:val="16"/>
        </w:rPr>
        <w:t>Ser.L</w:t>
      </w:r>
      <w:proofErr w:type="spellEnd"/>
      <w:r w:rsidRPr="002E2C5C">
        <w:rPr>
          <w:rFonts w:asciiTheme="minorHAnsi" w:hAnsiTheme="minorHAnsi"/>
          <w:sz w:val="16"/>
        </w:rPr>
        <w:t>/V/II.doc. 30 de enero de 2015, 30 de marzo de 2015, pág. 8.</w:t>
      </w:r>
    </w:p>
  </w:footnote>
  <w:footnote w:id="146">
    <w:p w:rsidR="00AF130B" w:rsidRPr="00237789" w:rsidRDefault="00AF130B" w:rsidP="00CE3EC6">
      <w:pPr>
        <w:pStyle w:val="FootnoteText"/>
        <w:ind w:left="547" w:hanging="547"/>
        <w:jc w:val="both"/>
        <w:rPr>
          <w:rFonts w:asciiTheme="minorHAnsi" w:hAnsiTheme="minorHAnsi"/>
          <w:sz w:val="16"/>
          <w:szCs w:val="16"/>
        </w:rPr>
      </w:pPr>
      <w:r w:rsidRPr="002E2C5C">
        <w:rPr>
          <w:rStyle w:val="FootnoteReference"/>
          <w:rFonts w:asciiTheme="minorHAnsi" w:hAnsiTheme="minorHAnsi"/>
          <w:sz w:val="16"/>
        </w:rPr>
        <w:footnoteRef/>
      </w:r>
      <w:r w:rsidRPr="002E2C5C">
        <w:rPr>
          <w:rFonts w:asciiTheme="minorHAnsi" w:hAnsiTheme="minorHAnsi"/>
          <w:sz w:val="16"/>
        </w:rPr>
        <w:t xml:space="preserve"> </w:t>
      </w:r>
      <w:r w:rsidRPr="002E2C5C">
        <w:tab/>
      </w:r>
      <w:r w:rsidRPr="002E2C5C">
        <w:rPr>
          <w:rFonts w:asciiTheme="minorHAnsi" w:hAnsiTheme="minorHAnsi"/>
          <w:sz w:val="16"/>
        </w:rPr>
        <w:t xml:space="preserve">CIDH, Informe Nº 35/96, Caso 10.832, </w:t>
      </w:r>
      <w:r w:rsidRPr="002E2C5C">
        <w:rPr>
          <w:rFonts w:asciiTheme="minorHAnsi" w:hAnsiTheme="minorHAnsi"/>
          <w:i/>
          <w:sz w:val="16"/>
        </w:rPr>
        <w:t>Luis Lizardo Cabrera</w:t>
      </w:r>
      <w:r w:rsidRPr="002E2C5C">
        <w:rPr>
          <w:rFonts w:asciiTheme="minorHAnsi" w:hAnsiTheme="minorHAnsi"/>
          <w:sz w:val="16"/>
        </w:rPr>
        <w:t xml:space="preserve">, República Dominicana, 19 de febrero de 1998, párr. 77, citando a la Comisión Europea de DDHH, </w:t>
      </w:r>
      <w:proofErr w:type="spellStart"/>
      <w:r w:rsidRPr="002E2C5C">
        <w:rPr>
          <w:rFonts w:asciiTheme="minorHAnsi" w:hAnsiTheme="minorHAnsi"/>
          <w:i/>
          <w:sz w:val="16"/>
        </w:rPr>
        <w:t>The</w:t>
      </w:r>
      <w:proofErr w:type="spellEnd"/>
      <w:r w:rsidRPr="002E2C5C">
        <w:rPr>
          <w:rFonts w:asciiTheme="minorHAnsi" w:hAnsiTheme="minorHAnsi"/>
          <w:i/>
          <w:sz w:val="16"/>
        </w:rPr>
        <w:t xml:space="preserve"> </w:t>
      </w:r>
      <w:proofErr w:type="spellStart"/>
      <w:r w:rsidRPr="002E2C5C">
        <w:rPr>
          <w:rFonts w:asciiTheme="minorHAnsi" w:hAnsiTheme="minorHAnsi"/>
          <w:i/>
          <w:sz w:val="16"/>
        </w:rPr>
        <w:t>Greek</w:t>
      </w:r>
      <w:proofErr w:type="spellEnd"/>
      <w:r w:rsidRPr="002E2C5C">
        <w:rPr>
          <w:rFonts w:asciiTheme="minorHAnsi" w:hAnsiTheme="minorHAnsi"/>
          <w:i/>
          <w:sz w:val="16"/>
        </w:rPr>
        <w:t xml:space="preserve"> Case</w:t>
      </w:r>
      <w:r w:rsidRPr="002E2C5C">
        <w:rPr>
          <w:rFonts w:asciiTheme="minorHAnsi" w:hAnsiTheme="minorHAnsi"/>
          <w:sz w:val="16"/>
        </w:rPr>
        <w:t xml:space="preserve">, 1969, 12 Y. B. </w:t>
      </w:r>
      <w:proofErr w:type="spellStart"/>
      <w:r w:rsidRPr="002E2C5C">
        <w:rPr>
          <w:rFonts w:asciiTheme="minorHAnsi" w:hAnsiTheme="minorHAnsi"/>
          <w:sz w:val="16"/>
        </w:rPr>
        <w:t>Eur</w:t>
      </w:r>
      <w:proofErr w:type="spellEnd"/>
      <w:r w:rsidRPr="002E2C5C">
        <w:rPr>
          <w:rFonts w:asciiTheme="minorHAnsi" w:hAnsiTheme="minorHAnsi"/>
          <w:sz w:val="16"/>
        </w:rPr>
        <w:t xml:space="preserve">. </w:t>
      </w:r>
      <w:proofErr w:type="spellStart"/>
      <w:r w:rsidRPr="002E2C5C">
        <w:rPr>
          <w:rFonts w:asciiTheme="minorHAnsi" w:hAnsiTheme="minorHAnsi"/>
          <w:sz w:val="16"/>
        </w:rPr>
        <w:t>Conv</w:t>
      </w:r>
      <w:proofErr w:type="spellEnd"/>
      <w:r w:rsidRPr="002E2C5C">
        <w:rPr>
          <w:rFonts w:asciiTheme="minorHAnsi" w:hAnsiTheme="minorHAnsi"/>
          <w:sz w:val="16"/>
        </w:rPr>
        <w:t xml:space="preserve">. </w:t>
      </w:r>
      <w:proofErr w:type="spellStart"/>
      <w:r w:rsidRPr="002E2C5C">
        <w:rPr>
          <w:rFonts w:asciiTheme="minorHAnsi" w:hAnsiTheme="minorHAnsi"/>
          <w:sz w:val="16"/>
        </w:rPr>
        <w:t>on</w:t>
      </w:r>
      <w:proofErr w:type="spellEnd"/>
      <w:r w:rsidRPr="002E2C5C">
        <w:rPr>
          <w:rFonts w:asciiTheme="minorHAnsi" w:hAnsiTheme="minorHAnsi"/>
          <w:sz w:val="16"/>
        </w:rPr>
        <w:t xml:space="preserve"> H.R. 12.</w:t>
      </w:r>
    </w:p>
  </w:footnote>
  <w:footnote w:id="147">
    <w:p w:rsidR="00AF130B" w:rsidRPr="00237789"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Informe Nº 35/96, Caso 10.832, </w:t>
      </w:r>
      <w:r>
        <w:rPr>
          <w:rFonts w:asciiTheme="minorHAnsi" w:hAnsiTheme="minorHAnsi"/>
          <w:i/>
          <w:sz w:val="16"/>
        </w:rPr>
        <w:t>Luis Lizardo Cabrera</w:t>
      </w:r>
      <w:r>
        <w:rPr>
          <w:rFonts w:asciiTheme="minorHAnsi" w:hAnsiTheme="minorHAnsi"/>
          <w:sz w:val="16"/>
        </w:rPr>
        <w:t>, República Dominicana, 19 de febrero de 1998, párr. 77, citando el Caso de Irlanda contra el Reino Unido del Tribunal Europeo de DDHH, Series A No. 25.</w:t>
      </w:r>
    </w:p>
  </w:footnote>
  <w:footnote w:id="148">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w:t>
      </w:r>
      <w:r>
        <w:rPr>
          <w:rFonts w:asciiTheme="minorHAnsi" w:hAnsiTheme="minorHAnsi"/>
          <w:i/>
          <w:sz w:val="16"/>
        </w:rPr>
        <w:t>Informe sobre los Derechos de las Personas Privadas de Libertad en las Américas</w:t>
      </w:r>
      <w:r>
        <w:rPr>
          <w:rFonts w:asciiTheme="minorHAnsi" w:hAnsiTheme="minorHAnsi"/>
          <w:sz w:val="16"/>
        </w:rPr>
        <w:t>, OEA/</w:t>
      </w:r>
      <w:proofErr w:type="spellStart"/>
      <w:r>
        <w:rPr>
          <w:rFonts w:asciiTheme="minorHAnsi" w:hAnsiTheme="minorHAnsi"/>
          <w:sz w:val="16"/>
        </w:rPr>
        <w:t>Ser.L</w:t>
      </w:r>
      <w:proofErr w:type="spellEnd"/>
      <w:r>
        <w:rPr>
          <w:rFonts w:asciiTheme="minorHAnsi" w:hAnsiTheme="minorHAnsi"/>
          <w:sz w:val="16"/>
        </w:rPr>
        <w:t>/V/II.Doc.64, 31 de diciembre de 2011, párr. 241.</w:t>
      </w:r>
    </w:p>
  </w:footnote>
  <w:footnote w:id="149">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CICR, Centro de Recursos, La relevancia del DIH en el contexto del terrorismo, 1 de enero de 2011. Disponible en: </w:t>
      </w:r>
      <w:hyperlink r:id="rId61">
        <w:r>
          <w:rPr>
            <w:rStyle w:val="Hyperlink"/>
            <w:rFonts w:asciiTheme="minorHAnsi" w:hAnsiTheme="minorHAnsi"/>
            <w:sz w:val="16"/>
          </w:rPr>
          <w:t>https://www.icrc.org/eng/resources/documents/misc/terrorism-ihl-210705.htm</w:t>
        </w:r>
      </w:hyperlink>
      <w:r>
        <w:rPr>
          <w:rFonts w:asciiTheme="minorHAnsi" w:hAnsiTheme="minorHAnsi"/>
          <w:sz w:val="16"/>
        </w:rPr>
        <w:t xml:space="preserve"> </w:t>
      </w:r>
    </w:p>
  </w:footnote>
  <w:footnote w:id="150">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CIDH, Principios y Buenas Prácticas para la Protección de las Personas Privadas de Libertad en las Américas, Principio XXII, Marzo de 2008.</w:t>
      </w:r>
    </w:p>
  </w:footnote>
  <w:footnote w:id="151">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sidRPr="00237789">
        <w:rPr>
          <w:rFonts w:asciiTheme="minorHAnsi" w:hAnsiTheme="minorHAnsi"/>
          <w:sz w:val="16"/>
          <w:lang w:val="pt-BR"/>
        </w:rPr>
        <w:t xml:space="preserve"> </w:t>
      </w:r>
      <w:r w:rsidRPr="00237789">
        <w:rPr>
          <w:lang w:val="pt-BR"/>
        </w:rPr>
        <w:tab/>
      </w:r>
      <w:r w:rsidRPr="00237789">
        <w:rPr>
          <w:rFonts w:asciiTheme="minorHAnsi" w:hAnsiTheme="minorHAnsi"/>
          <w:sz w:val="16"/>
          <w:lang w:val="pt-BR"/>
        </w:rPr>
        <w:t xml:space="preserve">Corte IDH. </w:t>
      </w:r>
      <w:r w:rsidRPr="00237789">
        <w:rPr>
          <w:rFonts w:asciiTheme="minorHAnsi" w:hAnsiTheme="minorHAnsi"/>
          <w:i/>
          <w:sz w:val="16"/>
          <w:lang w:val="pt-BR"/>
        </w:rPr>
        <w:t xml:space="preserve">Caso Cantoral Benavides Vs. </w:t>
      </w:r>
      <w:r>
        <w:rPr>
          <w:rFonts w:asciiTheme="minorHAnsi" w:hAnsiTheme="minorHAnsi"/>
          <w:i/>
          <w:sz w:val="16"/>
        </w:rPr>
        <w:t>Perú</w:t>
      </w:r>
      <w:r>
        <w:rPr>
          <w:rFonts w:asciiTheme="minorHAnsi" w:hAnsiTheme="minorHAnsi"/>
          <w:sz w:val="16"/>
        </w:rPr>
        <w:t>. Fondo. Sentencia de 18 de agosto de 2000. Serie C No. 69, párr. 83.</w:t>
      </w:r>
    </w:p>
  </w:footnote>
  <w:footnote w:id="152">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CIDH, Comunicado de Prensa 29/13: CIDH, Grupo de Trabajo de ONU sobre la Detención Arbitraria, Relator de ONU contra la Tortura, Relator de ONU para los derechos humanos en la lucha contra el terrorismo, y Relator de ONU sobre la salud reiteran necesidad de terminar con la detención indefinida de personas en la Base Naval de Guantánamo ante actual crisis de derechos humanos, 1 de mayo de 2013.</w:t>
      </w:r>
    </w:p>
  </w:footnote>
  <w:footnote w:id="153">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Style w:val="FootnoteReference"/>
          <w:rFonts w:asciiTheme="minorHAnsi" w:hAnsiTheme="minorHAnsi"/>
          <w:sz w:val="16"/>
        </w:rPr>
        <w:t xml:space="preserve"> </w:t>
      </w:r>
      <w:r>
        <w:tab/>
      </w:r>
      <w:r>
        <w:rPr>
          <w:rFonts w:asciiTheme="minorHAnsi" w:hAnsiTheme="minorHAnsi"/>
          <w:sz w:val="16"/>
        </w:rPr>
        <w:t xml:space="preserve">CIDH, </w:t>
      </w:r>
      <w:r>
        <w:rPr>
          <w:rFonts w:asciiTheme="minorHAnsi" w:hAnsiTheme="minorHAnsi"/>
          <w:i/>
          <w:sz w:val="16"/>
        </w:rPr>
        <w:t>Principios y Buenas Prácticas para la Protección de las Personas Privadas de Libertad en las Américas</w:t>
      </w:r>
      <w:r>
        <w:rPr>
          <w:rFonts w:asciiTheme="minorHAnsi" w:hAnsiTheme="minorHAnsi"/>
          <w:sz w:val="16"/>
        </w:rPr>
        <w:t>, Principios XI y XXV, Marzo de 2008.</w:t>
      </w:r>
    </w:p>
  </w:footnote>
  <w:footnote w:id="154">
    <w:p w:rsidR="00AF130B" w:rsidRPr="005D0288" w:rsidRDefault="00AF130B" w:rsidP="00CE3EC6">
      <w:pPr>
        <w:pStyle w:val="FootnoteText"/>
        <w:ind w:left="547" w:hanging="547"/>
        <w:jc w:val="both"/>
        <w:rPr>
          <w:rFonts w:asciiTheme="minorHAnsi" w:hAnsiTheme="minorHAnsi"/>
          <w:sz w:val="16"/>
          <w:szCs w:val="16"/>
          <w:lang w:val="en-US"/>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w:t>
      </w:r>
      <w:r>
        <w:rPr>
          <w:rFonts w:asciiTheme="minorHAnsi" w:hAnsiTheme="minorHAnsi"/>
          <w:i/>
          <w:sz w:val="16"/>
        </w:rPr>
        <w:t>Informe sobre los Derechos de las Personas Privadas de Libertad en las Américas</w:t>
      </w:r>
      <w:r>
        <w:rPr>
          <w:rFonts w:asciiTheme="minorHAnsi" w:hAnsiTheme="minorHAnsi"/>
          <w:sz w:val="16"/>
        </w:rPr>
        <w:t>, OEA/</w:t>
      </w:r>
      <w:proofErr w:type="spellStart"/>
      <w:r>
        <w:rPr>
          <w:rFonts w:asciiTheme="minorHAnsi" w:hAnsiTheme="minorHAnsi"/>
          <w:sz w:val="16"/>
        </w:rPr>
        <w:t>Ser.L</w:t>
      </w:r>
      <w:proofErr w:type="spellEnd"/>
      <w:r>
        <w:rPr>
          <w:rFonts w:asciiTheme="minorHAnsi" w:hAnsiTheme="minorHAnsi"/>
          <w:sz w:val="16"/>
        </w:rPr>
        <w:t xml:space="preserve">/V/II.Doc.64, 31 de diciembre de 2011, párr. </w:t>
      </w:r>
      <w:r w:rsidRPr="00237789">
        <w:rPr>
          <w:rFonts w:asciiTheme="minorHAnsi" w:hAnsiTheme="minorHAnsi"/>
          <w:sz w:val="16"/>
          <w:lang w:val="en-US"/>
        </w:rPr>
        <w:t>242.</w:t>
      </w:r>
    </w:p>
  </w:footnote>
  <w:footnote w:id="155">
    <w:p w:rsidR="00AF130B" w:rsidRPr="005D0288" w:rsidRDefault="00AF130B" w:rsidP="00CE3EC6">
      <w:pPr>
        <w:pStyle w:val="FootnoteText"/>
        <w:ind w:left="547" w:hanging="547"/>
        <w:jc w:val="both"/>
        <w:rPr>
          <w:rFonts w:asciiTheme="minorHAnsi" w:hAnsiTheme="minorHAnsi"/>
          <w:sz w:val="16"/>
          <w:szCs w:val="16"/>
          <w:lang w:val="en-US"/>
        </w:rPr>
      </w:pPr>
      <w:r>
        <w:rPr>
          <w:rStyle w:val="FootnoteReference"/>
          <w:rFonts w:asciiTheme="minorHAnsi" w:hAnsiTheme="minorHAnsi"/>
          <w:sz w:val="16"/>
        </w:rPr>
        <w:footnoteRef/>
      </w:r>
      <w:r w:rsidRPr="00237789">
        <w:rPr>
          <w:rFonts w:asciiTheme="minorHAnsi" w:hAnsiTheme="minorHAnsi"/>
          <w:sz w:val="16"/>
          <w:lang w:val="en-US"/>
        </w:rPr>
        <w:t xml:space="preserve"> </w:t>
      </w:r>
      <w:r w:rsidRPr="00237789">
        <w:rPr>
          <w:lang w:val="en-US"/>
        </w:rPr>
        <w:tab/>
      </w:r>
      <w:proofErr w:type="spellStart"/>
      <w:r w:rsidRPr="00237789">
        <w:rPr>
          <w:rFonts w:asciiTheme="minorHAnsi" w:hAnsiTheme="minorHAnsi"/>
          <w:sz w:val="16"/>
          <w:lang w:val="en-US"/>
        </w:rPr>
        <w:t>Testimonio</w:t>
      </w:r>
      <w:proofErr w:type="spellEnd"/>
      <w:r w:rsidRPr="00237789">
        <w:rPr>
          <w:rFonts w:asciiTheme="minorHAnsi" w:hAnsiTheme="minorHAnsi"/>
          <w:sz w:val="16"/>
          <w:lang w:val="en-US"/>
        </w:rPr>
        <w:t xml:space="preserve"> del </w:t>
      </w:r>
      <w:proofErr w:type="spellStart"/>
      <w:r w:rsidRPr="00237789">
        <w:rPr>
          <w:rFonts w:asciiTheme="minorHAnsi" w:hAnsiTheme="minorHAnsi"/>
          <w:sz w:val="16"/>
          <w:lang w:val="en-US"/>
        </w:rPr>
        <w:t>Spc</w:t>
      </w:r>
      <w:proofErr w:type="spellEnd"/>
      <w:r w:rsidRPr="00237789">
        <w:rPr>
          <w:rFonts w:asciiTheme="minorHAnsi" w:hAnsiTheme="minorHAnsi"/>
          <w:sz w:val="16"/>
          <w:lang w:val="en-US"/>
        </w:rPr>
        <w:t>. Brandon Neely, The Guantánamo Testimonials Project, Center for the Study of Human Rights in the Am</w:t>
      </w:r>
      <w:r>
        <w:rPr>
          <w:rFonts w:asciiTheme="minorHAnsi" w:hAnsiTheme="minorHAnsi"/>
          <w:sz w:val="16"/>
          <w:lang w:val="en-US"/>
        </w:rPr>
        <w:t xml:space="preserve">ericas, 4 de </w:t>
      </w:r>
      <w:proofErr w:type="spellStart"/>
      <w:r>
        <w:rPr>
          <w:rFonts w:asciiTheme="minorHAnsi" w:hAnsiTheme="minorHAnsi"/>
          <w:sz w:val="16"/>
          <w:lang w:val="en-US"/>
        </w:rPr>
        <w:t>diciembre</w:t>
      </w:r>
      <w:proofErr w:type="spellEnd"/>
      <w:r>
        <w:rPr>
          <w:rFonts w:asciiTheme="minorHAnsi" w:hAnsiTheme="minorHAnsi"/>
          <w:sz w:val="16"/>
          <w:lang w:val="en-US"/>
        </w:rPr>
        <w:t xml:space="preserve"> de 2008.</w:t>
      </w:r>
    </w:p>
  </w:footnote>
  <w:footnote w:id="156">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proofErr w:type="spellStart"/>
      <w:r>
        <w:rPr>
          <w:rFonts w:asciiTheme="minorHAnsi" w:hAnsiTheme="minorHAnsi"/>
          <w:sz w:val="16"/>
        </w:rPr>
        <w:t>The</w:t>
      </w:r>
      <w:proofErr w:type="spellEnd"/>
      <w:r>
        <w:rPr>
          <w:rFonts w:asciiTheme="minorHAnsi" w:hAnsiTheme="minorHAnsi"/>
          <w:sz w:val="16"/>
        </w:rPr>
        <w:t xml:space="preserve"> New York Times, Prisioneros de Guantánamo en Huelga de Hambre, 18 de septiembre de 2005. Disponible en:  http://www.nytimes.com/2005/09/18/politics/18gitmo.html?pagewanted=1&amp;_r=0&amp;adxnnl=1&amp;adxnnlx=1410447671-g/nbXpDJXz0Rd1k4dB9 </w:t>
      </w:r>
      <w:proofErr w:type="spellStart"/>
      <w:r>
        <w:rPr>
          <w:rFonts w:asciiTheme="minorHAnsi" w:hAnsiTheme="minorHAnsi"/>
          <w:sz w:val="16"/>
        </w:rPr>
        <w:t>lw</w:t>
      </w:r>
      <w:proofErr w:type="spellEnd"/>
      <w:r>
        <w:rPr>
          <w:rFonts w:asciiTheme="minorHAnsi" w:hAnsiTheme="minorHAnsi"/>
          <w:sz w:val="16"/>
        </w:rPr>
        <w:t xml:space="preserve">    </w:t>
      </w:r>
    </w:p>
  </w:footnote>
  <w:footnote w:id="157">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Reunión de Expertos sobre la situación de los detenidos en la Base Naval de la Bahía de Guantánamo, 3 de octubre de 2013. Véase también, Ba </w:t>
      </w:r>
      <w:proofErr w:type="spellStart"/>
      <w:r>
        <w:rPr>
          <w:rFonts w:asciiTheme="minorHAnsi" w:hAnsiTheme="minorHAnsi"/>
          <w:sz w:val="16"/>
        </w:rPr>
        <w:t>Odah</w:t>
      </w:r>
      <w:proofErr w:type="spellEnd"/>
      <w:r>
        <w:rPr>
          <w:rFonts w:asciiTheme="minorHAnsi" w:hAnsiTheme="minorHAnsi"/>
          <w:sz w:val="16"/>
        </w:rPr>
        <w:t xml:space="preserve"> v. Obama, Center </w:t>
      </w:r>
      <w:proofErr w:type="spellStart"/>
      <w:r>
        <w:rPr>
          <w:rFonts w:asciiTheme="minorHAnsi" w:hAnsiTheme="minorHAnsi"/>
          <w:sz w:val="16"/>
        </w:rPr>
        <w:t>for</w:t>
      </w:r>
      <w:proofErr w:type="spellEnd"/>
      <w:r>
        <w:rPr>
          <w:rFonts w:asciiTheme="minorHAnsi" w:hAnsiTheme="minorHAnsi"/>
          <w:sz w:val="16"/>
        </w:rPr>
        <w:t xml:space="preserve"> </w:t>
      </w:r>
      <w:proofErr w:type="spellStart"/>
      <w:r>
        <w:rPr>
          <w:rFonts w:asciiTheme="minorHAnsi" w:hAnsiTheme="minorHAnsi"/>
          <w:sz w:val="16"/>
        </w:rPr>
        <w:t>Constitutional</w:t>
      </w:r>
      <w:proofErr w:type="spellEnd"/>
      <w:r>
        <w:rPr>
          <w:rFonts w:asciiTheme="minorHAnsi" w:hAnsiTheme="minorHAnsi"/>
          <w:sz w:val="16"/>
        </w:rPr>
        <w:t xml:space="preserve"> </w:t>
      </w:r>
      <w:proofErr w:type="spellStart"/>
      <w:r>
        <w:rPr>
          <w:rFonts w:asciiTheme="minorHAnsi" w:hAnsiTheme="minorHAnsi"/>
          <w:sz w:val="16"/>
        </w:rPr>
        <w:t>Rights</w:t>
      </w:r>
      <w:proofErr w:type="spellEnd"/>
      <w:r>
        <w:rPr>
          <w:rFonts w:asciiTheme="minorHAnsi" w:hAnsiTheme="minorHAnsi"/>
          <w:sz w:val="16"/>
        </w:rPr>
        <w:t xml:space="preserve">. Disponible en: </w:t>
      </w:r>
      <w:hyperlink r:id="rId62">
        <w:r>
          <w:rPr>
            <w:rStyle w:val="Hyperlink"/>
            <w:rFonts w:asciiTheme="minorHAnsi" w:hAnsiTheme="minorHAnsi"/>
            <w:sz w:val="16"/>
          </w:rPr>
          <w:t>http://ccrjustice.org/BaOdah</w:t>
        </w:r>
      </w:hyperlink>
      <w:r>
        <w:rPr>
          <w:rFonts w:asciiTheme="minorHAnsi" w:hAnsiTheme="minorHAnsi"/>
          <w:sz w:val="16"/>
        </w:rPr>
        <w:t xml:space="preserve"> </w:t>
      </w:r>
    </w:p>
  </w:footnote>
  <w:footnote w:id="158">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Comunicación enviada por el Center </w:t>
      </w:r>
      <w:proofErr w:type="spellStart"/>
      <w:r>
        <w:rPr>
          <w:rFonts w:asciiTheme="minorHAnsi" w:hAnsiTheme="minorHAnsi"/>
          <w:sz w:val="16"/>
        </w:rPr>
        <w:t>for</w:t>
      </w:r>
      <w:proofErr w:type="spellEnd"/>
      <w:r>
        <w:rPr>
          <w:rFonts w:asciiTheme="minorHAnsi" w:hAnsiTheme="minorHAnsi"/>
          <w:sz w:val="16"/>
        </w:rPr>
        <w:t xml:space="preserve"> </w:t>
      </w:r>
      <w:proofErr w:type="spellStart"/>
      <w:r>
        <w:rPr>
          <w:rFonts w:asciiTheme="minorHAnsi" w:hAnsiTheme="minorHAnsi"/>
          <w:sz w:val="16"/>
        </w:rPr>
        <w:t>Justice</w:t>
      </w:r>
      <w:proofErr w:type="spellEnd"/>
      <w:r>
        <w:rPr>
          <w:rFonts w:asciiTheme="minorHAnsi" w:hAnsiTheme="minorHAnsi"/>
          <w:sz w:val="16"/>
        </w:rPr>
        <w:t xml:space="preserve"> and International </w:t>
      </w:r>
      <w:proofErr w:type="spellStart"/>
      <w:r>
        <w:rPr>
          <w:rFonts w:asciiTheme="minorHAnsi" w:hAnsiTheme="minorHAnsi"/>
          <w:sz w:val="16"/>
        </w:rPr>
        <w:t>Law</w:t>
      </w:r>
      <w:proofErr w:type="spellEnd"/>
      <w:r>
        <w:rPr>
          <w:rFonts w:asciiTheme="minorHAnsi" w:hAnsiTheme="minorHAnsi"/>
          <w:sz w:val="16"/>
        </w:rPr>
        <w:t xml:space="preserve"> y el Center </w:t>
      </w:r>
      <w:proofErr w:type="spellStart"/>
      <w:r>
        <w:rPr>
          <w:rFonts w:asciiTheme="minorHAnsi" w:hAnsiTheme="minorHAnsi"/>
          <w:sz w:val="16"/>
        </w:rPr>
        <w:t>for</w:t>
      </w:r>
      <w:proofErr w:type="spellEnd"/>
      <w:r>
        <w:rPr>
          <w:rFonts w:asciiTheme="minorHAnsi" w:hAnsiTheme="minorHAnsi"/>
          <w:sz w:val="16"/>
        </w:rPr>
        <w:t xml:space="preserve"> </w:t>
      </w:r>
      <w:proofErr w:type="spellStart"/>
      <w:r>
        <w:rPr>
          <w:rFonts w:asciiTheme="minorHAnsi" w:hAnsiTheme="minorHAnsi"/>
          <w:sz w:val="16"/>
        </w:rPr>
        <w:t>Constitutional</w:t>
      </w:r>
      <w:proofErr w:type="spellEnd"/>
      <w:r>
        <w:rPr>
          <w:rFonts w:asciiTheme="minorHAnsi" w:hAnsiTheme="minorHAnsi"/>
          <w:sz w:val="16"/>
        </w:rPr>
        <w:t xml:space="preserve"> </w:t>
      </w:r>
      <w:proofErr w:type="spellStart"/>
      <w:r>
        <w:rPr>
          <w:rFonts w:asciiTheme="minorHAnsi" w:hAnsiTheme="minorHAnsi"/>
          <w:sz w:val="16"/>
        </w:rPr>
        <w:t>Rights</w:t>
      </w:r>
      <w:proofErr w:type="spellEnd"/>
      <w:r>
        <w:rPr>
          <w:rFonts w:asciiTheme="minorHAnsi" w:hAnsiTheme="minorHAnsi"/>
          <w:sz w:val="16"/>
        </w:rPr>
        <w:t xml:space="preserve"> en el contexto de las medidas cautelares 259-02 y 211-08, 11 de abril de  2013, p. 3.</w:t>
      </w:r>
    </w:p>
  </w:footnote>
  <w:footnote w:id="159">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CIDH, Reunión de Expertos sobre la situación de los detenidos en la Base Naval de la Bahía de Guantánamo, 3 de octubre de 2013.</w:t>
      </w:r>
    </w:p>
  </w:footnote>
  <w:footnote w:id="160">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Comunicación enviada por el Gobierno de Estados Unidos en el contexto de las medidas cautelares 259-02, 11 de julio de 2013.</w:t>
      </w:r>
    </w:p>
  </w:footnote>
  <w:footnote w:id="161">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CIDH, Reunión de Expertos sobre la situación de los detenidos en la Base Naval de la Bahía de Guantánamo, 3 de octubre de 2013.</w:t>
      </w:r>
    </w:p>
  </w:footnote>
  <w:footnote w:id="162">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CIDH, Reunión de Expertos sobre la situación de los detenidos en la Base Naval de la Bahía de Guantánamo, 3 de octubre de 2013.</w:t>
      </w:r>
    </w:p>
  </w:footnote>
  <w:footnote w:id="163">
    <w:p w:rsidR="00AF130B" w:rsidRPr="002E2C5C" w:rsidRDefault="00AF130B" w:rsidP="00CE3EC6">
      <w:pPr>
        <w:pStyle w:val="FootnoteText"/>
        <w:ind w:left="547" w:hanging="547"/>
        <w:jc w:val="both"/>
        <w:rPr>
          <w:rFonts w:asciiTheme="minorHAnsi" w:hAnsiTheme="minorHAnsi"/>
          <w:sz w:val="16"/>
          <w:szCs w:val="16"/>
          <w:lang w:val="es-EC"/>
        </w:rPr>
      </w:pPr>
      <w:r w:rsidRPr="002E2C5C">
        <w:rPr>
          <w:rStyle w:val="FootnoteReference"/>
          <w:rFonts w:asciiTheme="minorHAnsi" w:hAnsiTheme="minorHAnsi"/>
          <w:sz w:val="16"/>
        </w:rPr>
        <w:footnoteRef/>
      </w:r>
      <w:r w:rsidRPr="002E2C5C">
        <w:rPr>
          <w:rFonts w:asciiTheme="minorHAnsi" w:hAnsiTheme="minorHAnsi"/>
          <w:sz w:val="16"/>
        </w:rPr>
        <w:t xml:space="preserve"> </w:t>
      </w:r>
      <w:r w:rsidRPr="002E2C5C">
        <w:tab/>
      </w:r>
      <w:r w:rsidRPr="002E2C5C">
        <w:rPr>
          <w:rFonts w:asciiTheme="minorHAnsi" w:hAnsiTheme="minorHAnsi"/>
          <w:sz w:val="16"/>
        </w:rPr>
        <w:t>Comunicación enviada por el Gobierno de Estados Unidos en el contexto de las medidas cautelares 259-02, 11 de julio de 2013.</w:t>
      </w:r>
    </w:p>
  </w:footnote>
  <w:footnote w:id="164">
    <w:p w:rsidR="00AF130B" w:rsidRPr="00237789" w:rsidRDefault="00AF130B" w:rsidP="00CE3EC6">
      <w:pPr>
        <w:pStyle w:val="FootnoteText"/>
        <w:ind w:left="547" w:hanging="547"/>
        <w:jc w:val="both"/>
        <w:rPr>
          <w:rFonts w:asciiTheme="minorHAnsi" w:hAnsiTheme="minorHAnsi"/>
          <w:sz w:val="16"/>
          <w:szCs w:val="16"/>
        </w:rPr>
      </w:pPr>
      <w:r w:rsidRPr="002E2C5C">
        <w:rPr>
          <w:rStyle w:val="FootnoteReference"/>
          <w:rFonts w:asciiTheme="minorHAnsi" w:hAnsiTheme="minorHAnsi"/>
          <w:sz w:val="16"/>
        </w:rPr>
        <w:footnoteRef/>
      </w:r>
      <w:r w:rsidRPr="002E2C5C">
        <w:rPr>
          <w:rStyle w:val="FootnoteReference"/>
          <w:rFonts w:asciiTheme="minorHAnsi" w:hAnsiTheme="minorHAnsi"/>
          <w:sz w:val="16"/>
        </w:rPr>
        <w:t xml:space="preserve"> </w:t>
      </w:r>
      <w:r w:rsidRPr="002E2C5C">
        <w:tab/>
      </w:r>
      <w:r w:rsidRPr="002E2C5C">
        <w:rPr>
          <w:rFonts w:asciiTheme="minorHAnsi" w:hAnsiTheme="minorHAnsi"/>
          <w:sz w:val="16"/>
        </w:rPr>
        <w:t>Comunicación del Gobierno de Estados Unidos dirigida a la Comisión Interamericana de Derechos Humanos respecto del Informe Preliminar sobre el Cierre de Guantánamo, OEA/</w:t>
      </w:r>
      <w:proofErr w:type="spellStart"/>
      <w:r w:rsidRPr="002E2C5C">
        <w:rPr>
          <w:rFonts w:asciiTheme="minorHAnsi" w:hAnsiTheme="minorHAnsi"/>
          <w:sz w:val="16"/>
        </w:rPr>
        <w:t>Ser.L</w:t>
      </w:r>
      <w:proofErr w:type="spellEnd"/>
      <w:r w:rsidRPr="002E2C5C">
        <w:rPr>
          <w:rFonts w:asciiTheme="minorHAnsi" w:hAnsiTheme="minorHAnsi"/>
          <w:sz w:val="16"/>
        </w:rPr>
        <w:t>/V/II.doc. 30 de enero de 2015, 30 de marzo de 2015, pág. 8.</w:t>
      </w:r>
    </w:p>
  </w:footnote>
  <w:footnote w:id="165">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Grupo de Trabajo para la Revisión de la Bahía de Guantánamo, Cuba (</w:t>
      </w:r>
      <w:proofErr w:type="spellStart"/>
      <w:r>
        <w:rPr>
          <w:rFonts w:asciiTheme="minorHAnsi" w:hAnsiTheme="minorHAnsi"/>
          <w:i/>
          <w:sz w:val="16"/>
        </w:rPr>
        <w:t>Joint</w:t>
      </w:r>
      <w:proofErr w:type="spellEnd"/>
      <w:r>
        <w:rPr>
          <w:rFonts w:asciiTheme="minorHAnsi" w:hAnsiTheme="minorHAnsi"/>
          <w:i/>
          <w:sz w:val="16"/>
        </w:rPr>
        <w:t xml:space="preserve"> </w:t>
      </w:r>
      <w:proofErr w:type="spellStart"/>
      <w:r>
        <w:rPr>
          <w:rFonts w:asciiTheme="minorHAnsi" w:hAnsiTheme="minorHAnsi"/>
          <w:i/>
          <w:sz w:val="16"/>
        </w:rPr>
        <w:t>Task</w:t>
      </w:r>
      <w:proofErr w:type="spellEnd"/>
      <w:r>
        <w:rPr>
          <w:rFonts w:asciiTheme="minorHAnsi" w:hAnsiTheme="minorHAnsi"/>
          <w:i/>
          <w:sz w:val="16"/>
        </w:rPr>
        <w:t xml:space="preserve"> </w:t>
      </w:r>
      <w:proofErr w:type="spellStart"/>
      <w:r>
        <w:rPr>
          <w:rFonts w:asciiTheme="minorHAnsi" w:hAnsiTheme="minorHAnsi"/>
          <w:i/>
          <w:sz w:val="16"/>
        </w:rPr>
        <w:t>Force</w:t>
      </w:r>
      <w:proofErr w:type="spellEnd"/>
      <w:r>
        <w:rPr>
          <w:rFonts w:asciiTheme="minorHAnsi" w:hAnsiTheme="minorHAnsi"/>
          <w:i/>
          <w:sz w:val="16"/>
        </w:rPr>
        <w:t xml:space="preserve"> </w:t>
      </w:r>
      <w:proofErr w:type="spellStart"/>
      <w:r>
        <w:rPr>
          <w:rFonts w:asciiTheme="minorHAnsi" w:hAnsiTheme="minorHAnsi"/>
          <w:i/>
          <w:sz w:val="16"/>
        </w:rPr>
        <w:t>Guantanamo</w:t>
      </w:r>
      <w:proofErr w:type="spellEnd"/>
      <w:r>
        <w:rPr>
          <w:rFonts w:asciiTheme="minorHAnsi" w:hAnsiTheme="minorHAnsi"/>
          <w:i/>
          <w:sz w:val="16"/>
        </w:rPr>
        <w:t xml:space="preserve"> </w:t>
      </w:r>
      <w:proofErr w:type="spellStart"/>
      <w:r>
        <w:rPr>
          <w:rFonts w:asciiTheme="minorHAnsi" w:hAnsiTheme="minorHAnsi"/>
          <w:i/>
          <w:sz w:val="16"/>
        </w:rPr>
        <w:t>Bay</w:t>
      </w:r>
      <w:proofErr w:type="spellEnd"/>
      <w:r>
        <w:rPr>
          <w:rFonts w:asciiTheme="minorHAnsi" w:hAnsiTheme="minorHAnsi"/>
          <w:i/>
          <w:sz w:val="16"/>
        </w:rPr>
        <w:t>, Cuba</w:t>
      </w:r>
      <w:r>
        <w:rPr>
          <w:rFonts w:asciiTheme="minorHAnsi" w:hAnsiTheme="minorHAnsi"/>
          <w:sz w:val="16"/>
        </w:rPr>
        <w:t xml:space="preserve">) Grupo Médico Conjunto, Procedimiento Operativo Estándar: Manejo Médico de los Detenidos en Huelga de Hambre, SOP: JTF-JMG # 001, 5 de marzo de 2013. Disponible en: </w:t>
      </w:r>
      <w:hyperlink r:id="rId63">
        <w:r>
          <w:rPr>
            <w:rStyle w:val="Hyperlink"/>
            <w:rFonts w:asciiTheme="minorHAnsi" w:hAnsiTheme="minorHAnsi"/>
            <w:sz w:val="16"/>
          </w:rPr>
          <w:t>http://humanrights.ucdavis.edu/projects/the-guantanamo-testimonials-project/testimonies/testimonies-of-standard-operating-procedures/hungerstrike_sop_2013.pdf</w:t>
        </w:r>
      </w:hyperlink>
      <w:r>
        <w:rPr>
          <w:rFonts w:asciiTheme="minorHAnsi" w:hAnsiTheme="minorHAnsi"/>
          <w:sz w:val="16"/>
        </w:rPr>
        <w:t xml:space="preserve"> </w:t>
      </w:r>
    </w:p>
  </w:footnote>
  <w:footnote w:id="166">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CIDH, Audiencia sobre la Situación de los Detenidos en Guantánamo, 147 Período de Sesiones de la CIDH, 12 de marzo de 2013.</w:t>
      </w:r>
    </w:p>
  </w:footnote>
  <w:footnote w:id="167">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Reunión de Expertos sobre la situación de los detenidos en la Base Naval de la Bahía de Guantánamo, 3 de octubre de 2013. Ver también, Poemas de Guantánamo, Revista de Amnistía Internacional, </w:t>
      </w:r>
      <w:proofErr w:type="gramStart"/>
      <w:r>
        <w:rPr>
          <w:rFonts w:asciiTheme="minorHAnsi" w:hAnsiTheme="minorHAnsi"/>
          <w:sz w:val="16"/>
        </w:rPr>
        <w:t>Otoño</w:t>
      </w:r>
      <w:proofErr w:type="gramEnd"/>
      <w:r>
        <w:rPr>
          <w:rFonts w:asciiTheme="minorHAnsi" w:hAnsiTheme="minorHAnsi"/>
          <w:sz w:val="16"/>
        </w:rPr>
        <w:t xml:space="preserve"> de 2007, por Mark </w:t>
      </w:r>
      <w:proofErr w:type="spellStart"/>
      <w:r>
        <w:rPr>
          <w:rFonts w:asciiTheme="minorHAnsi" w:hAnsiTheme="minorHAnsi"/>
          <w:sz w:val="16"/>
        </w:rPr>
        <w:t>Falcoff</w:t>
      </w:r>
      <w:proofErr w:type="spellEnd"/>
      <w:r>
        <w:rPr>
          <w:rFonts w:asciiTheme="minorHAnsi" w:hAnsiTheme="minorHAnsi"/>
          <w:sz w:val="16"/>
        </w:rPr>
        <w:t xml:space="preserve">. Disponible en: </w:t>
      </w:r>
      <w:hyperlink r:id="rId64">
        <w:r>
          <w:rPr>
            <w:rStyle w:val="Hyperlink"/>
            <w:rFonts w:asciiTheme="minorHAnsi" w:hAnsiTheme="minorHAnsi"/>
            <w:sz w:val="16"/>
          </w:rPr>
          <w:t>http://humanrights.ucdavis.edu/projects/the-guantanamo-testimonials-project/testimonies/prisoner-testimonies/poems-from-guantanamo</w:t>
        </w:r>
      </w:hyperlink>
      <w:r>
        <w:rPr>
          <w:rFonts w:asciiTheme="minorHAnsi" w:hAnsiTheme="minorHAnsi"/>
          <w:sz w:val="16"/>
        </w:rPr>
        <w:t xml:space="preserve"> </w:t>
      </w:r>
    </w:p>
  </w:footnote>
  <w:footnote w:id="168">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CIDH, Reunión de Expertos sobre la situación de los detenidos en la Base Naval de la Bahía de Guantánamo, 3 de octubre de 2013.</w:t>
      </w:r>
    </w:p>
  </w:footnote>
  <w:footnote w:id="169">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proofErr w:type="spellStart"/>
      <w:r>
        <w:rPr>
          <w:rFonts w:asciiTheme="minorHAnsi" w:hAnsiTheme="minorHAnsi"/>
          <w:i/>
          <w:sz w:val="16"/>
        </w:rPr>
        <w:t>Jihad</w:t>
      </w:r>
      <w:proofErr w:type="spellEnd"/>
      <w:r>
        <w:rPr>
          <w:rFonts w:asciiTheme="minorHAnsi" w:hAnsiTheme="minorHAnsi"/>
          <w:i/>
          <w:sz w:val="16"/>
        </w:rPr>
        <w:t xml:space="preserve"> </w:t>
      </w:r>
      <w:proofErr w:type="spellStart"/>
      <w:r>
        <w:rPr>
          <w:rFonts w:asciiTheme="minorHAnsi" w:hAnsiTheme="minorHAnsi"/>
          <w:i/>
          <w:sz w:val="16"/>
        </w:rPr>
        <w:t>Dhiab</w:t>
      </w:r>
      <w:proofErr w:type="spellEnd"/>
      <w:r>
        <w:rPr>
          <w:rFonts w:asciiTheme="minorHAnsi" w:hAnsiTheme="minorHAnsi"/>
          <w:i/>
          <w:sz w:val="16"/>
        </w:rPr>
        <w:t xml:space="preserve"> v. Barack Obama</w:t>
      </w:r>
      <w:r>
        <w:rPr>
          <w:rFonts w:asciiTheme="minorHAnsi" w:hAnsiTheme="minorHAnsi"/>
          <w:sz w:val="16"/>
        </w:rPr>
        <w:t xml:space="preserve">, No. 05-1457 (D.C Cir. 2013). Disponible en: </w:t>
      </w:r>
      <w:hyperlink r:id="rId65">
        <w:r>
          <w:rPr>
            <w:rStyle w:val="Hyperlink"/>
            <w:rFonts w:asciiTheme="minorHAnsi" w:hAnsiTheme="minorHAnsi"/>
            <w:sz w:val="16"/>
          </w:rPr>
          <w:t>http://legaltimes.typepad.com/files/gitmo-order.pdf</w:t>
        </w:r>
      </w:hyperlink>
      <w:r>
        <w:rPr>
          <w:rFonts w:asciiTheme="minorHAnsi" w:hAnsiTheme="minorHAnsi"/>
          <w:sz w:val="16"/>
        </w:rPr>
        <w:t xml:space="preserve"> </w:t>
      </w:r>
    </w:p>
  </w:footnote>
  <w:footnote w:id="170">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proofErr w:type="spellStart"/>
      <w:r>
        <w:rPr>
          <w:rFonts w:asciiTheme="minorHAnsi" w:hAnsiTheme="minorHAnsi"/>
          <w:sz w:val="16"/>
        </w:rPr>
        <w:t>Reprieve</w:t>
      </w:r>
      <w:proofErr w:type="spellEnd"/>
      <w:r>
        <w:rPr>
          <w:rFonts w:asciiTheme="minorHAnsi" w:hAnsiTheme="minorHAnsi"/>
          <w:sz w:val="16"/>
        </w:rPr>
        <w:t xml:space="preserve">, Comunicado de Prensa, Jueza ordena a gobierno estadounidense detener alimentaciones forzadas de prisionero de Guantánamo y preservar videos de evidencia de su sufrimiento, 16 de mayo de 2014. Disponible en: </w:t>
      </w:r>
      <w:hyperlink r:id="rId66">
        <w:r>
          <w:rPr>
            <w:rStyle w:val="Hyperlink"/>
            <w:rFonts w:asciiTheme="minorHAnsi" w:hAnsiTheme="minorHAnsi"/>
            <w:sz w:val="16"/>
          </w:rPr>
          <w:t>http://www.reprieve.org/judge-orders-us-government-to-halt-force-feeding-of-guantaacutenamo-prisoner-and-preserve-video-evidence-of-abuse.html</w:t>
        </w:r>
      </w:hyperlink>
    </w:p>
  </w:footnote>
  <w:footnote w:id="171">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CNN, Jueza permite que reinicie alimentación forzada de detenido de Guantánamo, 23 de mayo de 2014. Disponible en: </w:t>
      </w:r>
      <w:hyperlink r:id="rId67">
        <w:r>
          <w:rPr>
            <w:rStyle w:val="Hyperlink"/>
            <w:rFonts w:asciiTheme="minorHAnsi" w:hAnsiTheme="minorHAnsi"/>
            <w:sz w:val="16"/>
          </w:rPr>
          <w:t>http://www.cnn.com/2014/05/23/justice/guantanamo-detainee-forced-feeding/index.html</w:t>
        </w:r>
      </w:hyperlink>
    </w:p>
  </w:footnote>
  <w:footnote w:id="172">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El Artículo 21 de la Declaración de 1991 de la Asamblea Médica Mundial de Malta (revisada en 1992 y 2006) establece: “La alimentación forzada nunca es éticamente aceptable. Incluso con la intención de beneficiar, la alimentación con amenazas, presión, fuerza o uso de restricción física es una forma de trato inhumano y degradante. Al igual que es inaceptable la alimentación forzada de algunos detenidos a fin de intimidar o presionar a otras personas en huelgas de hambre para que pongan término a su ayuno”. </w:t>
      </w:r>
    </w:p>
  </w:footnote>
  <w:footnote w:id="173">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CIDH, Comunicado de Prensa 29/13: CIDH, Grupo de Trabajo de ONU sobre la Detención Arbitraria, Relator de ONU contra la Tortura, Relator de ONU para los derechos humanos en la lucha contra el terrorismo, y Relator de ONU sobre la salud reiteran necesidad de terminar con la detención indefinida de personas en la Base Naval de Guantánamo ante actual crisis de derechos humanos, 1 de mayo de 2013.</w:t>
      </w:r>
    </w:p>
  </w:footnote>
  <w:footnote w:id="174">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proofErr w:type="spellStart"/>
      <w:r>
        <w:rPr>
          <w:rFonts w:asciiTheme="minorHAnsi" w:hAnsiTheme="minorHAnsi"/>
          <w:sz w:val="16"/>
        </w:rPr>
        <w:t>The</w:t>
      </w:r>
      <w:proofErr w:type="spellEnd"/>
      <w:r>
        <w:rPr>
          <w:rFonts w:asciiTheme="minorHAnsi" w:hAnsiTheme="minorHAnsi"/>
          <w:sz w:val="16"/>
        </w:rPr>
        <w:t xml:space="preserve"> </w:t>
      </w:r>
      <w:proofErr w:type="spellStart"/>
      <w:r>
        <w:rPr>
          <w:rFonts w:asciiTheme="minorHAnsi" w:hAnsiTheme="minorHAnsi"/>
          <w:sz w:val="16"/>
        </w:rPr>
        <w:t>Guardian</w:t>
      </w:r>
      <w:proofErr w:type="spellEnd"/>
      <w:r>
        <w:rPr>
          <w:rFonts w:asciiTheme="minorHAnsi" w:hAnsiTheme="minorHAnsi"/>
          <w:sz w:val="16"/>
        </w:rPr>
        <w:t xml:space="preserve">, Enfermera de Guantánamo se niega a alimentar forzadamente a los detenidos, 16 de julio de 2014. Disponible en: </w:t>
      </w:r>
      <w:hyperlink r:id="rId68">
        <w:r>
          <w:rPr>
            <w:rStyle w:val="Hyperlink"/>
            <w:rFonts w:asciiTheme="minorHAnsi" w:hAnsiTheme="minorHAnsi"/>
            <w:sz w:val="16"/>
          </w:rPr>
          <w:t>http://www.theguardian.com/world/2014/jul/16/guantanamo-nurse-refuses-force-feed-prisoners</w:t>
        </w:r>
      </w:hyperlink>
    </w:p>
  </w:footnote>
  <w:footnote w:id="175">
    <w:p w:rsidR="00AF130B" w:rsidRPr="005D0288" w:rsidRDefault="00AF130B" w:rsidP="00CE3EC6">
      <w:pPr>
        <w:pStyle w:val="FootnoteText"/>
        <w:ind w:left="547" w:hanging="547"/>
        <w:jc w:val="both"/>
        <w:rPr>
          <w:rFonts w:asciiTheme="minorHAnsi" w:hAnsiTheme="minorHAnsi"/>
          <w:sz w:val="16"/>
          <w:szCs w:val="16"/>
          <w:lang w:val="en-US"/>
        </w:rPr>
      </w:pPr>
      <w:r>
        <w:rPr>
          <w:rStyle w:val="FootnoteReference"/>
          <w:rFonts w:asciiTheme="minorHAnsi" w:hAnsiTheme="minorHAnsi"/>
          <w:sz w:val="16"/>
        </w:rPr>
        <w:footnoteRef/>
      </w:r>
      <w:r w:rsidRPr="00237789">
        <w:rPr>
          <w:rFonts w:asciiTheme="minorHAnsi" w:hAnsiTheme="minorHAnsi"/>
          <w:sz w:val="16"/>
          <w:lang w:val="en-US"/>
        </w:rPr>
        <w:t xml:space="preserve"> </w:t>
      </w:r>
      <w:r w:rsidRPr="00237789">
        <w:rPr>
          <w:lang w:val="en-US"/>
        </w:rPr>
        <w:tab/>
      </w:r>
      <w:proofErr w:type="spellStart"/>
      <w:proofErr w:type="gramStart"/>
      <w:r w:rsidRPr="00237789">
        <w:rPr>
          <w:rFonts w:asciiTheme="minorHAnsi" w:hAnsiTheme="minorHAnsi"/>
          <w:i/>
          <w:sz w:val="16"/>
          <w:lang w:val="en-US"/>
        </w:rPr>
        <w:t>Nevmerzhitsky</w:t>
      </w:r>
      <w:proofErr w:type="spellEnd"/>
      <w:r w:rsidRPr="00237789">
        <w:rPr>
          <w:rFonts w:asciiTheme="minorHAnsi" w:hAnsiTheme="minorHAnsi"/>
          <w:i/>
          <w:sz w:val="16"/>
          <w:lang w:val="en-US"/>
        </w:rPr>
        <w:t xml:space="preserve"> v. Ukraine</w:t>
      </w:r>
      <w:r w:rsidRPr="00237789">
        <w:rPr>
          <w:rFonts w:asciiTheme="minorHAnsi" w:hAnsiTheme="minorHAnsi"/>
          <w:sz w:val="16"/>
          <w:lang w:val="en-US"/>
        </w:rPr>
        <w:t>, no. 54825/00, TEDH 2005.</w:t>
      </w:r>
      <w:proofErr w:type="gramEnd"/>
    </w:p>
  </w:footnote>
  <w:footnote w:id="176">
    <w:p w:rsidR="00AF130B" w:rsidRPr="005D0288" w:rsidRDefault="00AF130B" w:rsidP="00CE3EC6">
      <w:pPr>
        <w:pStyle w:val="FootnoteText"/>
        <w:ind w:left="547" w:hanging="547"/>
        <w:jc w:val="both"/>
        <w:rPr>
          <w:rFonts w:asciiTheme="minorHAnsi" w:hAnsiTheme="minorHAnsi"/>
          <w:sz w:val="16"/>
          <w:szCs w:val="16"/>
          <w:lang w:val="en-US"/>
        </w:rPr>
      </w:pPr>
      <w:r>
        <w:rPr>
          <w:rStyle w:val="FootnoteReference"/>
          <w:rFonts w:asciiTheme="minorHAnsi" w:hAnsiTheme="minorHAnsi"/>
          <w:sz w:val="16"/>
        </w:rPr>
        <w:footnoteRef/>
      </w:r>
      <w:r w:rsidRPr="00237789">
        <w:rPr>
          <w:rFonts w:asciiTheme="minorHAnsi" w:hAnsiTheme="minorHAnsi"/>
          <w:sz w:val="16"/>
          <w:lang w:val="en-US"/>
        </w:rPr>
        <w:t xml:space="preserve"> </w:t>
      </w:r>
      <w:r w:rsidRPr="00237789">
        <w:rPr>
          <w:lang w:val="en-US"/>
        </w:rPr>
        <w:tab/>
      </w:r>
      <w:proofErr w:type="spellStart"/>
      <w:proofErr w:type="gramStart"/>
      <w:r w:rsidRPr="00237789">
        <w:rPr>
          <w:rFonts w:asciiTheme="minorHAnsi" w:hAnsiTheme="minorHAnsi"/>
          <w:i/>
          <w:sz w:val="16"/>
          <w:lang w:val="en-US"/>
        </w:rPr>
        <w:t>Ciorap</w:t>
      </w:r>
      <w:proofErr w:type="spellEnd"/>
      <w:r w:rsidRPr="00237789">
        <w:rPr>
          <w:rFonts w:asciiTheme="minorHAnsi" w:hAnsiTheme="minorHAnsi"/>
          <w:i/>
          <w:sz w:val="16"/>
          <w:lang w:val="en-US"/>
        </w:rPr>
        <w:t xml:space="preserve"> v.</w:t>
      </w:r>
      <w:proofErr w:type="gramEnd"/>
      <w:r w:rsidRPr="00237789">
        <w:rPr>
          <w:rFonts w:asciiTheme="minorHAnsi" w:hAnsiTheme="minorHAnsi"/>
          <w:i/>
          <w:sz w:val="16"/>
          <w:lang w:val="en-US"/>
        </w:rPr>
        <w:t xml:space="preserve"> </w:t>
      </w:r>
      <w:proofErr w:type="gramStart"/>
      <w:r w:rsidRPr="00237789">
        <w:rPr>
          <w:rFonts w:asciiTheme="minorHAnsi" w:hAnsiTheme="minorHAnsi"/>
          <w:i/>
          <w:sz w:val="16"/>
          <w:lang w:val="en-US"/>
        </w:rPr>
        <w:t>The Republic of Moldova</w:t>
      </w:r>
      <w:r w:rsidRPr="00237789">
        <w:rPr>
          <w:rFonts w:asciiTheme="minorHAnsi" w:hAnsiTheme="minorHAnsi"/>
          <w:sz w:val="16"/>
          <w:lang w:val="en-US"/>
        </w:rPr>
        <w:t>, no. 32896/07, TEDH 2012.</w:t>
      </w:r>
      <w:proofErr w:type="gramEnd"/>
    </w:p>
  </w:footnote>
  <w:footnote w:id="177">
    <w:p w:rsidR="00AF130B" w:rsidRPr="005D0288" w:rsidRDefault="00AF130B" w:rsidP="00CE3EC6">
      <w:pPr>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proofErr w:type="spellStart"/>
      <w:r>
        <w:rPr>
          <w:rFonts w:asciiTheme="minorHAnsi" w:hAnsiTheme="minorHAnsi"/>
          <w:sz w:val="16"/>
        </w:rPr>
        <w:t>The</w:t>
      </w:r>
      <w:proofErr w:type="spellEnd"/>
      <w:r>
        <w:rPr>
          <w:rFonts w:asciiTheme="minorHAnsi" w:hAnsiTheme="minorHAnsi"/>
          <w:sz w:val="16"/>
        </w:rPr>
        <w:t xml:space="preserve"> New York Times, Huelga de Hambre en Guantánamo está en Gran Parte Terminada, Dice EE.UU, 23 de septiembre de 2013. Disponible en: </w:t>
      </w:r>
      <w:hyperlink r:id="rId69">
        <w:r>
          <w:rPr>
            <w:rStyle w:val="Hyperlink"/>
            <w:rFonts w:asciiTheme="minorHAnsi" w:hAnsiTheme="minorHAnsi"/>
            <w:sz w:val="16"/>
          </w:rPr>
          <w:t>http://www.nytimes.com/2013/09/24/us/guantanamo-hunger-strike-largely-over-us-says.html?_r=0</w:t>
        </w:r>
      </w:hyperlink>
    </w:p>
  </w:footnote>
  <w:footnote w:id="178">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proofErr w:type="spellStart"/>
      <w:r>
        <w:rPr>
          <w:rFonts w:asciiTheme="minorHAnsi" w:hAnsiTheme="minorHAnsi"/>
          <w:sz w:val="16"/>
        </w:rPr>
        <w:t>The</w:t>
      </w:r>
      <w:proofErr w:type="spellEnd"/>
      <w:r>
        <w:rPr>
          <w:rFonts w:asciiTheme="minorHAnsi" w:hAnsiTheme="minorHAnsi"/>
          <w:sz w:val="16"/>
        </w:rPr>
        <w:t xml:space="preserve"> New York Times, Corte de Apelaciones Acepta Recursos de Detenidos en la Prisión de Guantánamo. 11 de febrero de 2014. Disponible en: </w:t>
      </w:r>
      <w:hyperlink r:id="rId70">
        <w:r>
          <w:rPr>
            <w:rStyle w:val="Hyperlink"/>
            <w:rFonts w:asciiTheme="minorHAnsi" w:hAnsiTheme="minorHAnsi"/>
            <w:sz w:val="16"/>
          </w:rPr>
          <w:t>http://www.nytimes.com/2014/02/12/us/appeals-court-clears-way-for-guantanamo-challenges.html</w:t>
        </w:r>
      </w:hyperlink>
    </w:p>
  </w:footnote>
  <w:footnote w:id="179">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CIDH, Reunión de Expertos sobre la situación de los detenidos en la Base Naval de la Bahía de Guantánamo, 3 de octubre de 2013.</w:t>
      </w:r>
    </w:p>
  </w:footnote>
  <w:footnote w:id="180">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w:t>
      </w:r>
      <w:r>
        <w:rPr>
          <w:rFonts w:asciiTheme="minorHAnsi" w:hAnsiTheme="minorHAnsi"/>
          <w:i/>
          <w:sz w:val="16"/>
        </w:rPr>
        <w:t>Informe sobre Terrorismo y Derechos Humanos</w:t>
      </w:r>
      <w:r>
        <w:rPr>
          <w:rFonts w:asciiTheme="minorHAnsi" w:hAnsiTheme="minorHAnsi"/>
          <w:sz w:val="16"/>
        </w:rPr>
        <w:t>, OEA/</w:t>
      </w:r>
      <w:proofErr w:type="spellStart"/>
      <w:r>
        <w:rPr>
          <w:rFonts w:asciiTheme="minorHAnsi" w:hAnsiTheme="minorHAnsi"/>
          <w:sz w:val="16"/>
        </w:rPr>
        <w:t>Ser.L</w:t>
      </w:r>
      <w:proofErr w:type="spellEnd"/>
      <w:r>
        <w:rPr>
          <w:rFonts w:asciiTheme="minorHAnsi" w:hAnsiTheme="minorHAnsi"/>
          <w:sz w:val="16"/>
        </w:rPr>
        <w:t>/V/II.116.Doc.5 rev.1, 22 de octubre de 2002, párr. 343.</w:t>
      </w:r>
    </w:p>
  </w:footnote>
  <w:footnote w:id="181">
    <w:p w:rsidR="00AF130B" w:rsidRPr="00237789"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proofErr w:type="spellStart"/>
      <w:r>
        <w:rPr>
          <w:rFonts w:asciiTheme="minorHAnsi" w:hAnsiTheme="minorHAnsi"/>
          <w:i/>
          <w:sz w:val="16"/>
        </w:rPr>
        <w:t>Rasul</w:t>
      </w:r>
      <w:proofErr w:type="spellEnd"/>
      <w:r>
        <w:rPr>
          <w:rFonts w:asciiTheme="minorHAnsi" w:hAnsiTheme="minorHAnsi"/>
          <w:i/>
          <w:sz w:val="16"/>
        </w:rPr>
        <w:t xml:space="preserve"> v. Bush</w:t>
      </w:r>
      <w:r>
        <w:rPr>
          <w:rFonts w:asciiTheme="minorHAnsi" w:hAnsiTheme="minorHAnsi"/>
          <w:sz w:val="16"/>
        </w:rPr>
        <w:t>, 542 U.S. 466 (2004).</w:t>
      </w:r>
    </w:p>
  </w:footnote>
  <w:footnote w:id="182">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En la misma fecha, la Corte Suprema de Estados Unidos decidió, en el caso </w:t>
      </w:r>
      <w:proofErr w:type="spellStart"/>
      <w:r>
        <w:rPr>
          <w:rFonts w:asciiTheme="minorHAnsi" w:hAnsiTheme="minorHAnsi"/>
          <w:i/>
          <w:sz w:val="16"/>
        </w:rPr>
        <w:t>Hamdi</w:t>
      </w:r>
      <w:proofErr w:type="spellEnd"/>
      <w:r>
        <w:rPr>
          <w:rFonts w:asciiTheme="minorHAnsi" w:hAnsiTheme="minorHAnsi"/>
          <w:i/>
          <w:sz w:val="16"/>
        </w:rPr>
        <w:t xml:space="preserve"> v. Rumsfeld</w:t>
      </w:r>
      <w:r>
        <w:rPr>
          <w:rFonts w:asciiTheme="minorHAnsi" w:hAnsiTheme="minorHAnsi"/>
          <w:sz w:val="16"/>
        </w:rPr>
        <w:t xml:space="preserve"> 542 U.S. 507 (2004) que las garantías del debido proceso establecidas en la Quinta Enmienda garantizan a los ciudadanos estadounidenses detenidos bajo la figura de enemigo combatiente el derecho a cuestionar su detención ante una autoridad imparcial. </w:t>
      </w:r>
    </w:p>
  </w:footnote>
  <w:footnote w:id="183">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Ley de Tratamiento a Detenidos de 2005, Sec. 1005 (e).</w:t>
      </w:r>
    </w:p>
  </w:footnote>
  <w:footnote w:id="184">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proofErr w:type="spellStart"/>
      <w:r>
        <w:rPr>
          <w:rFonts w:asciiTheme="minorHAnsi" w:hAnsiTheme="minorHAnsi"/>
          <w:sz w:val="16"/>
        </w:rPr>
        <w:t>Congressional</w:t>
      </w:r>
      <w:proofErr w:type="spellEnd"/>
      <w:r>
        <w:rPr>
          <w:rFonts w:asciiTheme="minorHAnsi" w:hAnsiTheme="minorHAnsi"/>
          <w:sz w:val="16"/>
        </w:rPr>
        <w:t xml:space="preserve"> </w:t>
      </w:r>
      <w:proofErr w:type="spellStart"/>
      <w:r>
        <w:rPr>
          <w:rFonts w:asciiTheme="minorHAnsi" w:hAnsiTheme="minorHAnsi"/>
          <w:sz w:val="16"/>
        </w:rPr>
        <w:t>Research</w:t>
      </w:r>
      <w:proofErr w:type="spellEnd"/>
      <w:r>
        <w:rPr>
          <w:rFonts w:asciiTheme="minorHAnsi" w:hAnsiTheme="minorHAnsi"/>
          <w:sz w:val="16"/>
        </w:rPr>
        <w:t xml:space="preserve"> </w:t>
      </w:r>
      <w:proofErr w:type="spellStart"/>
      <w:r>
        <w:rPr>
          <w:rFonts w:asciiTheme="minorHAnsi" w:hAnsiTheme="minorHAnsi"/>
          <w:sz w:val="16"/>
        </w:rPr>
        <w:t>Service</w:t>
      </w:r>
      <w:proofErr w:type="spellEnd"/>
      <w:r>
        <w:rPr>
          <w:rFonts w:asciiTheme="minorHAnsi" w:hAnsiTheme="minorHAnsi"/>
          <w:sz w:val="16"/>
        </w:rPr>
        <w:t xml:space="preserve">, Enemigos Combatientes Detenidos: Recursos de Hábeas Corpus ante Corte Federal, 3 de febrero de 2010, Resumen. Disponible en: </w:t>
      </w:r>
      <w:hyperlink r:id="rId71">
        <w:r>
          <w:rPr>
            <w:rStyle w:val="Hyperlink"/>
            <w:rFonts w:asciiTheme="minorHAnsi" w:hAnsiTheme="minorHAnsi"/>
            <w:sz w:val="16"/>
          </w:rPr>
          <w:t>http://fas.org/sgp/crs/natsec/RL33180.pdf</w:t>
        </w:r>
      </w:hyperlink>
      <w:r>
        <w:rPr>
          <w:rFonts w:asciiTheme="minorHAnsi" w:hAnsiTheme="minorHAnsi"/>
          <w:sz w:val="16"/>
        </w:rPr>
        <w:t xml:space="preserve"> </w:t>
      </w:r>
    </w:p>
  </w:footnote>
  <w:footnote w:id="185">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sidRPr="00237789">
        <w:rPr>
          <w:rFonts w:asciiTheme="minorHAnsi" w:hAnsiTheme="minorHAnsi"/>
          <w:sz w:val="16"/>
          <w:lang w:val="en-US"/>
        </w:rPr>
        <w:t xml:space="preserve"> </w:t>
      </w:r>
      <w:r w:rsidRPr="00237789">
        <w:rPr>
          <w:lang w:val="en-US"/>
        </w:rPr>
        <w:tab/>
      </w:r>
      <w:proofErr w:type="spellStart"/>
      <w:proofErr w:type="gramStart"/>
      <w:r w:rsidRPr="00237789">
        <w:rPr>
          <w:rFonts w:asciiTheme="minorHAnsi" w:hAnsiTheme="minorHAnsi"/>
          <w:i/>
          <w:sz w:val="16"/>
          <w:lang w:val="en-US"/>
        </w:rPr>
        <w:t>Boumediene</w:t>
      </w:r>
      <w:proofErr w:type="spellEnd"/>
      <w:r w:rsidRPr="00237789">
        <w:rPr>
          <w:rFonts w:asciiTheme="minorHAnsi" w:hAnsiTheme="minorHAnsi"/>
          <w:i/>
          <w:sz w:val="16"/>
          <w:lang w:val="en-US"/>
        </w:rPr>
        <w:t xml:space="preserve"> v. Bush</w:t>
      </w:r>
      <w:r w:rsidRPr="00237789">
        <w:rPr>
          <w:rFonts w:asciiTheme="minorHAnsi" w:hAnsiTheme="minorHAnsi"/>
          <w:sz w:val="16"/>
          <w:lang w:val="en-US"/>
        </w:rPr>
        <w:t xml:space="preserve">, 553 U.S. 723 (2008) </w:t>
      </w:r>
      <w:proofErr w:type="spellStart"/>
      <w:r w:rsidRPr="00237789">
        <w:rPr>
          <w:rFonts w:asciiTheme="minorHAnsi" w:hAnsiTheme="minorHAnsi"/>
          <w:sz w:val="16"/>
          <w:lang w:val="en-US"/>
        </w:rPr>
        <w:t>párr</w:t>
      </w:r>
      <w:proofErr w:type="spellEnd"/>
      <w:r w:rsidRPr="00237789">
        <w:rPr>
          <w:rFonts w:asciiTheme="minorHAnsi" w:hAnsiTheme="minorHAnsi"/>
          <w:sz w:val="16"/>
          <w:lang w:val="en-US"/>
        </w:rPr>
        <w:t>.</w:t>
      </w:r>
      <w:proofErr w:type="gramEnd"/>
      <w:r w:rsidRPr="00237789">
        <w:rPr>
          <w:rFonts w:asciiTheme="minorHAnsi" w:hAnsiTheme="minorHAnsi"/>
          <w:sz w:val="16"/>
          <w:lang w:val="en-US"/>
        </w:rPr>
        <w:t xml:space="preserve"> </w:t>
      </w:r>
      <w:r>
        <w:rPr>
          <w:rFonts w:asciiTheme="minorHAnsi" w:hAnsiTheme="minorHAnsi"/>
          <w:sz w:val="16"/>
        </w:rPr>
        <w:t>69.</w:t>
      </w:r>
    </w:p>
  </w:footnote>
  <w:footnote w:id="186">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Constitución de Estados Unidos, Artículo I, Sección 9, Cláusula 2: “El privilegio del recurso de hábeas corpus no puede suspenderse, a menos que casos de rebelión o invasión a la seguridad pública lo requieran”.</w:t>
      </w:r>
    </w:p>
  </w:footnote>
  <w:footnote w:id="187">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Al respecto, véase: </w:t>
      </w:r>
      <w:proofErr w:type="spellStart"/>
      <w:r>
        <w:rPr>
          <w:rFonts w:asciiTheme="minorHAnsi" w:hAnsiTheme="minorHAnsi"/>
          <w:sz w:val="16"/>
        </w:rPr>
        <w:t>Hafetz</w:t>
      </w:r>
      <w:proofErr w:type="spellEnd"/>
      <w:r>
        <w:rPr>
          <w:rFonts w:asciiTheme="minorHAnsi" w:hAnsiTheme="minorHAnsi"/>
          <w:sz w:val="16"/>
        </w:rPr>
        <w:t xml:space="preserve">, Jonathan, Llamando al Gobierno a Asumir la Responsabilidad: Hábeas Corpus después de </w:t>
      </w:r>
      <w:proofErr w:type="spellStart"/>
      <w:r>
        <w:rPr>
          <w:rFonts w:asciiTheme="minorHAnsi" w:hAnsiTheme="minorHAnsi"/>
          <w:sz w:val="16"/>
        </w:rPr>
        <w:t>Boumediene</w:t>
      </w:r>
      <w:proofErr w:type="spellEnd"/>
      <w:r>
        <w:rPr>
          <w:rFonts w:asciiTheme="minorHAnsi" w:hAnsiTheme="minorHAnsi"/>
          <w:sz w:val="16"/>
        </w:rPr>
        <w:t xml:space="preserve"> (14 de diciembre de 2011). Disponible en SSRN: </w:t>
      </w:r>
      <w:hyperlink r:id="rId72">
        <w:r>
          <w:rPr>
            <w:rStyle w:val="Hyperlink"/>
            <w:rFonts w:asciiTheme="minorHAnsi" w:hAnsiTheme="minorHAnsi"/>
            <w:sz w:val="16"/>
          </w:rPr>
          <w:t>http://ssrn.com/abstract=1972542</w:t>
        </w:r>
      </w:hyperlink>
      <w:r>
        <w:rPr>
          <w:rFonts w:asciiTheme="minorHAnsi" w:hAnsiTheme="minorHAnsi"/>
          <w:color w:val="003366"/>
          <w:sz w:val="16"/>
        </w:rPr>
        <w:t xml:space="preserve"> </w:t>
      </w:r>
      <w:r>
        <w:rPr>
          <w:rFonts w:asciiTheme="minorHAnsi" w:hAnsiTheme="minorHAnsi"/>
          <w:sz w:val="16"/>
        </w:rPr>
        <w:t>o</w:t>
      </w:r>
      <w:r>
        <w:rPr>
          <w:rFonts w:asciiTheme="minorHAnsi" w:hAnsiTheme="minorHAnsi"/>
          <w:color w:val="003366"/>
          <w:sz w:val="16"/>
        </w:rPr>
        <w:t xml:space="preserve"> </w:t>
      </w:r>
      <w:hyperlink r:id="rId73">
        <w:r>
          <w:rPr>
            <w:rStyle w:val="Hyperlink"/>
            <w:rFonts w:asciiTheme="minorHAnsi" w:hAnsiTheme="minorHAnsi"/>
            <w:sz w:val="16"/>
          </w:rPr>
          <w:t xml:space="preserve">http://dx.doi.org/10.2139/ssrn.1972542 </w:t>
        </w:r>
      </w:hyperlink>
    </w:p>
  </w:footnote>
  <w:footnote w:id="188">
    <w:p w:rsidR="00AF130B" w:rsidRPr="005D0288" w:rsidRDefault="00AF130B" w:rsidP="00CE3EC6">
      <w:pPr>
        <w:pStyle w:val="FootnoteText"/>
        <w:ind w:left="547" w:hanging="547"/>
        <w:jc w:val="both"/>
        <w:rPr>
          <w:rFonts w:asciiTheme="minorHAnsi" w:hAnsiTheme="minorHAnsi"/>
          <w:sz w:val="16"/>
          <w:szCs w:val="16"/>
          <w:lang w:val="en-US"/>
        </w:rPr>
      </w:pPr>
      <w:r>
        <w:rPr>
          <w:rStyle w:val="FootnoteReference"/>
          <w:rFonts w:asciiTheme="minorHAnsi" w:hAnsiTheme="minorHAnsi"/>
          <w:sz w:val="16"/>
        </w:rPr>
        <w:footnoteRef/>
      </w:r>
      <w:r w:rsidRPr="00237789">
        <w:rPr>
          <w:rFonts w:asciiTheme="minorHAnsi" w:hAnsiTheme="minorHAnsi"/>
          <w:sz w:val="16"/>
          <w:lang w:val="en-US"/>
        </w:rPr>
        <w:t xml:space="preserve"> </w:t>
      </w:r>
      <w:r w:rsidRPr="00237789">
        <w:rPr>
          <w:lang w:val="en-US"/>
        </w:rPr>
        <w:tab/>
      </w:r>
      <w:proofErr w:type="spellStart"/>
      <w:proofErr w:type="gramStart"/>
      <w:r w:rsidRPr="00237789">
        <w:rPr>
          <w:rFonts w:asciiTheme="minorHAnsi" w:hAnsiTheme="minorHAnsi"/>
          <w:i/>
          <w:sz w:val="16"/>
          <w:lang w:val="en-US"/>
        </w:rPr>
        <w:t>Boumediene</w:t>
      </w:r>
      <w:proofErr w:type="spellEnd"/>
      <w:r w:rsidRPr="00237789">
        <w:rPr>
          <w:rFonts w:asciiTheme="minorHAnsi" w:hAnsiTheme="minorHAnsi"/>
          <w:i/>
          <w:sz w:val="16"/>
          <w:lang w:val="en-US"/>
        </w:rPr>
        <w:t xml:space="preserve"> v. Bush</w:t>
      </w:r>
      <w:r w:rsidRPr="00237789">
        <w:rPr>
          <w:rFonts w:asciiTheme="minorHAnsi" w:hAnsiTheme="minorHAnsi"/>
          <w:sz w:val="16"/>
          <w:lang w:val="en-US"/>
        </w:rPr>
        <w:t xml:space="preserve">, 553 U.S. 723 (2008) </w:t>
      </w:r>
      <w:proofErr w:type="spellStart"/>
      <w:r w:rsidRPr="00237789">
        <w:rPr>
          <w:rFonts w:asciiTheme="minorHAnsi" w:hAnsiTheme="minorHAnsi"/>
          <w:sz w:val="16"/>
          <w:lang w:val="en-US"/>
        </w:rPr>
        <w:t>párrs</w:t>
      </w:r>
      <w:proofErr w:type="spellEnd"/>
      <w:r w:rsidRPr="00237789">
        <w:rPr>
          <w:rFonts w:asciiTheme="minorHAnsi" w:hAnsiTheme="minorHAnsi"/>
          <w:sz w:val="16"/>
          <w:lang w:val="en-US"/>
        </w:rPr>
        <w:t>.</w:t>
      </w:r>
      <w:proofErr w:type="gramEnd"/>
      <w:r w:rsidRPr="00237789">
        <w:rPr>
          <w:rFonts w:asciiTheme="minorHAnsi" w:hAnsiTheme="minorHAnsi"/>
          <w:sz w:val="16"/>
          <w:lang w:val="en-US"/>
        </w:rPr>
        <w:t xml:space="preserve"> 69-70.</w:t>
      </w:r>
    </w:p>
  </w:footnote>
  <w:footnote w:id="189">
    <w:p w:rsidR="00AF130B" w:rsidRPr="005D0288" w:rsidRDefault="00AF130B" w:rsidP="00CE3EC6">
      <w:pPr>
        <w:pStyle w:val="FootnoteText"/>
        <w:ind w:left="547" w:hanging="547"/>
        <w:jc w:val="both"/>
        <w:rPr>
          <w:rFonts w:asciiTheme="minorHAnsi" w:hAnsiTheme="minorHAnsi"/>
          <w:sz w:val="16"/>
          <w:szCs w:val="16"/>
          <w:lang w:val="en-US"/>
        </w:rPr>
      </w:pPr>
      <w:r>
        <w:rPr>
          <w:rStyle w:val="FootnoteReference"/>
          <w:rFonts w:asciiTheme="minorHAnsi" w:hAnsiTheme="minorHAnsi"/>
          <w:sz w:val="16"/>
        </w:rPr>
        <w:footnoteRef/>
      </w:r>
      <w:r w:rsidRPr="00237789">
        <w:rPr>
          <w:rFonts w:asciiTheme="minorHAnsi" w:hAnsiTheme="minorHAnsi"/>
          <w:sz w:val="16"/>
          <w:lang w:val="en-US"/>
        </w:rPr>
        <w:t xml:space="preserve"> </w:t>
      </w:r>
      <w:r w:rsidRPr="00237789">
        <w:rPr>
          <w:lang w:val="en-US"/>
        </w:rPr>
        <w:tab/>
      </w:r>
      <w:r w:rsidRPr="00237789">
        <w:rPr>
          <w:rFonts w:asciiTheme="minorHAnsi" w:hAnsiTheme="minorHAnsi"/>
          <w:sz w:val="16"/>
          <w:lang w:val="en-US"/>
        </w:rPr>
        <w:t xml:space="preserve">Congressional Research Service, </w:t>
      </w:r>
      <w:proofErr w:type="spellStart"/>
      <w:r w:rsidRPr="00237789">
        <w:rPr>
          <w:rFonts w:asciiTheme="minorHAnsi" w:hAnsiTheme="minorHAnsi"/>
          <w:sz w:val="16"/>
          <w:lang w:val="en-US"/>
        </w:rPr>
        <w:t>Enemigos</w:t>
      </w:r>
      <w:proofErr w:type="spellEnd"/>
      <w:r w:rsidRPr="00237789">
        <w:rPr>
          <w:rFonts w:asciiTheme="minorHAnsi" w:hAnsiTheme="minorHAnsi"/>
          <w:sz w:val="16"/>
          <w:lang w:val="en-US"/>
        </w:rPr>
        <w:t xml:space="preserve"> </w:t>
      </w:r>
      <w:proofErr w:type="spellStart"/>
      <w:r w:rsidRPr="00237789">
        <w:rPr>
          <w:rFonts w:asciiTheme="minorHAnsi" w:hAnsiTheme="minorHAnsi"/>
          <w:sz w:val="16"/>
          <w:lang w:val="en-US"/>
        </w:rPr>
        <w:t>Combatientes</w:t>
      </w:r>
      <w:proofErr w:type="spellEnd"/>
      <w:r w:rsidRPr="00237789">
        <w:rPr>
          <w:rFonts w:asciiTheme="minorHAnsi" w:hAnsiTheme="minorHAnsi"/>
          <w:sz w:val="16"/>
          <w:lang w:val="en-US"/>
        </w:rPr>
        <w:t xml:space="preserve"> </w:t>
      </w:r>
      <w:proofErr w:type="spellStart"/>
      <w:r w:rsidRPr="00237789">
        <w:rPr>
          <w:rFonts w:asciiTheme="minorHAnsi" w:hAnsiTheme="minorHAnsi"/>
          <w:sz w:val="16"/>
          <w:lang w:val="en-US"/>
        </w:rPr>
        <w:t>Detenidos</w:t>
      </w:r>
      <w:proofErr w:type="spellEnd"/>
      <w:r w:rsidRPr="00237789">
        <w:rPr>
          <w:rFonts w:asciiTheme="minorHAnsi" w:hAnsiTheme="minorHAnsi"/>
          <w:sz w:val="16"/>
          <w:lang w:val="en-US"/>
        </w:rPr>
        <w:t xml:space="preserve">: </w:t>
      </w:r>
      <w:proofErr w:type="spellStart"/>
      <w:r w:rsidRPr="00237789">
        <w:rPr>
          <w:rFonts w:asciiTheme="minorHAnsi" w:hAnsiTheme="minorHAnsi"/>
          <w:sz w:val="16"/>
          <w:lang w:val="en-US"/>
        </w:rPr>
        <w:t>Recursos</w:t>
      </w:r>
      <w:proofErr w:type="spellEnd"/>
      <w:r w:rsidRPr="00237789">
        <w:rPr>
          <w:rFonts w:asciiTheme="minorHAnsi" w:hAnsiTheme="minorHAnsi"/>
          <w:sz w:val="16"/>
          <w:lang w:val="en-US"/>
        </w:rPr>
        <w:t xml:space="preserve"> de </w:t>
      </w:r>
      <w:proofErr w:type="spellStart"/>
      <w:r w:rsidRPr="00237789">
        <w:rPr>
          <w:rFonts w:asciiTheme="minorHAnsi" w:hAnsiTheme="minorHAnsi"/>
          <w:sz w:val="16"/>
          <w:lang w:val="en-US"/>
        </w:rPr>
        <w:t>Hábeas</w:t>
      </w:r>
      <w:proofErr w:type="spellEnd"/>
      <w:r w:rsidRPr="00237789">
        <w:rPr>
          <w:rFonts w:asciiTheme="minorHAnsi" w:hAnsiTheme="minorHAnsi"/>
          <w:sz w:val="16"/>
          <w:lang w:val="en-US"/>
        </w:rPr>
        <w:t xml:space="preserve"> Corpus </w:t>
      </w:r>
      <w:proofErr w:type="gramStart"/>
      <w:r w:rsidRPr="00237789">
        <w:rPr>
          <w:rFonts w:asciiTheme="minorHAnsi" w:hAnsiTheme="minorHAnsi"/>
          <w:sz w:val="16"/>
          <w:lang w:val="en-US"/>
        </w:rPr>
        <w:t>ante</w:t>
      </w:r>
      <w:proofErr w:type="gramEnd"/>
      <w:r w:rsidRPr="00237789">
        <w:rPr>
          <w:rFonts w:asciiTheme="minorHAnsi" w:hAnsiTheme="minorHAnsi"/>
          <w:sz w:val="16"/>
          <w:lang w:val="en-US"/>
        </w:rPr>
        <w:t xml:space="preserve"> Corte Federal, 3 de </w:t>
      </w:r>
      <w:proofErr w:type="spellStart"/>
      <w:r w:rsidRPr="00237789">
        <w:rPr>
          <w:rFonts w:asciiTheme="minorHAnsi" w:hAnsiTheme="minorHAnsi"/>
          <w:sz w:val="16"/>
          <w:lang w:val="en-US"/>
        </w:rPr>
        <w:t>febrero</w:t>
      </w:r>
      <w:proofErr w:type="spellEnd"/>
      <w:r w:rsidRPr="00237789">
        <w:rPr>
          <w:rFonts w:asciiTheme="minorHAnsi" w:hAnsiTheme="minorHAnsi"/>
          <w:sz w:val="16"/>
          <w:lang w:val="en-US"/>
        </w:rPr>
        <w:t xml:space="preserve"> de 2010.</w:t>
      </w:r>
    </w:p>
  </w:footnote>
  <w:footnote w:id="190">
    <w:p w:rsidR="00AF130B" w:rsidRPr="005D0288" w:rsidRDefault="00AF130B" w:rsidP="00CE3EC6">
      <w:pPr>
        <w:pStyle w:val="FootnoteText"/>
        <w:ind w:left="547" w:hanging="547"/>
        <w:jc w:val="both"/>
        <w:rPr>
          <w:rFonts w:asciiTheme="minorHAnsi" w:hAnsiTheme="minorHAnsi"/>
          <w:sz w:val="16"/>
          <w:szCs w:val="16"/>
          <w:lang w:val="en-US"/>
        </w:rPr>
      </w:pPr>
      <w:r>
        <w:rPr>
          <w:rStyle w:val="FootnoteReference"/>
          <w:rFonts w:asciiTheme="minorHAnsi" w:hAnsiTheme="minorHAnsi"/>
          <w:sz w:val="16"/>
        </w:rPr>
        <w:footnoteRef/>
      </w:r>
      <w:r w:rsidRPr="00237789">
        <w:rPr>
          <w:rFonts w:asciiTheme="minorHAnsi" w:hAnsiTheme="minorHAnsi"/>
          <w:sz w:val="16"/>
          <w:lang w:val="en-US"/>
        </w:rPr>
        <w:t xml:space="preserve"> </w:t>
      </w:r>
      <w:r w:rsidRPr="00237789">
        <w:rPr>
          <w:lang w:val="en-US"/>
        </w:rPr>
        <w:tab/>
      </w:r>
      <w:proofErr w:type="gramStart"/>
      <w:r w:rsidRPr="00237789">
        <w:rPr>
          <w:rFonts w:asciiTheme="minorHAnsi" w:hAnsiTheme="minorHAnsi"/>
          <w:i/>
          <w:sz w:val="16"/>
          <w:lang w:val="en-US"/>
        </w:rPr>
        <w:t>Al-</w:t>
      </w:r>
      <w:proofErr w:type="spellStart"/>
      <w:r w:rsidRPr="00237789">
        <w:rPr>
          <w:rFonts w:asciiTheme="minorHAnsi" w:hAnsiTheme="minorHAnsi"/>
          <w:i/>
          <w:sz w:val="16"/>
          <w:lang w:val="en-US"/>
        </w:rPr>
        <w:t>Adahi</w:t>
      </w:r>
      <w:proofErr w:type="spellEnd"/>
      <w:r w:rsidRPr="00237789">
        <w:rPr>
          <w:rFonts w:asciiTheme="minorHAnsi" w:hAnsiTheme="minorHAnsi"/>
          <w:i/>
          <w:sz w:val="16"/>
          <w:lang w:val="en-US"/>
        </w:rPr>
        <w:t xml:space="preserve"> v. Obama</w:t>
      </w:r>
      <w:r w:rsidRPr="00237789">
        <w:rPr>
          <w:rFonts w:asciiTheme="minorHAnsi" w:hAnsiTheme="minorHAnsi"/>
          <w:sz w:val="16"/>
          <w:lang w:val="en-US"/>
        </w:rPr>
        <w:t xml:space="preserve">, </w:t>
      </w:r>
      <w:r w:rsidRPr="00237789">
        <w:rPr>
          <w:rStyle w:val="st1"/>
          <w:rFonts w:asciiTheme="minorHAnsi" w:hAnsiTheme="minorHAnsi"/>
          <w:sz w:val="16"/>
          <w:lang w:val="en-US"/>
        </w:rPr>
        <w:t xml:space="preserve">613 F.3d 1102 </w:t>
      </w:r>
      <w:r w:rsidRPr="00237789">
        <w:rPr>
          <w:rFonts w:asciiTheme="minorHAnsi" w:hAnsiTheme="minorHAnsi"/>
          <w:sz w:val="16"/>
          <w:lang w:val="en-US"/>
        </w:rPr>
        <w:t>(D.C. Cir. 2010).</w:t>
      </w:r>
      <w:proofErr w:type="gramEnd"/>
    </w:p>
  </w:footnote>
  <w:footnote w:id="191">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sidRPr="00237789">
        <w:rPr>
          <w:rFonts w:asciiTheme="minorHAnsi" w:hAnsiTheme="minorHAnsi"/>
          <w:sz w:val="16"/>
          <w:lang w:val="en-US"/>
        </w:rPr>
        <w:t xml:space="preserve"> </w:t>
      </w:r>
      <w:r w:rsidRPr="00237789">
        <w:rPr>
          <w:lang w:val="en-US"/>
        </w:rPr>
        <w:tab/>
      </w:r>
      <w:r w:rsidRPr="00237789">
        <w:rPr>
          <w:rFonts w:asciiTheme="minorHAnsi" w:hAnsiTheme="minorHAnsi"/>
          <w:sz w:val="16"/>
          <w:lang w:val="en-US"/>
        </w:rPr>
        <w:t xml:space="preserve">Seton Hall University School of Law, Center for Policy &amp; Research, No </w:t>
      </w:r>
      <w:proofErr w:type="spellStart"/>
      <w:r w:rsidRPr="00237789">
        <w:rPr>
          <w:rFonts w:asciiTheme="minorHAnsi" w:hAnsiTheme="minorHAnsi"/>
          <w:sz w:val="16"/>
          <w:lang w:val="en-US"/>
        </w:rPr>
        <w:t>Conocer</w:t>
      </w:r>
      <w:proofErr w:type="spellEnd"/>
      <w:r w:rsidRPr="00237789">
        <w:rPr>
          <w:rFonts w:asciiTheme="minorHAnsi" w:hAnsiTheme="minorHAnsi"/>
          <w:sz w:val="16"/>
          <w:lang w:val="en-US"/>
        </w:rPr>
        <w:t xml:space="preserve"> </w:t>
      </w:r>
      <w:proofErr w:type="spellStart"/>
      <w:r w:rsidRPr="00237789">
        <w:rPr>
          <w:rFonts w:asciiTheme="minorHAnsi" w:hAnsiTheme="minorHAnsi"/>
          <w:sz w:val="16"/>
          <w:lang w:val="en-US"/>
        </w:rPr>
        <w:t>Recursos</w:t>
      </w:r>
      <w:proofErr w:type="spellEnd"/>
      <w:r w:rsidRPr="00237789">
        <w:rPr>
          <w:rFonts w:asciiTheme="minorHAnsi" w:hAnsiTheme="minorHAnsi"/>
          <w:sz w:val="16"/>
          <w:lang w:val="en-US"/>
        </w:rPr>
        <w:t xml:space="preserve"> de </w:t>
      </w:r>
      <w:proofErr w:type="spellStart"/>
      <w:r w:rsidRPr="00237789">
        <w:rPr>
          <w:rFonts w:asciiTheme="minorHAnsi" w:hAnsiTheme="minorHAnsi"/>
          <w:sz w:val="16"/>
          <w:lang w:val="en-US"/>
        </w:rPr>
        <w:t>Hábeas</w:t>
      </w:r>
      <w:proofErr w:type="spellEnd"/>
      <w:r w:rsidRPr="00237789">
        <w:rPr>
          <w:rFonts w:asciiTheme="minorHAnsi" w:hAnsiTheme="minorHAnsi"/>
          <w:sz w:val="16"/>
          <w:lang w:val="en-US"/>
        </w:rPr>
        <w:t xml:space="preserve"> Corpus: Corte de </w:t>
      </w:r>
      <w:proofErr w:type="spellStart"/>
      <w:r w:rsidRPr="00237789">
        <w:rPr>
          <w:rFonts w:asciiTheme="minorHAnsi" w:hAnsiTheme="minorHAnsi"/>
          <w:sz w:val="16"/>
          <w:lang w:val="en-US"/>
        </w:rPr>
        <w:t>Circuito</w:t>
      </w:r>
      <w:proofErr w:type="spellEnd"/>
      <w:r w:rsidRPr="00237789">
        <w:rPr>
          <w:rFonts w:asciiTheme="minorHAnsi" w:hAnsiTheme="minorHAnsi"/>
          <w:sz w:val="16"/>
          <w:lang w:val="en-US"/>
        </w:rPr>
        <w:t xml:space="preserve"> de D.C. </w:t>
      </w:r>
      <w:proofErr w:type="spellStart"/>
      <w:r w:rsidRPr="00237789">
        <w:rPr>
          <w:rFonts w:asciiTheme="minorHAnsi" w:hAnsiTheme="minorHAnsi"/>
          <w:sz w:val="16"/>
          <w:lang w:val="en-US"/>
        </w:rPr>
        <w:t>Limita</w:t>
      </w:r>
      <w:proofErr w:type="spellEnd"/>
      <w:r w:rsidRPr="00237789">
        <w:rPr>
          <w:rFonts w:asciiTheme="minorHAnsi" w:hAnsiTheme="minorHAnsi"/>
          <w:sz w:val="16"/>
          <w:lang w:val="en-US"/>
        </w:rPr>
        <w:t xml:space="preserve"> la </w:t>
      </w:r>
      <w:proofErr w:type="spellStart"/>
      <w:r w:rsidRPr="00237789">
        <w:rPr>
          <w:rFonts w:asciiTheme="minorHAnsi" w:hAnsiTheme="minorHAnsi"/>
          <w:sz w:val="16"/>
          <w:lang w:val="en-US"/>
        </w:rPr>
        <w:t>Revisión</w:t>
      </w:r>
      <w:proofErr w:type="spellEnd"/>
      <w:r w:rsidRPr="00237789">
        <w:rPr>
          <w:rFonts w:asciiTheme="minorHAnsi" w:hAnsiTheme="minorHAnsi"/>
          <w:sz w:val="16"/>
          <w:lang w:val="en-US"/>
        </w:rPr>
        <w:t xml:space="preserve"> </w:t>
      </w:r>
      <w:proofErr w:type="spellStart"/>
      <w:r w:rsidRPr="00237789">
        <w:rPr>
          <w:rFonts w:asciiTheme="minorHAnsi" w:hAnsiTheme="minorHAnsi"/>
          <w:sz w:val="16"/>
          <w:lang w:val="en-US"/>
        </w:rPr>
        <w:t>Significativa</w:t>
      </w:r>
      <w:proofErr w:type="spellEnd"/>
      <w:r w:rsidRPr="00237789">
        <w:rPr>
          <w:rFonts w:asciiTheme="minorHAnsi" w:hAnsiTheme="minorHAnsi"/>
          <w:sz w:val="16"/>
          <w:lang w:val="en-US"/>
        </w:rPr>
        <w:t xml:space="preserve">, 1 de mayo de 2012. </w:t>
      </w:r>
      <w:r>
        <w:rPr>
          <w:rFonts w:asciiTheme="minorHAnsi" w:hAnsiTheme="minorHAnsi"/>
          <w:sz w:val="16"/>
        </w:rPr>
        <w:t xml:space="preserve">Disponible en: </w:t>
      </w:r>
      <w:hyperlink r:id="rId74">
        <w:r>
          <w:rPr>
            <w:rStyle w:val="Hyperlink"/>
            <w:rFonts w:asciiTheme="minorHAnsi" w:hAnsiTheme="minorHAnsi"/>
            <w:sz w:val="16"/>
          </w:rPr>
          <w:t>http://law.shu.edu/ProgramsCenters/PublicIntGovServ/policyresearch/upload/hearing-habeas.pdf</w:t>
        </w:r>
      </w:hyperlink>
      <w:r>
        <w:rPr>
          <w:rFonts w:asciiTheme="minorHAnsi" w:hAnsiTheme="minorHAnsi"/>
          <w:sz w:val="16"/>
        </w:rPr>
        <w:t xml:space="preserve"> </w:t>
      </w:r>
    </w:p>
  </w:footnote>
  <w:footnote w:id="192">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Enemigos Combatientes Detenidos: Recursos de Hábeas Corpus ante Corte Federal, 3 de febrero de 2010, pág. 47, citando </w:t>
      </w:r>
      <w:r>
        <w:rPr>
          <w:rFonts w:asciiTheme="minorHAnsi" w:hAnsiTheme="minorHAnsi"/>
          <w:i/>
          <w:sz w:val="16"/>
        </w:rPr>
        <w:t>In re</w:t>
      </w:r>
      <w:r>
        <w:rPr>
          <w:rFonts w:asciiTheme="minorHAnsi" w:hAnsiTheme="minorHAnsi"/>
          <w:sz w:val="16"/>
        </w:rPr>
        <w:t xml:space="preserve"> </w:t>
      </w:r>
      <w:proofErr w:type="spellStart"/>
      <w:r>
        <w:rPr>
          <w:rFonts w:asciiTheme="minorHAnsi" w:hAnsiTheme="minorHAnsi"/>
          <w:sz w:val="16"/>
        </w:rPr>
        <w:t>Guantanamo</w:t>
      </w:r>
      <w:proofErr w:type="spellEnd"/>
      <w:r>
        <w:rPr>
          <w:rFonts w:asciiTheme="minorHAnsi" w:hAnsiTheme="minorHAnsi"/>
          <w:sz w:val="16"/>
        </w:rPr>
        <w:t xml:space="preserve"> </w:t>
      </w:r>
      <w:proofErr w:type="spellStart"/>
      <w:r>
        <w:rPr>
          <w:rFonts w:asciiTheme="minorHAnsi" w:hAnsiTheme="minorHAnsi"/>
          <w:sz w:val="16"/>
        </w:rPr>
        <w:t>Bay</w:t>
      </w:r>
      <w:proofErr w:type="spellEnd"/>
      <w:r>
        <w:rPr>
          <w:rFonts w:asciiTheme="minorHAnsi" w:hAnsiTheme="minorHAnsi"/>
          <w:sz w:val="16"/>
        </w:rPr>
        <w:t xml:space="preserve"> </w:t>
      </w:r>
      <w:proofErr w:type="spellStart"/>
      <w:r>
        <w:rPr>
          <w:rFonts w:asciiTheme="minorHAnsi" w:hAnsiTheme="minorHAnsi"/>
          <w:sz w:val="16"/>
        </w:rPr>
        <w:t>Detainee</w:t>
      </w:r>
      <w:proofErr w:type="spellEnd"/>
      <w:r>
        <w:rPr>
          <w:rFonts w:asciiTheme="minorHAnsi" w:hAnsiTheme="minorHAnsi"/>
          <w:sz w:val="16"/>
        </w:rPr>
        <w:t xml:space="preserve"> </w:t>
      </w:r>
      <w:proofErr w:type="spellStart"/>
      <w:r>
        <w:rPr>
          <w:rFonts w:asciiTheme="minorHAnsi" w:hAnsiTheme="minorHAnsi"/>
          <w:sz w:val="16"/>
        </w:rPr>
        <w:t>Litigation</w:t>
      </w:r>
      <w:proofErr w:type="spellEnd"/>
      <w:r>
        <w:rPr>
          <w:rFonts w:asciiTheme="minorHAnsi" w:hAnsiTheme="minorHAnsi"/>
          <w:sz w:val="16"/>
        </w:rPr>
        <w:t>, No. 08-0442, 2008 WL 5245890, orden, en *1 (D.D.C., 16 de diciembre de 2008</w:t>
      </w:r>
      <w:proofErr w:type="gramStart"/>
      <w:r>
        <w:rPr>
          <w:rFonts w:asciiTheme="minorHAnsi" w:hAnsiTheme="minorHAnsi"/>
          <w:sz w:val="16"/>
        </w:rPr>
        <w:t>)(</w:t>
      </w:r>
      <w:proofErr w:type="spellStart"/>
      <w:proofErr w:type="gramEnd"/>
      <w:r>
        <w:rPr>
          <w:rFonts w:asciiTheme="minorHAnsi" w:hAnsiTheme="minorHAnsi"/>
          <w:sz w:val="16"/>
        </w:rPr>
        <w:t>Hogan</w:t>
      </w:r>
      <w:proofErr w:type="spellEnd"/>
      <w:r>
        <w:rPr>
          <w:rFonts w:asciiTheme="minorHAnsi" w:hAnsiTheme="minorHAnsi"/>
          <w:sz w:val="16"/>
        </w:rPr>
        <w:t>, J.).</w:t>
      </w:r>
    </w:p>
  </w:footnote>
  <w:footnote w:id="193">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proofErr w:type="spellStart"/>
      <w:r>
        <w:rPr>
          <w:rFonts w:asciiTheme="minorHAnsi" w:hAnsiTheme="minorHAnsi"/>
          <w:i/>
          <w:sz w:val="16"/>
        </w:rPr>
        <w:t>Khairkhwa</w:t>
      </w:r>
      <w:proofErr w:type="spellEnd"/>
      <w:r>
        <w:rPr>
          <w:rFonts w:asciiTheme="minorHAnsi" w:hAnsiTheme="minorHAnsi"/>
          <w:i/>
          <w:sz w:val="16"/>
        </w:rPr>
        <w:t xml:space="preserve"> v. Obama</w:t>
      </w:r>
      <w:r>
        <w:rPr>
          <w:rFonts w:asciiTheme="minorHAnsi" w:hAnsiTheme="minorHAnsi"/>
          <w:sz w:val="16"/>
        </w:rPr>
        <w:t>, 703 F.3d 547 (D.C. Cir. 2012).</w:t>
      </w:r>
    </w:p>
  </w:footnote>
  <w:footnote w:id="194">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proofErr w:type="spellStart"/>
      <w:r>
        <w:rPr>
          <w:rFonts w:asciiTheme="minorHAnsi" w:hAnsiTheme="minorHAnsi"/>
          <w:i/>
          <w:sz w:val="16"/>
        </w:rPr>
        <w:t>Hussain</w:t>
      </w:r>
      <w:proofErr w:type="spellEnd"/>
      <w:r>
        <w:rPr>
          <w:rFonts w:asciiTheme="minorHAnsi" w:hAnsiTheme="minorHAnsi"/>
          <w:i/>
          <w:sz w:val="16"/>
        </w:rPr>
        <w:t xml:space="preserve"> v. Obama</w:t>
      </w:r>
      <w:r>
        <w:rPr>
          <w:rFonts w:asciiTheme="minorHAnsi" w:hAnsiTheme="minorHAnsi"/>
          <w:sz w:val="16"/>
        </w:rPr>
        <w:t>, 718 F.3d 964 (D.C. Cir. 2013).</w:t>
      </w:r>
    </w:p>
  </w:footnote>
  <w:footnote w:id="195">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proofErr w:type="spellStart"/>
      <w:r>
        <w:rPr>
          <w:rFonts w:asciiTheme="minorHAnsi" w:hAnsiTheme="minorHAnsi"/>
          <w:i/>
          <w:sz w:val="16"/>
        </w:rPr>
        <w:t>Hussain</w:t>
      </w:r>
      <w:proofErr w:type="spellEnd"/>
      <w:r>
        <w:rPr>
          <w:rFonts w:asciiTheme="minorHAnsi" w:hAnsiTheme="minorHAnsi"/>
          <w:i/>
          <w:sz w:val="16"/>
        </w:rPr>
        <w:t xml:space="preserve"> v. Obama</w:t>
      </w:r>
      <w:r>
        <w:rPr>
          <w:rFonts w:asciiTheme="minorHAnsi" w:hAnsiTheme="minorHAnsi"/>
          <w:sz w:val="16"/>
        </w:rPr>
        <w:t>, 718 F.3d 964 (D.C. Cir. 2013), voto concurrente, párr. 5.</w:t>
      </w:r>
    </w:p>
  </w:footnote>
  <w:footnote w:id="196">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proofErr w:type="spellStart"/>
      <w:r>
        <w:rPr>
          <w:rFonts w:asciiTheme="minorHAnsi" w:hAnsiTheme="minorHAnsi"/>
          <w:i/>
          <w:sz w:val="16"/>
        </w:rPr>
        <w:t>Hussain</w:t>
      </w:r>
      <w:proofErr w:type="spellEnd"/>
      <w:r>
        <w:rPr>
          <w:rFonts w:asciiTheme="minorHAnsi" w:hAnsiTheme="minorHAnsi"/>
          <w:i/>
          <w:sz w:val="16"/>
        </w:rPr>
        <w:t xml:space="preserve"> v. Obama</w:t>
      </w:r>
      <w:r>
        <w:rPr>
          <w:rFonts w:asciiTheme="minorHAnsi" w:hAnsiTheme="minorHAnsi"/>
          <w:sz w:val="16"/>
        </w:rPr>
        <w:t xml:space="preserve">, 718 F.3d 964 (D.C. Cir. 2013), voto concurrente, </w:t>
      </w:r>
      <w:proofErr w:type="spellStart"/>
      <w:r>
        <w:rPr>
          <w:rFonts w:asciiTheme="minorHAnsi" w:hAnsiTheme="minorHAnsi"/>
          <w:sz w:val="16"/>
        </w:rPr>
        <w:t>párrs</w:t>
      </w:r>
      <w:proofErr w:type="spellEnd"/>
      <w:r>
        <w:rPr>
          <w:rFonts w:asciiTheme="minorHAnsi" w:hAnsiTheme="minorHAnsi"/>
          <w:sz w:val="16"/>
        </w:rPr>
        <w:t>.  4-5.</w:t>
      </w:r>
    </w:p>
  </w:footnote>
  <w:footnote w:id="197">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proofErr w:type="spellStart"/>
      <w:r>
        <w:rPr>
          <w:rFonts w:asciiTheme="minorHAnsi" w:hAnsiTheme="minorHAnsi"/>
          <w:i/>
          <w:sz w:val="16"/>
        </w:rPr>
        <w:t>Boumediene</w:t>
      </w:r>
      <w:proofErr w:type="spellEnd"/>
      <w:r>
        <w:rPr>
          <w:rFonts w:asciiTheme="minorHAnsi" w:hAnsiTheme="minorHAnsi"/>
          <w:i/>
          <w:sz w:val="16"/>
        </w:rPr>
        <w:t xml:space="preserve"> v. Bush</w:t>
      </w:r>
      <w:r>
        <w:rPr>
          <w:rFonts w:asciiTheme="minorHAnsi" w:hAnsiTheme="minorHAnsi"/>
          <w:sz w:val="16"/>
        </w:rPr>
        <w:t>, 553 U.S. 723 (2008) párr. 58.</w:t>
      </w:r>
    </w:p>
  </w:footnote>
  <w:footnote w:id="198">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i/>
          <w:sz w:val="16"/>
        </w:rPr>
        <w:t xml:space="preserve">In re </w:t>
      </w:r>
      <w:proofErr w:type="spellStart"/>
      <w:r>
        <w:rPr>
          <w:rFonts w:asciiTheme="minorHAnsi" w:hAnsiTheme="minorHAnsi"/>
          <w:i/>
          <w:sz w:val="16"/>
        </w:rPr>
        <w:t>Guantanamo</w:t>
      </w:r>
      <w:proofErr w:type="spellEnd"/>
      <w:r>
        <w:rPr>
          <w:rFonts w:asciiTheme="minorHAnsi" w:hAnsiTheme="minorHAnsi"/>
          <w:i/>
          <w:sz w:val="16"/>
        </w:rPr>
        <w:t xml:space="preserve"> </w:t>
      </w:r>
      <w:proofErr w:type="spellStart"/>
      <w:r>
        <w:rPr>
          <w:rFonts w:asciiTheme="minorHAnsi" w:hAnsiTheme="minorHAnsi"/>
          <w:i/>
          <w:sz w:val="16"/>
        </w:rPr>
        <w:t>Bay</w:t>
      </w:r>
      <w:proofErr w:type="spellEnd"/>
      <w:r>
        <w:rPr>
          <w:rFonts w:asciiTheme="minorHAnsi" w:hAnsiTheme="minorHAnsi"/>
          <w:i/>
          <w:sz w:val="16"/>
        </w:rPr>
        <w:t xml:space="preserve"> </w:t>
      </w:r>
      <w:proofErr w:type="spellStart"/>
      <w:r>
        <w:rPr>
          <w:rFonts w:asciiTheme="minorHAnsi" w:hAnsiTheme="minorHAnsi"/>
          <w:i/>
          <w:sz w:val="16"/>
        </w:rPr>
        <w:t>Detainee</w:t>
      </w:r>
      <w:proofErr w:type="spellEnd"/>
      <w:r>
        <w:rPr>
          <w:rFonts w:asciiTheme="minorHAnsi" w:hAnsiTheme="minorHAnsi"/>
          <w:i/>
          <w:sz w:val="16"/>
        </w:rPr>
        <w:t xml:space="preserve"> </w:t>
      </w:r>
      <w:proofErr w:type="spellStart"/>
      <w:r>
        <w:rPr>
          <w:rFonts w:asciiTheme="minorHAnsi" w:hAnsiTheme="minorHAnsi"/>
          <w:i/>
          <w:sz w:val="16"/>
        </w:rPr>
        <w:t>Litig</w:t>
      </w:r>
      <w:proofErr w:type="spellEnd"/>
      <w:r>
        <w:rPr>
          <w:rFonts w:asciiTheme="minorHAnsi" w:hAnsiTheme="minorHAnsi"/>
          <w:i/>
          <w:sz w:val="16"/>
        </w:rPr>
        <w:t>.</w:t>
      </w:r>
      <w:r>
        <w:rPr>
          <w:rFonts w:asciiTheme="minorHAnsi" w:hAnsiTheme="minorHAnsi"/>
          <w:sz w:val="16"/>
        </w:rPr>
        <w:t xml:space="preserve">, </w:t>
      </w:r>
      <w:proofErr w:type="spellStart"/>
      <w:r>
        <w:rPr>
          <w:rFonts w:asciiTheme="minorHAnsi" w:hAnsiTheme="minorHAnsi"/>
          <w:sz w:val="16"/>
        </w:rPr>
        <w:t>Misc</w:t>
      </w:r>
      <w:proofErr w:type="spellEnd"/>
      <w:r>
        <w:rPr>
          <w:rFonts w:asciiTheme="minorHAnsi" w:hAnsiTheme="minorHAnsi"/>
          <w:sz w:val="16"/>
        </w:rPr>
        <w:t>. No. 08-442, CMO § II.A (6 de noviembre de 2008).</w:t>
      </w:r>
    </w:p>
  </w:footnote>
  <w:footnote w:id="199">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Escrito del Peticionario-Apelante, párr. 48, citado en: </w:t>
      </w:r>
      <w:r>
        <w:rPr>
          <w:rFonts w:asciiTheme="minorHAnsi" w:hAnsiTheme="minorHAnsi"/>
          <w:i/>
          <w:sz w:val="16"/>
        </w:rPr>
        <w:t>Al-</w:t>
      </w:r>
      <w:proofErr w:type="spellStart"/>
      <w:r>
        <w:rPr>
          <w:rFonts w:asciiTheme="minorHAnsi" w:hAnsiTheme="minorHAnsi"/>
          <w:i/>
          <w:sz w:val="16"/>
        </w:rPr>
        <w:t>Bihani</w:t>
      </w:r>
      <w:proofErr w:type="spellEnd"/>
      <w:r>
        <w:rPr>
          <w:rFonts w:asciiTheme="minorHAnsi" w:hAnsiTheme="minorHAnsi"/>
          <w:i/>
          <w:sz w:val="16"/>
        </w:rPr>
        <w:t xml:space="preserve"> v. Obama</w:t>
      </w:r>
      <w:r>
        <w:rPr>
          <w:rFonts w:asciiTheme="minorHAnsi" w:hAnsiTheme="minorHAnsi"/>
          <w:sz w:val="16"/>
        </w:rPr>
        <w:t xml:space="preserve">, 590 F.3d 866, 877 (D.C. Cir. 2010). </w:t>
      </w:r>
    </w:p>
  </w:footnote>
  <w:footnote w:id="200">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i/>
          <w:sz w:val="16"/>
        </w:rPr>
        <w:t>Al-</w:t>
      </w:r>
      <w:proofErr w:type="spellStart"/>
      <w:r>
        <w:rPr>
          <w:rFonts w:asciiTheme="minorHAnsi" w:hAnsiTheme="minorHAnsi"/>
          <w:i/>
          <w:sz w:val="16"/>
        </w:rPr>
        <w:t>Bihani</w:t>
      </w:r>
      <w:proofErr w:type="spellEnd"/>
      <w:r>
        <w:rPr>
          <w:rFonts w:asciiTheme="minorHAnsi" w:hAnsiTheme="minorHAnsi"/>
          <w:i/>
          <w:sz w:val="16"/>
        </w:rPr>
        <w:t xml:space="preserve"> v. Obama</w:t>
      </w:r>
      <w:r>
        <w:rPr>
          <w:rFonts w:asciiTheme="minorHAnsi" w:hAnsiTheme="minorHAnsi"/>
          <w:sz w:val="16"/>
        </w:rPr>
        <w:t xml:space="preserve">, 590 F.3d 866, 877 (D.C. Cir. 2010), citando </w:t>
      </w:r>
      <w:proofErr w:type="spellStart"/>
      <w:r>
        <w:rPr>
          <w:rFonts w:asciiTheme="minorHAnsi" w:hAnsiTheme="minorHAnsi"/>
          <w:i/>
          <w:sz w:val="16"/>
        </w:rPr>
        <w:t>Hamdi</w:t>
      </w:r>
      <w:proofErr w:type="spellEnd"/>
      <w:r>
        <w:rPr>
          <w:rFonts w:asciiTheme="minorHAnsi" w:hAnsiTheme="minorHAnsi"/>
          <w:i/>
          <w:sz w:val="16"/>
        </w:rPr>
        <w:t xml:space="preserve"> v. Rumsfeld</w:t>
      </w:r>
      <w:r>
        <w:rPr>
          <w:rFonts w:asciiTheme="minorHAnsi" w:hAnsiTheme="minorHAnsi"/>
          <w:sz w:val="16"/>
        </w:rPr>
        <w:t xml:space="preserve"> 542 U.S. 507 (2004).</w:t>
      </w:r>
    </w:p>
  </w:footnote>
  <w:footnote w:id="201">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proofErr w:type="spellStart"/>
      <w:r>
        <w:rPr>
          <w:rFonts w:asciiTheme="minorHAnsi" w:hAnsiTheme="minorHAnsi"/>
          <w:i/>
          <w:sz w:val="16"/>
        </w:rPr>
        <w:t>Latif</w:t>
      </w:r>
      <w:proofErr w:type="spellEnd"/>
      <w:r>
        <w:rPr>
          <w:rFonts w:asciiTheme="minorHAnsi" w:hAnsiTheme="minorHAnsi"/>
          <w:i/>
          <w:sz w:val="16"/>
        </w:rPr>
        <w:t xml:space="preserve"> v. Obama</w:t>
      </w:r>
      <w:r>
        <w:rPr>
          <w:rFonts w:asciiTheme="minorHAnsi" w:hAnsiTheme="minorHAnsi"/>
          <w:sz w:val="16"/>
        </w:rPr>
        <w:t>, 677 F.3d 1175 (D.C. Cir. 2012).  Decidido el 14 de octubre de 2011, y nuevamente el 27 de abril de 2012.</w:t>
      </w:r>
    </w:p>
  </w:footnote>
  <w:footnote w:id="202">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Voto Disidente del Juez de Circuito </w:t>
      </w:r>
      <w:proofErr w:type="spellStart"/>
      <w:r>
        <w:rPr>
          <w:rFonts w:asciiTheme="minorHAnsi" w:hAnsiTheme="minorHAnsi"/>
          <w:sz w:val="16"/>
        </w:rPr>
        <w:t>Tatel</w:t>
      </w:r>
      <w:proofErr w:type="spellEnd"/>
      <w:r>
        <w:rPr>
          <w:rFonts w:asciiTheme="minorHAnsi" w:hAnsiTheme="minorHAnsi"/>
          <w:sz w:val="16"/>
        </w:rPr>
        <w:t>, párr. 2.</w:t>
      </w:r>
      <w:r>
        <w:rPr>
          <w:rFonts w:asciiTheme="minorHAnsi" w:hAnsiTheme="minorHAnsi"/>
          <w:i/>
          <w:sz w:val="16"/>
        </w:rPr>
        <w:t xml:space="preserve"> </w:t>
      </w:r>
      <w:proofErr w:type="spellStart"/>
      <w:r>
        <w:rPr>
          <w:rFonts w:asciiTheme="minorHAnsi" w:hAnsiTheme="minorHAnsi"/>
          <w:i/>
          <w:sz w:val="16"/>
        </w:rPr>
        <w:t>Latif</w:t>
      </w:r>
      <w:proofErr w:type="spellEnd"/>
      <w:r>
        <w:rPr>
          <w:rFonts w:asciiTheme="minorHAnsi" w:hAnsiTheme="minorHAnsi"/>
          <w:i/>
          <w:sz w:val="16"/>
        </w:rPr>
        <w:t xml:space="preserve"> v. Obama</w:t>
      </w:r>
      <w:r>
        <w:rPr>
          <w:rFonts w:asciiTheme="minorHAnsi" w:hAnsiTheme="minorHAnsi"/>
          <w:sz w:val="16"/>
        </w:rPr>
        <w:t xml:space="preserve">, 677 F.3d 1175 (D.C. Cir. 2012).  </w:t>
      </w:r>
    </w:p>
  </w:footnote>
  <w:footnote w:id="203">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Voto Disidente del Juez de Circuito </w:t>
      </w:r>
      <w:proofErr w:type="spellStart"/>
      <w:r>
        <w:rPr>
          <w:rFonts w:asciiTheme="minorHAnsi" w:hAnsiTheme="minorHAnsi"/>
          <w:sz w:val="16"/>
        </w:rPr>
        <w:t>Tatel</w:t>
      </w:r>
      <w:proofErr w:type="spellEnd"/>
      <w:r>
        <w:rPr>
          <w:rFonts w:asciiTheme="minorHAnsi" w:hAnsiTheme="minorHAnsi"/>
          <w:sz w:val="16"/>
        </w:rPr>
        <w:t>, párr</w:t>
      </w:r>
      <w:proofErr w:type="gramStart"/>
      <w:r>
        <w:rPr>
          <w:rFonts w:asciiTheme="minorHAnsi" w:hAnsiTheme="minorHAnsi"/>
          <w:sz w:val="16"/>
        </w:rPr>
        <w:t>..</w:t>
      </w:r>
      <w:proofErr w:type="gramEnd"/>
      <w:r>
        <w:rPr>
          <w:rFonts w:asciiTheme="minorHAnsi" w:hAnsiTheme="minorHAnsi"/>
          <w:sz w:val="16"/>
        </w:rPr>
        <w:t xml:space="preserve"> 2.</w:t>
      </w:r>
      <w:r>
        <w:rPr>
          <w:rFonts w:asciiTheme="minorHAnsi" w:hAnsiTheme="minorHAnsi"/>
          <w:i/>
          <w:sz w:val="16"/>
        </w:rPr>
        <w:t xml:space="preserve"> </w:t>
      </w:r>
      <w:proofErr w:type="spellStart"/>
      <w:r>
        <w:rPr>
          <w:rFonts w:asciiTheme="minorHAnsi" w:hAnsiTheme="minorHAnsi"/>
          <w:i/>
          <w:sz w:val="16"/>
        </w:rPr>
        <w:t>Latif</w:t>
      </w:r>
      <w:proofErr w:type="spellEnd"/>
      <w:r>
        <w:rPr>
          <w:rFonts w:asciiTheme="minorHAnsi" w:hAnsiTheme="minorHAnsi"/>
          <w:i/>
          <w:sz w:val="16"/>
        </w:rPr>
        <w:t xml:space="preserve"> v. Obama</w:t>
      </w:r>
      <w:r>
        <w:rPr>
          <w:rFonts w:asciiTheme="minorHAnsi" w:hAnsiTheme="minorHAnsi"/>
          <w:sz w:val="16"/>
        </w:rPr>
        <w:t xml:space="preserve">, 677 F.3d 1175 (D.C. Cir. 2012).  </w:t>
      </w:r>
    </w:p>
  </w:footnote>
  <w:footnote w:id="204">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proofErr w:type="spellStart"/>
      <w:r>
        <w:rPr>
          <w:rFonts w:asciiTheme="minorHAnsi" w:hAnsiTheme="minorHAnsi"/>
          <w:sz w:val="16"/>
        </w:rPr>
        <w:t>Hafetz</w:t>
      </w:r>
      <w:proofErr w:type="spellEnd"/>
      <w:r>
        <w:rPr>
          <w:rFonts w:asciiTheme="minorHAnsi" w:hAnsiTheme="minorHAnsi"/>
          <w:sz w:val="16"/>
        </w:rPr>
        <w:t xml:space="preserve">, Jonathan, Llamando al Gobierno a Asumir la Responsabilidad: Hábeas Corpus después de </w:t>
      </w:r>
      <w:proofErr w:type="spellStart"/>
      <w:r>
        <w:rPr>
          <w:rFonts w:asciiTheme="minorHAnsi" w:hAnsiTheme="minorHAnsi"/>
          <w:sz w:val="16"/>
        </w:rPr>
        <w:t>Boumediene</w:t>
      </w:r>
      <w:proofErr w:type="spellEnd"/>
      <w:r>
        <w:rPr>
          <w:rFonts w:asciiTheme="minorHAnsi" w:hAnsiTheme="minorHAnsi"/>
          <w:sz w:val="16"/>
        </w:rPr>
        <w:t xml:space="preserve"> (14 de diciembre de 2011), pág. 12.</w:t>
      </w:r>
    </w:p>
  </w:footnote>
  <w:footnote w:id="205">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proofErr w:type="spellStart"/>
      <w:r>
        <w:rPr>
          <w:rFonts w:asciiTheme="minorHAnsi" w:hAnsiTheme="minorHAnsi"/>
          <w:sz w:val="16"/>
        </w:rPr>
        <w:t>Esmail</w:t>
      </w:r>
      <w:proofErr w:type="spellEnd"/>
      <w:r>
        <w:rPr>
          <w:rFonts w:asciiTheme="minorHAnsi" w:hAnsiTheme="minorHAnsi"/>
          <w:sz w:val="16"/>
        </w:rPr>
        <w:t xml:space="preserve">, 639 F.3d párr. 1078 (voto concurrente de </w:t>
      </w:r>
      <w:proofErr w:type="spellStart"/>
      <w:r>
        <w:rPr>
          <w:rFonts w:asciiTheme="minorHAnsi" w:hAnsiTheme="minorHAnsi"/>
          <w:sz w:val="16"/>
        </w:rPr>
        <w:t>Silberman</w:t>
      </w:r>
      <w:proofErr w:type="spellEnd"/>
      <w:r>
        <w:rPr>
          <w:rFonts w:asciiTheme="minorHAnsi" w:hAnsiTheme="minorHAnsi"/>
          <w:sz w:val="16"/>
        </w:rPr>
        <w:t>, J.).</w:t>
      </w:r>
    </w:p>
  </w:footnote>
  <w:footnote w:id="206">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proofErr w:type="spellStart"/>
      <w:r>
        <w:rPr>
          <w:rFonts w:asciiTheme="minorHAnsi" w:hAnsiTheme="minorHAnsi"/>
          <w:i/>
          <w:sz w:val="16"/>
        </w:rPr>
        <w:t>Abdulmalik</w:t>
      </w:r>
      <w:proofErr w:type="spellEnd"/>
      <w:r>
        <w:rPr>
          <w:rFonts w:asciiTheme="minorHAnsi" w:hAnsiTheme="minorHAnsi"/>
          <w:i/>
          <w:sz w:val="16"/>
        </w:rPr>
        <w:t xml:space="preserve"> v. Obama</w:t>
      </w:r>
      <w:r>
        <w:rPr>
          <w:rFonts w:asciiTheme="minorHAnsi" w:hAnsiTheme="minorHAnsi"/>
          <w:sz w:val="16"/>
        </w:rPr>
        <w:t xml:space="preserve">, 802 F. </w:t>
      </w:r>
      <w:proofErr w:type="spellStart"/>
      <w:r>
        <w:rPr>
          <w:rFonts w:asciiTheme="minorHAnsi" w:hAnsiTheme="minorHAnsi"/>
          <w:sz w:val="16"/>
        </w:rPr>
        <w:t>Supp</w:t>
      </w:r>
      <w:proofErr w:type="spellEnd"/>
      <w:r>
        <w:rPr>
          <w:rFonts w:asciiTheme="minorHAnsi" w:hAnsiTheme="minorHAnsi"/>
          <w:sz w:val="16"/>
        </w:rPr>
        <w:t>. 2d 1 (D.D.C. 2011).</w:t>
      </w:r>
    </w:p>
  </w:footnote>
  <w:footnote w:id="207">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proofErr w:type="spellStart"/>
      <w:r>
        <w:rPr>
          <w:rFonts w:asciiTheme="minorHAnsi" w:hAnsiTheme="minorHAnsi"/>
          <w:i/>
          <w:sz w:val="16"/>
        </w:rPr>
        <w:t>Hamdi</w:t>
      </w:r>
      <w:proofErr w:type="spellEnd"/>
      <w:r>
        <w:rPr>
          <w:rFonts w:asciiTheme="minorHAnsi" w:hAnsiTheme="minorHAnsi"/>
          <w:i/>
          <w:sz w:val="16"/>
        </w:rPr>
        <w:t xml:space="preserve"> v. Rumsfeld</w:t>
      </w:r>
      <w:r>
        <w:rPr>
          <w:rFonts w:asciiTheme="minorHAnsi" w:hAnsiTheme="minorHAnsi"/>
          <w:sz w:val="16"/>
        </w:rPr>
        <w:t xml:space="preserve"> 542 U.S. 507 (2004) párr. 533.</w:t>
      </w:r>
    </w:p>
  </w:footnote>
  <w:footnote w:id="208">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i/>
          <w:sz w:val="16"/>
        </w:rPr>
        <w:t xml:space="preserve">In re </w:t>
      </w:r>
      <w:proofErr w:type="spellStart"/>
      <w:r>
        <w:rPr>
          <w:rFonts w:asciiTheme="minorHAnsi" w:hAnsiTheme="minorHAnsi"/>
          <w:i/>
          <w:sz w:val="16"/>
        </w:rPr>
        <w:t>Guantanamo</w:t>
      </w:r>
      <w:proofErr w:type="spellEnd"/>
      <w:r>
        <w:rPr>
          <w:rFonts w:asciiTheme="minorHAnsi" w:hAnsiTheme="minorHAnsi"/>
          <w:i/>
          <w:sz w:val="16"/>
        </w:rPr>
        <w:t xml:space="preserve"> </w:t>
      </w:r>
      <w:proofErr w:type="spellStart"/>
      <w:r>
        <w:rPr>
          <w:rFonts w:asciiTheme="minorHAnsi" w:hAnsiTheme="minorHAnsi"/>
          <w:i/>
          <w:sz w:val="16"/>
        </w:rPr>
        <w:t>Bay</w:t>
      </w:r>
      <w:proofErr w:type="spellEnd"/>
      <w:r>
        <w:rPr>
          <w:rFonts w:asciiTheme="minorHAnsi" w:hAnsiTheme="minorHAnsi"/>
          <w:i/>
          <w:sz w:val="16"/>
        </w:rPr>
        <w:t xml:space="preserve"> </w:t>
      </w:r>
      <w:proofErr w:type="spellStart"/>
      <w:r>
        <w:rPr>
          <w:rFonts w:asciiTheme="minorHAnsi" w:hAnsiTheme="minorHAnsi"/>
          <w:i/>
          <w:sz w:val="16"/>
        </w:rPr>
        <w:t>Detainee</w:t>
      </w:r>
      <w:proofErr w:type="spellEnd"/>
      <w:r>
        <w:rPr>
          <w:rFonts w:asciiTheme="minorHAnsi" w:hAnsiTheme="minorHAnsi"/>
          <w:i/>
          <w:sz w:val="16"/>
        </w:rPr>
        <w:t xml:space="preserve"> </w:t>
      </w:r>
      <w:proofErr w:type="spellStart"/>
      <w:r>
        <w:rPr>
          <w:rFonts w:asciiTheme="minorHAnsi" w:hAnsiTheme="minorHAnsi"/>
          <w:i/>
          <w:sz w:val="16"/>
        </w:rPr>
        <w:t>Litig</w:t>
      </w:r>
      <w:proofErr w:type="spellEnd"/>
      <w:r>
        <w:rPr>
          <w:rFonts w:asciiTheme="minorHAnsi" w:hAnsiTheme="minorHAnsi"/>
          <w:i/>
          <w:sz w:val="16"/>
        </w:rPr>
        <w:t>.</w:t>
      </w:r>
      <w:r>
        <w:rPr>
          <w:rFonts w:asciiTheme="minorHAnsi" w:hAnsiTheme="minorHAnsi"/>
          <w:sz w:val="16"/>
        </w:rPr>
        <w:t xml:space="preserve">, </w:t>
      </w:r>
      <w:proofErr w:type="spellStart"/>
      <w:r>
        <w:rPr>
          <w:rFonts w:asciiTheme="minorHAnsi" w:hAnsiTheme="minorHAnsi"/>
          <w:sz w:val="16"/>
        </w:rPr>
        <w:t>Misc</w:t>
      </w:r>
      <w:proofErr w:type="spellEnd"/>
      <w:r>
        <w:rPr>
          <w:rFonts w:asciiTheme="minorHAnsi" w:hAnsiTheme="minorHAnsi"/>
          <w:sz w:val="16"/>
        </w:rPr>
        <w:t>. No. 08-442, CMO § II.A (6 de noviembre de 2008).</w:t>
      </w:r>
    </w:p>
  </w:footnote>
  <w:footnote w:id="209">
    <w:p w:rsidR="00AF130B" w:rsidRPr="005D0288" w:rsidRDefault="00AF130B" w:rsidP="00CE3EC6">
      <w:pPr>
        <w:pStyle w:val="FootnoteText"/>
        <w:ind w:left="547" w:hanging="547"/>
        <w:jc w:val="both"/>
        <w:rPr>
          <w:rFonts w:asciiTheme="minorHAnsi" w:hAnsiTheme="minorHAnsi"/>
          <w:sz w:val="16"/>
          <w:szCs w:val="16"/>
          <w:lang w:val="en-US"/>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i/>
          <w:sz w:val="16"/>
        </w:rPr>
        <w:t>Al-</w:t>
      </w:r>
      <w:proofErr w:type="spellStart"/>
      <w:r>
        <w:rPr>
          <w:rFonts w:asciiTheme="minorHAnsi" w:hAnsiTheme="minorHAnsi"/>
          <w:i/>
          <w:sz w:val="16"/>
        </w:rPr>
        <w:t>Bihani</w:t>
      </w:r>
      <w:proofErr w:type="spellEnd"/>
      <w:r>
        <w:rPr>
          <w:rFonts w:asciiTheme="minorHAnsi" w:hAnsiTheme="minorHAnsi"/>
          <w:i/>
          <w:sz w:val="16"/>
        </w:rPr>
        <w:t xml:space="preserve"> v. Obama</w:t>
      </w:r>
      <w:r>
        <w:rPr>
          <w:rFonts w:asciiTheme="minorHAnsi" w:hAnsiTheme="minorHAnsi"/>
          <w:sz w:val="16"/>
        </w:rPr>
        <w:t xml:space="preserve">, 590 F.3d 866, 877 (D.C. Cir. 2010) párr. </w:t>
      </w:r>
      <w:r w:rsidRPr="00237789">
        <w:rPr>
          <w:rFonts w:asciiTheme="minorHAnsi" w:hAnsiTheme="minorHAnsi"/>
          <w:sz w:val="16"/>
          <w:lang w:val="en-US"/>
        </w:rPr>
        <w:t>879.</w:t>
      </w:r>
    </w:p>
  </w:footnote>
  <w:footnote w:id="210">
    <w:p w:rsidR="00AF130B" w:rsidRPr="005D0288" w:rsidRDefault="00AF130B" w:rsidP="00CE3EC6">
      <w:pPr>
        <w:pStyle w:val="FootnoteText"/>
        <w:ind w:left="547" w:hanging="547"/>
        <w:jc w:val="both"/>
        <w:rPr>
          <w:rFonts w:asciiTheme="minorHAnsi" w:hAnsiTheme="minorHAnsi"/>
          <w:sz w:val="16"/>
          <w:szCs w:val="16"/>
          <w:lang w:val="en-US"/>
        </w:rPr>
      </w:pPr>
      <w:r>
        <w:rPr>
          <w:rStyle w:val="FootnoteReference"/>
          <w:rFonts w:asciiTheme="minorHAnsi" w:hAnsiTheme="minorHAnsi"/>
          <w:sz w:val="16"/>
        </w:rPr>
        <w:footnoteRef/>
      </w:r>
      <w:r w:rsidRPr="00237789">
        <w:rPr>
          <w:rFonts w:asciiTheme="minorHAnsi" w:hAnsiTheme="minorHAnsi"/>
          <w:sz w:val="16"/>
          <w:lang w:val="en-US"/>
        </w:rPr>
        <w:t xml:space="preserve"> </w:t>
      </w:r>
      <w:r w:rsidRPr="00237789">
        <w:rPr>
          <w:lang w:val="en-US"/>
        </w:rPr>
        <w:tab/>
      </w:r>
      <w:proofErr w:type="spellStart"/>
      <w:proofErr w:type="gramStart"/>
      <w:r w:rsidRPr="00237789">
        <w:rPr>
          <w:rFonts w:asciiTheme="minorHAnsi" w:hAnsiTheme="minorHAnsi"/>
          <w:i/>
          <w:sz w:val="16"/>
          <w:lang w:val="en-US"/>
        </w:rPr>
        <w:t>Mousovi</w:t>
      </w:r>
      <w:proofErr w:type="spellEnd"/>
      <w:r w:rsidRPr="00237789">
        <w:rPr>
          <w:rFonts w:asciiTheme="minorHAnsi" w:hAnsiTheme="minorHAnsi"/>
          <w:i/>
          <w:sz w:val="16"/>
          <w:lang w:val="en-US"/>
        </w:rPr>
        <w:t xml:space="preserve"> v. Obama</w:t>
      </w:r>
      <w:r w:rsidRPr="00237789">
        <w:rPr>
          <w:rFonts w:asciiTheme="minorHAnsi" w:hAnsiTheme="minorHAnsi"/>
          <w:sz w:val="16"/>
          <w:lang w:val="en-US"/>
        </w:rPr>
        <w:t>, 916 F. Supp. 2d 67 (D.D.C. 2013).</w:t>
      </w:r>
      <w:proofErr w:type="gramEnd"/>
    </w:p>
  </w:footnote>
  <w:footnote w:id="211">
    <w:p w:rsidR="00AF130B" w:rsidRPr="005D0288" w:rsidRDefault="00AF130B" w:rsidP="00CE3EC6">
      <w:pPr>
        <w:pStyle w:val="FootnoteText"/>
        <w:ind w:left="547" w:hanging="547"/>
        <w:jc w:val="both"/>
        <w:rPr>
          <w:rFonts w:asciiTheme="minorHAnsi" w:hAnsiTheme="minorHAnsi"/>
          <w:sz w:val="16"/>
          <w:szCs w:val="16"/>
          <w:lang w:val="en-US"/>
        </w:rPr>
      </w:pPr>
      <w:r>
        <w:rPr>
          <w:rStyle w:val="FootnoteReference"/>
          <w:rFonts w:asciiTheme="minorHAnsi" w:hAnsiTheme="minorHAnsi"/>
          <w:sz w:val="16"/>
        </w:rPr>
        <w:footnoteRef/>
      </w:r>
      <w:r w:rsidRPr="00237789">
        <w:rPr>
          <w:rFonts w:asciiTheme="minorHAnsi" w:hAnsiTheme="minorHAnsi"/>
          <w:sz w:val="16"/>
          <w:lang w:val="en-US"/>
        </w:rPr>
        <w:t xml:space="preserve"> </w:t>
      </w:r>
      <w:r w:rsidRPr="00237789">
        <w:rPr>
          <w:lang w:val="en-US"/>
        </w:rPr>
        <w:tab/>
      </w:r>
      <w:proofErr w:type="gramStart"/>
      <w:r w:rsidRPr="00237789">
        <w:rPr>
          <w:rFonts w:asciiTheme="minorHAnsi" w:hAnsiTheme="minorHAnsi"/>
          <w:i/>
          <w:sz w:val="16"/>
          <w:lang w:val="en-US"/>
        </w:rPr>
        <w:t>International Counsel Bureau v. U.S. Dep’t of Defense</w:t>
      </w:r>
      <w:r w:rsidRPr="00237789">
        <w:rPr>
          <w:rFonts w:asciiTheme="minorHAnsi" w:hAnsiTheme="minorHAnsi"/>
          <w:sz w:val="16"/>
          <w:lang w:val="en-US"/>
        </w:rPr>
        <w:t>, 906 F. Supp. 2d 1 (D.D.C. 2012).</w:t>
      </w:r>
      <w:proofErr w:type="gramEnd"/>
    </w:p>
  </w:footnote>
  <w:footnote w:id="212">
    <w:p w:rsidR="00AF130B" w:rsidRPr="005D0288" w:rsidRDefault="00AF130B" w:rsidP="00CE3EC6">
      <w:pPr>
        <w:pStyle w:val="FootnoteText"/>
        <w:ind w:left="547" w:hanging="547"/>
        <w:jc w:val="both"/>
        <w:rPr>
          <w:rFonts w:asciiTheme="minorHAnsi" w:hAnsiTheme="minorHAnsi"/>
          <w:sz w:val="16"/>
          <w:szCs w:val="16"/>
          <w:lang w:val="en-US"/>
        </w:rPr>
      </w:pPr>
      <w:r>
        <w:rPr>
          <w:rStyle w:val="FootnoteReference"/>
          <w:rFonts w:asciiTheme="minorHAnsi" w:hAnsiTheme="minorHAnsi"/>
          <w:sz w:val="16"/>
        </w:rPr>
        <w:footnoteRef/>
      </w:r>
      <w:r w:rsidRPr="00237789">
        <w:rPr>
          <w:rFonts w:asciiTheme="minorHAnsi" w:hAnsiTheme="minorHAnsi"/>
          <w:sz w:val="16"/>
          <w:lang w:val="en-US"/>
        </w:rPr>
        <w:t xml:space="preserve"> </w:t>
      </w:r>
      <w:r w:rsidRPr="00237789">
        <w:rPr>
          <w:lang w:val="en-US"/>
        </w:rPr>
        <w:tab/>
      </w:r>
      <w:r w:rsidRPr="00237789">
        <w:rPr>
          <w:rFonts w:asciiTheme="minorHAnsi" w:hAnsiTheme="minorHAnsi"/>
          <w:i/>
          <w:sz w:val="16"/>
          <w:lang w:val="en-US"/>
        </w:rPr>
        <w:t xml:space="preserve">In re Guantanamo Bay Detainee </w:t>
      </w:r>
      <w:proofErr w:type="spellStart"/>
      <w:proofErr w:type="gramStart"/>
      <w:r w:rsidRPr="00237789">
        <w:rPr>
          <w:rFonts w:asciiTheme="minorHAnsi" w:hAnsiTheme="minorHAnsi"/>
          <w:i/>
          <w:sz w:val="16"/>
          <w:lang w:val="en-US"/>
        </w:rPr>
        <w:t>Litig</w:t>
      </w:r>
      <w:proofErr w:type="spellEnd"/>
      <w:r w:rsidRPr="00237789">
        <w:rPr>
          <w:rFonts w:asciiTheme="minorHAnsi" w:hAnsiTheme="minorHAnsi"/>
          <w:i/>
          <w:sz w:val="16"/>
          <w:lang w:val="en-US"/>
        </w:rPr>
        <w:t>.</w:t>
      </w:r>
      <w:r w:rsidRPr="00237789">
        <w:rPr>
          <w:rFonts w:asciiTheme="minorHAnsi" w:hAnsiTheme="minorHAnsi"/>
          <w:sz w:val="16"/>
          <w:lang w:val="en-US"/>
        </w:rPr>
        <w:t>,</w:t>
      </w:r>
      <w:proofErr w:type="gramEnd"/>
      <w:r w:rsidRPr="00237789">
        <w:rPr>
          <w:rFonts w:asciiTheme="minorHAnsi" w:hAnsiTheme="minorHAnsi"/>
          <w:sz w:val="16"/>
          <w:lang w:val="en-US"/>
        </w:rPr>
        <w:t xml:space="preserve"> 787 F. Supp. 2d 5 (D.D.C. 2011).</w:t>
      </w:r>
    </w:p>
  </w:footnote>
  <w:footnote w:id="213">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i/>
          <w:sz w:val="16"/>
        </w:rPr>
        <w:t>Al respecto, véase:</w:t>
      </w:r>
      <w:r>
        <w:rPr>
          <w:rFonts w:asciiTheme="minorHAnsi" w:hAnsiTheme="minorHAnsi"/>
          <w:sz w:val="16"/>
        </w:rPr>
        <w:t xml:space="preserve"> </w:t>
      </w:r>
      <w:proofErr w:type="spellStart"/>
      <w:r>
        <w:rPr>
          <w:rFonts w:asciiTheme="minorHAnsi" w:hAnsiTheme="minorHAnsi"/>
          <w:sz w:val="16"/>
        </w:rPr>
        <w:t>Lawfare</w:t>
      </w:r>
      <w:proofErr w:type="spellEnd"/>
      <w:r>
        <w:rPr>
          <w:rFonts w:asciiTheme="minorHAnsi" w:hAnsiTheme="minorHAnsi"/>
          <w:sz w:val="16"/>
        </w:rPr>
        <w:t>, Una Reflexión Adicional sobre Al-</w:t>
      </w:r>
      <w:proofErr w:type="spellStart"/>
      <w:r>
        <w:rPr>
          <w:rFonts w:asciiTheme="minorHAnsi" w:hAnsiTheme="minorHAnsi"/>
          <w:sz w:val="16"/>
        </w:rPr>
        <w:t>Hajj</w:t>
      </w:r>
      <w:proofErr w:type="spellEnd"/>
      <w:r>
        <w:rPr>
          <w:rFonts w:asciiTheme="minorHAnsi" w:hAnsiTheme="minorHAnsi"/>
          <w:sz w:val="16"/>
        </w:rPr>
        <w:t xml:space="preserve">, por </w:t>
      </w:r>
      <w:proofErr w:type="spellStart"/>
      <w:r>
        <w:rPr>
          <w:rFonts w:asciiTheme="minorHAnsi" w:hAnsiTheme="minorHAnsi"/>
          <w:sz w:val="16"/>
        </w:rPr>
        <w:t>Benjamin</w:t>
      </w:r>
      <w:proofErr w:type="spellEnd"/>
      <w:r>
        <w:rPr>
          <w:rFonts w:asciiTheme="minorHAnsi" w:hAnsiTheme="minorHAnsi"/>
          <w:sz w:val="16"/>
        </w:rPr>
        <w:t xml:space="preserve"> </w:t>
      </w:r>
      <w:proofErr w:type="spellStart"/>
      <w:r>
        <w:rPr>
          <w:rFonts w:asciiTheme="minorHAnsi" w:hAnsiTheme="minorHAnsi"/>
          <w:sz w:val="16"/>
        </w:rPr>
        <w:t>Wittes</w:t>
      </w:r>
      <w:proofErr w:type="spellEnd"/>
      <w:r>
        <w:rPr>
          <w:rFonts w:asciiTheme="minorHAnsi" w:hAnsiTheme="minorHAnsi"/>
          <w:sz w:val="16"/>
        </w:rPr>
        <w:t xml:space="preserve">, 8 de junio de 2011. Disponible en: </w:t>
      </w:r>
      <w:hyperlink r:id="rId75">
        <w:r>
          <w:rPr>
            <w:rStyle w:val="Hyperlink"/>
            <w:rFonts w:asciiTheme="minorHAnsi" w:hAnsiTheme="minorHAnsi"/>
            <w:sz w:val="16"/>
          </w:rPr>
          <w:t>http://www.lawfareblog.com/2011/06/an-additional-thought-on-al-hajj/</w:t>
        </w:r>
      </w:hyperlink>
      <w:r>
        <w:rPr>
          <w:rFonts w:asciiTheme="minorHAnsi" w:hAnsiTheme="minorHAnsi"/>
          <w:sz w:val="16"/>
        </w:rPr>
        <w:t xml:space="preserve"> </w:t>
      </w:r>
    </w:p>
  </w:footnote>
  <w:footnote w:id="214">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i/>
          <w:sz w:val="16"/>
        </w:rPr>
        <w:t>Al-</w:t>
      </w:r>
      <w:proofErr w:type="spellStart"/>
      <w:r>
        <w:rPr>
          <w:rFonts w:asciiTheme="minorHAnsi" w:hAnsiTheme="minorHAnsi"/>
          <w:i/>
          <w:sz w:val="16"/>
        </w:rPr>
        <w:t>Hajj</w:t>
      </w:r>
      <w:proofErr w:type="spellEnd"/>
      <w:r>
        <w:rPr>
          <w:rFonts w:asciiTheme="minorHAnsi" w:hAnsiTheme="minorHAnsi"/>
          <w:i/>
          <w:sz w:val="16"/>
        </w:rPr>
        <w:t xml:space="preserve"> v. Obama</w:t>
      </w:r>
      <w:r>
        <w:rPr>
          <w:rFonts w:asciiTheme="minorHAnsi" w:hAnsiTheme="minorHAnsi"/>
          <w:sz w:val="16"/>
        </w:rPr>
        <w:t xml:space="preserve">, 800 F. </w:t>
      </w:r>
      <w:proofErr w:type="spellStart"/>
      <w:r>
        <w:rPr>
          <w:rFonts w:asciiTheme="minorHAnsi" w:hAnsiTheme="minorHAnsi"/>
          <w:sz w:val="16"/>
        </w:rPr>
        <w:t>Supp</w:t>
      </w:r>
      <w:proofErr w:type="spellEnd"/>
      <w:r>
        <w:rPr>
          <w:rFonts w:asciiTheme="minorHAnsi" w:hAnsiTheme="minorHAnsi"/>
          <w:sz w:val="16"/>
        </w:rPr>
        <w:t>. 2d 19 (D.C.C. 2011).</w:t>
      </w:r>
    </w:p>
  </w:footnote>
  <w:footnote w:id="215">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Ver, </w:t>
      </w:r>
      <w:r>
        <w:rPr>
          <w:rFonts w:asciiTheme="minorHAnsi" w:hAnsiTheme="minorHAnsi"/>
          <w:i/>
          <w:sz w:val="16"/>
        </w:rPr>
        <w:t xml:space="preserve">mutatis </w:t>
      </w:r>
      <w:proofErr w:type="spellStart"/>
      <w:r>
        <w:rPr>
          <w:rFonts w:asciiTheme="minorHAnsi" w:hAnsiTheme="minorHAnsi"/>
          <w:i/>
          <w:sz w:val="16"/>
        </w:rPr>
        <w:t>mutandi</w:t>
      </w:r>
      <w:proofErr w:type="spellEnd"/>
      <w:r>
        <w:rPr>
          <w:rFonts w:asciiTheme="minorHAnsi" w:hAnsiTheme="minorHAnsi"/>
          <w:sz w:val="16"/>
        </w:rPr>
        <w:t xml:space="preserve">, Corte IDH, Garantías Judiciales en Estados de Emergencia (Arts. 27(2), 25 y 8 de la Convención Americana sobre Derechos Humanos), Opinión Consultiva OC-9/87 de 6 se octubre de 1978. Serie A No. 9. </w:t>
      </w:r>
      <w:proofErr w:type="spellStart"/>
      <w:r>
        <w:rPr>
          <w:rFonts w:asciiTheme="minorHAnsi" w:hAnsiTheme="minorHAnsi"/>
          <w:sz w:val="16"/>
        </w:rPr>
        <w:t>párrs</w:t>
      </w:r>
      <w:proofErr w:type="spellEnd"/>
      <w:r>
        <w:rPr>
          <w:rFonts w:asciiTheme="minorHAnsi" w:hAnsiTheme="minorHAnsi"/>
          <w:sz w:val="16"/>
        </w:rPr>
        <w:t>. 29-30.</w:t>
      </w:r>
    </w:p>
  </w:footnote>
  <w:footnote w:id="216">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w:t>
      </w:r>
      <w:r>
        <w:rPr>
          <w:rFonts w:asciiTheme="minorHAnsi" w:hAnsiTheme="minorHAnsi"/>
          <w:i/>
          <w:sz w:val="16"/>
        </w:rPr>
        <w:t>Informe sobre el Uso de la Prisión Preventiva en las Américas</w:t>
      </w:r>
      <w:r>
        <w:rPr>
          <w:rFonts w:asciiTheme="minorHAnsi" w:hAnsiTheme="minorHAnsi"/>
          <w:sz w:val="16"/>
        </w:rPr>
        <w:t>, OEA/</w:t>
      </w:r>
      <w:proofErr w:type="spellStart"/>
      <w:r>
        <w:rPr>
          <w:rFonts w:asciiTheme="minorHAnsi" w:hAnsiTheme="minorHAnsi"/>
          <w:sz w:val="16"/>
        </w:rPr>
        <w:t>Ser.L</w:t>
      </w:r>
      <w:proofErr w:type="spellEnd"/>
      <w:r>
        <w:rPr>
          <w:rFonts w:asciiTheme="minorHAnsi" w:hAnsiTheme="minorHAnsi"/>
          <w:sz w:val="16"/>
        </w:rPr>
        <w:t>/V/II. Doc. 46/13, 30 de diciembre de 2013, párr. 197.</w:t>
      </w:r>
    </w:p>
  </w:footnote>
  <w:footnote w:id="217">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proofErr w:type="spellStart"/>
      <w:r>
        <w:rPr>
          <w:rFonts w:asciiTheme="minorHAnsi" w:hAnsiTheme="minorHAnsi"/>
          <w:i/>
          <w:sz w:val="16"/>
        </w:rPr>
        <w:t>Latif</w:t>
      </w:r>
      <w:proofErr w:type="spellEnd"/>
      <w:r>
        <w:rPr>
          <w:rFonts w:asciiTheme="minorHAnsi" w:hAnsiTheme="minorHAnsi"/>
          <w:i/>
          <w:sz w:val="16"/>
        </w:rPr>
        <w:t xml:space="preserve"> v. Obama</w:t>
      </w:r>
      <w:r>
        <w:rPr>
          <w:rFonts w:asciiTheme="minorHAnsi" w:hAnsiTheme="minorHAnsi"/>
          <w:sz w:val="16"/>
        </w:rPr>
        <w:t xml:space="preserve">, 677 F.3d 1175 (D.C. Cir. 2012) (voto disidente de </w:t>
      </w:r>
      <w:proofErr w:type="spellStart"/>
      <w:r>
        <w:rPr>
          <w:rFonts w:asciiTheme="minorHAnsi" w:hAnsiTheme="minorHAnsi"/>
          <w:sz w:val="16"/>
        </w:rPr>
        <w:t>Tatel</w:t>
      </w:r>
      <w:proofErr w:type="spellEnd"/>
      <w:r>
        <w:rPr>
          <w:rFonts w:asciiTheme="minorHAnsi" w:hAnsiTheme="minorHAnsi"/>
          <w:sz w:val="16"/>
        </w:rPr>
        <w:t>, J.).</w:t>
      </w:r>
    </w:p>
  </w:footnote>
  <w:footnote w:id="218">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i/>
          <w:sz w:val="16"/>
        </w:rPr>
        <w:t xml:space="preserve">In re </w:t>
      </w:r>
      <w:proofErr w:type="spellStart"/>
      <w:r>
        <w:rPr>
          <w:rFonts w:asciiTheme="minorHAnsi" w:hAnsiTheme="minorHAnsi"/>
          <w:i/>
          <w:sz w:val="16"/>
        </w:rPr>
        <w:t>Guantanamo</w:t>
      </w:r>
      <w:proofErr w:type="spellEnd"/>
      <w:r>
        <w:rPr>
          <w:rFonts w:asciiTheme="minorHAnsi" w:hAnsiTheme="minorHAnsi"/>
          <w:i/>
          <w:sz w:val="16"/>
        </w:rPr>
        <w:t xml:space="preserve"> </w:t>
      </w:r>
      <w:proofErr w:type="spellStart"/>
      <w:r>
        <w:rPr>
          <w:rFonts w:asciiTheme="minorHAnsi" w:hAnsiTheme="minorHAnsi"/>
          <w:i/>
          <w:sz w:val="16"/>
        </w:rPr>
        <w:t>Bay</w:t>
      </w:r>
      <w:proofErr w:type="spellEnd"/>
      <w:r>
        <w:rPr>
          <w:rFonts w:asciiTheme="minorHAnsi" w:hAnsiTheme="minorHAnsi"/>
          <w:i/>
          <w:sz w:val="16"/>
        </w:rPr>
        <w:t xml:space="preserve"> </w:t>
      </w:r>
      <w:proofErr w:type="spellStart"/>
      <w:r>
        <w:rPr>
          <w:rFonts w:asciiTheme="minorHAnsi" w:hAnsiTheme="minorHAnsi"/>
          <w:i/>
          <w:sz w:val="16"/>
        </w:rPr>
        <w:t>Detainee</w:t>
      </w:r>
      <w:proofErr w:type="spellEnd"/>
      <w:r>
        <w:rPr>
          <w:rFonts w:asciiTheme="minorHAnsi" w:hAnsiTheme="minorHAnsi"/>
          <w:i/>
          <w:sz w:val="16"/>
        </w:rPr>
        <w:t xml:space="preserve"> </w:t>
      </w:r>
      <w:proofErr w:type="spellStart"/>
      <w:r>
        <w:rPr>
          <w:rFonts w:asciiTheme="minorHAnsi" w:hAnsiTheme="minorHAnsi"/>
          <w:i/>
          <w:sz w:val="16"/>
        </w:rPr>
        <w:t>Litig</w:t>
      </w:r>
      <w:proofErr w:type="spellEnd"/>
      <w:r>
        <w:rPr>
          <w:rFonts w:asciiTheme="minorHAnsi" w:hAnsiTheme="minorHAnsi"/>
          <w:i/>
          <w:sz w:val="16"/>
        </w:rPr>
        <w:t>.</w:t>
      </w:r>
      <w:r>
        <w:rPr>
          <w:rFonts w:asciiTheme="minorHAnsi" w:hAnsiTheme="minorHAnsi"/>
          <w:sz w:val="16"/>
        </w:rPr>
        <w:t xml:space="preserve">, </w:t>
      </w:r>
      <w:proofErr w:type="spellStart"/>
      <w:r>
        <w:rPr>
          <w:rFonts w:asciiTheme="minorHAnsi" w:hAnsiTheme="minorHAnsi"/>
          <w:sz w:val="16"/>
        </w:rPr>
        <w:t>Misc</w:t>
      </w:r>
      <w:proofErr w:type="spellEnd"/>
      <w:r>
        <w:rPr>
          <w:rFonts w:asciiTheme="minorHAnsi" w:hAnsiTheme="minorHAnsi"/>
          <w:sz w:val="16"/>
        </w:rPr>
        <w:t>. No. 08-442, CMO § II.A (6 de noviembre de 2008).</w:t>
      </w:r>
    </w:p>
  </w:footnote>
  <w:footnote w:id="219">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Informe No. 67/06, Caso 12.476, Publicación, Oscar </w:t>
      </w:r>
      <w:proofErr w:type="spellStart"/>
      <w:r>
        <w:rPr>
          <w:rFonts w:asciiTheme="minorHAnsi" w:hAnsiTheme="minorHAnsi"/>
          <w:sz w:val="16"/>
        </w:rPr>
        <w:t>Elias</w:t>
      </w:r>
      <w:proofErr w:type="spellEnd"/>
      <w:r>
        <w:rPr>
          <w:rFonts w:asciiTheme="minorHAnsi" w:hAnsiTheme="minorHAnsi"/>
          <w:sz w:val="16"/>
        </w:rPr>
        <w:t xml:space="preserve"> </w:t>
      </w:r>
      <w:proofErr w:type="spellStart"/>
      <w:r>
        <w:rPr>
          <w:rFonts w:asciiTheme="minorHAnsi" w:hAnsiTheme="minorHAnsi"/>
          <w:sz w:val="16"/>
        </w:rPr>
        <w:t>Biscet</w:t>
      </w:r>
      <w:proofErr w:type="spellEnd"/>
      <w:r>
        <w:rPr>
          <w:rFonts w:asciiTheme="minorHAnsi" w:hAnsiTheme="minorHAnsi"/>
          <w:sz w:val="16"/>
        </w:rPr>
        <w:t xml:space="preserve"> y otros, Cuba, 21 de octubre de 2006, párr. 165.</w:t>
      </w:r>
    </w:p>
  </w:footnote>
  <w:footnote w:id="220">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Corte IDH, Caso Suárez Rosero v. Ecuador, Sentencia de 12 de noviembre de 1977 (Fondo), Serie C No. 35</w:t>
      </w:r>
      <w:r>
        <w:rPr>
          <w:rFonts w:asciiTheme="minorHAnsi" w:hAnsiTheme="minorHAnsi"/>
          <w:b/>
          <w:sz w:val="16"/>
        </w:rPr>
        <w:t xml:space="preserve">, </w:t>
      </w:r>
      <w:r>
        <w:rPr>
          <w:rFonts w:asciiTheme="minorHAnsi" w:hAnsiTheme="minorHAnsi"/>
          <w:sz w:val="16"/>
        </w:rPr>
        <w:t>párr. 77.</w:t>
      </w:r>
    </w:p>
  </w:footnote>
  <w:footnote w:id="221">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Ver, mutatis </w:t>
      </w:r>
      <w:proofErr w:type="spellStart"/>
      <w:r>
        <w:rPr>
          <w:rFonts w:asciiTheme="minorHAnsi" w:hAnsiTheme="minorHAnsi"/>
          <w:sz w:val="16"/>
        </w:rPr>
        <w:t>mutandi</w:t>
      </w:r>
      <w:proofErr w:type="spellEnd"/>
      <w:r>
        <w:rPr>
          <w:rFonts w:asciiTheme="minorHAnsi" w:hAnsiTheme="minorHAnsi"/>
          <w:sz w:val="16"/>
        </w:rPr>
        <w:t xml:space="preserve">, Corte IDH, El hábeas Corpus bajo Situaciones de Emergencia (Arts. 27(2), 25(1) Y 7(6) de la Convención Americana sobre Derechos Humanos). Opinión Consultiva OC-8/87 de 30 de enero de 1987. Serie A No. 8, párr. 42. </w:t>
      </w:r>
    </w:p>
  </w:footnote>
  <w:footnote w:id="222">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Véase, al respecto, CIDH, Demanda ante la Corte Interamericana de Derechos Humanos en el caso Leopoldo Lopez Mendoza v. Venezuela, Caso 12.668, 14 de diciembre de 2009, </w:t>
      </w:r>
      <w:proofErr w:type="spellStart"/>
      <w:r>
        <w:rPr>
          <w:rFonts w:asciiTheme="minorHAnsi" w:hAnsiTheme="minorHAnsi"/>
          <w:sz w:val="16"/>
        </w:rPr>
        <w:t>párrs</w:t>
      </w:r>
      <w:proofErr w:type="spellEnd"/>
      <w:r>
        <w:rPr>
          <w:rFonts w:asciiTheme="minorHAnsi" w:hAnsiTheme="minorHAnsi"/>
          <w:sz w:val="16"/>
        </w:rPr>
        <w:t>. 70 y 80.</w:t>
      </w:r>
    </w:p>
  </w:footnote>
  <w:footnote w:id="223">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Decreto Militar de 13 de noviembre de 2001, Detención, Tratamiento y Juicio de Ciertos No-Ciudadanos en la Guerra contra el Terrorismo, Sección 1 (f). Disponible en: </w:t>
      </w:r>
      <w:hyperlink r:id="rId76">
        <w:r>
          <w:rPr>
            <w:rStyle w:val="Hyperlink"/>
            <w:rFonts w:asciiTheme="minorHAnsi" w:hAnsiTheme="minorHAnsi"/>
            <w:sz w:val="16"/>
          </w:rPr>
          <w:t>http://fas.org/irp/offdocs/eo/mo-111301.htm</w:t>
        </w:r>
      </w:hyperlink>
      <w:r>
        <w:rPr>
          <w:rFonts w:asciiTheme="minorHAnsi" w:hAnsiTheme="minorHAnsi"/>
          <w:sz w:val="16"/>
        </w:rPr>
        <w:t xml:space="preserve"> </w:t>
      </w:r>
    </w:p>
  </w:footnote>
  <w:footnote w:id="224">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Constitución de Estados Unidos, Art. I, Sección 8.</w:t>
      </w:r>
    </w:p>
  </w:footnote>
  <w:footnote w:id="225">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Departamento de Defensa, Decreto No. 1 de la Comisión Militar, 21 de marzo de 2002. Disponible en: </w:t>
      </w:r>
      <w:hyperlink r:id="rId77">
        <w:r>
          <w:rPr>
            <w:rStyle w:val="Hyperlink"/>
            <w:rFonts w:asciiTheme="minorHAnsi" w:hAnsiTheme="minorHAnsi"/>
            <w:sz w:val="16"/>
          </w:rPr>
          <w:t>http://www.defense.gov/news/Mar2002/d20020321ord.pdf</w:t>
        </w:r>
      </w:hyperlink>
      <w:r>
        <w:rPr>
          <w:rFonts w:asciiTheme="minorHAnsi" w:hAnsiTheme="minorHAnsi"/>
          <w:sz w:val="16"/>
        </w:rPr>
        <w:t xml:space="preserve"> </w:t>
      </w:r>
    </w:p>
  </w:footnote>
  <w:footnote w:id="226">
    <w:p w:rsidR="00AF130B" w:rsidRPr="00237789" w:rsidRDefault="00AF130B" w:rsidP="00CE3EC6">
      <w:pPr>
        <w:pStyle w:val="FootnoteText"/>
        <w:ind w:left="547" w:hanging="547"/>
        <w:jc w:val="both"/>
        <w:rPr>
          <w:rFonts w:asciiTheme="minorHAnsi" w:hAnsiTheme="minorHAnsi"/>
          <w:sz w:val="16"/>
          <w:szCs w:val="16"/>
          <w:lang w:val="en-US"/>
        </w:rPr>
      </w:pPr>
      <w:r>
        <w:rPr>
          <w:rStyle w:val="FootnoteReference"/>
          <w:rFonts w:asciiTheme="minorHAnsi" w:hAnsiTheme="minorHAnsi"/>
          <w:sz w:val="16"/>
        </w:rPr>
        <w:footnoteRef/>
      </w:r>
      <w:r>
        <w:rPr>
          <w:rFonts w:asciiTheme="minorHAnsi" w:hAnsiTheme="minorHAnsi"/>
          <w:sz w:val="16"/>
        </w:rPr>
        <w:t xml:space="preserve"> </w:t>
      </w:r>
      <w:r>
        <w:tab/>
      </w:r>
      <w:proofErr w:type="spellStart"/>
      <w:r>
        <w:rPr>
          <w:rFonts w:asciiTheme="minorHAnsi" w:hAnsiTheme="minorHAnsi"/>
          <w:i/>
          <w:sz w:val="16"/>
        </w:rPr>
        <w:t>Hamdan</w:t>
      </w:r>
      <w:proofErr w:type="spellEnd"/>
      <w:r>
        <w:rPr>
          <w:rFonts w:asciiTheme="minorHAnsi" w:hAnsiTheme="minorHAnsi"/>
          <w:i/>
          <w:sz w:val="16"/>
        </w:rPr>
        <w:t xml:space="preserve"> v. Rumsfeld</w:t>
      </w:r>
      <w:r>
        <w:rPr>
          <w:rFonts w:asciiTheme="minorHAnsi" w:hAnsiTheme="minorHAnsi"/>
          <w:sz w:val="16"/>
        </w:rPr>
        <w:t xml:space="preserve">, 548 U.S. (2006) párr. </w:t>
      </w:r>
      <w:r w:rsidRPr="00237789">
        <w:rPr>
          <w:rFonts w:asciiTheme="minorHAnsi" w:hAnsiTheme="minorHAnsi"/>
          <w:sz w:val="16"/>
          <w:lang w:val="en-US"/>
        </w:rPr>
        <w:t>69-70.</w:t>
      </w:r>
    </w:p>
  </w:footnote>
  <w:footnote w:id="227">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sidRPr="00237789">
        <w:rPr>
          <w:rFonts w:asciiTheme="minorHAnsi" w:hAnsiTheme="minorHAnsi"/>
          <w:sz w:val="16"/>
          <w:lang w:val="en-US"/>
        </w:rPr>
        <w:t xml:space="preserve"> </w:t>
      </w:r>
      <w:r w:rsidRPr="00237789">
        <w:rPr>
          <w:lang w:val="en-US"/>
        </w:rPr>
        <w:tab/>
      </w:r>
      <w:proofErr w:type="spellStart"/>
      <w:proofErr w:type="gramStart"/>
      <w:r w:rsidRPr="00237789">
        <w:rPr>
          <w:rFonts w:asciiTheme="minorHAnsi" w:hAnsiTheme="minorHAnsi"/>
          <w:i/>
          <w:sz w:val="16"/>
          <w:lang w:val="en-US"/>
        </w:rPr>
        <w:t>Hamdan</w:t>
      </w:r>
      <w:proofErr w:type="spellEnd"/>
      <w:r w:rsidRPr="00237789">
        <w:rPr>
          <w:rFonts w:asciiTheme="minorHAnsi" w:hAnsiTheme="minorHAnsi"/>
          <w:i/>
          <w:sz w:val="16"/>
          <w:lang w:val="en-US"/>
        </w:rPr>
        <w:t xml:space="preserve"> v. Rumsfeld</w:t>
      </w:r>
      <w:r w:rsidRPr="00237789">
        <w:rPr>
          <w:rFonts w:asciiTheme="minorHAnsi" w:hAnsiTheme="minorHAnsi"/>
          <w:sz w:val="16"/>
          <w:lang w:val="en-US"/>
        </w:rPr>
        <w:t xml:space="preserve">, 548 U.S. (2006) </w:t>
      </w:r>
      <w:proofErr w:type="spellStart"/>
      <w:r w:rsidRPr="00237789">
        <w:rPr>
          <w:rFonts w:asciiTheme="minorHAnsi" w:hAnsiTheme="minorHAnsi"/>
          <w:sz w:val="16"/>
          <w:lang w:val="en-US"/>
        </w:rPr>
        <w:t>párr</w:t>
      </w:r>
      <w:proofErr w:type="spellEnd"/>
      <w:r w:rsidRPr="00237789">
        <w:rPr>
          <w:rFonts w:asciiTheme="minorHAnsi" w:hAnsiTheme="minorHAnsi"/>
          <w:sz w:val="16"/>
          <w:lang w:val="en-US"/>
        </w:rPr>
        <w:t>.</w:t>
      </w:r>
      <w:proofErr w:type="gramEnd"/>
      <w:r w:rsidRPr="00237789">
        <w:rPr>
          <w:rFonts w:asciiTheme="minorHAnsi" w:hAnsiTheme="minorHAnsi"/>
          <w:sz w:val="16"/>
          <w:lang w:val="en-US"/>
        </w:rPr>
        <w:t xml:space="preserve"> </w:t>
      </w:r>
      <w:r>
        <w:rPr>
          <w:rFonts w:asciiTheme="minorHAnsi" w:hAnsiTheme="minorHAnsi"/>
          <w:sz w:val="16"/>
        </w:rPr>
        <w:t>70-72.</w:t>
      </w:r>
    </w:p>
  </w:footnote>
  <w:footnote w:id="228">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Para mayor información sobre las comisiones militares y sus reglas de procedimiento, ver el portal web oficial de la Oficina de Comisiones Militares  en: </w:t>
      </w:r>
      <w:hyperlink r:id="rId78">
        <w:r>
          <w:rPr>
            <w:rStyle w:val="Hyperlink"/>
            <w:rFonts w:asciiTheme="minorHAnsi" w:hAnsiTheme="minorHAnsi"/>
            <w:sz w:val="16"/>
          </w:rPr>
          <w:t>www.mc.mil</w:t>
        </w:r>
      </w:hyperlink>
      <w:r>
        <w:rPr>
          <w:rFonts w:asciiTheme="minorHAnsi" w:hAnsiTheme="minorHAnsi"/>
          <w:sz w:val="16"/>
        </w:rPr>
        <w:t xml:space="preserve">  </w:t>
      </w:r>
    </w:p>
  </w:footnote>
  <w:footnote w:id="229">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Reunión de Expertos sobre la Situación de los detenidos en la Base Naval Estadounidense de la Bahía de Guantánamo, Washington DC, 3 de octubre de 2013. Ver también, Departamento de Defensa de Estados Unidos, Comunicado de Prensa, Se Anuncia Invitación a los Medios de la Comisión </w:t>
      </w:r>
      <w:proofErr w:type="spellStart"/>
      <w:r>
        <w:rPr>
          <w:rFonts w:asciiTheme="minorHAnsi" w:hAnsiTheme="minorHAnsi"/>
          <w:sz w:val="16"/>
        </w:rPr>
        <w:t>e</w:t>
      </w:r>
      <w:proofErr w:type="spellEnd"/>
      <w:r>
        <w:rPr>
          <w:rFonts w:asciiTheme="minorHAnsi" w:hAnsiTheme="minorHAnsi"/>
          <w:sz w:val="16"/>
        </w:rPr>
        <w:t xml:space="preserve"> los Medios para los casos </w:t>
      </w:r>
      <w:proofErr w:type="spellStart"/>
      <w:r>
        <w:rPr>
          <w:rFonts w:asciiTheme="minorHAnsi" w:hAnsiTheme="minorHAnsi"/>
          <w:sz w:val="16"/>
        </w:rPr>
        <w:t>United</w:t>
      </w:r>
      <w:proofErr w:type="spellEnd"/>
      <w:r>
        <w:rPr>
          <w:rFonts w:asciiTheme="minorHAnsi" w:hAnsiTheme="minorHAnsi"/>
          <w:sz w:val="16"/>
        </w:rPr>
        <w:t xml:space="preserve"> </w:t>
      </w:r>
      <w:proofErr w:type="spellStart"/>
      <w:r>
        <w:rPr>
          <w:rFonts w:asciiTheme="minorHAnsi" w:hAnsiTheme="minorHAnsi"/>
          <w:sz w:val="16"/>
        </w:rPr>
        <w:t>States</w:t>
      </w:r>
      <w:proofErr w:type="spellEnd"/>
      <w:r>
        <w:rPr>
          <w:rFonts w:asciiTheme="minorHAnsi" w:hAnsiTheme="minorHAnsi"/>
          <w:sz w:val="16"/>
        </w:rPr>
        <w:t xml:space="preserve"> v. </w:t>
      </w:r>
      <w:proofErr w:type="spellStart"/>
      <w:r>
        <w:rPr>
          <w:rFonts w:asciiTheme="minorHAnsi" w:hAnsiTheme="minorHAnsi"/>
          <w:sz w:val="16"/>
        </w:rPr>
        <w:t>Abd</w:t>
      </w:r>
      <w:proofErr w:type="spellEnd"/>
      <w:r>
        <w:rPr>
          <w:rFonts w:asciiTheme="minorHAnsi" w:hAnsiTheme="minorHAnsi"/>
          <w:sz w:val="16"/>
        </w:rPr>
        <w:t xml:space="preserve"> al-</w:t>
      </w:r>
      <w:proofErr w:type="spellStart"/>
      <w:r>
        <w:rPr>
          <w:rFonts w:asciiTheme="minorHAnsi" w:hAnsiTheme="minorHAnsi"/>
          <w:sz w:val="16"/>
        </w:rPr>
        <w:t>Rahim</w:t>
      </w:r>
      <w:proofErr w:type="spellEnd"/>
      <w:r>
        <w:rPr>
          <w:rFonts w:asciiTheme="minorHAnsi" w:hAnsiTheme="minorHAnsi"/>
          <w:sz w:val="16"/>
        </w:rPr>
        <w:t xml:space="preserve"> Hussein </w:t>
      </w:r>
      <w:proofErr w:type="spellStart"/>
      <w:r>
        <w:rPr>
          <w:rFonts w:asciiTheme="minorHAnsi" w:hAnsiTheme="minorHAnsi"/>
          <w:sz w:val="16"/>
        </w:rPr>
        <w:t>Muhammed</w:t>
      </w:r>
      <w:proofErr w:type="spellEnd"/>
      <w:r>
        <w:rPr>
          <w:rFonts w:asciiTheme="minorHAnsi" w:hAnsiTheme="minorHAnsi"/>
          <w:sz w:val="16"/>
        </w:rPr>
        <w:t xml:space="preserve"> </w:t>
      </w:r>
      <w:proofErr w:type="spellStart"/>
      <w:r>
        <w:rPr>
          <w:rFonts w:asciiTheme="minorHAnsi" w:hAnsiTheme="minorHAnsi"/>
          <w:sz w:val="16"/>
        </w:rPr>
        <w:t>Abdu</w:t>
      </w:r>
      <w:proofErr w:type="spellEnd"/>
      <w:r>
        <w:rPr>
          <w:rFonts w:asciiTheme="minorHAnsi" w:hAnsiTheme="minorHAnsi"/>
          <w:sz w:val="16"/>
        </w:rPr>
        <w:t xml:space="preserve"> Al-</w:t>
      </w:r>
      <w:proofErr w:type="spellStart"/>
      <w:r>
        <w:rPr>
          <w:rFonts w:asciiTheme="minorHAnsi" w:hAnsiTheme="minorHAnsi"/>
          <w:sz w:val="16"/>
        </w:rPr>
        <w:t>Nashiri</w:t>
      </w:r>
      <w:proofErr w:type="spellEnd"/>
      <w:r>
        <w:rPr>
          <w:rFonts w:asciiTheme="minorHAnsi" w:hAnsiTheme="minorHAnsi"/>
          <w:sz w:val="16"/>
        </w:rPr>
        <w:t xml:space="preserve"> y </w:t>
      </w:r>
      <w:proofErr w:type="spellStart"/>
      <w:r>
        <w:rPr>
          <w:rFonts w:asciiTheme="minorHAnsi" w:hAnsiTheme="minorHAnsi"/>
          <w:sz w:val="16"/>
        </w:rPr>
        <w:t>Unites</w:t>
      </w:r>
      <w:proofErr w:type="spellEnd"/>
      <w:r>
        <w:rPr>
          <w:rFonts w:asciiTheme="minorHAnsi" w:hAnsiTheme="minorHAnsi"/>
          <w:sz w:val="16"/>
        </w:rPr>
        <w:t xml:space="preserve"> </w:t>
      </w:r>
      <w:proofErr w:type="spellStart"/>
      <w:r>
        <w:rPr>
          <w:rFonts w:asciiTheme="minorHAnsi" w:hAnsiTheme="minorHAnsi"/>
          <w:sz w:val="16"/>
        </w:rPr>
        <w:t>States</w:t>
      </w:r>
      <w:proofErr w:type="spellEnd"/>
      <w:r>
        <w:rPr>
          <w:rFonts w:asciiTheme="minorHAnsi" w:hAnsiTheme="minorHAnsi"/>
          <w:sz w:val="16"/>
        </w:rPr>
        <w:t xml:space="preserve"> v. </w:t>
      </w:r>
      <w:proofErr w:type="spellStart"/>
      <w:r>
        <w:rPr>
          <w:rFonts w:asciiTheme="minorHAnsi" w:hAnsiTheme="minorHAnsi"/>
          <w:sz w:val="16"/>
        </w:rPr>
        <w:t>Khalid</w:t>
      </w:r>
      <w:proofErr w:type="spellEnd"/>
      <w:r>
        <w:rPr>
          <w:rFonts w:asciiTheme="minorHAnsi" w:hAnsiTheme="minorHAnsi"/>
          <w:sz w:val="16"/>
        </w:rPr>
        <w:t xml:space="preserve"> </w:t>
      </w:r>
      <w:proofErr w:type="spellStart"/>
      <w:r>
        <w:rPr>
          <w:rFonts w:asciiTheme="minorHAnsi" w:hAnsiTheme="minorHAnsi"/>
          <w:sz w:val="16"/>
        </w:rPr>
        <w:t>Shaikh</w:t>
      </w:r>
      <w:proofErr w:type="spellEnd"/>
      <w:r>
        <w:rPr>
          <w:rFonts w:asciiTheme="minorHAnsi" w:hAnsiTheme="minorHAnsi"/>
          <w:sz w:val="16"/>
        </w:rPr>
        <w:t xml:space="preserve"> Mohammed y otros, 23 de septiembre de 2014. Disponible en: </w:t>
      </w:r>
      <w:hyperlink r:id="rId79">
        <w:r>
          <w:rPr>
            <w:rStyle w:val="Hyperlink"/>
            <w:rFonts w:asciiTheme="minorHAnsi" w:hAnsiTheme="minorHAnsi"/>
            <w:sz w:val="16"/>
          </w:rPr>
          <w:t>http://www.defense.gov/advisories/advisory.aspx?advisoryid=3656</w:t>
        </w:r>
      </w:hyperlink>
      <w:r>
        <w:rPr>
          <w:rFonts w:asciiTheme="minorHAnsi" w:hAnsiTheme="minorHAnsi"/>
          <w:sz w:val="16"/>
        </w:rPr>
        <w:t xml:space="preserve"> </w:t>
      </w:r>
    </w:p>
  </w:footnote>
  <w:footnote w:id="230">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Manual de Comisiones Militares 2012, Parte II. Reglas para las Comisiones Militares, Regla 803(a).</w:t>
      </w:r>
    </w:p>
  </w:footnote>
  <w:footnote w:id="231">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Manual de Comisiones Militares 2012, Parte II. Reglas para las Comisiones Militares, Regla 803(b</w:t>
      </w:r>
      <w:proofErr w:type="gramStart"/>
      <w:r>
        <w:rPr>
          <w:rFonts w:asciiTheme="minorHAnsi" w:hAnsiTheme="minorHAnsi"/>
          <w:sz w:val="16"/>
        </w:rPr>
        <w:t>)(</w:t>
      </w:r>
      <w:proofErr w:type="gramEnd"/>
      <w:r>
        <w:rPr>
          <w:rFonts w:asciiTheme="minorHAnsi" w:hAnsiTheme="minorHAnsi"/>
          <w:sz w:val="16"/>
        </w:rPr>
        <w:t>2).</w:t>
      </w:r>
    </w:p>
  </w:footnote>
  <w:footnote w:id="232">
    <w:p w:rsidR="00AF130B" w:rsidRPr="005D0288" w:rsidRDefault="00AF130B" w:rsidP="00CE3EC6">
      <w:pPr>
        <w:pStyle w:val="FootnoteText"/>
        <w:ind w:left="547" w:hanging="547"/>
        <w:jc w:val="both"/>
        <w:rPr>
          <w:rFonts w:asciiTheme="minorHAnsi" w:hAnsiTheme="minorHAnsi"/>
          <w:sz w:val="16"/>
          <w:szCs w:val="16"/>
          <w:lang w:val="pt-BR"/>
        </w:rPr>
      </w:pPr>
      <w:r>
        <w:rPr>
          <w:rStyle w:val="FootnoteReference"/>
          <w:rFonts w:asciiTheme="minorHAnsi" w:hAnsiTheme="minorHAnsi"/>
          <w:sz w:val="16"/>
        </w:rPr>
        <w:footnoteRef/>
      </w:r>
      <w:r w:rsidRPr="00237789">
        <w:rPr>
          <w:rFonts w:asciiTheme="minorHAnsi" w:hAnsiTheme="minorHAnsi"/>
          <w:sz w:val="16"/>
          <w:lang w:val="pt-BR"/>
        </w:rPr>
        <w:t xml:space="preserve"> </w:t>
      </w:r>
      <w:r w:rsidRPr="00237789">
        <w:rPr>
          <w:lang w:val="pt-BR"/>
        </w:rPr>
        <w:tab/>
      </w:r>
      <w:r w:rsidRPr="00237789">
        <w:rPr>
          <w:rFonts w:asciiTheme="minorHAnsi" w:hAnsiTheme="minorHAnsi"/>
          <w:sz w:val="16"/>
          <w:lang w:val="pt-BR"/>
        </w:rPr>
        <w:t xml:space="preserve">MCA 2009, 10 U.S.C. </w:t>
      </w:r>
      <w:r w:rsidRPr="00237789">
        <w:rPr>
          <w:rStyle w:val="st1"/>
          <w:rFonts w:asciiTheme="minorHAnsi" w:hAnsiTheme="minorHAnsi"/>
          <w:sz w:val="16"/>
          <w:lang w:val="pt-BR"/>
        </w:rPr>
        <w:t>§ 949a(b)(3).</w:t>
      </w:r>
    </w:p>
  </w:footnote>
  <w:footnote w:id="233">
    <w:p w:rsidR="00AF130B" w:rsidRPr="005D0288" w:rsidRDefault="00AF130B" w:rsidP="00CE3EC6">
      <w:pPr>
        <w:pStyle w:val="FootnoteText"/>
        <w:ind w:left="547" w:hanging="547"/>
        <w:jc w:val="both"/>
        <w:rPr>
          <w:rFonts w:asciiTheme="minorHAnsi" w:hAnsiTheme="minorHAnsi"/>
          <w:sz w:val="16"/>
          <w:szCs w:val="16"/>
          <w:lang w:val="pt-BR"/>
        </w:rPr>
      </w:pPr>
      <w:r>
        <w:rPr>
          <w:rStyle w:val="FootnoteReference"/>
          <w:rFonts w:asciiTheme="minorHAnsi" w:hAnsiTheme="minorHAnsi"/>
          <w:sz w:val="16"/>
        </w:rPr>
        <w:footnoteRef/>
      </w:r>
      <w:r w:rsidRPr="00237789">
        <w:rPr>
          <w:rFonts w:asciiTheme="minorHAnsi" w:hAnsiTheme="minorHAnsi"/>
          <w:sz w:val="16"/>
          <w:lang w:val="pt-BR"/>
        </w:rPr>
        <w:t xml:space="preserve"> </w:t>
      </w:r>
      <w:r w:rsidRPr="00237789">
        <w:rPr>
          <w:lang w:val="pt-BR"/>
        </w:rPr>
        <w:tab/>
      </w:r>
      <w:r w:rsidRPr="00237789">
        <w:rPr>
          <w:rFonts w:asciiTheme="minorHAnsi" w:hAnsiTheme="minorHAnsi"/>
          <w:sz w:val="16"/>
          <w:lang w:val="pt-BR"/>
        </w:rPr>
        <w:t xml:space="preserve">MCA 2009, 10 U.S.C. </w:t>
      </w:r>
      <w:r w:rsidRPr="00237789">
        <w:rPr>
          <w:rStyle w:val="st1"/>
          <w:rFonts w:asciiTheme="minorHAnsi" w:hAnsiTheme="minorHAnsi"/>
          <w:sz w:val="16"/>
          <w:lang w:val="pt-BR"/>
        </w:rPr>
        <w:t>§ 948r(c), 49a(b)(3)(B).</w:t>
      </w:r>
    </w:p>
  </w:footnote>
  <w:footnote w:id="234">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MCA 2009, 10 U.S.C. </w:t>
      </w:r>
      <w:r>
        <w:rPr>
          <w:rStyle w:val="st1"/>
          <w:rFonts w:asciiTheme="minorHAnsi" w:hAnsiTheme="minorHAnsi"/>
          <w:sz w:val="16"/>
        </w:rPr>
        <w:t>§ 949p-1(d).</w:t>
      </w:r>
    </w:p>
  </w:footnote>
  <w:footnote w:id="235">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Manual de Comisiones Militares 2012, Parte II. Reglas para las Comisiones Militares, Regla 701 (f).</w:t>
      </w:r>
    </w:p>
  </w:footnote>
  <w:footnote w:id="236">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Manual de Comisiones Militares 2012, Parte II. Reglas para las Comisiones Militares, Regla 701 (f</w:t>
      </w:r>
      <w:proofErr w:type="gramStart"/>
      <w:r>
        <w:rPr>
          <w:rFonts w:asciiTheme="minorHAnsi" w:hAnsiTheme="minorHAnsi"/>
          <w:sz w:val="16"/>
        </w:rPr>
        <w:t>)(</w:t>
      </w:r>
      <w:proofErr w:type="gramEnd"/>
      <w:r>
        <w:rPr>
          <w:rFonts w:asciiTheme="minorHAnsi" w:hAnsiTheme="minorHAnsi"/>
          <w:sz w:val="16"/>
        </w:rPr>
        <w:t>2).</w:t>
      </w:r>
    </w:p>
  </w:footnote>
  <w:footnote w:id="237">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CIDH, Reunión de Expertos sobre la Situación de los detenidos en la Base Naval Estadounidense de la Bahía de Guantánamo, Washington DC, 3 de octubre de 2013.</w:t>
      </w:r>
    </w:p>
  </w:footnote>
  <w:footnote w:id="238">
    <w:p w:rsidR="00AF130B" w:rsidRPr="002E2C5C" w:rsidRDefault="00AF130B" w:rsidP="00CE3EC6">
      <w:pPr>
        <w:pStyle w:val="FootnoteText"/>
        <w:ind w:left="547" w:hanging="547"/>
        <w:jc w:val="both"/>
        <w:rPr>
          <w:rFonts w:asciiTheme="minorHAnsi" w:hAnsiTheme="minorHAnsi"/>
          <w:sz w:val="16"/>
          <w:szCs w:val="16"/>
          <w:lang w:val="es-EC"/>
        </w:rPr>
      </w:pPr>
      <w:r w:rsidRPr="002E2C5C">
        <w:rPr>
          <w:rStyle w:val="FootnoteReference"/>
          <w:rFonts w:asciiTheme="minorHAnsi" w:hAnsiTheme="minorHAnsi"/>
          <w:sz w:val="16"/>
        </w:rPr>
        <w:footnoteRef/>
      </w:r>
      <w:r w:rsidRPr="002E2C5C">
        <w:rPr>
          <w:rFonts w:asciiTheme="minorHAnsi" w:hAnsiTheme="minorHAnsi"/>
          <w:sz w:val="16"/>
        </w:rPr>
        <w:t xml:space="preserve"> </w:t>
      </w:r>
      <w:r w:rsidRPr="002E2C5C">
        <w:tab/>
      </w:r>
      <w:r w:rsidRPr="002E2C5C">
        <w:rPr>
          <w:rFonts w:asciiTheme="minorHAnsi" w:hAnsiTheme="minorHAnsi"/>
          <w:sz w:val="16"/>
        </w:rPr>
        <w:t>CIDH, Reunión de Expertos sobre la Situación de los detenidos en la Base Naval Estadounidense de la Bahía de Guantánamo, Washington DC, 3 de octubre de 2013.</w:t>
      </w:r>
    </w:p>
  </w:footnote>
  <w:footnote w:id="239">
    <w:p w:rsidR="00AF130B" w:rsidRPr="00237789" w:rsidRDefault="00AF130B" w:rsidP="00CE3EC6">
      <w:pPr>
        <w:pStyle w:val="FootnoteText"/>
        <w:ind w:left="547" w:hanging="547"/>
        <w:jc w:val="both"/>
        <w:rPr>
          <w:rFonts w:asciiTheme="minorHAnsi" w:hAnsiTheme="minorHAnsi"/>
          <w:sz w:val="16"/>
          <w:szCs w:val="16"/>
        </w:rPr>
      </w:pPr>
      <w:r w:rsidRPr="002E2C5C">
        <w:rPr>
          <w:rStyle w:val="FootnoteReference"/>
          <w:rFonts w:asciiTheme="minorHAnsi" w:hAnsiTheme="minorHAnsi"/>
          <w:sz w:val="16"/>
        </w:rPr>
        <w:footnoteRef/>
      </w:r>
      <w:r w:rsidRPr="002E2C5C">
        <w:rPr>
          <w:rFonts w:asciiTheme="minorHAnsi" w:hAnsiTheme="minorHAnsi"/>
          <w:sz w:val="16"/>
        </w:rPr>
        <w:t xml:space="preserve"> </w:t>
      </w:r>
      <w:r w:rsidRPr="002E2C5C">
        <w:tab/>
      </w:r>
      <w:r w:rsidRPr="002E2C5C">
        <w:rPr>
          <w:rFonts w:asciiTheme="minorHAnsi" w:hAnsiTheme="minorHAnsi"/>
          <w:sz w:val="16"/>
        </w:rPr>
        <w:t>CIDH, Situación de derechos humanos de personas privadas de libertad en la Base Naval de Guantánamo, Estados Unidos, 154 período de sesiones, 16 de marzo de 2015.</w:t>
      </w:r>
    </w:p>
  </w:footnote>
  <w:footnote w:id="240">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Reglas sobre la Prueba ante las Comisiones Militares, Regla 304(e</w:t>
      </w:r>
      <w:proofErr w:type="gramStart"/>
      <w:r>
        <w:rPr>
          <w:rFonts w:asciiTheme="minorHAnsi" w:hAnsiTheme="minorHAnsi"/>
          <w:sz w:val="16"/>
        </w:rPr>
        <w:t>)(</w:t>
      </w:r>
      <w:proofErr w:type="gramEnd"/>
      <w:r>
        <w:rPr>
          <w:rFonts w:asciiTheme="minorHAnsi" w:hAnsiTheme="minorHAnsi"/>
          <w:sz w:val="16"/>
        </w:rPr>
        <w:t>3).</w:t>
      </w:r>
    </w:p>
  </w:footnote>
  <w:footnote w:id="241">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sidRPr="00237789">
        <w:rPr>
          <w:rFonts w:asciiTheme="minorHAnsi" w:hAnsiTheme="minorHAnsi"/>
          <w:sz w:val="16"/>
          <w:lang w:val="en-US"/>
        </w:rPr>
        <w:t xml:space="preserve"> </w:t>
      </w:r>
      <w:r w:rsidRPr="00237789">
        <w:rPr>
          <w:lang w:val="en-US"/>
        </w:rPr>
        <w:tab/>
      </w:r>
      <w:r w:rsidRPr="00237789">
        <w:rPr>
          <w:rFonts w:asciiTheme="minorHAnsi" w:hAnsiTheme="minorHAnsi"/>
          <w:i/>
          <w:sz w:val="16"/>
          <w:lang w:val="en-US"/>
        </w:rPr>
        <w:t>United States v. Rankin</w:t>
      </w:r>
      <w:r w:rsidRPr="00237789">
        <w:rPr>
          <w:rFonts w:asciiTheme="minorHAnsi" w:hAnsiTheme="minorHAnsi"/>
          <w:sz w:val="16"/>
          <w:lang w:val="en-US"/>
        </w:rPr>
        <w:t xml:space="preserve">, </w:t>
      </w:r>
      <w:proofErr w:type="gramStart"/>
      <w:r w:rsidRPr="00237789">
        <w:rPr>
          <w:rFonts w:asciiTheme="minorHAnsi" w:hAnsiTheme="minorHAnsi"/>
          <w:sz w:val="16"/>
          <w:lang w:val="en-US"/>
        </w:rPr>
        <w:t>64 M.J. 348, 351</w:t>
      </w:r>
      <w:proofErr w:type="gramEnd"/>
      <w:r w:rsidRPr="00237789">
        <w:rPr>
          <w:rFonts w:asciiTheme="minorHAnsi" w:hAnsiTheme="minorHAnsi"/>
          <w:sz w:val="16"/>
          <w:lang w:val="en-US"/>
        </w:rPr>
        <w:t xml:space="preserve">. </w:t>
      </w:r>
      <w:r>
        <w:rPr>
          <w:rFonts w:asciiTheme="minorHAnsi" w:hAnsiTheme="minorHAnsi"/>
          <w:sz w:val="16"/>
        </w:rPr>
        <w:t xml:space="preserve">(C.A.A.F. 2007), aplicando </w:t>
      </w:r>
      <w:r>
        <w:rPr>
          <w:rFonts w:asciiTheme="minorHAnsi" w:hAnsiTheme="minorHAnsi"/>
          <w:i/>
          <w:sz w:val="16"/>
        </w:rPr>
        <w:t>Crawford v. Washington</w:t>
      </w:r>
      <w:r>
        <w:rPr>
          <w:rFonts w:asciiTheme="minorHAnsi" w:hAnsiTheme="minorHAnsi"/>
          <w:sz w:val="16"/>
        </w:rPr>
        <w:t>, 541 U.S. 36, 61 (2004) a las cortes marciales.</w:t>
      </w:r>
    </w:p>
  </w:footnote>
  <w:footnote w:id="242">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CIDH, Reunión de Expertos sobre la Situación de los detenidos en la Base Naval Estadounidense de la Bahía de Guantánamo, Washington DC, 3 de octubre de 2013.</w:t>
      </w:r>
    </w:p>
  </w:footnote>
  <w:footnote w:id="243">
    <w:p w:rsidR="00AF130B" w:rsidRPr="005D0288" w:rsidRDefault="00AF130B" w:rsidP="00CE3EC6">
      <w:pPr>
        <w:pStyle w:val="FootnoteText"/>
        <w:ind w:left="547" w:hanging="547"/>
        <w:jc w:val="both"/>
        <w:rPr>
          <w:rFonts w:asciiTheme="minorHAnsi" w:hAnsiTheme="minorHAnsi"/>
          <w:sz w:val="16"/>
          <w:szCs w:val="16"/>
          <w:lang w:val="en-US"/>
        </w:rPr>
      </w:pPr>
      <w:r>
        <w:rPr>
          <w:rStyle w:val="FootnoteReference"/>
          <w:rFonts w:asciiTheme="minorHAnsi" w:hAnsiTheme="minorHAnsi"/>
          <w:sz w:val="16"/>
        </w:rPr>
        <w:footnoteRef/>
      </w:r>
      <w:r w:rsidRPr="00237789">
        <w:rPr>
          <w:rFonts w:asciiTheme="minorHAnsi" w:hAnsiTheme="minorHAnsi"/>
          <w:sz w:val="16"/>
          <w:lang w:val="en-US"/>
        </w:rPr>
        <w:t xml:space="preserve"> </w:t>
      </w:r>
      <w:r w:rsidRPr="00237789">
        <w:rPr>
          <w:lang w:val="en-US"/>
        </w:rPr>
        <w:tab/>
      </w:r>
      <w:proofErr w:type="spellStart"/>
      <w:proofErr w:type="gramStart"/>
      <w:r w:rsidRPr="00237789">
        <w:rPr>
          <w:rFonts w:asciiTheme="minorHAnsi" w:hAnsiTheme="minorHAnsi"/>
          <w:i/>
          <w:sz w:val="16"/>
          <w:lang w:val="en-US"/>
        </w:rPr>
        <w:t>Hamdan</w:t>
      </w:r>
      <w:proofErr w:type="spellEnd"/>
      <w:r w:rsidRPr="00237789">
        <w:rPr>
          <w:rFonts w:asciiTheme="minorHAnsi" w:hAnsiTheme="minorHAnsi"/>
          <w:i/>
          <w:sz w:val="16"/>
          <w:lang w:val="en-US"/>
        </w:rPr>
        <w:t xml:space="preserve"> v. U.S.</w:t>
      </w:r>
      <w:r w:rsidRPr="00237789">
        <w:rPr>
          <w:rFonts w:asciiTheme="minorHAnsi" w:hAnsiTheme="minorHAnsi"/>
          <w:sz w:val="16"/>
          <w:lang w:val="en-US"/>
        </w:rPr>
        <w:t>, 696 F.3d 1238 (2012).</w:t>
      </w:r>
      <w:proofErr w:type="gramEnd"/>
    </w:p>
  </w:footnote>
  <w:footnote w:id="244">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i/>
          <w:sz w:val="16"/>
        </w:rPr>
        <w:t xml:space="preserve">Al </w:t>
      </w:r>
      <w:proofErr w:type="spellStart"/>
      <w:r>
        <w:rPr>
          <w:rFonts w:asciiTheme="minorHAnsi" w:hAnsiTheme="minorHAnsi"/>
          <w:i/>
          <w:sz w:val="16"/>
        </w:rPr>
        <w:t>Bahlul</w:t>
      </w:r>
      <w:proofErr w:type="spellEnd"/>
      <w:r>
        <w:rPr>
          <w:rFonts w:asciiTheme="minorHAnsi" w:hAnsiTheme="minorHAnsi"/>
          <w:i/>
          <w:sz w:val="16"/>
        </w:rPr>
        <w:t xml:space="preserve"> v. U.S.</w:t>
      </w:r>
      <w:r>
        <w:rPr>
          <w:rFonts w:asciiTheme="minorHAnsi" w:hAnsiTheme="minorHAnsi"/>
          <w:sz w:val="16"/>
        </w:rPr>
        <w:t xml:space="preserve"> (2014). </w:t>
      </w:r>
    </w:p>
  </w:footnote>
  <w:footnote w:id="245">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Al respecto, </w:t>
      </w:r>
      <w:proofErr w:type="spellStart"/>
      <w:r>
        <w:rPr>
          <w:rFonts w:asciiTheme="minorHAnsi" w:hAnsiTheme="minorHAnsi"/>
          <w:sz w:val="16"/>
        </w:rPr>
        <w:t>vér</w:t>
      </w:r>
      <w:proofErr w:type="spellEnd"/>
      <w:r>
        <w:rPr>
          <w:rFonts w:asciiTheme="minorHAnsi" w:hAnsiTheme="minorHAnsi"/>
          <w:sz w:val="16"/>
        </w:rPr>
        <w:t xml:space="preserve">: </w:t>
      </w:r>
      <w:proofErr w:type="spellStart"/>
      <w:r>
        <w:rPr>
          <w:rFonts w:asciiTheme="minorHAnsi" w:hAnsiTheme="minorHAnsi"/>
          <w:sz w:val="16"/>
        </w:rPr>
        <w:t>Opinio</w:t>
      </w:r>
      <w:proofErr w:type="spellEnd"/>
      <w:r>
        <w:rPr>
          <w:rFonts w:asciiTheme="minorHAnsi" w:hAnsiTheme="minorHAnsi"/>
          <w:sz w:val="16"/>
        </w:rPr>
        <w:t xml:space="preserve"> </w:t>
      </w:r>
      <w:proofErr w:type="spellStart"/>
      <w:r>
        <w:rPr>
          <w:rFonts w:asciiTheme="minorHAnsi" w:hAnsiTheme="minorHAnsi"/>
          <w:sz w:val="16"/>
        </w:rPr>
        <w:t>Juris</w:t>
      </w:r>
      <w:proofErr w:type="spellEnd"/>
      <w:r>
        <w:rPr>
          <w:rFonts w:asciiTheme="minorHAnsi" w:hAnsiTheme="minorHAnsi"/>
          <w:sz w:val="16"/>
        </w:rPr>
        <w:t xml:space="preserve">, </w:t>
      </w:r>
      <w:r>
        <w:rPr>
          <w:rFonts w:asciiTheme="minorHAnsi" w:hAnsiTheme="minorHAnsi"/>
          <w:i/>
          <w:sz w:val="16"/>
        </w:rPr>
        <w:t xml:space="preserve">Columnista Invitado: La Decisión de la Corte de Circuito de DC en Al </w:t>
      </w:r>
      <w:proofErr w:type="spellStart"/>
      <w:r>
        <w:rPr>
          <w:rFonts w:asciiTheme="minorHAnsi" w:hAnsiTheme="minorHAnsi"/>
          <w:i/>
          <w:sz w:val="16"/>
        </w:rPr>
        <w:t>Bahlul</w:t>
      </w:r>
      <w:proofErr w:type="spellEnd"/>
      <w:r>
        <w:rPr>
          <w:rFonts w:asciiTheme="minorHAnsi" w:hAnsiTheme="minorHAnsi"/>
          <w:i/>
          <w:sz w:val="16"/>
        </w:rPr>
        <w:t>: Innovación Jurídica, Tradición y el Derecho Común Interno Americano del Derecho de Guerra (</w:t>
      </w:r>
      <w:proofErr w:type="spellStart"/>
      <w:r>
        <w:rPr>
          <w:rFonts w:asciiTheme="minorHAnsi" w:hAnsiTheme="minorHAnsi"/>
          <w:i/>
          <w:sz w:val="16"/>
        </w:rPr>
        <w:t>The</w:t>
      </w:r>
      <w:proofErr w:type="spellEnd"/>
      <w:r>
        <w:rPr>
          <w:rFonts w:asciiTheme="minorHAnsi" w:hAnsiTheme="minorHAnsi"/>
          <w:i/>
          <w:sz w:val="16"/>
        </w:rPr>
        <w:t xml:space="preserve"> D.C. </w:t>
      </w:r>
      <w:proofErr w:type="spellStart"/>
      <w:r>
        <w:rPr>
          <w:rFonts w:asciiTheme="minorHAnsi" w:hAnsiTheme="minorHAnsi"/>
          <w:i/>
          <w:sz w:val="16"/>
        </w:rPr>
        <w:t>Circuit’s</w:t>
      </w:r>
      <w:proofErr w:type="spellEnd"/>
      <w:r>
        <w:rPr>
          <w:rFonts w:asciiTheme="minorHAnsi" w:hAnsiTheme="minorHAnsi"/>
          <w:i/>
          <w:sz w:val="16"/>
        </w:rPr>
        <w:t xml:space="preserve"> En </w:t>
      </w:r>
      <w:proofErr w:type="spellStart"/>
      <w:r>
        <w:rPr>
          <w:rFonts w:asciiTheme="minorHAnsi" w:hAnsiTheme="minorHAnsi"/>
          <w:i/>
          <w:sz w:val="16"/>
        </w:rPr>
        <w:t>Banc</w:t>
      </w:r>
      <w:proofErr w:type="spellEnd"/>
      <w:r>
        <w:rPr>
          <w:rFonts w:asciiTheme="minorHAnsi" w:hAnsiTheme="minorHAnsi"/>
          <w:i/>
          <w:sz w:val="16"/>
        </w:rPr>
        <w:t xml:space="preserve"> </w:t>
      </w:r>
      <w:proofErr w:type="spellStart"/>
      <w:r>
        <w:rPr>
          <w:rFonts w:asciiTheme="minorHAnsi" w:hAnsiTheme="minorHAnsi"/>
          <w:i/>
          <w:sz w:val="16"/>
        </w:rPr>
        <w:t>Ruling</w:t>
      </w:r>
      <w:proofErr w:type="spellEnd"/>
      <w:r>
        <w:rPr>
          <w:rFonts w:asciiTheme="minorHAnsi" w:hAnsiTheme="minorHAnsi"/>
          <w:i/>
          <w:sz w:val="16"/>
        </w:rPr>
        <w:t xml:space="preserve"> in Al </w:t>
      </w:r>
      <w:proofErr w:type="spellStart"/>
      <w:r>
        <w:rPr>
          <w:rFonts w:asciiTheme="minorHAnsi" w:hAnsiTheme="minorHAnsi"/>
          <w:i/>
          <w:sz w:val="16"/>
        </w:rPr>
        <w:t>Bahlul</w:t>
      </w:r>
      <w:proofErr w:type="spellEnd"/>
      <w:r>
        <w:rPr>
          <w:rFonts w:asciiTheme="minorHAnsi" w:hAnsiTheme="minorHAnsi"/>
          <w:i/>
          <w:sz w:val="16"/>
        </w:rPr>
        <w:t xml:space="preserve">: Legal </w:t>
      </w:r>
      <w:proofErr w:type="spellStart"/>
      <w:r>
        <w:rPr>
          <w:rFonts w:asciiTheme="minorHAnsi" w:hAnsiTheme="minorHAnsi"/>
          <w:i/>
          <w:sz w:val="16"/>
        </w:rPr>
        <w:t>Innovation</w:t>
      </w:r>
      <w:proofErr w:type="spellEnd"/>
      <w:r>
        <w:rPr>
          <w:rFonts w:asciiTheme="minorHAnsi" w:hAnsiTheme="minorHAnsi"/>
          <w:i/>
          <w:sz w:val="16"/>
        </w:rPr>
        <w:t xml:space="preserve">, </w:t>
      </w:r>
      <w:proofErr w:type="spellStart"/>
      <w:r>
        <w:rPr>
          <w:rFonts w:asciiTheme="minorHAnsi" w:hAnsiTheme="minorHAnsi"/>
          <w:i/>
          <w:sz w:val="16"/>
        </w:rPr>
        <w:t>Tradition</w:t>
      </w:r>
      <w:proofErr w:type="spellEnd"/>
      <w:r>
        <w:rPr>
          <w:rFonts w:asciiTheme="minorHAnsi" w:hAnsiTheme="minorHAnsi"/>
          <w:i/>
          <w:sz w:val="16"/>
        </w:rPr>
        <w:t xml:space="preserve">, and </w:t>
      </w:r>
      <w:proofErr w:type="spellStart"/>
      <w:r>
        <w:rPr>
          <w:rFonts w:asciiTheme="minorHAnsi" w:hAnsiTheme="minorHAnsi"/>
          <w:i/>
          <w:sz w:val="16"/>
        </w:rPr>
        <w:t>America’s</w:t>
      </w:r>
      <w:proofErr w:type="spellEnd"/>
      <w:r>
        <w:rPr>
          <w:rFonts w:asciiTheme="minorHAnsi" w:hAnsiTheme="minorHAnsi"/>
          <w:i/>
          <w:sz w:val="16"/>
        </w:rPr>
        <w:t xml:space="preserve"> </w:t>
      </w:r>
      <w:proofErr w:type="spellStart"/>
      <w:r>
        <w:rPr>
          <w:rFonts w:asciiTheme="minorHAnsi" w:hAnsiTheme="minorHAnsi"/>
          <w:i/>
          <w:sz w:val="16"/>
        </w:rPr>
        <w:t>Domestic</w:t>
      </w:r>
      <w:proofErr w:type="spellEnd"/>
      <w:r>
        <w:rPr>
          <w:rFonts w:asciiTheme="minorHAnsi" w:hAnsiTheme="minorHAnsi"/>
          <w:i/>
          <w:sz w:val="16"/>
        </w:rPr>
        <w:t xml:space="preserve"> </w:t>
      </w:r>
      <w:proofErr w:type="spellStart"/>
      <w:r>
        <w:rPr>
          <w:rFonts w:asciiTheme="minorHAnsi" w:hAnsiTheme="minorHAnsi"/>
          <w:i/>
          <w:sz w:val="16"/>
        </w:rPr>
        <w:t>Common</w:t>
      </w:r>
      <w:proofErr w:type="spellEnd"/>
      <w:r>
        <w:rPr>
          <w:rFonts w:asciiTheme="minorHAnsi" w:hAnsiTheme="minorHAnsi"/>
          <w:i/>
          <w:sz w:val="16"/>
        </w:rPr>
        <w:t xml:space="preserve"> </w:t>
      </w:r>
      <w:proofErr w:type="spellStart"/>
      <w:r>
        <w:rPr>
          <w:rFonts w:asciiTheme="minorHAnsi" w:hAnsiTheme="minorHAnsi"/>
          <w:i/>
          <w:sz w:val="16"/>
        </w:rPr>
        <w:t>Law</w:t>
      </w:r>
      <w:proofErr w:type="spellEnd"/>
      <w:r>
        <w:rPr>
          <w:rFonts w:asciiTheme="minorHAnsi" w:hAnsiTheme="minorHAnsi"/>
          <w:i/>
          <w:sz w:val="16"/>
        </w:rPr>
        <w:t xml:space="preserve"> of </w:t>
      </w:r>
      <w:proofErr w:type="spellStart"/>
      <w:r>
        <w:rPr>
          <w:rFonts w:asciiTheme="minorHAnsi" w:hAnsiTheme="minorHAnsi"/>
          <w:i/>
          <w:sz w:val="16"/>
        </w:rPr>
        <w:t>War</w:t>
      </w:r>
      <w:proofErr w:type="spellEnd"/>
      <w:r>
        <w:rPr>
          <w:rFonts w:asciiTheme="minorHAnsi" w:hAnsiTheme="minorHAnsi"/>
          <w:sz w:val="16"/>
        </w:rPr>
        <w:t xml:space="preserve">) por Jonathan </w:t>
      </w:r>
      <w:proofErr w:type="spellStart"/>
      <w:r>
        <w:rPr>
          <w:rFonts w:asciiTheme="minorHAnsi" w:hAnsiTheme="minorHAnsi"/>
          <w:sz w:val="16"/>
        </w:rPr>
        <w:t>Hafetz</w:t>
      </w:r>
      <w:proofErr w:type="spellEnd"/>
      <w:r>
        <w:rPr>
          <w:rFonts w:asciiTheme="minorHAnsi" w:hAnsiTheme="minorHAnsi"/>
          <w:sz w:val="16"/>
        </w:rPr>
        <w:t xml:space="preserve">. Disponible en: </w:t>
      </w:r>
      <w:hyperlink r:id="rId80">
        <w:r>
          <w:rPr>
            <w:rStyle w:val="Hyperlink"/>
            <w:rFonts w:asciiTheme="minorHAnsi" w:hAnsiTheme="minorHAnsi"/>
            <w:sz w:val="16"/>
          </w:rPr>
          <w:t>http://opiniojuris.org/2014/07/22/guest-post-d-c-circuits-en-banc-ruling-al-bahlul-legal-innovation-tradition-americas-domestic-common-law-war/</w:t>
        </w:r>
      </w:hyperlink>
      <w:r>
        <w:rPr>
          <w:rFonts w:asciiTheme="minorHAnsi" w:hAnsiTheme="minorHAnsi"/>
          <w:sz w:val="16"/>
        </w:rPr>
        <w:t xml:space="preserve"> </w:t>
      </w:r>
    </w:p>
  </w:footnote>
  <w:footnote w:id="246">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Informe No. 44/13, Caso 12.873, Fondo (Publicación), Edgar Tamayo Arias, 17 de julio de  2014, </w:t>
      </w:r>
      <w:r>
        <w:rPr>
          <w:rFonts w:asciiTheme="minorHAnsi" w:hAnsiTheme="minorHAnsi"/>
          <w:sz w:val="16"/>
        </w:rPr>
        <w:br/>
        <w:t>párr. 150.</w:t>
      </w:r>
    </w:p>
  </w:footnote>
  <w:footnote w:id="247">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proofErr w:type="spellStart"/>
      <w:r>
        <w:rPr>
          <w:rFonts w:asciiTheme="minorHAnsi" w:hAnsiTheme="minorHAnsi"/>
          <w:sz w:val="16"/>
        </w:rPr>
        <w:t>National</w:t>
      </w:r>
      <w:proofErr w:type="spellEnd"/>
      <w:r>
        <w:rPr>
          <w:rFonts w:asciiTheme="minorHAnsi" w:hAnsiTheme="minorHAnsi"/>
          <w:sz w:val="16"/>
        </w:rPr>
        <w:t xml:space="preserve"> </w:t>
      </w:r>
      <w:proofErr w:type="spellStart"/>
      <w:r>
        <w:rPr>
          <w:rFonts w:asciiTheme="minorHAnsi" w:hAnsiTheme="minorHAnsi"/>
          <w:sz w:val="16"/>
        </w:rPr>
        <w:t>Constitution</w:t>
      </w:r>
      <w:proofErr w:type="spellEnd"/>
      <w:r>
        <w:rPr>
          <w:rFonts w:asciiTheme="minorHAnsi" w:hAnsiTheme="minorHAnsi"/>
          <w:sz w:val="16"/>
        </w:rPr>
        <w:t xml:space="preserve"> Center, Están ahora prejuiciadas las Cortes de Guantánamo sobre los delitos de guerra</w:t>
      </w:r>
      <w:proofErr w:type="gramStart"/>
      <w:r>
        <w:rPr>
          <w:rFonts w:asciiTheme="minorHAnsi" w:hAnsiTheme="minorHAnsi"/>
          <w:sz w:val="16"/>
        </w:rPr>
        <w:t>?</w:t>
      </w:r>
      <w:proofErr w:type="gramEnd"/>
      <w:r>
        <w:rPr>
          <w:rFonts w:asciiTheme="minorHAnsi" w:hAnsiTheme="minorHAnsi"/>
          <w:sz w:val="16"/>
        </w:rPr>
        <w:t xml:space="preserve"> </w:t>
      </w:r>
      <w:r w:rsidRPr="00AA0C6A">
        <w:rPr>
          <w:rFonts w:asciiTheme="minorHAnsi" w:hAnsiTheme="minorHAnsi"/>
          <w:sz w:val="16"/>
          <w:lang w:val="en-US"/>
        </w:rPr>
        <w:t>(</w:t>
      </w:r>
      <w:r w:rsidRPr="00AA0C6A">
        <w:rPr>
          <w:rFonts w:asciiTheme="minorHAnsi" w:hAnsiTheme="minorHAnsi"/>
          <w:i/>
          <w:sz w:val="16"/>
          <w:lang w:val="en-US"/>
        </w:rPr>
        <w:t>Constitution C</w:t>
      </w:r>
      <w:r w:rsidRPr="00237789">
        <w:rPr>
          <w:rFonts w:asciiTheme="minorHAnsi" w:hAnsiTheme="minorHAnsi"/>
          <w:i/>
          <w:sz w:val="16"/>
          <w:lang w:val="en-US"/>
        </w:rPr>
        <w:t>heck: Are the Guantanamo war crimes courts now doomed?</w:t>
      </w:r>
      <w:r w:rsidRPr="00237789">
        <w:rPr>
          <w:rFonts w:asciiTheme="minorHAnsi" w:hAnsiTheme="minorHAnsi"/>
          <w:sz w:val="16"/>
          <w:lang w:val="en-US"/>
        </w:rPr>
        <w:t xml:space="preserve">) </w:t>
      </w:r>
      <w:r>
        <w:rPr>
          <w:rFonts w:asciiTheme="minorHAnsi" w:hAnsiTheme="minorHAnsi"/>
          <w:sz w:val="16"/>
        </w:rPr>
        <w:t xml:space="preserve">Por </w:t>
      </w:r>
      <w:proofErr w:type="spellStart"/>
      <w:r>
        <w:rPr>
          <w:rFonts w:asciiTheme="minorHAnsi" w:hAnsiTheme="minorHAnsi"/>
          <w:sz w:val="16"/>
        </w:rPr>
        <w:t>Lyle</w:t>
      </w:r>
      <w:proofErr w:type="spellEnd"/>
      <w:r>
        <w:rPr>
          <w:rFonts w:asciiTheme="minorHAnsi" w:hAnsiTheme="minorHAnsi"/>
          <w:sz w:val="16"/>
        </w:rPr>
        <w:t xml:space="preserve"> </w:t>
      </w:r>
      <w:proofErr w:type="spellStart"/>
      <w:r>
        <w:rPr>
          <w:rFonts w:asciiTheme="minorHAnsi" w:hAnsiTheme="minorHAnsi"/>
          <w:sz w:val="16"/>
        </w:rPr>
        <w:t>Denniston</w:t>
      </w:r>
      <w:proofErr w:type="spellEnd"/>
      <w:r>
        <w:rPr>
          <w:rFonts w:asciiTheme="minorHAnsi" w:hAnsiTheme="minorHAnsi"/>
          <w:sz w:val="16"/>
        </w:rPr>
        <w:t xml:space="preserve">, 22 de Julio de 2014. Disponible en: </w:t>
      </w:r>
      <w:hyperlink r:id="rId81">
        <w:r>
          <w:rPr>
            <w:rStyle w:val="Hyperlink"/>
            <w:rFonts w:asciiTheme="minorHAnsi" w:hAnsiTheme="minorHAnsi"/>
            <w:sz w:val="16"/>
          </w:rPr>
          <w:t>http://blog.constitutioncenter.org/2014/07/constitution-check-are-the-guantanamo-war-crimes-courts-now-doomed/</w:t>
        </w:r>
      </w:hyperlink>
      <w:r>
        <w:rPr>
          <w:rFonts w:asciiTheme="minorHAnsi" w:hAnsiTheme="minorHAnsi"/>
          <w:sz w:val="16"/>
        </w:rPr>
        <w:t xml:space="preserve"> </w:t>
      </w:r>
    </w:p>
  </w:footnote>
  <w:footnote w:id="248">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CIDH, Reunión de Expertos sobre la Situación de los detenidos en la Base Naval Estadounidense de la Bahía de Guantánamo, Washington DC, 3 de octubre de 2013.</w:t>
      </w:r>
    </w:p>
  </w:footnote>
  <w:footnote w:id="249">
    <w:p w:rsidR="00AF130B" w:rsidRPr="002E2C5C" w:rsidRDefault="00AF130B" w:rsidP="00CE3EC6">
      <w:pPr>
        <w:pStyle w:val="FootnoteText"/>
        <w:ind w:left="547" w:hanging="547"/>
        <w:jc w:val="both"/>
        <w:rPr>
          <w:rFonts w:asciiTheme="minorHAnsi" w:hAnsiTheme="minorHAnsi"/>
          <w:sz w:val="16"/>
          <w:szCs w:val="16"/>
        </w:rPr>
      </w:pPr>
      <w:r w:rsidRPr="002E2C5C">
        <w:rPr>
          <w:rStyle w:val="FootnoteReference"/>
          <w:rFonts w:asciiTheme="minorHAnsi" w:hAnsiTheme="minorHAnsi"/>
          <w:sz w:val="16"/>
        </w:rPr>
        <w:footnoteRef/>
      </w:r>
      <w:r w:rsidRPr="002E2C5C">
        <w:rPr>
          <w:rStyle w:val="FootnoteReference"/>
          <w:rFonts w:asciiTheme="minorHAnsi" w:hAnsiTheme="minorHAnsi"/>
          <w:sz w:val="16"/>
        </w:rPr>
        <w:t xml:space="preserve"> </w:t>
      </w:r>
      <w:r w:rsidRPr="002E2C5C">
        <w:tab/>
      </w:r>
      <w:r w:rsidRPr="002E2C5C">
        <w:rPr>
          <w:rFonts w:asciiTheme="minorHAnsi" w:hAnsiTheme="minorHAnsi"/>
          <w:sz w:val="16"/>
        </w:rPr>
        <w:t xml:space="preserve">CIDH, </w:t>
      </w:r>
      <w:r>
        <w:rPr>
          <w:rFonts w:asciiTheme="minorHAnsi" w:hAnsiTheme="minorHAnsi"/>
          <w:sz w:val="16"/>
        </w:rPr>
        <w:t>Audiencia sobre la s</w:t>
      </w:r>
      <w:r w:rsidRPr="002E2C5C">
        <w:rPr>
          <w:rFonts w:asciiTheme="minorHAnsi" w:hAnsiTheme="minorHAnsi"/>
          <w:sz w:val="16"/>
        </w:rPr>
        <w:t>ituación de derechos humanos de personas privadas de libertad en la Base Naval de Guantánamo, Estados Unidos, 154 período de sesiones, 16 de marzo de 2015.</w:t>
      </w:r>
    </w:p>
  </w:footnote>
  <w:footnote w:id="250">
    <w:p w:rsidR="00AF130B" w:rsidRPr="002E2C5C" w:rsidRDefault="00AF130B" w:rsidP="00CE3EC6">
      <w:pPr>
        <w:pStyle w:val="FootnoteText"/>
        <w:ind w:left="547" w:hanging="547"/>
        <w:jc w:val="both"/>
        <w:rPr>
          <w:rFonts w:asciiTheme="minorHAnsi" w:hAnsiTheme="minorHAnsi"/>
          <w:sz w:val="16"/>
          <w:szCs w:val="16"/>
        </w:rPr>
      </w:pPr>
      <w:r w:rsidRPr="002E2C5C">
        <w:rPr>
          <w:rStyle w:val="FootnoteReference"/>
          <w:rFonts w:asciiTheme="minorHAnsi" w:hAnsiTheme="minorHAnsi"/>
          <w:sz w:val="16"/>
        </w:rPr>
        <w:footnoteRef/>
      </w:r>
      <w:r w:rsidRPr="002E2C5C">
        <w:rPr>
          <w:rFonts w:asciiTheme="minorHAnsi" w:hAnsiTheme="minorHAnsi"/>
          <w:sz w:val="16"/>
        </w:rPr>
        <w:t xml:space="preserve"> </w:t>
      </w:r>
      <w:r w:rsidRPr="002E2C5C">
        <w:tab/>
      </w:r>
      <w:r w:rsidRPr="002E2C5C">
        <w:rPr>
          <w:rFonts w:asciiTheme="minorHAnsi" w:hAnsiTheme="minorHAnsi"/>
          <w:sz w:val="16"/>
        </w:rPr>
        <w:t xml:space="preserve">CIDH, </w:t>
      </w:r>
      <w:r>
        <w:rPr>
          <w:rFonts w:asciiTheme="minorHAnsi" w:hAnsiTheme="minorHAnsi"/>
          <w:sz w:val="16"/>
        </w:rPr>
        <w:t>Audiencia sobre la s</w:t>
      </w:r>
      <w:r w:rsidRPr="002E2C5C">
        <w:rPr>
          <w:rFonts w:asciiTheme="minorHAnsi" w:hAnsiTheme="minorHAnsi"/>
          <w:sz w:val="16"/>
        </w:rPr>
        <w:t>ituación de derechos humanos de personas privadas de libertad en la Base Naval de Guantánamo, Estados Unidos, 154 período de sesiones, 16 de marzo de 2015.</w:t>
      </w:r>
    </w:p>
  </w:footnote>
  <w:footnote w:id="251">
    <w:p w:rsidR="00AF130B" w:rsidRPr="005D0288" w:rsidRDefault="00AF130B" w:rsidP="00CE3EC6">
      <w:pPr>
        <w:pStyle w:val="FootnoteText"/>
        <w:ind w:left="547" w:hanging="547"/>
        <w:jc w:val="both"/>
        <w:rPr>
          <w:rFonts w:asciiTheme="minorHAnsi" w:hAnsiTheme="minorHAnsi"/>
          <w:sz w:val="16"/>
          <w:szCs w:val="16"/>
          <w:lang w:val="es-EC"/>
        </w:rPr>
      </w:pPr>
      <w:r w:rsidRPr="002E2C5C">
        <w:rPr>
          <w:rStyle w:val="FootnoteReference"/>
          <w:rFonts w:asciiTheme="minorHAnsi" w:hAnsiTheme="minorHAnsi"/>
          <w:sz w:val="16"/>
        </w:rPr>
        <w:footnoteRef/>
      </w:r>
      <w:r w:rsidRPr="002E2C5C">
        <w:rPr>
          <w:rFonts w:asciiTheme="minorHAnsi" w:hAnsiTheme="minorHAnsi"/>
          <w:sz w:val="16"/>
        </w:rPr>
        <w:t xml:space="preserve"> </w:t>
      </w:r>
      <w:r w:rsidRPr="002E2C5C">
        <w:tab/>
      </w:r>
      <w:r w:rsidRPr="002E2C5C">
        <w:rPr>
          <w:rFonts w:asciiTheme="minorHAnsi" w:hAnsiTheme="minorHAnsi"/>
          <w:sz w:val="16"/>
        </w:rPr>
        <w:t>ACLU, Cámara de Representantes aprueba cambios a las comisiones militares de Guantánamo (</w:t>
      </w:r>
      <w:proofErr w:type="spellStart"/>
      <w:r w:rsidRPr="002E2C5C">
        <w:rPr>
          <w:rFonts w:asciiTheme="minorHAnsi" w:hAnsiTheme="minorHAnsi"/>
          <w:i/>
          <w:sz w:val="16"/>
        </w:rPr>
        <w:t>House</w:t>
      </w:r>
      <w:proofErr w:type="spellEnd"/>
      <w:r w:rsidRPr="002E2C5C">
        <w:rPr>
          <w:rFonts w:asciiTheme="minorHAnsi" w:hAnsiTheme="minorHAnsi"/>
          <w:i/>
          <w:sz w:val="16"/>
        </w:rPr>
        <w:t xml:space="preserve"> </w:t>
      </w:r>
      <w:proofErr w:type="spellStart"/>
      <w:r w:rsidRPr="002E2C5C">
        <w:rPr>
          <w:rFonts w:asciiTheme="minorHAnsi" w:hAnsiTheme="minorHAnsi"/>
          <w:i/>
          <w:sz w:val="16"/>
        </w:rPr>
        <w:t>Passes</w:t>
      </w:r>
      <w:proofErr w:type="spellEnd"/>
      <w:r w:rsidRPr="002E2C5C">
        <w:rPr>
          <w:rFonts w:asciiTheme="minorHAnsi" w:hAnsiTheme="minorHAnsi"/>
          <w:i/>
          <w:sz w:val="16"/>
        </w:rPr>
        <w:t xml:space="preserve"> </w:t>
      </w:r>
      <w:proofErr w:type="spellStart"/>
      <w:r w:rsidRPr="002E2C5C">
        <w:rPr>
          <w:rFonts w:asciiTheme="minorHAnsi" w:hAnsiTheme="minorHAnsi"/>
          <w:i/>
          <w:sz w:val="16"/>
        </w:rPr>
        <w:t>Changes</w:t>
      </w:r>
      <w:proofErr w:type="spellEnd"/>
      <w:r w:rsidRPr="002E2C5C">
        <w:rPr>
          <w:rFonts w:asciiTheme="minorHAnsi" w:hAnsiTheme="minorHAnsi"/>
          <w:i/>
          <w:sz w:val="16"/>
        </w:rPr>
        <w:t xml:space="preserve"> To </w:t>
      </w:r>
      <w:proofErr w:type="spellStart"/>
      <w:r w:rsidRPr="002E2C5C">
        <w:rPr>
          <w:rFonts w:asciiTheme="minorHAnsi" w:hAnsiTheme="minorHAnsi"/>
          <w:i/>
          <w:sz w:val="16"/>
        </w:rPr>
        <w:t>Guantanamo</w:t>
      </w:r>
      <w:proofErr w:type="spellEnd"/>
      <w:r w:rsidRPr="002E2C5C">
        <w:rPr>
          <w:rFonts w:asciiTheme="minorHAnsi" w:hAnsiTheme="minorHAnsi"/>
          <w:i/>
          <w:sz w:val="16"/>
        </w:rPr>
        <w:t xml:space="preserve"> </w:t>
      </w:r>
      <w:proofErr w:type="spellStart"/>
      <w:r w:rsidRPr="002E2C5C">
        <w:rPr>
          <w:rFonts w:asciiTheme="minorHAnsi" w:hAnsiTheme="minorHAnsi"/>
          <w:i/>
          <w:sz w:val="16"/>
        </w:rPr>
        <w:t>Military</w:t>
      </w:r>
      <w:proofErr w:type="spellEnd"/>
      <w:r w:rsidRPr="002E2C5C">
        <w:rPr>
          <w:rFonts w:asciiTheme="minorHAnsi" w:hAnsiTheme="minorHAnsi"/>
          <w:i/>
          <w:sz w:val="16"/>
        </w:rPr>
        <w:t xml:space="preserve"> </w:t>
      </w:r>
      <w:proofErr w:type="spellStart"/>
      <w:r w:rsidRPr="002E2C5C">
        <w:rPr>
          <w:rFonts w:asciiTheme="minorHAnsi" w:hAnsiTheme="minorHAnsi"/>
          <w:i/>
          <w:sz w:val="16"/>
        </w:rPr>
        <w:t>Commissions</w:t>
      </w:r>
      <w:proofErr w:type="spellEnd"/>
      <w:r w:rsidRPr="002E2C5C">
        <w:rPr>
          <w:rFonts w:asciiTheme="minorHAnsi" w:hAnsiTheme="minorHAnsi"/>
          <w:sz w:val="16"/>
        </w:rPr>
        <w:t>), 8 de octubre de  2009. Disponible en:</w:t>
      </w:r>
      <w:r>
        <w:rPr>
          <w:rFonts w:asciiTheme="minorHAnsi" w:hAnsiTheme="minorHAnsi"/>
          <w:sz w:val="16"/>
        </w:rPr>
        <w:t xml:space="preserve"> </w:t>
      </w:r>
      <w:hyperlink r:id="rId82">
        <w:r>
          <w:rPr>
            <w:rStyle w:val="Hyperlink"/>
            <w:rFonts w:asciiTheme="minorHAnsi" w:hAnsiTheme="minorHAnsi"/>
            <w:sz w:val="16"/>
          </w:rPr>
          <w:t>https://www.aclu.org/national-security/house-passes-changes-guantanamo-military-commissions</w:t>
        </w:r>
      </w:hyperlink>
      <w:r>
        <w:rPr>
          <w:rFonts w:asciiTheme="minorHAnsi" w:hAnsiTheme="minorHAnsi"/>
          <w:sz w:val="16"/>
        </w:rPr>
        <w:t xml:space="preserve"> </w:t>
      </w:r>
    </w:p>
  </w:footnote>
  <w:footnote w:id="252">
    <w:p w:rsidR="00AF130B" w:rsidRPr="005D0288" w:rsidRDefault="00AF130B" w:rsidP="00CE3EC6">
      <w:pPr>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Declaración Americana, Artículos XVIII, XXV, y XXVI.</w:t>
      </w:r>
    </w:p>
  </w:footnote>
  <w:footnote w:id="253">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sidRPr="00237789">
        <w:rPr>
          <w:rFonts w:asciiTheme="minorHAnsi" w:hAnsiTheme="minorHAnsi"/>
          <w:sz w:val="16"/>
          <w:lang w:val="pt-BR"/>
        </w:rPr>
        <w:t xml:space="preserve"> </w:t>
      </w:r>
      <w:r w:rsidRPr="00237789">
        <w:rPr>
          <w:lang w:val="pt-BR"/>
        </w:rPr>
        <w:tab/>
      </w:r>
      <w:r w:rsidRPr="00237789">
        <w:rPr>
          <w:rFonts w:asciiTheme="minorHAnsi" w:hAnsiTheme="minorHAnsi"/>
          <w:sz w:val="16"/>
          <w:lang w:val="pt-BR"/>
        </w:rPr>
        <w:t xml:space="preserve">CIDH, </w:t>
      </w:r>
      <w:r w:rsidRPr="00237789">
        <w:rPr>
          <w:rFonts w:asciiTheme="minorHAnsi" w:hAnsiTheme="minorHAnsi"/>
          <w:i/>
          <w:sz w:val="16"/>
          <w:lang w:val="pt-BR"/>
        </w:rPr>
        <w:t>Informe Anual de 2011</w:t>
      </w:r>
      <w:r w:rsidRPr="00237789">
        <w:rPr>
          <w:rFonts w:asciiTheme="minorHAnsi" w:hAnsiTheme="minorHAnsi"/>
          <w:sz w:val="16"/>
          <w:lang w:val="pt-BR"/>
        </w:rPr>
        <w:t xml:space="preserve">, Capítulo IV, Cuba, párr. </w:t>
      </w:r>
      <w:r>
        <w:rPr>
          <w:rFonts w:asciiTheme="minorHAnsi" w:hAnsiTheme="minorHAnsi"/>
          <w:sz w:val="16"/>
        </w:rPr>
        <w:t>211.</w:t>
      </w:r>
    </w:p>
  </w:footnote>
  <w:footnote w:id="254">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Al respecto, véase: CIDH, Demanda ante la Corte Interamericana de Derechos Humanos en el caso Baruch </w:t>
      </w:r>
      <w:proofErr w:type="spellStart"/>
      <w:r>
        <w:rPr>
          <w:rFonts w:asciiTheme="minorHAnsi" w:hAnsiTheme="minorHAnsi"/>
          <w:sz w:val="16"/>
        </w:rPr>
        <w:t>Ivcher</w:t>
      </w:r>
      <w:proofErr w:type="spellEnd"/>
      <w:r>
        <w:rPr>
          <w:rFonts w:asciiTheme="minorHAnsi" w:hAnsiTheme="minorHAnsi"/>
          <w:sz w:val="16"/>
        </w:rPr>
        <w:t xml:space="preserve"> </w:t>
      </w:r>
      <w:proofErr w:type="spellStart"/>
      <w:r>
        <w:rPr>
          <w:rFonts w:asciiTheme="minorHAnsi" w:hAnsiTheme="minorHAnsi"/>
          <w:sz w:val="16"/>
        </w:rPr>
        <w:t>Bronstein</w:t>
      </w:r>
      <w:proofErr w:type="spellEnd"/>
      <w:r>
        <w:rPr>
          <w:rFonts w:asciiTheme="minorHAnsi" w:hAnsiTheme="minorHAnsi"/>
          <w:sz w:val="16"/>
        </w:rPr>
        <w:t xml:space="preserve"> v. Perú, Caso 11.762, 31 de marzo de 1999, pág. 25.</w:t>
      </w:r>
    </w:p>
  </w:footnote>
  <w:footnote w:id="255">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w:t>
      </w:r>
      <w:r>
        <w:rPr>
          <w:rFonts w:asciiTheme="minorHAnsi" w:hAnsiTheme="minorHAnsi"/>
          <w:i/>
          <w:sz w:val="16"/>
        </w:rPr>
        <w:t>Informe sobre Terrorismo y Derechos Humanos</w:t>
      </w:r>
      <w:r>
        <w:rPr>
          <w:rFonts w:asciiTheme="minorHAnsi" w:hAnsiTheme="minorHAnsi"/>
          <w:sz w:val="16"/>
        </w:rPr>
        <w:t>, OEA/</w:t>
      </w:r>
      <w:proofErr w:type="spellStart"/>
      <w:r>
        <w:rPr>
          <w:rFonts w:asciiTheme="minorHAnsi" w:hAnsiTheme="minorHAnsi"/>
          <w:sz w:val="16"/>
        </w:rPr>
        <w:t>Ser.L</w:t>
      </w:r>
      <w:proofErr w:type="spellEnd"/>
      <w:r>
        <w:rPr>
          <w:rFonts w:asciiTheme="minorHAnsi" w:hAnsiTheme="minorHAnsi"/>
          <w:sz w:val="16"/>
        </w:rPr>
        <w:t>/V/II.116.Doc.5 rev.1, 22 de octubre de 2002, párr. 228.</w:t>
      </w:r>
    </w:p>
  </w:footnote>
  <w:footnote w:id="256">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w:t>
      </w:r>
      <w:r>
        <w:rPr>
          <w:rFonts w:asciiTheme="minorHAnsi" w:hAnsiTheme="minorHAnsi"/>
          <w:i/>
          <w:sz w:val="16"/>
        </w:rPr>
        <w:t>Informe sobre Terrorismo y Derechos Humanos</w:t>
      </w:r>
      <w:r>
        <w:rPr>
          <w:rFonts w:asciiTheme="minorHAnsi" w:hAnsiTheme="minorHAnsi"/>
          <w:sz w:val="16"/>
        </w:rPr>
        <w:t>, OEA/</w:t>
      </w:r>
      <w:proofErr w:type="spellStart"/>
      <w:r>
        <w:rPr>
          <w:rFonts w:asciiTheme="minorHAnsi" w:hAnsiTheme="minorHAnsi"/>
          <w:sz w:val="16"/>
        </w:rPr>
        <w:t>Ser.L</w:t>
      </w:r>
      <w:proofErr w:type="spellEnd"/>
      <w:r>
        <w:rPr>
          <w:rFonts w:asciiTheme="minorHAnsi" w:hAnsiTheme="minorHAnsi"/>
          <w:sz w:val="16"/>
        </w:rPr>
        <w:t>/V/II.116.Doc.5 rev.1, 22 de octubre de 2002, párr. 261.</w:t>
      </w:r>
    </w:p>
  </w:footnote>
  <w:footnote w:id="257">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Ver, </w:t>
      </w:r>
      <w:r>
        <w:rPr>
          <w:rFonts w:asciiTheme="minorHAnsi" w:hAnsiTheme="minorHAnsi"/>
          <w:i/>
          <w:sz w:val="16"/>
        </w:rPr>
        <w:t xml:space="preserve">mutatis </w:t>
      </w:r>
      <w:proofErr w:type="spellStart"/>
      <w:r>
        <w:rPr>
          <w:rFonts w:asciiTheme="minorHAnsi" w:hAnsiTheme="minorHAnsi"/>
          <w:i/>
          <w:sz w:val="16"/>
        </w:rPr>
        <w:t>mutandi</w:t>
      </w:r>
      <w:proofErr w:type="spellEnd"/>
      <w:r>
        <w:rPr>
          <w:rFonts w:asciiTheme="minorHAnsi" w:hAnsiTheme="minorHAnsi"/>
          <w:sz w:val="16"/>
        </w:rPr>
        <w:t xml:space="preserve">, Corte IDH, Caso Castillo </w:t>
      </w:r>
      <w:proofErr w:type="spellStart"/>
      <w:r>
        <w:rPr>
          <w:rFonts w:asciiTheme="minorHAnsi" w:hAnsiTheme="minorHAnsi"/>
          <w:sz w:val="16"/>
        </w:rPr>
        <w:t>Petruzzi</w:t>
      </w:r>
      <w:proofErr w:type="spellEnd"/>
      <w:r>
        <w:rPr>
          <w:rFonts w:asciiTheme="minorHAnsi" w:hAnsiTheme="minorHAnsi"/>
          <w:sz w:val="16"/>
        </w:rPr>
        <w:t xml:space="preserve"> y otros vs. Perú, Fondo, Reparaciones y Costas. Sentencia de 30 de mayo de 1999. Serie C No. 52, párr. 128.</w:t>
      </w:r>
    </w:p>
  </w:footnote>
  <w:footnote w:id="258">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Organización de las Naciones Unidas, Pacto Internacional de Derechos Civiles y Políticos, Comité de Derechos Humanos, Observaciones finales sobre el cuarto informe periódico de los Estados Unidos de América, CCPR/C/USA/CO/4, 23 de abril de 2014, párr. 21.</w:t>
      </w:r>
    </w:p>
  </w:footnote>
  <w:footnote w:id="259">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Debe tomarse en cuenta que Yasser </w:t>
      </w:r>
      <w:proofErr w:type="spellStart"/>
      <w:r>
        <w:rPr>
          <w:rFonts w:asciiTheme="minorHAnsi" w:hAnsiTheme="minorHAnsi"/>
          <w:sz w:val="16"/>
        </w:rPr>
        <w:t>Hamdi</w:t>
      </w:r>
      <w:proofErr w:type="spellEnd"/>
      <w:r>
        <w:rPr>
          <w:rFonts w:asciiTheme="minorHAnsi" w:hAnsiTheme="minorHAnsi"/>
          <w:sz w:val="16"/>
        </w:rPr>
        <w:t xml:space="preserve"> (</w:t>
      </w:r>
      <w:proofErr w:type="spellStart"/>
      <w:r>
        <w:rPr>
          <w:rFonts w:asciiTheme="minorHAnsi" w:hAnsiTheme="minorHAnsi"/>
          <w:i/>
          <w:sz w:val="16"/>
        </w:rPr>
        <w:t>Hamdi</w:t>
      </w:r>
      <w:proofErr w:type="spellEnd"/>
      <w:r>
        <w:rPr>
          <w:rFonts w:asciiTheme="minorHAnsi" w:hAnsiTheme="minorHAnsi"/>
          <w:i/>
          <w:sz w:val="16"/>
        </w:rPr>
        <w:t xml:space="preserve"> v. Rumsfeld</w:t>
      </w:r>
      <w:r>
        <w:rPr>
          <w:rFonts w:asciiTheme="minorHAnsi" w:hAnsiTheme="minorHAnsi"/>
          <w:sz w:val="16"/>
        </w:rPr>
        <w:t xml:space="preserve">), quien nació en Estados Unidos y creció en Arabia Saudita, fue enviado a Guantánamo hasta que las autoridades estadounidenses tomaron conocimiento de que era un ciudadano americano. Fue liberado en octubre de 2004 y se le permitió regresar a Arabia Saudita de conformidad con un acuerdo que exigía a </w:t>
      </w:r>
      <w:proofErr w:type="spellStart"/>
      <w:r>
        <w:rPr>
          <w:rFonts w:asciiTheme="minorHAnsi" w:hAnsiTheme="minorHAnsi"/>
          <w:sz w:val="16"/>
        </w:rPr>
        <w:t>Hamdi</w:t>
      </w:r>
      <w:proofErr w:type="spellEnd"/>
      <w:r>
        <w:rPr>
          <w:rFonts w:asciiTheme="minorHAnsi" w:hAnsiTheme="minorHAnsi"/>
          <w:sz w:val="16"/>
        </w:rPr>
        <w:t xml:space="preserve"> renunciar a su ciudadanía americana. </w:t>
      </w:r>
    </w:p>
  </w:footnote>
  <w:footnote w:id="260">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Al respecto, véase, CIDH, Demanda ante la Corte Interamericana de Derechos Humanos en el Caso de Karen </w:t>
      </w:r>
      <w:proofErr w:type="spellStart"/>
      <w:r>
        <w:rPr>
          <w:rFonts w:asciiTheme="minorHAnsi" w:hAnsiTheme="minorHAnsi"/>
          <w:sz w:val="16"/>
        </w:rPr>
        <w:t>Atala</w:t>
      </w:r>
      <w:proofErr w:type="spellEnd"/>
      <w:r>
        <w:rPr>
          <w:rFonts w:asciiTheme="minorHAnsi" w:hAnsiTheme="minorHAnsi"/>
          <w:sz w:val="16"/>
        </w:rPr>
        <w:t xml:space="preserve"> e hijas vs. Chile, Caso 12.502, 17 de septiembre de 2010, </w:t>
      </w:r>
      <w:proofErr w:type="spellStart"/>
      <w:r>
        <w:rPr>
          <w:rFonts w:asciiTheme="minorHAnsi" w:hAnsiTheme="minorHAnsi"/>
          <w:sz w:val="16"/>
        </w:rPr>
        <w:t>párrs</w:t>
      </w:r>
      <w:proofErr w:type="spellEnd"/>
      <w:r>
        <w:rPr>
          <w:rFonts w:asciiTheme="minorHAnsi" w:hAnsiTheme="minorHAnsi"/>
          <w:sz w:val="16"/>
        </w:rPr>
        <w:t>. 85-89.</w:t>
      </w:r>
    </w:p>
  </w:footnote>
  <w:footnote w:id="261">
    <w:p w:rsidR="00AF130B" w:rsidRPr="005D0288" w:rsidRDefault="00AF130B" w:rsidP="00CE3EC6">
      <w:pPr>
        <w:pStyle w:val="Footnotes"/>
        <w:spacing w:after="0"/>
        <w:ind w:left="547" w:hanging="547"/>
        <w:rPr>
          <w:rFonts w:asciiTheme="minorHAnsi" w:hAnsiTheme="minorHAnsi"/>
        </w:rPr>
      </w:pPr>
      <w:r>
        <w:rPr>
          <w:rStyle w:val="FootnoteReference"/>
          <w:rFonts w:asciiTheme="minorHAnsi" w:hAnsiTheme="minorHAnsi"/>
        </w:rPr>
        <w:footnoteRef/>
      </w:r>
      <w:r>
        <w:rPr>
          <w:rFonts w:asciiTheme="minorHAnsi" w:hAnsiTheme="minorHAnsi"/>
        </w:rPr>
        <w:t xml:space="preserve"> </w:t>
      </w:r>
      <w:r>
        <w:tab/>
      </w:r>
      <w:r>
        <w:rPr>
          <w:rFonts w:asciiTheme="minorHAnsi" w:hAnsiTheme="minorHAnsi"/>
        </w:rPr>
        <w:t xml:space="preserve">CIDH, </w:t>
      </w:r>
      <w:r>
        <w:rPr>
          <w:rFonts w:asciiTheme="minorHAnsi" w:hAnsiTheme="minorHAnsi"/>
          <w:i/>
        </w:rPr>
        <w:t xml:space="preserve">Informe sobre la Situación de los Derechos Humanos de los Solicitantes de Asilo en el Marco del Sistema Canadiense de Determinación de Refugiados, </w:t>
      </w:r>
      <w:r>
        <w:rPr>
          <w:rFonts w:asciiTheme="minorHAnsi" w:hAnsiTheme="minorHAnsi"/>
        </w:rPr>
        <w:t>OEA/</w:t>
      </w:r>
      <w:proofErr w:type="spellStart"/>
      <w:r>
        <w:rPr>
          <w:rFonts w:asciiTheme="minorHAnsi" w:hAnsiTheme="minorHAnsi"/>
        </w:rPr>
        <w:t>Ser.L</w:t>
      </w:r>
      <w:proofErr w:type="spellEnd"/>
      <w:r>
        <w:rPr>
          <w:rFonts w:asciiTheme="minorHAnsi" w:hAnsiTheme="minorHAnsi"/>
        </w:rPr>
        <w:t xml:space="preserve">/V/II.106 </w:t>
      </w:r>
      <w:proofErr w:type="spellStart"/>
      <w:r>
        <w:rPr>
          <w:rFonts w:asciiTheme="minorHAnsi" w:hAnsiTheme="minorHAnsi"/>
        </w:rPr>
        <w:t>Doc</w:t>
      </w:r>
      <w:proofErr w:type="spellEnd"/>
      <w:r>
        <w:rPr>
          <w:rFonts w:asciiTheme="minorHAnsi" w:hAnsiTheme="minorHAnsi"/>
        </w:rPr>
        <w:t xml:space="preserve"> 40.rev (28 de febrero de 2000), párr. 96. </w:t>
      </w:r>
    </w:p>
  </w:footnote>
  <w:footnote w:id="262">
    <w:p w:rsidR="00AF130B" w:rsidRPr="005D0288" w:rsidRDefault="00AF130B" w:rsidP="00CE3EC6">
      <w:pPr>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Ver Human </w:t>
      </w:r>
      <w:proofErr w:type="spellStart"/>
      <w:r>
        <w:rPr>
          <w:rFonts w:asciiTheme="minorHAnsi" w:hAnsiTheme="minorHAnsi"/>
          <w:sz w:val="16"/>
        </w:rPr>
        <w:t>Rights</w:t>
      </w:r>
      <w:proofErr w:type="spellEnd"/>
      <w:r>
        <w:rPr>
          <w:rFonts w:asciiTheme="minorHAnsi" w:hAnsiTheme="minorHAnsi"/>
          <w:sz w:val="16"/>
        </w:rPr>
        <w:t xml:space="preserve"> </w:t>
      </w:r>
      <w:proofErr w:type="spellStart"/>
      <w:r>
        <w:rPr>
          <w:rFonts w:asciiTheme="minorHAnsi" w:hAnsiTheme="minorHAnsi"/>
          <w:sz w:val="16"/>
        </w:rPr>
        <w:t>First</w:t>
      </w:r>
      <w:proofErr w:type="spellEnd"/>
      <w:r>
        <w:rPr>
          <w:rFonts w:asciiTheme="minorHAnsi" w:hAnsiTheme="minorHAnsi"/>
          <w:sz w:val="16"/>
        </w:rPr>
        <w:t xml:space="preserve">, Hoja Informativa, Mito vs. Realidad: Juzgando a los Sospechosos de Terrorismo ante Cortes Federales. Disponible en: </w:t>
      </w:r>
      <w:hyperlink r:id="rId83">
        <w:r>
          <w:rPr>
            <w:rStyle w:val="Hyperlink"/>
            <w:rFonts w:asciiTheme="minorHAnsi" w:hAnsiTheme="minorHAnsi"/>
            <w:sz w:val="16"/>
          </w:rPr>
          <w:t>http://www.humanrightsfirst.org/wp-content/uploads/pdf/USLS-Fact-Sheet-Federal_Court_Myth_vs_Fact.pdf</w:t>
        </w:r>
      </w:hyperlink>
      <w:r>
        <w:rPr>
          <w:rFonts w:asciiTheme="minorHAnsi" w:hAnsiTheme="minorHAnsi"/>
          <w:sz w:val="16"/>
        </w:rPr>
        <w:t xml:space="preserve"> </w:t>
      </w:r>
    </w:p>
  </w:footnote>
  <w:footnote w:id="263">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CIDH,</w:t>
      </w:r>
      <w:r>
        <w:rPr>
          <w:rFonts w:asciiTheme="minorHAnsi" w:hAnsiTheme="minorHAnsi"/>
          <w:i/>
          <w:sz w:val="16"/>
        </w:rPr>
        <w:t xml:space="preserve"> Informe sobre Inmigración en Estados Unidos: Detención y Debido Proceso, </w:t>
      </w:r>
      <w:r>
        <w:rPr>
          <w:rFonts w:asciiTheme="minorHAnsi" w:hAnsiTheme="minorHAnsi"/>
          <w:sz w:val="16"/>
        </w:rPr>
        <w:t>OEA/</w:t>
      </w:r>
      <w:proofErr w:type="spellStart"/>
      <w:r>
        <w:rPr>
          <w:rFonts w:asciiTheme="minorHAnsi" w:hAnsiTheme="minorHAnsi"/>
          <w:sz w:val="16"/>
        </w:rPr>
        <w:t>Ser.L</w:t>
      </w:r>
      <w:proofErr w:type="spellEnd"/>
      <w:r>
        <w:rPr>
          <w:rFonts w:asciiTheme="minorHAnsi" w:hAnsiTheme="minorHAnsi"/>
          <w:sz w:val="16"/>
        </w:rPr>
        <w:t>/V/II. Doc. 78/10, 30 de diciembre de 2010, párr. 95.</w:t>
      </w:r>
    </w:p>
  </w:footnote>
  <w:footnote w:id="264">
    <w:p w:rsidR="00AF130B" w:rsidRPr="005D0288" w:rsidRDefault="00AF130B" w:rsidP="00CE3EC6">
      <w:pPr>
        <w:ind w:left="547" w:hanging="547"/>
        <w:jc w:val="both"/>
        <w:rPr>
          <w:rFonts w:asciiTheme="minorHAnsi" w:hAnsiTheme="minorHAnsi"/>
          <w:bCs/>
          <w:color w:val="000000"/>
          <w:sz w:val="16"/>
          <w:szCs w:val="16"/>
          <w:shd w:val="clear" w:color="auto" w:fill="FFFFFF"/>
          <w:lang w:val="es-EC"/>
        </w:rPr>
      </w:pPr>
      <w:r>
        <w:rPr>
          <w:rStyle w:val="FootnoteReference"/>
          <w:rFonts w:asciiTheme="minorHAnsi" w:hAnsiTheme="minorHAnsi"/>
          <w:b/>
          <w:sz w:val="16"/>
        </w:rPr>
        <w:footnoteRef/>
      </w:r>
      <w:r>
        <w:rPr>
          <w:rFonts w:asciiTheme="minorHAnsi" w:hAnsiTheme="minorHAnsi"/>
          <w:b/>
          <w:sz w:val="16"/>
        </w:rPr>
        <w:t xml:space="preserve"> </w:t>
      </w:r>
      <w:r>
        <w:tab/>
      </w:r>
      <w:r>
        <w:rPr>
          <w:rStyle w:val="Strong"/>
          <w:rFonts w:asciiTheme="minorHAnsi" w:hAnsiTheme="minorHAnsi"/>
          <w:b w:val="0"/>
          <w:sz w:val="16"/>
          <w:shd w:val="clear" w:color="auto" w:fill="FFFFFF"/>
        </w:rPr>
        <w:t>Comité de Derechos Humanos, Observación General No. 32, Artículo 14</w:t>
      </w:r>
      <w:proofErr w:type="gramStart"/>
      <w:r>
        <w:rPr>
          <w:rStyle w:val="Strong"/>
          <w:rFonts w:asciiTheme="minorHAnsi" w:hAnsiTheme="minorHAnsi"/>
          <w:b w:val="0"/>
          <w:sz w:val="16"/>
          <w:shd w:val="clear" w:color="auto" w:fill="FFFFFF"/>
        </w:rPr>
        <w:t>:  El</w:t>
      </w:r>
      <w:proofErr w:type="gramEnd"/>
      <w:r>
        <w:rPr>
          <w:rStyle w:val="Strong"/>
          <w:rFonts w:asciiTheme="minorHAnsi" w:hAnsiTheme="minorHAnsi"/>
          <w:b w:val="0"/>
          <w:sz w:val="16"/>
          <w:shd w:val="clear" w:color="auto" w:fill="FFFFFF"/>
        </w:rPr>
        <w:t xml:space="preserve"> derecho a un juicio imparcial y a la igualdad ante los tribunales y cortes de justicia, U.N. Doc. CCPR/C/GC/32 (2007).</w:t>
      </w:r>
    </w:p>
  </w:footnote>
  <w:footnote w:id="265">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TEDH, </w:t>
      </w:r>
      <w:r>
        <w:rPr>
          <w:rFonts w:asciiTheme="minorHAnsi" w:hAnsiTheme="minorHAnsi"/>
          <w:i/>
          <w:sz w:val="16"/>
        </w:rPr>
        <w:t xml:space="preserve">A. y Otros vs. Reino Unido, </w:t>
      </w:r>
      <w:r>
        <w:rPr>
          <w:rFonts w:asciiTheme="minorHAnsi" w:hAnsiTheme="minorHAnsi"/>
          <w:sz w:val="16"/>
        </w:rPr>
        <w:t xml:space="preserve">no. 3455/05, 19 de febrero de 2009, </w:t>
      </w:r>
      <w:r>
        <w:rPr>
          <w:rStyle w:val="st1"/>
          <w:rFonts w:asciiTheme="minorHAnsi" w:hAnsiTheme="minorHAnsi"/>
          <w:sz w:val="16"/>
        </w:rPr>
        <w:t xml:space="preserve">§ </w:t>
      </w:r>
      <w:r>
        <w:rPr>
          <w:rFonts w:asciiTheme="minorHAnsi" w:hAnsiTheme="minorHAnsi"/>
          <w:sz w:val="16"/>
        </w:rPr>
        <w:t>186.</w:t>
      </w:r>
    </w:p>
  </w:footnote>
  <w:footnote w:id="266">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i/>
          <w:sz w:val="16"/>
        </w:rPr>
        <w:t>Véase al respecto</w:t>
      </w:r>
      <w:r>
        <w:rPr>
          <w:rFonts w:asciiTheme="minorHAnsi" w:hAnsiTheme="minorHAnsi"/>
          <w:sz w:val="16"/>
        </w:rPr>
        <w:t xml:space="preserve">, Caso Castillo </w:t>
      </w:r>
      <w:proofErr w:type="spellStart"/>
      <w:r>
        <w:rPr>
          <w:rFonts w:asciiTheme="minorHAnsi" w:hAnsiTheme="minorHAnsi"/>
          <w:sz w:val="16"/>
        </w:rPr>
        <w:t>Petruzzi</w:t>
      </w:r>
      <w:proofErr w:type="spellEnd"/>
      <w:r>
        <w:rPr>
          <w:rFonts w:asciiTheme="minorHAnsi" w:hAnsiTheme="minorHAnsi"/>
          <w:sz w:val="16"/>
        </w:rPr>
        <w:t xml:space="preserve"> y otros vs. Perú, Fondo, Reparaciones y Costas. Sentencia de 30 de mayo de 1999. Serie C No. 52, párr. 161.</w:t>
      </w:r>
    </w:p>
  </w:footnote>
  <w:footnote w:id="267">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MCA de 2009, 10 U.S.C. </w:t>
      </w:r>
      <w:r>
        <w:rPr>
          <w:rStyle w:val="st1"/>
          <w:rFonts w:asciiTheme="minorHAnsi" w:hAnsiTheme="minorHAnsi"/>
          <w:sz w:val="16"/>
        </w:rPr>
        <w:t xml:space="preserve">§ </w:t>
      </w:r>
      <w:r>
        <w:rPr>
          <w:rFonts w:asciiTheme="minorHAnsi" w:hAnsiTheme="minorHAnsi"/>
          <w:sz w:val="16"/>
        </w:rPr>
        <w:t>948(d).</w:t>
      </w:r>
    </w:p>
  </w:footnote>
  <w:footnote w:id="268">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MCA de 2009, 10 U.S.C. </w:t>
      </w:r>
      <w:r>
        <w:rPr>
          <w:rStyle w:val="st1"/>
          <w:rFonts w:asciiTheme="minorHAnsi" w:hAnsiTheme="minorHAnsi"/>
          <w:sz w:val="16"/>
        </w:rPr>
        <w:t>§ 948(a)(7)</w:t>
      </w:r>
    </w:p>
  </w:footnote>
  <w:footnote w:id="269">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w:t>
      </w:r>
      <w:r>
        <w:rPr>
          <w:rFonts w:asciiTheme="minorHAnsi" w:hAnsiTheme="minorHAnsi"/>
          <w:i/>
          <w:sz w:val="16"/>
        </w:rPr>
        <w:t>Informe sobre Terrorismo y Derechos Humanos</w:t>
      </w:r>
      <w:r>
        <w:rPr>
          <w:rFonts w:asciiTheme="minorHAnsi" w:hAnsiTheme="minorHAnsi"/>
          <w:sz w:val="16"/>
        </w:rPr>
        <w:t>, OEA/</w:t>
      </w:r>
      <w:proofErr w:type="spellStart"/>
      <w:r>
        <w:rPr>
          <w:rFonts w:asciiTheme="minorHAnsi" w:hAnsiTheme="minorHAnsi"/>
          <w:sz w:val="16"/>
        </w:rPr>
        <w:t>Ser.L</w:t>
      </w:r>
      <w:proofErr w:type="spellEnd"/>
      <w:r>
        <w:rPr>
          <w:rFonts w:asciiTheme="minorHAnsi" w:hAnsiTheme="minorHAnsi"/>
          <w:sz w:val="16"/>
        </w:rPr>
        <w:t>/V/II.116.Doc.5 rev.1, 22 de octubre de 2002, párr. 226.</w:t>
      </w:r>
    </w:p>
  </w:footnote>
  <w:footnote w:id="270">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w:t>
      </w:r>
      <w:r>
        <w:rPr>
          <w:rFonts w:asciiTheme="minorHAnsi" w:hAnsiTheme="minorHAnsi"/>
          <w:i/>
          <w:sz w:val="16"/>
        </w:rPr>
        <w:t>Informe sobre Terrorismo y Derechos Humanos</w:t>
      </w:r>
      <w:r>
        <w:rPr>
          <w:rFonts w:asciiTheme="minorHAnsi" w:hAnsiTheme="minorHAnsi"/>
          <w:sz w:val="16"/>
        </w:rPr>
        <w:t>, OEA/</w:t>
      </w:r>
      <w:proofErr w:type="spellStart"/>
      <w:r>
        <w:rPr>
          <w:rFonts w:asciiTheme="minorHAnsi" w:hAnsiTheme="minorHAnsi"/>
          <w:sz w:val="16"/>
        </w:rPr>
        <w:t>Ser.L</w:t>
      </w:r>
      <w:proofErr w:type="spellEnd"/>
      <w:r>
        <w:rPr>
          <w:rFonts w:asciiTheme="minorHAnsi" w:hAnsiTheme="minorHAnsi"/>
          <w:sz w:val="16"/>
        </w:rPr>
        <w:t xml:space="preserve">/V/II.116.Doc.5 rev.1, 22 de octubre de 2002, </w:t>
      </w:r>
      <w:proofErr w:type="spellStart"/>
      <w:r>
        <w:rPr>
          <w:rFonts w:asciiTheme="minorHAnsi" w:hAnsiTheme="minorHAnsi"/>
          <w:sz w:val="16"/>
        </w:rPr>
        <w:t>párrs</w:t>
      </w:r>
      <w:proofErr w:type="spellEnd"/>
      <w:r>
        <w:rPr>
          <w:rFonts w:asciiTheme="minorHAnsi" w:hAnsiTheme="minorHAnsi"/>
          <w:sz w:val="16"/>
        </w:rPr>
        <w:t>. 225-226.</w:t>
      </w:r>
    </w:p>
  </w:footnote>
  <w:footnote w:id="271">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Véase al respecto, Andy </w:t>
      </w:r>
      <w:proofErr w:type="spellStart"/>
      <w:r>
        <w:rPr>
          <w:rFonts w:asciiTheme="minorHAnsi" w:hAnsiTheme="minorHAnsi"/>
          <w:sz w:val="16"/>
        </w:rPr>
        <w:t>Worthington</w:t>
      </w:r>
      <w:proofErr w:type="spellEnd"/>
      <w:r>
        <w:rPr>
          <w:rFonts w:asciiTheme="minorHAnsi" w:hAnsiTheme="minorHAnsi"/>
          <w:sz w:val="16"/>
        </w:rPr>
        <w:t xml:space="preserve"> (experto sobre Guantánamo), El Pentágono no sabe contar: 22 jóvenes detenidos en Guantánamo, 22 de noviembre de 2008, Disponible en: </w:t>
      </w:r>
      <w:hyperlink r:id="rId84">
        <w:r>
          <w:rPr>
            <w:rStyle w:val="Hyperlink"/>
            <w:rFonts w:asciiTheme="minorHAnsi" w:hAnsiTheme="minorHAnsi"/>
            <w:sz w:val="16"/>
          </w:rPr>
          <w:t>http://www.andyworthington.co.uk/2008/11/22/the-pentagon-cant-count-22-juveniles-held-at-guantanamo/</w:t>
        </w:r>
      </w:hyperlink>
      <w:r>
        <w:rPr>
          <w:rFonts w:asciiTheme="minorHAnsi" w:hAnsiTheme="minorHAnsi"/>
          <w:sz w:val="16"/>
        </w:rPr>
        <w:t xml:space="preserve"> </w:t>
      </w:r>
    </w:p>
  </w:footnote>
  <w:footnote w:id="272">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Ver CBC News Canadá: Omar </w:t>
      </w:r>
      <w:proofErr w:type="spellStart"/>
      <w:r>
        <w:rPr>
          <w:rFonts w:asciiTheme="minorHAnsi" w:hAnsiTheme="minorHAnsi"/>
          <w:sz w:val="16"/>
        </w:rPr>
        <w:t>Khadr</w:t>
      </w:r>
      <w:proofErr w:type="spellEnd"/>
      <w:r>
        <w:rPr>
          <w:rFonts w:asciiTheme="minorHAnsi" w:hAnsiTheme="minorHAnsi"/>
          <w:sz w:val="16"/>
        </w:rPr>
        <w:t xml:space="preserve"> retorna a Canadá, 29 de septiembre de 2012. Disponible en: </w:t>
      </w:r>
      <w:hyperlink r:id="rId85">
        <w:r>
          <w:rPr>
            <w:rStyle w:val="Hyperlink"/>
            <w:rFonts w:asciiTheme="minorHAnsi" w:hAnsiTheme="minorHAnsi"/>
            <w:sz w:val="16"/>
          </w:rPr>
          <w:t>http://www.cbc.ca/news/canada/omar-khadr-returns-to-canada-1.937754</w:t>
        </w:r>
      </w:hyperlink>
      <w:r>
        <w:rPr>
          <w:rFonts w:asciiTheme="minorHAnsi" w:hAnsiTheme="minorHAnsi"/>
          <w:sz w:val="16"/>
        </w:rPr>
        <w:t xml:space="preserve">; </w:t>
      </w:r>
    </w:p>
  </w:footnote>
  <w:footnote w:id="273">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Ver CBC News Canadá: Omar </w:t>
      </w:r>
      <w:proofErr w:type="spellStart"/>
      <w:r>
        <w:rPr>
          <w:rFonts w:asciiTheme="minorHAnsi" w:hAnsiTheme="minorHAnsi"/>
          <w:sz w:val="16"/>
        </w:rPr>
        <w:t>Khadr</w:t>
      </w:r>
      <w:proofErr w:type="spellEnd"/>
      <w:r>
        <w:rPr>
          <w:rFonts w:asciiTheme="minorHAnsi" w:hAnsiTheme="minorHAnsi"/>
          <w:sz w:val="16"/>
        </w:rPr>
        <w:t xml:space="preserve"> retorna a Canadá, 29 de septiembre de 2012. Disponible en: </w:t>
      </w:r>
      <w:hyperlink r:id="rId86">
        <w:r>
          <w:rPr>
            <w:rStyle w:val="Hyperlink"/>
            <w:rFonts w:asciiTheme="minorHAnsi" w:hAnsiTheme="minorHAnsi"/>
            <w:sz w:val="16"/>
          </w:rPr>
          <w:t>http://www.cbc.ca/news/canada/toronto/omar-khadr-moves-to-medium-security-prison-1.2532793</w:t>
        </w:r>
      </w:hyperlink>
      <w:r>
        <w:rPr>
          <w:rFonts w:asciiTheme="minorHAnsi" w:hAnsiTheme="minorHAnsi"/>
          <w:sz w:val="16"/>
        </w:rPr>
        <w:t xml:space="preserve"> </w:t>
      </w:r>
    </w:p>
  </w:footnote>
  <w:footnote w:id="274">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w:t>
      </w:r>
      <w:r>
        <w:rPr>
          <w:rFonts w:asciiTheme="minorHAnsi" w:hAnsiTheme="minorHAnsi"/>
          <w:i/>
          <w:sz w:val="16"/>
        </w:rPr>
        <w:t>Justicia Juvenil y Derechos Humanos en las Américas</w:t>
      </w:r>
      <w:r>
        <w:rPr>
          <w:rFonts w:asciiTheme="minorHAnsi" w:hAnsiTheme="minorHAnsi"/>
          <w:sz w:val="16"/>
        </w:rPr>
        <w:t>, OEA/</w:t>
      </w:r>
      <w:proofErr w:type="spellStart"/>
      <w:r>
        <w:rPr>
          <w:rFonts w:asciiTheme="minorHAnsi" w:hAnsiTheme="minorHAnsi"/>
          <w:sz w:val="16"/>
        </w:rPr>
        <w:t>Ser.L</w:t>
      </w:r>
      <w:proofErr w:type="spellEnd"/>
      <w:r>
        <w:rPr>
          <w:rFonts w:asciiTheme="minorHAnsi" w:hAnsiTheme="minorHAnsi"/>
          <w:sz w:val="16"/>
        </w:rPr>
        <w:t xml:space="preserve">/V/II. Doc. 78, 13 de julio de 2011, </w:t>
      </w:r>
      <w:proofErr w:type="spellStart"/>
      <w:r>
        <w:rPr>
          <w:rFonts w:asciiTheme="minorHAnsi" w:hAnsiTheme="minorHAnsi"/>
          <w:sz w:val="16"/>
        </w:rPr>
        <w:t>párrs</w:t>
      </w:r>
      <w:proofErr w:type="spellEnd"/>
      <w:r>
        <w:rPr>
          <w:rFonts w:asciiTheme="minorHAnsi" w:hAnsiTheme="minorHAnsi"/>
          <w:sz w:val="16"/>
        </w:rPr>
        <w:t>. 2, 14 y 276.</w:t>
      </w:r>
    </w:p>
  </w:footnote>
  <w:footnote w:id="275">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Comité sobre los Derechos del Niño, Informe de la Sesión Cuarenta y Ocho, CRC/C/48/3, 19 de mayo a 6 de junio de 2008.</w:t>
      </w:r>
    </w:p>
  </w:footnote>
  <w:footnote w:id="276">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w:t>
      </w:r>
      <w:r>
        <w:rPr>
          <w:rFonts w:asciiTheme="minorHAnsi" w:hAnsiTheme="minorHAnsi"/>
          <w:i/>
          <w:sz w:val="16"/>
        </w:rPr>
        <w:t>Informe sobre Terrorismo y Derechos Humanos</w:t>
      </w:r>
      <w:r>
        <w:rPr>
          <w:rFonts w:asciiTheme="minorHAnsi" w:hAnsiTheme="minorHAnsi"/>
          <w:sz w:val="16"/>
        </w:rPr>
        <w:t>, OEA/</w:t>
      </w:r>
      <w:proofErr w:type="spellStart"/>
      <w:r>
        <w:rPr>
          <w:rFonts w:asciiTheme="minorHAnsi" w:hAnsiTheme="minorHAnsi"/>
          <w:sz w:val="16"/>
        </w:rPr>
        <w:t>Ser.L</w:t>
      </w:r>
      <w:proofErr w:type="spellEnd"/>
      <w:r>
        <w:rPr>
          <w:rFonts w:asciiTheme="minorHAnsi" w:hAnsiTheme="minorHAnsi"/>
          <w:sz w:val="16"/>
        </w:rPr>
        <w:t>/V/II.116.Doc.5 rev.1, 22 de octubre de 2002, párr. 261.</w:t>
      </w:r>
    </w:p>
  </w:footnote>
  <w:footnote w:id="277">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w:t>
      </w:r>
      <w:r>
        <w:rPr>
          <w:rFonts w:asciiTheme="minorHAnsi" w:hAnsiTheme="minorHAnsi"/>
          <w:i/>
          <w:sz w:val="16"/>
        </w:rPr>
        <w:t>Informe sobre Terrorismo y Derechos Humanos</w:t>
      </w:r>
      <w:r>
        <w:rPr>
          <w:rFonts w:asciiTheme="minorHAnsi" w:hAnsiTheme="minorHAnsi"/>
          <w:sz w:val="16"/>
        </w:rPr>
        <w:t>, OEA/</w:t>
      </w:r>
      <w:proofErr w:type="spellStart"/>
      <w:r>
        <w:rPr>
          <w:rFonts w:asciiTheme="minorHAnsi" w:hAnsiTheme="minorHAnsi"/>
          <w:sz w:val="16"/>
        </w:rPr>
        <w:t>Ser.L</w:t>
      </w:r>
      <w:proofErr w:type="spellEnd"/>
      <w:r>
        <w:rPr>
          <w:rFonts w:asciiTheme="minorHAnsi" w:hAnsiTheme="minorHAnsi"/>
          <w:sz w:val="16"/>
        </w:rPr>
        <w:t>/V/II.116.Doc.5 rev.1, 22 de octubre de 2002, párr. 261.</w:t>
      </w:r>
    </w:p>
  </w:footnote>
  <w:footnote w:id="278">
    <w:p w:rsidR="00AF130B" w:rsidRPr="005D0288" w:rsidRDefault="00AF130B" w:rsidP="00CE3EC6">
      <w:pPr>
        <w:pStyle w:val="FootnoteText"/>
        <w:ind w:left="547" w:hanging="547"/>
        <w:jc w:val="both"/>
        <w:rPr>
          <w:rFonts w:asciiTheme="minorHAnsi" w:hAnsiTheme="minorHAnsi"/>
          <w: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w:t>
      </w:r>
      <w:r>
        <w:rPr>
          <w:rFonts w:asciiTheme="minorHAnsi" w:hAnsiTheme="minorHAnsi"/>
          <w:i/>
          <w:sz w:val="16"/>
        </w:rPr>
        <w:t>El Acceso a la Justicia Como Garantía de los Derechos Económicos, Sociales y Culturales.  Estudio de los Estándares Fijados por el Sistema Interamericano de Derechos Humanos</w:t>
      </w:r>
      <w:r>
        <w:rPr>
          <w:rFonts w:asciiTheme="minorHAnsi" w:hAnsiTheme="minorHAnsi"/>
          <w:sz w:val="16"/>
        </w:rPr>
        <w:t>, OEA/</w:t>
      </w:r>
      <w:proofErr w:type="spellStart"/>
      <w:r>
        <w:rPr>
          <w:rFonts w:asciiTheme="minorHAnsi" w:hAnsiTheme="minorHAnsi"/>
          <w:sz w:val="16"/>
        </w:rPr>
        <w:t>Ser.L</w:t>
      </w:r>
      <w:proofErr w:type="spellEnd"/>
      <w:r>
        <w:rPr>
          <w:rFonts w:asciiTheme="minorHAnsi" w:hAnsiTheme="minorHAnsi"/>
          <w:sz w:val="16"/>
        </w:rPr>
        <w:t xml:space="preserve">/V/II.129 Doc. 4, 7 de septiembre de 2007, </w:t>
      </w:r>
      <w:proofErr w:type="spellStart"/>
      <w:r>
        <w:rPr>
          <w:rFonts w:asciiTheme="minorHAnsi" w:hAnsiTheme="minorHAnsi"/>
          <w:sz w:val="16"/>
        </w:rPr>
        <w:t>párrs</w:t>
      </w:r>
      <w:proofErr w:type="spellEnd"/>
      <w:r>
        <w:rPr>
          <w:rFonts w:asciiTheme="minorHAnsi" w:hAnsiTheme="minorHAnsi"/>
          <w:sz w:val="16"/>
        </w:rPr>
        <w:t>. 185-186.</w:t>
      </w:r>
    </w:p>
  </w:footnote>
  <w:footnote w:id="279">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Informe No. 66/12, Caso 12.324, Fondo (Publicación) </w:t>
      </w:r>
      <w:proofErr w:type="spellStart"/>
      <w:r>
        <w:rPr>
          <w:rFonts w:asciiTheme="minorHAnsi" w:hAnsiTheme="minorHAnsi"/>
          <w:i/>
          <w:sz w:val="16"/>
        </w:rPr>
        <w:t>Ruben</w:t>
      </w:r>
      <w:proofErr w:type="spellEnd"/>
      <w:r>
        <w:rPr>
          <w:rFonts w:asciiTheme="minorHAnsi" w:hAnsiTheme="minorHAnsi"/>
          <w:i/>
          <w:sz w:val="16"/>
        </w:rPr>
        <w:t xml:space="preserve"> Luis Godoy</w:t>
      </w:r>
      <w:r>
        <w:rPr>
          <w:rFonts w:asciiTheme="minorHAnsi" w:hAnsiTheme="minorHAnsi"/>
          <w:sz w:val="16"/>
        </w:rPr>
        <w:t>, Argentina, 29 de marzo de 2012, párr. 105.</w:t>
      </w:r>
    </w:p>
  </w:footnote>
  <w:footnote w:id="280">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La Cláusula de Confrontación de la Sexta Enmienda de la Constitución de Estados Unidos establece que "en todas las causas penales, el acusado gozará del derecho [...] a ser confrontado con los testigos en su contra”</w:t>
      </w:r>
    </w:p>
  </w:footnote>
  <w:footnote w:id="281">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Informe No. 86/09, Caso 12.553, Fondo (Publicación), </w:t>
      </w:r>
      <w:r>
        <w:rPr>
          <w:rFonts w:asciiTheme="minorHAnsi" w:hAnsiTheme="minorHAnsi"/>
          <w:i/>
          <w:sz w:val="16"/>
        </w:rPr>
        <w:t xml:space="preserve">Jorge, José y Dante </w:t>
      </w:r>
      <w:proofErr w:type="spellStart"/>
      <w:r>
        <w:rPr>
          <w:rFonts w:asciiTheme="minorHAnsi" w:hAnsiTheme="minorHAnsi"/>
          <w:i/>
          <w:sz w:val="16"/>
        </w:rPr>
        <w:t>Peirano</w:t>
      </w:r>
      <w:proofErr w:type="spellEnd"/>
      <w:r>
        <w:rPr>
          <w:rFonts w:asciiTheme="minorHAnsi" w:hAnsiTheme="minorHAnsi"/>
          <w:i/>
          <w:sz w:val="16"/>
        </w:rPr>
        <w:t xml:space="preserve"> Basso</w:t>
      </w:r>
      <w:r>
        <w:rPr>
          <w:rFonts w:asciiTheme="minorHAnsi" w:hAnsiTheme="minorHAnsi"/>
          <w:sz w:val="16"/>
        </w:rPr>
        <w:t>, Uruguay, 6 de agosto de 2009, párr. 128.</w:t>
      </w:r>
    </w:p>
  </w:footnote>
  <w:footnote w:id="282">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Ver, </w:t>
      </w:r>
      <w:r>
        <w:rPr>
          <w:rFonts w:asciiTheme="minorHAnsi" w:hAnsiTheme="minorHAnsi"/>
          <w:i/>
          <w:sz w:val="16"/>
        </w:rPr>
        <w:t xml:space="preserve">mutatis </w:t>
      </w:r>
      <w:proofErr w:type="spellStart"/>
      <w:r>
        <w:rPr>
          <w:rFonts w:asciiTheme="minorHAnsi" w:hAnsiTheme="minorHAnsi"/>
          <w:i/>
          <w:sz w:val="16"/>
        </w:rPr>
        <w:t>mutandi</w:t>
      </w:r>
      <w:proofErr w:type="spellEnd"/>
      <w:r>
        <w:rPr>
          <w:rFonts w:asciiTheme="minorHAnsi" w:hAnsiTheme="minorHAnsi"/>
          <w:sz w:val="16"/>
        </w:rPr>
        <w:t xml:space="preserve">, CIDH, Informe No. 12/96, Caso 11.245, Fondo (Publicación), </w:t>
      </w:r>
      <w:r>
        <w:rPr>
          <w:rFonts w:asciiTheme="minorHAnsi" w:hAnsiTheme="minorHAnsi"/>
          <w:i/>
          <w:sz w:val="16"/>
        </w:rPr>
        <w:t xml:space="preserve">Jorge A. </w:t>
      </w:r>
      <w:proofErr w:type="spellStart"/>
      <w:r>
        <w:rPr>
          <w:rFonts w:asciiTheme="minorHAnsi" w:hAnsiTheme="minorHAnsi"/>
          <w:i/>
          <w:sz w:val="16"/>
        </w:rPr>
        <w:t>Gimenez</w:t>
      </w:r>
      <w:proofErr w:type="spellEnd"/>
      <w:r>
        <w:rPr>
          <w:rFonts w:asciiTheme="minorHAnsi" w:hAnsiTheme="minorHAnsi"/>
          <w:sz w:val="16"/>
        </w:rPr>
        <w:t>, Argentina, 1 de marzo de 1996, párr. 75.</w:t>
      </w:r>
    </w:p>
  </w:footnote>
  <w:footnote w:id="283">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MCA de 2009, 10 U.S.C. </w:t>
      </w:r>
      <w:r>
        <w:rPr>
          <w:rStyle w:val="st1"/>
          <w:rFonts w:asciiTheme="minorHAnsi" w:hAnsiTheme="minorHAnsi"/>
          <w:sz w:val="16"/>
        </w:rPr>
        <w:t xml:space="preserve">§ </w:t>
      </w:r>
      <w:r>
        <w:rPr>
          <w:rFonts w:asciiTheme="minorHAnsi" w:hAnsiTheme="minorHAnsi"/>
          <w:sz w:val="16"/>
        </w:rPr>
        <w:t>949(c</w:t>
      </w:r>
      <w:proofErr w:type="gramStart"/>
      <w:r>
        <w:rPr>
          <w:rFonts w:asciiTheme="minorHAnsi" w:hAnsiTheme="minorHAnsi"/>
          <w:sz w:val="16"/>
        </w:rPr>
        <w:t>)(</w:t>
      </w:r>
      <w:proofErr w:type="gramEnd"/>
      <w:r>
        <w:rPr>
          <w:rFonts w:asciiTheme="minorHAnsi" w:hAnsiTheme="minorHAnsi"/>
          <w:sz w:val="16"/>
        </w:rPr>
        <w:t>b).</w:t>
      </w:r>
    </w:p>
  </w:footnote>
  <w:footnote w:id="284">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MCA de 2009, 10 U.S.C. </w:t>
      </w:r>
      <w:r>
        <w:rPr>
          <w:rStyle w:val="st1"/>
          <w:rFonts w:asciiTheme="minorHAnsi" w:hAnsiTheme="minorHAnsi"/>
          <w:sz w:val="16"/>
        </w:rPr>
        <w:t xml:space="preserve">§ </w:t>
      </w:r>
      <w:r>
        <w:rPr>
          <w:rFonts w:asciiTheme="minorHAnsi" w:hAnsiTheme="minorHAnsi"/>
          <w:sz w:val="16"/>
        </w:rPr>
        <w:t>949a</w:t>
      </w:r>
      <w:proofErr w:type="gramStart"/>
      <w:r>
        <w:rPr>
          <w:rFonts w:asciiTheme="minorHAnsi" w:hAnsiTheme="minorHAnsi"/>
          <w:sz w:val="16"/>
        </w:rPr>
        <w:t>.(</w:t>
      </w:r>
      <w:proofErr w:type="gramEnd"/>
      <w:r>
        <w:rPr>
          <w:rFonts w:asciiTheme="minorHAnsi" w:hAnsiTheme="minorHAnsi"/>
          <w:sz w:val="16"/>
        </w:rPr>
        <w:t>b)(2)(c)(ii).</w:t>
      </w:r>
    </w:p>
  </w:footnote>
  <w:footnote w:id="285">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CIDH, Reunión de Expertos sobre la Situación de los detenidos en la Base Naval Estadounidense de la Bahía de Guantánamo, Washington DC, 3 de octubre de 2013.</w:t>
      </w:r>
    </w:p>
  </w:footnote>
  <w:footnote w:id="286">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CIDH, Reunión de Expertos sobre la Situación de los detenidos en la Base Naval Estadounidense de la Bahía de Guantánamo, Washington DC, 3 de octubre de 2013.</w:t>
      </w:r>
    </w:p>
  </w:footnote>
  <w:footnote w:id="287">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CIDH, Reunión de Expertos sobre la Situación de los detenidos en la Base Naval Estadounidense de la Bahía de Guantánamo, Washington DC, 3 de octubre de 2013.</w:t>
      </w:r>
    </w:p>
  </w:footnote>
  <w:footnote w:id="288">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Para mayor información sobre estos y otros incidentes, ver: </w:t>
      </w:r>
      <w:proofErr w:type="spellStart"/>
      <w:r>
        <w:rPr>
          <w:rFonts w:asciiTheme="minorHAnsi" w:hAnsiTheme="minorHAnsi"/>
          <w:sz w:val="16"/>
        </w:rPr>
        <w:t>Seton</w:t>
      </w:r>
      <w:proofErr w:type="spellEnd"/>
      <w:r>
        <w:rPr>
          <w:rFonts w:asciiTheme="minorHAnsi" w:hAnsiTheme="minorHAnsi"/>
          <w:sz w:val="16"/>
        </w:rPr>
        <w:t xml:space="preserve"> Hall </w:t>
      </w:r>
      <w:proofErr w:type="spellStart"/>
      <w:r>
        <w:rPr>
          <w:rFonts w:asciiTheme="minorHAnsi" w:hAnsiTheme="minorHAnsi"/>
          <w:sz w:val="16"/>
        </w:rPr>
        <w:t>University</w:t>
      </w:r>
      <w:proofErr w:type="spellEnd"/>
      <w:r>
        <w:rPr>
          <w:rFonts w:asciiTheme="minorHAnsi" w:hAnsiTheme="minorHAnsi"/>
          <w:sz w:val="16"/>
        </w:rPr>
        <w:t xml:space="preserve"> </w:t>
      </w:r>
      <w:proofErr w:type="spellStart"/>
      <w:r>
        <w:rPr>
          <w:rFonts w:asciiTheme="minorHAnsi" w:hAnsiTheme="minorHAnsi"/>
          <w:sz w:val="16"/>
        </w:rPr>
        <w:t>School</w:t>
      </w:r>
      <w:proofErr w:type="spellEnd"/>
      <w:r>
        <w:rPr>
          <w:rFonts w:asciiTheme="minorHAnsi" w:hAnsiTheme="minorHAnsi"/>
          <w:sz w:val="16"/>
        </w:rPr>
        <w:t xml:space="preserve"> of </w:t>
      </w:r>
      <w:proofErr w:type="spellStart"/>
      <w:r>
        <w:rPr>
          <w:rFonts w:asciiTheme="minorHAnsi" w:hAnsiTheme="minorHAnsi"/>
          <w:sz w:val="16"/>
        </w:rPr>
        <w:t>Law</w:t>
      </w:r>
      <w:proofErr w:type="spellEnd"/>
      <w:r>
        <w:rPr>
          <w:rFonts w:asciiTheme="minorHAnsi" w:hAnsiTheme="minorHAnsi"/>
          <w:sz w:val="16"/>
        </w:rPr>
        <w:t xml:space="preserve">, Center </w:t>
      </w:r>
      <w:proofErr w:type="spellStart"/>
      <w:r>
        <w:rPr>
          <w:rFonts w:asciiTheme="minorHAnsi" w:hAnsiTheme="minorHAnsi"/>
          <w:sz w:val="16"/>
        </w:rPr>
        <w:t>for</w:t>
      </w:r>
      <w:proofErr w:type="spellEnd"/>
      <w:r>
        <w:rPr>
          <w:rFonts w:asciiTheme="minorHAnsi" w:hAnsiTheme="minorHAnsi"/>
          <w:sz w:val="16"/>
        </w:rPr>
        <w:t xml:space="preserve"> </w:t>
      </w:r>
      <w:proofErr w:type="spellStart"/>
      <w:r>
        <w:rPr>
          <w:rFonts w:asciiTheme="minorHAnsi" w:hAnsiTheme="minorHAnsi"/>
          <w:sz w:val="16"/>
        </w:rPr>
        <w:t>Policy</w:t>
      </w:r>
      <w:proofErr w:type="spellEnd"/>
      <w:r>
        <w:rPr>
          <w:rFonts w:asciiTheme="minorHAnsi" w:hAnsiTheme="minorHAnsi"/>
          <w:sz w:val="16"/>
        </w:rPr>
        <w:t xml:space="preserve"> &amp; </w:t>
      </w:r>
      <w:proofErr w:type="spellStart"/>
      <w:r>
        <w:rPr>
          <w:rFonts w:asciiTheme="minorHAnsi" w:hAnsiTheme="minorHAnsi"/>
          <w:sz w:val="16"/>
        </w:rPr>
        <w:t>Research</w:t>
      </w:r>
      <w:proofErr w:type="spellEnd"/>
      <w:r>
        <w:rPr>
          <w:rFonts w:asciiTheme="minorHAnsi" w:hAnsiTheme="minorHAnsi"/>
          <w:sz w:val="16"/>
        </w:rPr>
        <w:t xml:space="preserve">, Espiando a los Abogados en Guantánamo: Las Comisiones Militares de la Bahía de Guantánamo y la Destrucción de la Relación entre Abogado y Cliente. Disponible en: </w:t>
      </w:r>
      <w:hyperlink r:id="rId87">
        <w:r>
          <w:rPr>
            <w:rStyle w:val="Hyperlink"/>
            <w:rFonts w:asciiTheme="minorHAnsi" w:hAnsiTheme="minorHAnsi"/>
            <w:sz w:val="16"/>
          </w:rPr>
          <w:t>http://law.shu.edu/ProgramsCenters/PublicIntGovServ/policyresearch/upload/Spying_on_Attorneys_at_GTMO.pdf</w:t>
        </w:r>
      </w:hyperlink>
      <w:r>
        <w:rPr>
          <w:rFonts w:asciiTheme="minorHAnsi" w:hAnsiTheme="minorHAnsi"/>
          <w:sz w:val="16"/>
        </w:rPr>
        <w:t xml:space="preserve"> </w:t>
      </w:r>
    </w:p>
  </w:footnote>
  <w:footnote w:id="289">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AP, Micrófono Escondido aparece en salón de reuniones de Guantánamo, 12 de febrero de 2013. Disponible en: </w:t>
      </w:r>
      <w:hyperlink r:id="rId88">
        <w:r>
          <w:rPr>
            <w:rStyle w:val="Hyperlink"/>
            <w:rFonts w:asciiTheme="minorHAnsi" w:hAnsiTheme="minorHAnsi"/>
            <w:sz w:val="16"/>
          </w:rPr>
          <w:t>http://bigstory.ap.org/article/secrecy-fears-prompt-sound-changes-guantanamo</w:t>
        </w:r>
      </w:hyperlink>
      <w:r>
        <w:rPr>
          <w:rFonts w:asciiTheme="minorHAnsi" w:hAnsiTheme="minorHAnsi"/>
          <w:sz w:val="16"/>
        </w:rPr>
        <w:t xml:space="preserve"> </w:t>
      </w:r>
    </w:p>
  </w:footnote>
  <w:footnote w:id="290">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Reuters, Guardias allanaron documentos legales de los acusados de Guantánamo, 14 de febrero de 2013. Disponible en: </w:t>
      </w:r>
      <w:hyperlink r:id="rId89">
        <w:r>
          <w:rPr>
            <w:rStyle w:val="Hyperlink"/>
            <w:rFonts w:asciiTheme="minorHAnsi" w:hAnsiTheme="minorHAnsi"/>
            <w:sz w:val="16"/>
          </w:rPr>
          <w:t>http://www.reuters.com/article/2013/02/14/us-usa-guantanamo-idUSBRE91D1LP20130214</w:t>
        </w:r>
      </w:hyperlink>
      <w:r>
        <w:rPr>
          <w:rFonts w:asciiTheme="minorHAnsi" w:hAnsiTheme="minorHAnsi"/>
          <w:sz w:val="16"/>
        </w:rPr>
        <w:t xml:space="preserve"> </w:t>
      </w:r>
    </w:p>
  </w:footnote>
  <w:footnote w:id="291">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CIDH, Reunión de Expertos sobre la Situación de los detenidos en la Base Naval Estadounidense de la Bahía de Guantánamo, Washington DC, 3 de octubre de 2013.</w:t>
      </w:r>
    </w:p>
  </w:footnote>
  <w:footnote w:id="292">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i/>
          <w:sz w:val="16"/>
        </w:rPr>
        <w:t xml:space="preserve">In re </w:t>
      </w:r>
      <w:proofErr w:type="spellStart"/>
      <w:r>
        <w:rPr>
          <w:rFonts w:asciiTheme="minorHAnsi" w:hAnsiTheme="minorHAnsi"/>
          <w:i/>
          <w:sz w:val="16"/>
        </w:rPr>
        <w:t>Guantanamo</w:t>
      </w:r>
      <w:proofErr w:type="spellEnd"/>
      <w:r>
        <w:rPr>
          <w:rFonts w:asciiTheme="minorHAnsi" w:hAnsiTheme="minorHAnsi"/>
          <w:i/>
          <w:sz w:val="16"/>
        </w:rPr>
        <w:t xml:space="preserve"> </w:t>
      </w:r>
      <w:proofErr w:type="spellStart"/>
      <w:r>
        <w:rPr>
          <w:rFonts w:asciiTheme="minorHAnsi" w:hAnsiTheme="minorHAnsi"/>
          <w:i/>
          <w:sz w:val="16"/>
        </w:rPr>
        <w:t>Bay</w:t>
      </w:r>
      <w:proofErr w:type="spellEnd"/>
      <w:r>
        <w:rPr>
          <w:rFonts w:asciiTheme="minorHAnsi" w:hAnsiTheme="minorHAnsi"/>
          <w:i/>
          <w:sz w:val="16"/>
        </w:rPr>
        <w:t xml:space="preserve"> </w:t>
      </w:r>
      <w:proofErr w:type="spellStart"/>
      <w:r>
        <w:rPr>
          <w:rFonts w:asciiTheme="minorHAnsi" w:hAnsiTheme="minorHAnsi"/>
          <w:i/>
          <w:sz w:val="16"/>
        </w:rPr>
        <w:t>Detainee</w:t>
      </w:r>
      <w:proofErr w:type="spellEnd"/>
      <w:r>
        <w:rPr>
          <w:rFonts w:asciiTheme="minorHAnsi" w:hAnsiTheme="minorHAnsi"/>
          <w:i/>
          <w:sz w:val="16"/>
        </w:rPr>
        <w:t xml:space="preserve"> </w:t>
      </w:r>
      <w:proofErr w:type="spellStart"/>
      <w:r>
        <w:rPr>
          <w:rFonts w:asciiTheme="minorHAnsi" w:hAnsiTheme="minorHAnsi"/>
          <w:i/>
          <w:sz w:val="16"/>
        </w:rPr>
        <w:t>Litigation</w:t>
      </w:r>
      <w:proofErr w:type="spellEnd"/>
      <w:r>
        <w:rPr>
          <w:rFonts w:asciiTheme="minorHAnsi" w:hAnsiTheme="minorHAnsi"/>
          <w:sz w:val="16"/>
        </w:rPr>
        <w:t xml:space="preserve">, </w:t>
      </w:r>
      <w:proofErr w:type="spellStart"/>
      <w:r>
        <w:rPr>
          <w:rFonts w:asciiTheme="minorHAnsi" w:hAnsiTheme="minorHAnsi"/>
          <w:sz w:val="16"/>
        </w:rPr>
        <w:t>Misc</w:t>
      </w:r>
      <w:proofErr w:type="spellEnd"/>
      <w:r>
        <w:rPr>
          <w:rFonts w:asciiTheme="minorHAnsi" w:hAnsiTheme="minorHAnsi"/>
          <w:sz w:val="16"/>
        </w:rPr>
        <w:t>. No. 12-398 (RCL), Orden (11 de Julio de 2013) (</w:t>
      </w:r>
      <w:proofErr w:type="spellStart"/>
      <w:r>
        <w:rPr>
          <w:rFonts w:asciiTheme="minorHAnsi" w:hAnsiTheme="minorHAnsi"/>
          <w:sz w:val="16"/>
        </w:rPr>
        <w:t>Dkt</w:t>
      </w:r>
      <w:proofErr w:type="spellEnd"/>
      <w:r>
        <w:rPr>
          <w:rFonts w:asciiTheme="minorHAnsi" w:hAnsiTheme="minorHAnsi"/>
          <w:sz w:val="16"/>
        </w:rPr>
        <w:t xml:space="preserve">. No. 46). Disponible en: </w:t>
      </w:r>
      <w:hyperlink r:id="rId90">
        <w:r>
          <w:rPr>
            <w:rStyle w:val="Hyperlink"/>
            <w:rFonts w:asciiTheme="minorHAnsi" w:hAnsiTheme="minorHAnsi"/>
            <w:sz w:val="16"/>
          </w:rPr>
          <w:t>https://ecf.dcd.uscourts.gov/cgi-bin/show_public_doc?2012mc0398-47</w:t>
        </w:r>
      </w:hyperlink>
      <w:r>
        <w:rPr>
          <w:rFonts w:asciiTheme="minorHAnsi" w:hAnsiTheme="minorHAnsi"/>
          <w:sz w:val="16"/>
        </w:rPr>
        <w:t xml:space="preserve">. </w:t>
      </w:r>
      <w:r>
        <w:rPr>
          <w:rFonts w:asciiTheme="minorHAnsi" w:hAnsiTheme="minorHAnsi"/>
          <w:i/>
          <w:sz w:val="16"/>
        </w:rPr>
        <w:t>Ver también</w:t>
      </w:r>
      <w:r>
        <w:rPr>
          <w:rFonts w:asciiTheme="minorHAnsi" w:hAnsiTheme="minorHAnsi"/>
          <w:sz w:val="16"/>
        </w:rPr>
        <w:t xml:space="preserve">, Juez anula restricciones de acceso a representación jurídica de los detenidos de Guantánamo, Blog de Profesores de Derecho Constitucional. Disponible en: </w:t>
      </w:r>
      <w:hyperlink r:id="rId91">
        <w:r>
          <w:rPr>
            <w:rStyle w:val="Hyperlink"/>
            <w:rFonts w:asciiTheme="minorHAnsi" w:hAnsiTheme="minorHAnsi"/>
            <w:sz w:val="16"/>
          </w:rPr>
          <w:t>http://lawprofessors.typepad.com/conlaw/2013/07/judge-strikes-restrictions-on-guantanamo-detainees-access-to-counsel.html</w:t>
        </w:r>
      </w:hyperlink>
      <w:r>
        <w:rPr>
          <w:rFonts w:asciiTheme="minorHAnsi" w:hAnsiTheme="minorHAnsi"/>
          <w:sz w:val="16"/>
        </w:rPr>
        <w:t xml:space="preserve"> </w:t>
      </w:r>
    </w:p>
  </w:footnote>
  <w:footnote w:id="293">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proofErr w:type="spellStart"/>
      <w:r>
        <w:rPr>
          <w:rFonts w:asciiTheme="minorHAnsi" w:hAnsiTheme="minorHAnsi"/>
          <w:sz w:val="16"/>
        </w:rPr>
        <w:t>The</w:t>
      </w:r>
      <w:proofErr w:type="spellEnd"/>
      <w:r>
        <w:rPr>
          <w:rFonts w:asciiTheme="minorHAnsi" w:hAnsiTheme="minorHAnsi"/>
          <w:sz w:val="16"/>
        </w:rPr>
        <w:t xml:space="preserve"> </w:t>
      </w:r>
      <w:proofErr w:type="spellStart"/>
      <w:r>
        <w:rPr>
          <w:rFonts w:asciiTheme="minorHAnsi" w:hAnsiTheme="minorHAnsi"/>
          <w:sz w:val="16"/>
        </w:rPr>
        <w:t>Huffington</w:t>
      </w:r>
      <w:proofErr w:type="spellEnd"/>
      <w:r>
        <w:rPr>
          <w:rFonts w:asciiTheme="minorHAnsi" w:hAnsiTheme="minorHAnsi"/>
          <w:sz w:val="16"/>
        </w:rPr>
        <w:t xml:space="preserve"> Post, La Infiltración del FBI en el equipo de defensa continúa dilatando el juicio en Guantánamo. 14 de agosto de 2014. Disponible en: </w:t>
      </w:r>
      <w:hyperlink r:id="rId92">
        <w:r>
          <w:rPr>
            <w:rStyle w:val="Hyperlink"/>
            <w:rFonts w:asciiTheme="minorHAnsi" w:hAnsiTheme="minorHAnsi"/>
            <w:sz w:val="16"/>
          </w:rPr>
          <w:t>http://www.huffingtonpost.com/daphne-eviatar/fbi-infiltration-of-911-d_b_5679432.html</w:t>
        </w:r>
      </w:hyperlink>
      <w:r>
        <w:rPr>
          <w:rFonts w:asciiTheme="minorHAnsi" w:hAnsiTheme="minorHAnsi"/>
          <w:sz w:val="16"/>
        </w:rPr>
        <w:t xml:space="preserve"> </w:t>
      </w:r>
    </w:p>
  </w:footnote>
  <w:footnote w:id="294">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Información escrita recibida durante la Reunión de Expertos en la CIDH sobre la Situación de los detenidos en la Base Naval Estadounidense de la Bahía de Guantánamo, Washington DC, 3 de octubre de 2013.</w:t>
      </w:r>
    </w:p>
  </w:footnote>
  <w:footnote w:id="295">
    <w:p w:rsidR="00AF130B" w:rsidRPr="005D0288" w:rsidRDefault="00AF130B" w:rsidP="00CE3EC6">
      <w:pPr>
        <w:pStyle w:val="FootnoteText"/>
        <w:ind w:left="547" w:hanging="547"/>
        <w:jc w:val="both"/>
        <w:rPr>
          <w:rFonts w:asciiTheme="minorHAnsi" w:hAnsiTheme="minorHAnsi"/>
          <w:sz w:val="16"/>
          <w:szCs w:val="16"/>
          <w:lang w:val="en-US"/>
        </w:rPr>
      </w:pPr>
      <w:r>
        <w:rPr>
          <w:rStyle w:val="FootnoteReference"/>
          <w:rFonts w:asciiTheme="minorHAnsi" w:hAnsiTheme="minorHAnsi"/>
          <w:sz w:val="16"/>
        </w:rPr>
        <w:footnoteRef/>
      </w:r>
      <w:r w:rsidRPr="00237789">
        <w:rPr>
          <w:rFonts w:asciiTheme="minorHAnsi" w:hAnsiTheme="minorHAnsi"/>
          <w:sz w:val="16"/>
          <w:lang w:val="en-US"/>
        </w:rPr>
        <w:t xml:space="preserve"> </w:t>
      </w:r>
      <w:r w:rsidRPr="00237789">
        <w:rPr>
          <w:lang w:val="en-US"/>
        </w:rPr>
        <w:tab/>
      </w:r>
      <w:proofErr w:type="gramStart"/>
      <w:r w:rsidRPr="00237789">
        <w:rPr>
          <w:rFonts w:asciiTheme="minorHAnsi" w:hAnsiTheme="minorHAnsi"/>
          <w:i/>
          <w:sz w:val="16"/>
          <w:lang w:val="en-US"/>
        </w:rPr>
        <w:t>Brady v. Maryland</w:t>
      </w:r>
      <w:r w:rsidRPr="00237789">
        <w:rPr>
          <w:rFonts w:asciiTheme="minorHAnsi" w:hAnsiTheme="minorHAnsi"/>
          <w:sz w:val="16"/>
          <w:lang w:val="en-US"/>
        </w:rPr>
        <w:t>, 373 U.S. 83 (1963).</w:t>
      </w:r>
      <w:proofErr w:type="gramEnd"/>
    </w:p>
  </w:footnote>
  <w:footnote w:id="296">
    <w:p w:rsidR="00AF130B" w:rsidRPr="005D0288" w:rsidRDefault="00AF130B" w:rsidP="00CE3EC6">
      <w:pPr>
        <w:pStyle w:val="FootnoteText"/>
        <w:ind w:left="547" w:hanging="547"/>
        <w:jc w:val="both"/>
        <w:rPr>
          <w:rFonts w:asciiTheme="minorHAnsi" w:hAnsiTheme="minorHAnsi"/>
          <w:sz w:val="16"/>
          <w:szCs w:val="16"/>
          <w:lang w:val="en-US"/>
        </w:rPr>
      </w:pPr>
      <w:r>
        <w:rPr>
          <w:rStyle w:val="FootnoteReference"/>
          <w:rFonts w:asciiTheme="minorHAnsi" w:hAnsiTheme="minorHAnsi"/>
          <w:sz w:val="16"/>
        </w:rPr>
        <w:footnoteRef/>
      </w:r>
      <w:r w:rsidRPr="00237789">
        <w:rPr>
          <w:rFonts w:asciiTheme="minorHAnsi" w:hAnsiTheme="minorHAnsi"/>
          <w:sz w:val="16"/>
          <w:lang w:val="en-US"/>
        </w:rPr>
        <w:t xml:space="preserve"> </w:t>
      </w:r>
      <w:r w:rsidRPr="00237789">
        <w:rPr>
          <w:lang w:val="en-US"/>
        </w:rPr>
        <w:tab/>
      </w:r>
      <w:proofErr w:type="gramStart"/>
      <w:r w:rsidRPr="00237789">
        <w:rPr>
          <w:rFonts w:asciiTheme="minorHAnsi" w:hAnsiTheme="minorHAnsi"/>
          <w:i/>
          <w:sz w:val="16"/>
          <w:lang w:val="en-US"/>
        </w:rPr>
        <w:t xml:space="preserve">U.S. v. </w:t>
      </w:r>
      <w:proofErr w:type="spellStart"/>
      <w:r w:rsidRPr="00237789">
        <w:rPr>
          <w:rFonts w:asciiTheme="minorHAnsi" w:hAnsiTheme="minorHAnsi"/>
          <w:i/>
          <w:sz w:val="16"/>
          <w:lang w:val="en-US"/>
        </w:rPr>
        <w:t>Agurs</w:t>
      </w:r>
      <w:proofErr w:type="spellEnd"/>
      <w:r w:rsidRPr="00237789">
        <w:rPr>
          <w:rFonts w:asciiTheme="minorHAnsi" w:hAnsiTheme="minorHAnsi"/>
          <w:sz w:val="16"/>
          <w:lang w:val="en-US"/>
        </w:rPr>
        <w:t>, 427 U.S. 97, 112 (1976).</w:t>
      </w:r>
      <w:proofErr w:type="gramEnd"/>
    </w:p>
  </w:footnote>
  <w:footnote w:id="297">
    <w:p w:rsidR="00AF130B" w:rsidRPr="005D0288" w:rsidRDefault="00AF130B" w:rsidP="00CE3EC6">
      <w:pPr>
        <w:pStyle w:val="FootnoteText"/>
        <w:ind w:left="547" w:hanging="547"/>
        <w:jc w:val="both"/>
        <w:rPr>
          <w:rFonts w:asciiTheme="minorHAnsi" w:hAnsiTheme="minorHAnsi"/>
          <w:sz w:val="16"/>
          <w:szCs w:val="16"/>
          <w:lang w:val="pt-BR"/>
        </w:rPr>
      </w:pPr>
      <w:r>
        <w:rPr>
          <w:rStyle w:val="FootnoteReference"/>
          <w:rFonts w:asciiTheme="minorHAnsi" w:hAnsiTheme="minorHAnsi"/>
          <w:sz w:val="16"/>
        </w:rPr>
        <w:footnoteRef/>
      </w:r>
      <w:r w:rsidRPr="00237789">
        <w:rPr>
          <w:rFonts w:asciiTheme="minorHAnsi" w:hAnsiTheme="minorHAnsi"/>
          <w:sz w:val="16"/>
          <w:lang w:val="pt-BR"/>
        </w:rPr>
        <w:t xml:space="preserve"> </w:t>
      </w:r>
      <w:r w:rsidRPr="00237789">
        <w:rPr>
          <w:lang w:val="pt-BR"/>
        </w:rPr>
        <w:tab/>
      </w:r>
      <w:r w:rsidRPr="00237789">
        <w:rPr>
          <w:rFonts w:asciiTheme="minorHAnsi" w:hAnsiTheme="minorHAnsi"/>
          <w:sz w:val="16"/>
          <w:lang w:val="pt-BR"/>
        </w:rPr>
        <w:t xml:space="preserve">MCA de 2009, 10 U.S.C. </w:t>
      </w:r>
      <w:r w:rsidRPr="00237789">
        <w:rPr>
          <w:rStyle w:val="st1"/>
          <w:rFonts w:asciiTheme="minorHAnsi" w:hAnsiTheme="minorHAnsi"/>
          <w:sz w:val="16"/>
          <w:lang w:val="pt-BR"/>
        </w:rPr>
        <w:t xml:space="preserve">§ </w:t>
      </w:r>
      <w:r w:rsidRPr="00237789">
        <w:rPr>
          <w:rFonts w:asciiTheme="minorHAnsi" w:hAnsiTheme="minorHAnsi"/>
          <w:sz w:val="16"/>
          <w:lang w:val="pt-BR"/>
        </w:rPr>
        <w:t>949j(b)(1)(A).</w:t>
      </w:r>
    </w:p>
  </w:footnote>
  <w:footnote w:id="298">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MCA de 2009, 10 U.S.C. </w:t>
      </w:r>
      <w:r>
        <w:rPr>
          <w:rStyle w:val="st1"/>
          <w:rFonts w:asciiTheme="minorHAnsi" w:hAnsiTheme="minorHAnsi"/>
          <w:sz w:val="16"/>
        </w:rPr>
        <w:t xml:space="preserve">§ </w:t>
      </w:r>
      <w:r>
        <w:rPr>
          <w:rFonts w:asciiTheme="minorHAnsi" w:hAnsiTheme="minorHAnsi"/>
          <w:sz w:val="16"/>
        </w:rPr>
        <w:t>949p-4(a</w:t>
      </w:r>
      <w:proofErr w:type="gramStart"/>
      <w:r>
        <w:rPr>
          <w:rFonts w:asciiTheme="minorHAnsi" w:hAnsiTheme="minorHAnsi"/>
          <w:sz w:val="16"/>
        </w:rPr>
        <w:t>)(</w:t>
      </w:r>
      <w:proofErr w:type="gramEnd"/>
      <w:r>
        <w:rPr>
          <w:rFonts w:asciiTheme="minorHAnsi" w:hAnsiTheme="minorHAnsi"/>
          <w:sz w:val="16"/>
        </w:rPr>
        <w:t>2).</w:t>
      </w:r>
    </w:p>
  </w:footnote>
  <w:footnote w:id="299">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Orden de Protección Enmendada #1 Para la Proteccion frente a la Revelación de Información de Seguridad Nacional (</w:t>
      </w:r>
      <w:proofErr w:type="spellStart"/>
      <w:r>
        <w:rPr>
          <w:rFonts w:asciiTheme="minorHAnsi" w:hAnsiTheme="minorHAnsi"/>
          <w:i/>
          <w:sz w:val="16"/>
        </w:rPr>
        <w:t>Ammended</w:t>
      </w:r>
      <w:proofErr w:type="spellEnd"/>
      <w:r>
        <w:rPr>
          <w:rFonts w:asciiTheme="minorHAnsi" w:hAnsiTheme="minorHAnsi"/>
          <w:i/>
          <w:sz w:val="16"/>
        </w:rPr>
        <w:t xml:space="preserve"> </w:t>
      </w:r>
      <w:proofErr w:type="spellStart"/>
      <w:r>
        <w:rPr>
          <w:rFonts w:asciiTheme="minorHAnsi" w:hAnsiTheme="minorHAnsi"/>
          <w:i/>
          <w:sz w:val="16"/>
        </w:rPr>
        <w:t>Protective</w:t>
      </w:r>
      <w:proofErr w:type="spellEnd"/>
      <w:r>
        <w:rPr>
          <w:rFonts w:asciiTheme="minorHAnsi" w:hAnsiTheme="minorHAnsi"/>
          <w:i/>
          <w:sz w:val="16"/>
        </w:rPr>
        <w:t xml:space="preserve"> </w:t>
      </w:r>
      <w:proofErr w:type="spellStart"/>
      <w:r>
        <w:rPr>
          <w:rFonts w:asciiTheme="minorHAnsi" w:hAnsiTheme="minorHAnsi"/>
          <w:i/>
          <w:sz w:val="16"/>
        </w:rPr>
        <w:t>Order</w:t>
      </w:r>
      <w:proofErr w:type="spellEnd"/>
      <w:r>
        <w:rPr>
          <w:rFonts w:asciiTheme="minorHAnsi" w:hAnsiTheme="minorHAnsi"/>
          <w:i/>
          <w:sz w:val="16"/>
        </w:rPr>
        <w:t xml:space="preserve"> #1 to </w:t>
      </w:r>
      <w:proofErr w:type="spellStart"/>
      <w:r>
        <w:rPr>
          <w:rFonts w:asciiTheme="minorHAnsi" w:hAnsiTheme="minorHAnsi"/>
          <w:i/>
          <w:sz w:val="16"/>
        </w:rPr>
        <w:t>Protect</w:t>
      </w:r>
      <w:proofErr w:type="spellEnd"/>
      <w:r>
        <w:rPr>
          <w:rFonts w:asciiTheme="minorHAnsi" w:hAnsiTheme="minorHAnsi"/>
          <w:i/>
          <w:sz w:val="16"/>
        </w:rPr>
        <w:t xml:space="preserve"> </w:t>
      </w:r>
      <w:proofErr w:type="spellStart"/>
      <w:r>
        <w:rPr>
          <w:rFonts w:asciiTheme="minorHAnsi" w:hAnsiTheme="minorHAnsi"/>
          <w:i/>
          <w:sz w:val="16"/>
        </w:rPr>
        <w:t>Against</w:t>
      </w:r>
      <w:proofErr w:type="spellEnd"/>
      <w:r>
        <w:rPr>
          <w:rFonts w:asciiTheme="minorHAnsi" w:hAnsiTheme="minorHAnsi"/>
          <w:i/>
          <w:sz w:val="16"/>
        </w:rPr>
        <w:t xml:space="preserve"> </w:t>
      </w:r>
      <w:proofErr w:type="spellStart"/>
      <w:r>
        <w:rPr>
          <w:rFonts w:asciiTheme="minorHAnsi" w:hAnsiTheme="minorHAnsi"/>
          <w:i/>
          <w:sz w:val="16"/>
        </w:rPr>
        <w:t>Disclosure</w:t>
      </w:r>
      <w:proofErr w:type="spellEnd"/>
      <w:r>
        <w:rPr>
          <w:rFonts w:asciiTheme="minorHAnsi" w:hAnsiTheme="minorHAnsi"/>
          <w:i/>
          <w:sz w:val="16"/>
        </w:rPr>
        <w:t xml:space="preserve"> of </w:t>
      </w:r>
      <w:proofErr w:type="spellStart"/>
      <w:r>
        <w:rPr>
          <w:rFonts w:asciiTheme="minorHAnsi" w:hAnsiTheme="minorHAnsi"/>
          <w:i/>
          <w:sz w:val="16"/>
        </w:rPr>
        <w:t>National</w:t>
      </w:r>
      <w:proofErr w:type="spellEnd"/>
      <w:r>
        <w:rPr>
          <w:rFonts w:asciiTheme="minorHAnsi" w:hAnsiTheme="minorHAnsi"/>
          <w:i/>
          <w:sz w:val="16"/>
        </w:rPr>
        <w:t xml:space="preserve"> Security </w:t>
      </w:r>
      <w:proofErr w:type="spellStart"/>
      <w:r>
        <w:rPr>
          <w:rFonts w:asciiTheme="minorHAnsi" w:hAnsiTheme="minorHAnsi"/>
          <w:i/>
          <w:sz w:val="16"/>
        </w:rPr>
        <w:t>Information</w:t>
      </w:r>
      <w:proofErr w:type="spellEnd"/>
      <w:r>
        <w:rPr>
          <w:rFonts w:asciiTheme="minorHAnsi" w:hAnsiTheme="minorHAnsi"/>
          <w:sz w:val="16"/>
        </w:rPr>
        <w:t>) párr. 2(g</w:t>
      </w:r>
      <w:proofErr w:type="gramStart"/>
      <w:r>
        <w:rPr>
          <w:rFonts w:asciiTheme="minorHAnsi" w:hAnsiTheme="minorHAnsi"/>
          <w:sz w:val="16"/>
        </w:rPr>
        <w:t>)(</w:t>
      </w:r>
      <w:proofErr w:type="gramEnd"/>
      <w:r>
        <w:rPr>
          <w:rFonts w:asciiTheme="minorHAnsi" w:hAnsiTheme="minorHAnsi"/>
          <w:sz w:val="16"/>
        </w:rPr>
        <w:t>4)-(5), 9 de febrero de 2013.</w:t>
      </w:r>
    </w:p>
  </w:footnote>
  <w:footnote w:id="300">
    <w:p w:rsidR="00AF130B" w:rsidRPr="002E2C5C"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Consejo de Derechos Humanos, </w:t>
      </w:r>
      <w:r>
        <w:rPr>
          <w:rFonts w:asciiTheme="minorHAnsi" w:hAnsiTheme="minorHAnsi"/>
          <w:i/>
          <w:sz w:val="16"/>
        </w:rPr>
        <w:t xml:space="preserve">Informe del Relator Especial sobre la promoción y  protección de los derechos humanos y las libertades fundamentales en la lucha contra el terrorismo, Ben </w:t>
      </w:r>
      <w:proofErr w:type="spellStart"/>
      <w:r>
        <w:rPr>
          <w:rFonts w:asciiTheme="minorHAnsi" w:hAnsiTheme="minorHAnsi"/>
          <w:i/>
          <w:sz w:val="16"/>
        </w:rPr>
        <w:t>Emmerson</w:t>
      </w:r>
      <w:proofErr w:type="spellEnd"/>
      <w:r>
        <w:rPr>
          <w:rFonts w:asciiTheme="minorHAnsi" w:hAnsiTheme="minorHAnsi"/>
          <w:i/>
          <w:sz w:val="16"/>
        </w:rPr>
        <w:t xml:space="preserve">: Principios marco para garantizar la rendición de cuentas de los funcionarios públicos por las violaciones manifiestas o sistemáticas de </w:t>
      </w:r>
      <w:r w:rsidRPr="002E2C5C">
        <w:rPr>
          <w:rFonts w:asciiTheme="minorHAnsi" w:hAnsiTheme="minorHAnsi"/>
          <w:i/>
          <w:sz w:val="16"/>
        </w:rPr>
        <w:t>los derechos humanos cometidas en el transcurso de iniciativas de lucha contra el terrorismo</w:t>
      </w:r>
      <w:r w:rsidRPr="002E2C5C">
        <w:rPr>
          <w:rFonts w:asciiTheme="minorHAnsi" w:hAnsiTheme="minorHAnsi"/>
          <w:sz w:val="16"/>
        </w:rPr>
        <w:t xml:space="preserve">, A/HRC/22/52, 1 de marzo de 2013, nota al pie de página 94. Disponible en: </w:t>
      </w:r>
      <w:hyperlink r:id="rId93">
        <w:r w:rsidRPr="002E2C5C">
          <w:rPr>
            <w:rStyle w:val="Hyperlink"/>
            <w:rFonts w:asciiTheme="minorHAnsi" w:hAnsiTheme="minorHAnsi"/>
            <w:sz w:val="16"/>
          </w:rPr>
          <w:t>http://daccess-dds-ny.un.org/doc/UNDOC/GEN/G13/133/71/PDF/G1313371.pdf?OpenElement</w:t>
        </w:r>
      </w:hyperlink>
      <w:r w:rsidRPr="002E2C5C">
        <w:rPr>
          <w:rFonts w:asciiTheme="minorHAnsi" w:hAnsiTheme="minorHAnsi"/>
          <w:sz w:val="16"/>
        </w:rPr>
        <w:t xml:space="preserve"> </w:t>
      </w:r>
    </w:p>
  </w:footnote>
  <w:footnote w:id="301">
    <w:p w:rsidR="00AF130B" w:rsidRPr="002E2C5C" w:rsidRDefault="00AF130B" w:rsidP="00CE3EC6">
      <w:pPr>
        <w:pStyle w:val="FootnoteText"/>
        <w:ind w:left="547" w:hanging="547"/>
        <w:jc w:val="both"/>
        <w:rPr>
          <w:rFonts w:asciiTheme="minorHAnsi" w:hAnsiTheme="minorHAnsi"/>
          <w:sz w:val="16"/>
          <w:szCs w:val="16"/>
        </w:rPr>
      </w:pPr>
      <w:r w:rsidRPr="002E2C5C">
        <w:rPr>
          <w:rStyle w:val="FootnoteReference"/>
          <w:rFonts w:asciiTheme="minorHAnsi" w:hAnsiTheme="minorHAnsi"/>
          <w:sz w:val="16"/>
        </w:rPr>
        <w:footnoteRef/>
      </w:r>
      <w:r w:rsidRPr="002E2C5C">
        <w:rPr>
          <w:rFonts w:asciiTheme="minorHAnsi" w:hAnsiTheme="minorHAnsi"/>
          <w:sz w:val="16"/>
        </w:rPr>
        <w:t xml:space="preserve"> </w:t>
      </w:r>
      <w:r w:rsidRPr="002E2C5C">
        <w:tab/>
      </w:r>
      <w:r w:rsidRPr="002E2C5C">
        <w:rPr>
          <w:rFonts w:asciiTheme="minorHAnsi" w:hAnsiTheme="minorHAnsi"/>
          <w:sz w:val="16"/>
        </w:rPr>
        <w:t xml:space="preserve">CIDH, </w:t>
      </w:r>
      <w:r>
        <w:rPr>
          <w:rFonts w:asciiTheme="minorHAnsi" w:hAnsiTheme="minorHAnsi"/>
          <w:sz w:val="16"/>
        </w:rPr>
        <w:t>Audiencia sobre la s</w:t>
      </w:r>
      <w:r w:rsidRPr="002E2C5C">
        <w:rPr>
          <w:rFonts w:asciiTheme="minorHAnsi" w:hAnsiTheme="minorHAnsi"/>
          <w:sz w:val="16"/>
        </w:rPr>
        <w:t>ituación de derechos humanos de personas privadas de libertad en la Base Naval de Guantánamo, Estados Unidos, 154 período de sesiones, 16 de marzo de 2015.</w:t>
      </w:r>
    </w:p>
  </w:footnote>
  <w:footnote w:id="302">
    <w:p w:rsidR="00AF130B" w:rsidRPr="002E2C5C" w:rsidRDefault="00AF130B" w:rsidP="00CE3EC6">
      <w:pPr>
        <w:pStyle w:val="FootnoteText"/>
        <w:ind w:left="547" w:hanging="547"/>
        <w:jc w:val="both"/>
        <w:rPr>
          <w:rFonts w:asciiTheme="minorHAnsi" w:hAnsiTheme="minorHAnsi"/>
          <w:sz w:val="16"/>
          <w:szCs w:val="16"/>
        </w:rPr>
      </w:pPr>
      <w:r w:rsidRPr="002E2C5C">
        <w:rPr>
          <w:rStyle w:val="FootnoteReference"/>
          <w:rFonts w:asciiTheme="minorHAnsi" w:hAnsiTheme="minorHAnsi"/>
          <w:sz w:val="16"/>
        </w:rPr>
        <w:footnoteRef/>
      </w:r>
      <w:r w:rsidRPr="002E2C5C">
        <w:rPr>
          <w:rFonts w:asciiTheme="minorHAnsi" w:hAnsiTheme="minorHAnsi"/>
          <w:sz w:val="16"/>
        </w:rPr>
        <w:t xml:space="preserve"> </w:t>
      </w:r>
      <w:r w:rsidRPr="002E2C5C">
        <w:tab/>
      </w:r>
      <w:r w:rsidRPr="002E2C5C">
        <w:rPr>
          <w:rFonts w:asciiTheme="minorHAnsi" w:hAnsiTheme="minorHAnsi"/>
          <w:sz w:val="16"/>
        </w:rPr>
        <w:t xml:space="preserve">CIDH, </w:t>
      </w:r>
      <w:r w:rsidRPr="002E2C5C">
        <w:rPr>
          <w:rFonts w:asciiTheme="minorHAnsi" w:hAnsiTheme="minorHAnsi"/>
          <w:i/>
          <w:sz w:val="16"/>
        </w:rPr>
        <w:t>Informe sobre Terrorismo y Derechos Humanos</w:t>
      </w:r>
      <w:r w:rsidRPr="002E2C5C">
        <w:rPr>
          <w:rFonts w:asciiTheme="minorHAnsi" w:hAnsiTheme="minorHAnsi"/>
          <w:sz w:val="16"/>
        </w:rPr>
        <w:t>, OEA/</w:t>
      </w:r>
      <w:proofErr w:type="spellStart"/>
      <w:r w:rsidRPr="002E2C5C">
        <w:rPr>
          <w:rFonts w:asciiTheme="minorHAnsi" w:hAnsiTheme="minorHAnsi"/>
          <w:sz w:val="16"/>
        </w:rPr>
        <w:t>Ser.L</w:t>
      </w:r>
      <w:proofErr w:type="spellEnd"/>
      <w:r w:rsidRPr="002E2C5C">
        <w:rPr>
          <w:rFonts w:asciiTheme="minorHAnsi" w:hAnsiTheme="minorHAnsi"/>
          <w:sz w:val="16"/>
        </w:rPr>
        <w:t>/V/II.116.Doc.5 rev.1, 22 de octubre de 2002, paras. 233, 237, 238, 247.</w:t>
      </w:r>
    </w:p>
  </w:footnote>
  <w:footnote w:id="303">
    <w:p w:rsidR="00AF130B" w:rsidRPr="005D0288" w:rsidRDefault="00AF130B" w:rsidP="00CE3EC6">
      <w:pPr>
        <w:pStyle w:val="FootnoteText"/>
        <w:ind w:left="547" w:hanging="547"/>
        <w:jc w:val="both"/>
        <w:rPr>
          <w:rFonts w:asciiTheme="minorHAnsi" w:hAnsiTheme="minorHAnsi"/>
          <w:sz w:val="16"/>
          <w:szCs w:val="16"/>
        </w:rPr>
      </w:pPr>
      <w:r w:rsidRPr="002E2C5C">
        <w:rPr>
          <w:rStyle w:val="FootnoteReference"/>
          <w:rFonts w:asciiTheme="minorHAnsi" w:hAnsiTheme="minorHAnsi"/>
          <w:sz w:val="16"/>
        </w:rPr>
        <w:footnoteRef/>
      </w:r>
      <w:r w:rsidRPr="002E2C5C">
        <w:rPr>
          <w:rFonts w:asciiTheme="minorHAnsi" w:hAnsiTheme="minorHAnsi"/>
          <w:sz w:val="16"/>
        </w:rPr>
        <w:t xml:space="preserve"> </w:t>
      </w:r>
      <w:r w:rsidRPr="002E2C5C">
        <w:tab/>
      </w:r>
      <w:r w:rsidRPr="002E2C5C">
        <w:rPr>
          <w:rFonts w:asciiTheme="minorHAnsi" w:hAnsiTheme="minorHAnsi"/>
          <w:sz w:val="16"/>
        </w:rPr>
        <w:t>CIDH, Informe N</w:t>
      </w:r>
      <w:proofErr w:type="gramStart"/>
      <w:r w:rsidRPr="002E2C5C">
        <w:rPr>
          <w:rFonts w:asciiTheme="minorHAnsi" w:hAnsiTheme="minorHAnsi"/>
          <w:sz w:val="16"/>
        </w:rPr>
        <w:t>.º</w:t>
      </w:r>
      <w:proofErr w:type="gramEnd"/>
      <w:r w:rsidRPr="002E2C5C">
        <w:rPr>
          <w:rFonts w:asciiTheme="minorHAnsi" w:hAnsiTheme="minorHAnsi"/>
          <w:sz w:val="16"/>
        </w:rPr>
        <w:t xml:space="preserve"> 44/14, Caso 12.873, Informe de Fondo (publicación), Edgar Tamayo Arias, Estados Unidos, 17 de julio de 2014, párr. 136.</w:t>
      </w:r>
    </w:p>
  </w:footnote>
  <w:footnote w:id="304">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Para información sobre el procedimiento, ver: Secretario de Defensa Adjunto, Memorando para las Secretarías de los Departamentos Militares, 14 de julio de 2006. Disponible en: </w:t>
      </w:r>
      <w:hyperlink r:id="rId94">
        <w:r>
          <w:rPr>
            <w:rStyle w:val="Hyperlink"/>
            <w:rFonts w:asciiTheme="minorHAnsi" w:hAnsiTheme="minorHAnsi"/>
            <w:sz w:val="16"/>
          </w:rPr>
          <w:t>http://www.defense.gov/news/aug2006/d20060809csrtprocedures.pdf</w:t>
        </w:r>
      </w:hyperlink>
      <w:r>
        <w:rPr>
          <w:rFonts w:asciiTheme="minorHAnsi" w:hAnsiTheme="minorHAnsi"/>
          <w:sz w:val="16"/>
        </w:rPr>
        <w:t xml:space="preserve"> </w:t>
      </w:r>
    </w:p>
  </w:footnote>
  <w:footnote w:id="305">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proofErr w:type="spellStart"/>
      <w:r>
        <w:rPr>
          <w:rFonts w:asciiTheme="minorHAnsi" w:hAnsiTheme="minorHAnsi"/>
          <w:i/>
          <w:sz w:val="16"/>
        </w:rPr>
        <w:t>Boumediene</w:t>
      </w:r>
      <w:proofErr w:type="spellEnd"/>
      <w:r>
        <w:rPr>
          <w:rFonts w:asciiTheme="minorHAnsi" w:hAnsiTheme="minorHAnsi"/>
          <w:i/>
          <w:sz w:val="16"/>
        </w:rPr>
        <w:t xml:space="preserve"> v. Bush</w:t>
      </w:r>
      <w:r>
        <w:rPr>
          <w:rFonts w:asciiTheme="minorHAnsi" w:hAnsiTheme="minorHAnsi"/>
          <w:sz w:val="16"/>
        </w:rPr>
        <w:t xml:space="preserve">, 553 U.S. 723 (2008), </w:t>
      </w:r>
      <w:proofErr w:type="spellStart"/>
      <w:r>
        <w:rPr>
          <w:rFonts w:asciiTheme="minorHAnsi" w:hAnsiTheme="minorHAnsi"/>
          <w:sz w:val="16"/>
        </w:rPr>
        <w:t>párrs</w:t>
      </w:r>
      <w:proofErr w:type="spellEnd"/>
      <w:r>
        <w:rPr>
          <w:rFonts w:asciiTheme="minorHAnsi" w:hAnsiTheme="minorHAnsi"/>
          <w:sz w:val="16"/>
        </w:rPr>
        <w:t>. 56, 63-64.</w:t>
      </w:r>
    </w:p>
  </w:footnote>
  <w:footnote w:id="306">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Informe Final del Grupo de Trabajo para la Revisión de Guantánamo, 22 de enero de 2010. Disponible en: </w:t>
      </w:r>
      <w:hyperlink r:id="rId95">
        <w:r>
          <w:rPr>
            <w:rStyle w:val="Hyperlink"/>
            <w:rFonts w:asciiTheme="minorHAnsi" w:hAnsiTheme="minorHAnsi"/>
            <w:sz w:val="16"/>
          </w:rPr>
          <w:t>http://www.justice.gov/sites/default/files/ag/legacy/2010/06/02/guantanamo-review-final-report.pdf</w:t>
        </w:r>
      </w:hyperlink>
      <w:r>
        <w:rPr>
          <w:rFonts w:asciiTheme="minorHAnsi" w:hAnsiTheme="minorHAnsi"/>
          <w:sz w:val="16"/>
        </w:rPr>
        <w:t xml:space="preserve"> </w:t>
      </w:r>
    </w:p>
  </w:footnote>
  <w:footnote w:id="307">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Para mayor información sobre la PRB, visite el portal de internet de la Secretaría de Revisión Periódica: </w:t>
      </w:r>
      <w:hyperlink r:id="rId96">
        <w:r>
          <w:rPr>
            <w:rStyle w:val="Hyperlink"/>
            <w:rFonts w:asciiTheme="minorHAnsi" w:hAnsiTheme="minorHAnsi"/>
            <w:sz w:val="16"/>
          </w:rPr>
          <w:t>www.prs.mil</w:t>
        </w:r>
      </w:hyperlink>
      <w:r>
        <w:rPr>
          <w:rFonts w:asciiTheme="minorHAnsi" w:hAnsiTheme="minorHAnsi"/>
          <w:sz w:val="16"/>
        </w:rPr>
        <w:t xml:space="preserve">. </w:t>
      </w:r>
    </w:p>
  </w:footnote>
  <w:footnote w:id="308">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Decreto Ejecutivo 13567, Revisión Periódica de las Personas Detenidas en la Base Naval de la Bahía de Guantánamo de Conformidad con la Autorización para el Uso de la Fuerza Militar (</w:t>
      </w:r>
      <w:proofErr w:type="spellStart"/>
      <w:r>
        <w:rPr>
          <w:rFonts w:asciiTheme="minorHAnsi" w:hAnsiTheme="minorHAnsi"/>
          <w:i/>
          <w:sz w:val="16"/>
        </w:rPr>
        <w:t>Periodic</w:t>
      </w:r>
      <w:proofErr w:type="spellEnd"/>
      <w:r>
        <w:rPr>
          <w:rFonts w:asciiTheme="minorHAnsi" w:hAnsiTheme="minorHAnsi"/>
          <w:i/>
          <w:sz w:val="16"/>
        </w:rPr>
        <w:t xml:space="preserve"> </w:t>
      </w:r>
      <w:proofErr w:type="spellStart"/>
      <w:r>
        <w:rPr>
          <w:rFonts w:asciiTheme="minorHAnsi" w:hAnsiTheme="minorHAnsi"/>
          <w:i/>
          <w:sz w:val="16"/>
        </w:rPr>
        <w:t>Review</w:t>
      </w:r>
      <w:proofErr w:type="spellEnd"/>
      <w:r>
        <w:rPr>
          <w:rFonts w:asciiTheme="minorHAnsi" w:hAnsiTheme="minorHAnsi"/>
          <w:i/>
          <w:sz w:val="16"/>
        </w:rPr>
        <w:t xml:space="preserve"> of </w:t>
      </w:r>
      <w:proofErr w:type="spellStart"/>
      <w:r>
        <w:rPr>
          <w:rFonts w:asciiTheme="minorHAnsi" w:hAnsiTheme="minorHAnsi"/>
          <w:i/>
          <w:sz w:val="16"/>
        </w:rPr>
        <w:t>Individuals</w:t>
      </w:r>
      <w:proofErr w:type="spellEnd"/>
      <w:r>
        <w:rPr>
          <w:rFonts w:asciiTheme="minorHAnsi" w:hAnsiTheme="minorHAnsi"/>
          <w:i/>
          <w:sz w:val="16"/>
        </w:rPr>
        <w:t xml:space="preserve"> </w:t>
      </w:r>
      <w:proofErr w:type="spellStart"/>
      <w:r>
        <w:rPr>
          <w:rFonts w:asciiTheme="minorHAnsi" w:hAnsiTheme="minorHAnsi"/>
          <w:i/>
          <w:sz w:val="16"/>
        </w:rPr>
        <w:t>Detained</w:t>
      </w:r>
      <w:proofErr w:type="spellEnd"/>
      <w:r>
        <w:rPr>
          <w:rFonts w:asciiTheme="minorHAnsi" w:hAnsiTheme="minorHAnsi"/>
          <w:i/>
          <w:sz w:val="16"/>
        </w:rPr>
        <w:t xml:space="preserve"> at </w:t>
      </w:r>
      <w:proofErr w:type="spellStart"/>
      <w:r>
        <w:rPr>
          <w:rFonts w:asciiTheme="minorHAnsi" w:hAnsiTheme="minorHAnsi"/>
          <w:i/>
          <w:sz w:val="16"/>
        </w:rPr>
        <w:t>Guantanamo</w:t>
      </w:r>
      <w:proofErr w:type="spellEnd"/>
      <w:r>
        <w:rPr>
          <w:rFonts w:asciiTheme="minorHAnsi" w:hAnsiTheme="minorHAnsi"/>
          <w:i/>
          <w:sz w:val="16"/>
        </w:rPr>
        <w:t xml:space="preserve"> </w:t>
      </w:r>
      <w:proofErr w:type="spellStart"/>
      <w:r>
        <w:rPr>
          <w:rFonts w:asciiTheme="minorHAnsi" w:hAnsiTheme="minorHAnsi"/>
          <w:i/>
          <w:sz w:val="16"/>
        </w:rPr>
        <w:t>Bay</w:t>
      </w:r>
      <w:proofErr w:type="spellEnd"/>
      <w:r>
        <w:rPr>
          <w:rFonts w:asciiTheme="minorHAnsi" w:hAnsiTheme="minorHAnsi"/>
          <w:i/>
          <w:sz w:val="16"/>
        </w:rPr>
        <w:t xml:space="preserve"> Naval </w:t>
      </w:r>
      <w:proofErr w:type="spellStart"/>
      <w:r>
        <w:rPr>
          <w:rFonts w:asciiTheme="minorHAnsi" w:hAnsiTheme="minorHAnsi"/>
          <w:i/>
          <w:sz w:val="16"/>
        </w:rPr>
        <w:t>Station</w:t>
      </w:r>
      <w:proofErr w:type="spellEnd"/>
      <w:r>
        <w:rPr>
          <w:rFonts w:asciiTheme="minorHAnsi" w:hAnsiTheme="minorHAnsi"/>
          <w:i/>
          <w:sz w:val="16"/>
        </w:rPr>
        <w:t xml:space="preserve"> </w:t>
      </w:r>
      <w:proofErr w:type="spellStart"/>
      <w:r>
        <w:rPr>
          <w:rFonts w:asciiTheme="minorHAnsi" w:hAnsiTheme="minorHAnsi"/>
          <w:i/>
          <w:sz w:val="16"/>
        </w:rPr>
        <w:t>Pursuant</w:t>
      </w:r>
      <w:proofErr w:type="spellEnd"/>
      <w:r>
        <w:rPr>
          <w:rFonts w:asciiTheme="minorHAnsi" w:hAnsiTheme="minorHAnsi"/>
          <w:i/>
          <w:sz w:val="16"/>
        </w:rPr>
        <w:t xml:space="preserve"> to </w:t>
      </w:r>
      <w:proofErr w:type="spellStart"/>
      <w:r>
        <w:rPr>
          <w:rFonts w:asciiTheme="minorHAnsi" w:hAnsiTheme="minorHAnsi"/>
          <w:i/>
          <w:sz w:val="16"/>
        </w:rPr>
        <w:t>the</w:t>
      </w:r>
      <w:proofErr w:type="spellEnd"/>
      <w:r>
        <w:rPr>
          <w:rFonts w:asciiTheme="minorHAnsi" w:hAnsiTheme="minorHAnsi"/>
          <w:i/>
          <w:sz w:val="16"/>
        </w:rPr>
        <w:t xml:space="preserve"> </w:t>
      </w:r>
      <w:proofErr w:type="spellStart"/>
      <w:r>
        <w:rPr>
          <w:rFonts w:asciiTheme="minorHAnsi" w:hAnsiTheme="minorHAnsi"/>
          <w:i/>
          <w:sz w:val="16"/>
        </w:rPr>
        <w:t>Authorization</w:t>
      </w:r>
      <w:proofErr w:type="spellEnd"/>
      <w:r>
        <w:rPr>
          <w:rFonts w:asciiTheme="minorHAnsi" w:hAnsiTheme="minorHAnsi"/>
          <w:i/>
          <w:sz w:val="16"/>
        </w:rPr>
        <w:t xml:space="preserve"> </w:t>
      </w:r>
      <w:proofErr w:type="spellStart"/>
      <w:r>
        <w:rPr>
          <w:rFonts w:asciiTheme="minorHAnsi" w:hAnsiTheme="minorHAnsi"/>
          <w:i/>
          <w:sz w:val="16"/>
        </w:rPr>
        <w:t>for</w:t>
      </w:r>
      <w:proofErr w:type="spellEnd"/>
      <w:r>
        <w:rPr>
          <w:rFonts w:asciiTheme="minorHAnsi" w:hAnsiTheme="minorHAnsi"/>
          <w:i/>
          <w:sz w:val="16"/>
        </w:rPr>
        <w:t xml:space="preserve"> Use of </w:t>
      </w:r>
      <w:proofErr w:type="spellStart"/>
      <w:r>
        <w:rPr>
          <w:rFonts w:asciiTheme="minorHAnsi" w:hAnsiTheme="minorHAnsi"/>
          <w:i/>
          <w:sz w:val="16"/>
        </w:rPr>
        <w:t>Military</w:t>
      </w:r>
      <w:proofErr w:type="spellEnd"/>
      <w:r>
        <w:rPr>
          <w:rFonts w:asciiTheme="minorHAnsi" w:hAnsiTheme="minorHAnsi"/>
          <w:i/>
          <w:sz w:val="16"/>
        </w:rPr>
        <w:t xml:space="preserve"> </w:t>
      </w:r>
      <w:proofErr w:type="spellStart"/>
      <w:r>
        <w:rPr>
          <w:rFonts w:asciiTheme="minorHAnsi" w:hAnsiTheme="minorHAnsi"/>
          <w:i/>
          <w:sz w:val="16"/>
        </w:rPr>
        <w:t>Force</w:t>
      </w:r>
      <w:proofErr w:type="spellEnd"/>
      <w:r>
        <w:rPr>
          <w:rFonts w:asciiTheme="minorHAnsi" w:hAnsiTheme="minorHAnsi"/>
          <w:sz w:val="16"/>
        </w:rPr>
        <w:t xml:space="preserve">), 7 de marzo de 2011, Sección 1(a). Disponible en: </w:t>
      </w:r>
      <w:hyperlink r:id="rId97">
        <w:r>
          <w:rPr>
            <w:rStyle w:val="Hyperlink"/>
            <w:rFonts w:asciiTheme="minorHAnsi" w:hAnsiTheme="minorHAnsi"/>
            <w:sz w:val="16"/>
          </w:rPr>
          <w:t>http://www.whitehouse.gov/the-press-office/2011/03/07/executive-order-periodic-review-individuals-detained-guant-namo-bay-nava</w:t>
        </w:r>
      </w:hyperlink>
      <w:r>
        <w:rPr>
          <w:rFonts w:asciiTheme="minorHAnsi" w:hAnsiTheme="minorHAnsi"/>
          <w:sz w:val="16"/>
        </w:rPr>
        <w:t xml:space="preserve"> </w:t>
      </w:r>
    </w:p>
  </w:footnote>
  <w:footnote w:id="309">
    <w:p w:rsidR="00AF130B" w:rsidRPr="006B5BEA"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Departamento de Defensa de Estados Unidos, Liberación No. NR-017-14, Finalización de la Primera Junta de </w:t>
      </w:r>
      <w:r w:rsidRPr="006B5BEA">
        <w:rPr>
          <w:rFonts w:asciiTheme="minorHAnsi" w:hAnsiTheme="minorHAnsi"/>
          <w:sz w:val="16"/>
        </w:rPr>
        <w:t xml:space="preserve">Revisión Periódica de Guantánamo, 9 de enero de 2014. Disponible en: </w:t>
      </w:r>
      <w:hyperlink r:id="rId98">
        <w:r w:rsidRPr="006B5BEA">
          <w:rPr>
            <w:rStyle w:val="Hyperlink"/>
            <w:rFonts w:asciiTheme="minorHAnsi" w:hAnsiTheme="minorHAnsi"/>
            <w:sz w:val="16"/>
          </w:rPr>
          <w:t>http://www.defense.gov/releases/release.aspx?releaseid=16473</w:t>
        </w:r>
      </w:hyperlink>
      <w:r w:rsidRPr="006B5BEA">
        <w:rPr>
          <w:rFonts w:asciiTheme="minorHAnsi" w:hAnsiTheme="minorHAnsi"/>
          <w:sz w:val="16"/>
        </w:rPr>
        <w:t xml:space="preserve"> </w:t>
      </w:r>
    </w:p>
  </w:footnote>
  <w:footnote w:id="310">
    <w:p w:rsidR="00AF130B" w:rsidRPr="006B5BEA" w:rsidRDefault="00AF130B" w:rsidP="00CE3EC6">
      <w:pPr>
        <w:pStyle w:val="FootnoteText"/>
        <w:ind w:left="547" w:hanging="547"/>
        <w:jc w:val="both"/>
        <w:rPr>
          <w:rFonts w:asciiTheme="minorHAnsi" w:hAnsiTheme="minorHAnsi"/>
          <w:sz w:val="16"/>
          <w:szCs w:val="16"/>
        </w:rPr>
      </w:pPr>
      <w:r w:rsidRPr="006B5BEA">
        <w:rPr>
          <w:rStyle w:val="FootnoteReference"/>
          <w:rFonts w:asciiTheme="minorHAnsi" w:hAnsiTheme="minorHAnsi"/>
          <w:sz w:val="16"/>
        </w:rPr>
        <w:footnoteRef/>
      </w:r>
      <w:r w:rsidRPr="006B5BEA">
        <w:rPr>
          <w:rFonts w:asciiTheme="minorHAnsi" w:hAnsiTheme="minorHAnsi"/>
          <w:sz w:val="16"/>
        </w:rPr>
        <w:t xml:space="preserve"> </w:t>
      </w:r>
      <w:r w:rsidRPr="006B5BEA">
        <w:tab/>
      </w:r>
      <w:r w:rsidRPr="006B5BEA">
        <w:rPr>
          <w:rFonts w:asciiTheme="minorHAnsi" w:hAnsiTheme="minorHAnsi"/>
          <w:sz w:val="16"/>
        </w:rPr>
        <w:t>Comunicación del Gobierno de Estados Unidos dirigida a la Comisión Interamericana de Derechos Humanos respecto del Informe Preliminar sobre el Cierre de Guantánamo, OEA/</w:t>
      </w:r>
      <w:proofErr w:type="spellStart"/>
      <w:r w:rsidRPr="006B5BEA">
        <w:rPr>
          <w:rFonts w:asciiTheme="minorHAnsi" w:hAnsiTheme="minorHAnsi"/>
          <w:sz w:val="16"/>
        </w:rPr>
        <w:t>Ser.L</w:t>
      </w:r>
      <w:proofErr w:type="spellEnd"/>
      <w:r w:rsidRPr="006B5BEA">
        <w:rPr>
          <w:rFonts w:asciiTheme="minorHAnsi" w:hAnsiTheme="minorHAnsi"/>
          <w:sz w:val="16"/>
        </w:rPr>
        <w:t>/V/II.doc. 30 de enero de 2015, 30 de marzo de 2015, pág. 4.</w:t>
      </w:r>
    </w:p>
  </w:footnote>
  <w:footnote w:id="311">
    <w:p w:rsidR="00AF130B" w:rsidRPr="005D0288" w:rsidRDefault="00AF130B" w:rsidP="00CE3EC6">
      <w:pPr>
        <w:pStyle w:val="FootnoteText"/>
        <w:ind w:left="547" w:hanging="547"/>
        <w:jc w:val="both"/>
        <w:rPr>
          <w:rFonts w:asciiTheme="minorHAnsi" w:hAnsiTheme="minorHAnsi"/>
          <w:sz w:val="16"/>
          <w:szCs w:val="16"/>
          <w:lang w:val="es-EC"/>
        </w:rPr>
      </w:pPr>
      <w:r w:rsidRPr="006B5BEA">
        <w:rPr>
          <w:rStyle w:val="FootnoteReference"/>
          <w:rFonts w:asciiTheme="minorHAnsi" w:hAnsiTheme="minorHAnsi"/>
          <w:sz w:val="16"/>
        </w:rPr>
        <w:footnoteRef/>
      </w:r>
      <w:r w:rsidRPr="006B5BEA">
        <w:rPr>
          <w:rFonts w:asciiTheme="minorHAnsi" w:hAnsiTheme="minorHAnsi"/>
          <w:sz w:val="16"/>
        </w:rPr>
        <w:t xml:space="preserve"> </w:t>
      </w:r>
      <w:r w:rsidRPr="006B5BEA">
        <w:tab/>
      </w:r>
      <w:r w:rsidRPr="006B5BEA">
        <w:rPr>
          <w:rFonts w:asciiTheme="minorHAnsi" w:hAnsiTheme="minorHAnsi"/>
          <w:sz w:val="16"/>
        </w:rPr>
        <w:t xml:space="preserve">Véase las determinaciones definitivas de la PRB en los casos de </w:t>
      </w:r>
      <w:proofErr w:type="spellStart"/>
      <w:r w:rsidRPr="006B5BEA">
        <w:rPr>
          <w:rFonts w:asciiTheme="minorHAnsi" w:hAnsiTheme="minorHAnsi"/>
          <w:sz w:val="16"/>
        </w:rPr>
        <w:t>Abdel</w:t>
      </w:r>
      <w:proofErr w:type="spellEnd"/>
      <w:r w:rsidRPr="006B5BEA">
        <w:rPr>
          <w:rFonts w:asciiTheme="minorHAnsi" w:hAnsiTheme="minorHAnsi"/>
          <w:sz w:val="16"/>
        </w:rPr>
        <w:t xml:space="preserve"> </w:t>
      </w:r>
      <w:proofErr w:type="spellStart"/>
      <w:r w:rsidRPr="006B5BEA">
        <w:rPr>
          <w:rFonts w:asciiTheme="minorHAnsi" w:hAnsiTheme="minorHAnsi"/>
          <w:sz w:val="16"/>
        </w:rPr>
        <w:t>Malik</w:t>
      </w:r>
      <w:proofErr w:type="spellEnd"/>
      <w:r w:rsidRPr="006B5BEA">
        <w:rPr>
          <w:rFonts w:asciiTheme="minorHAnsi" w:hAnsiTheme="minorHAnsi"/>
          <w:sz w:val="16"/>
        </w:rPr>
        <w:t xml:space="preserve"> Ahmed </w:t>
      </w:r>
      <w:proofErr w:type="spellStart"/>
      <w:r w:rsidRPr="006B5BEA">
        <w:rPr>
          <w:rFonts w:asciiTheme="minorHAnsi" w:hAnsiTheme="minorHAnsi"/>
          <w:sz w:val="16"/>
        </w:rPr>
        <w:t>Abdel</w:t>
      </w:r>
      <w:proofErr w:type="spellEnd"/>
      <w:r w:rsidRPr="006B5BEA">
        <w:rPr>
          <w:rFonts w:asciiTheme="minorHAnsi" w:hAnsiTheme="minorHAnsi"/>
          <w:sz w:val="16"/>
        </w:rPr>
        <w:t xml:space="preserve"> </w:t>
      </w:r>
      <w:proofErr w:type="spellStart"/>
      <w:r w:rsidRPr="006B5BEA">
        <w:rPr>
          <w:rFonts w:asciiTheme="minorHAnsi" w:hAnsiTheme="minorHAnsi"/>
          <w:sz w:val="16"/>
        </w:rPr>
        <w:t>Wahab</w:t>
      </w:r>
      <w:proofErr w:type="spellEnd"/>
      <w:r w:rsidRPr="006B5BEA">
        <w:rPr>
          <w:rFonts w:asciiTheme="minorHAnsi" w:hAnsiTheme="minorHAnsi"/>
          <w:sz w:val="16"/>
        </w:rPr>
        <w:t xml:space="preserve"> Al </w:t>
      </w:r>
      <w:proofErr w:type="spellStart"/>
      <w:r w:rsidRPr="006B5BEA">
        <w:rPr>
          <w:rFonts w:asciiTheme="minorHAnsi" w:hAnsiTheme="minorHAnsi"/>
          <w:sz w:val="16"/>
        </w:rPr>
        <w:t>Rahabi</w:t>
      </w:r>
      <w:proofErr w:type="spellEnd"/>
      <w:r w:rsidRPr="006B5BEA">
        <w:rPr>
          <w:rFonts w:asciiTheme="minorHAnsi" w:hAnsiTheme="minorHAnsi"/>
          <w:sz w:val="16"/>
        </w:rPr>
        <w:t xml:space="preserve">, Salem Ahmad </w:t>
      </w:r>
      <w:proofErr w:type="spellStart"/>
      <w:r w:rsidRPr="006B5BEA">
        <w:rPr>
          <w:rFonts w:asciiTheme="minorHAnsi" w:hAnsiTheme="minorHAnsi"/>
          <w:sz w:val="16"/>
        </w:rPr>
        <w:t>Hadi</w:t>
      </w:r>
      <w:proofErr w:type="spellEnd"/>
      <w:r w:rsidRPr="006B5BEA">
        <w:rPr>
          <w:rFonts w:asciiTheme="minorHAnsi" w:hAnsiTheme="minorHAnsi"/>
          <w:sz w:val="16"/>
        </w:rPr>
        <w:t xml:space="preserve"> </w:t>
      </w:r>
      <w:proofErr w:type="spellStart"/>
      <w:r w:rsidRPr="006B5BEA">
        <w:rPr>
          <w:rFonts w:asciiTheme="minorHAnsi" w:hAnsiTheme="minorHAnsi"/>
          <w:sz w:val="16"/>
        </w:rPr>
        <w:t>Bin</w:t>
      </w:r>
      <w:proofErr w:type="spellEnd"/>
      <w:r w:rsidRPr="006B5BEA">
        <w:rPr>
          <w:rFonts w:asciiTheme="minorHAnsi" w:hAnsiTheme="minorHAnsi"/>
          <w:sz w:val="16"/>
        </w:rPr>
        <w:t xml:space="preserve"> </w:t>
      </w:r>
      <w:proofErr w:type="spellStart"/>
      <w:r w:rsidRPr="006B5BEA">
        <w:rPr>
          <w:rFonts w:asciiTheme="minorHAnsi" w:hAnsiTheme="minorHAnsi"/>
          <w:sz w:val="16"/>
        </w:rPr>
        <w:t>Kanad</w:t>
      </w:r>
      <w:proofErr w:type="spellEnd"/>
      <w:r w:rsidRPr="006B5BEA">
        <w:rPr>
          <w:rFonts w:asciiTheme="minorHAnsi" w:hAnsiTheme="minorHAnsi"/>
          <w:sz w:val="16"/>
        </w:rPr>
        <w:t xml:space="preserve">, </w:t>
      </w:r>
      <w:proofErr w:type="spellStart"/>
      <w:r w:rsidRPr="006B5BEA">
        <w:rPr>
          <w:rFonts w:asciiTheme="minorHAnsi" w:hAnsiTheme="minorHAnsi"/>
          <w:sz w:val="16"/>
        </w:rPr>
        <w:t>Muhammed</w:t>
      </w:r>
      <w:proofErr w:type="spellEnd"/>
      <w:r w:rsidRPr="006B5BEA">
        <w:rPr>
          <w:rFonts w:asciiTheme="minorHAnsi" w:hAnsiTheme="minorHAnsi"/>
          <w:sz w:val="16"/>
        </w:rPr>
        <w:t xml:space="preserve"> </w:t>
      </w:r>
      <w:proofErr w:type="spellStart"/>
      <w:r w:rsidRPr="006B5BEA">
        <w:rPr>
          <w:rFonts w:asciiTheme="minorHAnsi" w:hAnsiTheme="minorHAnsi"/>
          <w:sz w:val="16"/>
        </w:rPr>
        <w:t>Abd</w:t>
      </w:r>
      <w:proofErr w:type="spellEnd"/>
      <w:r w:rsidRPr="006B5BEA">
        <w:rPr>
          <w:rFonts w:asciiTheme="minorHAnsi" w:hAnsiTheme="minorHAnsi"/>
          <w:sz w:val="16"/>
        </w:rPr>
        <w:t xml:space="preserve"> Al </w:t>
      </w:r>
      <w:proofErr w:type="spellStart"/>
      <w:r w:rsidRPr="006B5BEA">
        <w:rPr>
          <w:rFonts w:asciiTheme="minorHAnsi" w:hAnsiTheme="minorHAnsi"/>
          <w:sz w:val="16"/>
        </w:rPr>
        <w:t>Rahman</w:t>
      </w:r>
      <w:proofErr w:type="spellEnd"/>
      <w:r w:rsidRPr="006B5BEA">
        <w:rPr>
          <w:rFonts w:asciiTheme="minorHAnsi" w:hAnsiTheme="minorHAnsi"/>
          <w:sz w:val="16"/>
        </w:rPr>
        <w:t xml:space="preserve"> </w:t>
      </w:r>
      <w:proofErr w:type="spellStart"/>
      <w:r w:rsidRPr="006B5BEA">
        <w:rPr>
          <w:rFonts w:asciiTheme="minorHAnsi" w:hAnsiTheme="minorHAnsi"/>
          <w:sz w:val="16"/>
        </w:rPr>
        <w:t>Awn</w:t>
      </w:r>
      <w:proofErr w:type="spellEnd"/>
      <w:r w:rsidRPr="006B5BEA">
        <w:rPr>
          <w:rFonts w:asciiTheme="minorHAnsi" w:hAnsiTheme="minorHAnsi"/>
          <w:sz w:val="16"/>
        </w:rPr>
        <w:t xml:space="preserve"> Al-</w:t>
      </w:r>
      <w:proofErr w:type="spellStart"/>
      <w:r w:rsidRPr="006B5BEA">
        <w:rPr>
          <w:rFonts w:asciiTheme="minorHAnsi" w:hAnsiTheme="minorHAnsi"/>
          <w:sz w:val="16"/>
        </w:rPr>
        <w:t>Shamrani</w:t>
      </w:r>
      <w:proofErr w:type="spellEnd"/>
      <w:r w:rsidRPr="006B5BEA">
        <w:rPr>
          <w:rFonts w:asciiTheme="minorHAnsi" w:hAnsiTheme="minorHAnsi"/>
          <w:sz w:val="16"/>
        </w:rPr>
        <w:t xml:space="preserve">, y </w:t>
      </w:r>
      <w:proofErr w:type="spellStart"/>
      <w:r w:rsidRPr="006B5BEA">
        <w:rPr>
          <w:rFonts w:asciiTheme="minorHAnsi" w:hAnsiTheme="minorHAnsi"/>
          <w:sz w:val="16"/>
        </w:rPr>
        <w:t>Faez</w:t>
      </w:r>
      <w:proofErr w:type="spellEnd"/>
      <w:r w:rsidRPr="006B5BEA">
        <w:rPr>
          <w:rFonts w:asciiTheme="minorHAnsi" w:hAnsiTheme="minorHAnsi"/>
          <w:sz w:val="16"/>
        </w:rPr>
        <w:t xml:space="preserve"> Mohammed Ahmed Al-</w:t>
      </w:r>
      <w:proofErr w:type="spellStart"/>
      <w:r>
        <w:rPr>
          <w:rFonts w:asciiTheme="minorHAnsi" w:hAnsiTheme="minorHAnsi"/>
          <w:sz w:val="16"/>
        </w:rPr>
        <w:t>Kandari</w:t>
      </w:r>
      <w:proofErr w:type="spellEnd"/>
      <w:r>
        <w:rPr>
          <w:rFonts w:asciiTheme="minorHAnsi" w:hAnsiTheme="minorHAnsi"/>
          <w:sz w:val="16"/>
        </w:rPr>
        <w:t xml:space="preserve">. Disponible en: </w:t>
      </w:r>
      <w:hyperlink r:id="rId99">
        <w:r>
          <w:rPr>
            <w:rStyle w:val="Hyperlink"/>
            <w:rFonts w:asciiTheme="minorHAnsi" w:hAnsiTheme="minorHAnsi"/>
            <w:sz w:val="16"/>
          </w:rPr>
          <w:t>http://www.prs.mil/ReviewInformation/FullReviewpage.aspx</w:t>
        </w:r>
      </w:hyperlink>
      <w:r>
        <w:rPr>
          <w:rFonts w:asciiTheme="minorHAnsi" w:hAnsiTheme="minorHAnsi"/>
          <w:color w:val="555555"/>
          <w:sz w:val="16"/>
        </w:rPr>
        <w:t xml:space="preserve"> </w:t>
      </w:r>
    </w:p>
  </w:footnote>
  <w:footnote w:id="312">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Véase las determinaciones definitivas de la PRB en los casos de Ali Ahmad al-</w:t>
      </w:r>
      <w:proofErr w:type="spellStart"/>
      <w:r>
        <w:rPr>
          <w:rFonts w:asciiTheme="minorHAnsi" w:hAnsiTheme="minorHAnsi"/>
          <w:sz w:val="16"/>
        </w:rPr>
        <w:t>Razihi</w:t>
      </w:r>
      <w:proofErr w:type="spellEnd"/>
      <w:r>
        <w:rPr>
          <w:rFonts w:asciiTheme="minorHAnsi" w:hAnsiTheme="minorHAnsi"/>
          <w:sz w:val="16"/>
        </w:rPr>
        <w:t xml:space="preserve">, </w:t>
      </w:r>
      <w:proofErr w:type="spellStart"/>
      <w:r>
        <w:rPr>
          <w:rFonts w:asciiTheme="minorHAnsi" w:hAnsiTheme="minorHAnsi"/>
          <w:sz w:val="16"/>
        </w:rPr>
        <w:t>Ghaleb</w:t>
      </w:r>
      <w:proofErr w:type="spellEnd"/>
      <w:r>
        <w:rPr>
          <w:rFonts w:asciiTheme="minorHAnsi" w:hAnsiTheme="minorHAnsi"/>
          <w:sz w:val="16"/>
        </w:rPr>
        <w:t xml:space="preserve"> </w:t>
      </w:r>
      <w:proofErr w:type="spellStart"/>
      <w:r>
        <w:rPr>
          <w:rFonts w:asciiTheme="minorHAnsi" w:hAnsiTheme="minorHAnsi"/>
          <w:sz w:val="16"/>
        </w:rPr>
        <w:t>Nassar</w:t>
      </w:r>
      <w:proofErr w:type="spellEnd"/>
      <w:r>
        <w:rPr>
          <w:rFonts w:asciiTheme="minorHAnsi" w:hAnsiTheme="minorHAnsi"/>
          <w:sz w:val="16"/>
        </w:rPr>
        <w:t xml:space="preserve"> Al </w:t>
      </w:r>
      <w:proofErr w:type="spellStart"/>
      <w:r>
        <w:rPr>
          <w:rFonts w:asciiTheme="minorHAnsi" w:hAnsiTheme="minorHAnsi"/>
          <w:sz w:val="16"/>
        </w:rPr>
        <w:t>Bihani</w:t>
      </w:r>
      <w:proofErr w:type="spellEnd"/>
      <w:r>
        <w:rPr>
          <w:rFonts w:asciiTheme="minorHAnsi" w:hAnsiTheme="minorHAnsi"/>
          <w:sz w:val="16"/>
        </w:rPr>
        <w:t xml:space="preserve">, </w:t>
      </w:r>
      <w:proofErr w:type="spellStart"/>
      <w:r>
        <w:rPr>
          <w:rFonts w:asciiTheme="minorHAnsi" w:hAnsiTheme="minorHAnsi"/>
          <w:sz w:val="16"/>
        </w:rPr>
        <w:t>Fouzi</w:t>
      </w:r>
      <w:proofErr w:type="spellEnd"/>
      <w:r>
        <w:rPr>
          <w:rFonts w:asciiTheme="minorHAnsi" w:hAnsiTheme="minorHAnsi"/>
          <w:sz w:val="16"/>
        </w:rPr>
        <w:t xml:space="preserve"> </w:t>
      </w:r>
      <w:proofErr w:type="spellStart"/>
      <w:r>
        <w:rPr>
          <w:rFonts w:asciiTheme="minorHAnsi" w:hAnsiTheme="minorHAnsi"/>
          <w:sz w:val="16"/>
        </w:rPr>
        <w:t>Khalid</w:t>
      </w:r>
      <w:proofErr w:type="spellEnd"/>
      <w:r>
        <w:rPr>
          <w:rFonts w:asciiTheme="minorHAnsi" w:hAnsiTheme="minorHAnsi"/>
          <w:sz w:val="16"/>
        </w:rPr>
        <w:t xml:space="preserve"> </w:t>
      </w:r>
      <w:proofErr w:type="spellStart"/>
      <w:r>
        <w:rPr>
          <w:rFonts w:asciiTheme="minorHAnsi" w:hAnsiTheme="minorHAnsi"/>
          <w:sz w:val="16"/>
        </w:rPr>
        <w:t>Abdullah</w:t>
      </w:r>
      <w:proofErr w:type="spellEnd"/>
      <w:r>
        <w:rPr>
          <w:rFonts w:asciiTheme="minorHAnsi" w:hAnsiTheme="minorHAnsi"/>
          <w:sz w:val="16"/>
        </w:rPr>
        <w:t xml:space="preserve"> Al </w:t>
      </w:r>
      <w:proofErr w:type="spellStart"/>
      <w:r>
        <w:rPr>
          <w:rFonts w:asciiTheme="minorHAnsi" w:hAnsiTheme="minorHAnsi"/>
          <w:sz w:val="16"/>
        </w:rPr>
        <w:t>Awda</w:t>
      </w:r>
      <w:proofErr w:type="spellEnd"/>
      <w:r>
        <w:rPr>
          <w:rFonts w:asciiTheme="minorHAnsi" w:hAnsiTheme="minorHAnsi"/>
          <w:sz w:val="16"/>
        </w:rPr>
        <w:t xml:space="preserve">, y Muhammad </w:t>
      </w:r>
      <w:proofErr w:type="spellStart"/>
      <w:r>
        <w:rPr>
          <w:rFonts w:asciiTheme="minorHAnsi" w:hAnsiTheme="minorHAnsi"/>
          <w:sz w:val="16"/>
        </w:rPr>
        <w:t>Murdi</w:t>
      </w:r>
      <w:proofErr w:type="spellEnd"/>
      <w:r>
        <w:rPr>
          <w:rFonts w:asciiTheme="minorHAnsi" w:hAnsiTheme="minorHAnsi"/>
          <w:sz w:val="16"/>
        </w:rPr>
        <w:t xml:space="preserve"> </w:t>
      </w:r>
      <w:proofErr w:type="spellStart"/>
      <w:r>
        <w:rPr>
          <w:rFonts w:asciiTheme="minorHAnsi" w:hAnsiTheme="minorHAnsi"/>
          <w:sz w:val="16"/>
        </w:rPr>
        <w:t>Issa</w:t>
      </w:r>
      <w:proofErr w:type="spellEnd"/>
      <w:r>
        <w:rPr>
          <w:rFonts w:asciiTheme="minorHAnsi" w:hAnsiTheme="minorHAnsi"/>
          <w:sz w:val="16"/>
        </w:rPr>
        <w:t xml:space="preserve"> Al-</w:t>
      </w:r>
      <w:proofErr w:type="spellStart"/>
      <w:r>
        <w:rPr>
          <w:rFonts w:asciiTheme="minorHAnsi" w:hAnsiTheme="minorHAnsi"/>
          <w:sz w:val="16"/>
        </w:rPr>
        <w:t>Zahrani</w:t>
      </w:r>
      <w:proofErr w:type="spellEnd"/>
      <w:r>
        <w:rPr>
          <w:rFonts w:asciiTheme="minorHAnsi" w:hAnsiTheme="minorHAnsi"/>
          <w:sz w:val="16"/>
        </w:rPr>
        <w:t>.</w:t>
      </w:r>
      <w:r>
        <w:rPr>
          <w:rFonts w:asciiTheme="minorHAnsi" w:hAnsiTheme="minorHAnsi"/>
          <w:color w:val="555555"/>
          <w:sz w:val="16"/>
        </w:rPr>
        <w:t xml:space="preserve"> </w:t>
      </w:r>
      <w:r>
        <w:rPr>
          <w:rFonts w:asciiTheme="minorHAnsi" w:hAnsiTheme="minorHAnsi"/>
          <w:sz w:val="16"/>
        </w:rPr>
        <w:t xml:space="preserve">Disponible en: </w:t>
      </w:r>
      <w:hyperlink r:id="rId100">
        <w:r>
          <w:rPr>
            <w:rStyle w:val="Hyperlink"/>
            <w:rFonts w:asciiTheme="minorHAnsi" w:hAnsiTheme="minorHAnsi"/>
            <w:sz w:val="16"/>
          </w:rPr>
          <w:t>http://www.prs.mil/ReviewInformation/FullReviewpage.aspx</w:t>
        </w:r>
      </w:hyperlink>
    </w:p>
  </w:footnote>
  <w:footnote w:id="313">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w:t>
      </w:r>
      <w:r>
        <w:rPr>
          <w:rFonts w:asciiTheme="minorHAnsi" w:hAnsiTheme="minorHAnsi"/>
          <w:i/>
          <w:sz w:val="16"/>
        </w:rPr>
        <w:t>Informe sobre el Uso de la Prisión Preventiva en las Américas</w:t>
      </w:r>
      <w:r>
        <w:rPr>
          <w:rFonts w:asciiTheme="minorHAnsi" w:hAnsiTheme="minorHAnsi"/>
          <w:sz w:val="16"/>
        </w:rPr>
        <w:t>, OEA/</w:t>
      </w:r>
      <w:proofErr w:type="spellStart"/>
      <w:r>
        <w:rPr>
          <w:rFonts w:asciiTheme="minorHAnsi" w:hAnsiTheme="minorHAnsi"/>
          <w:sz w:val="16"/>
        </w:rPr>
        <w:t>Ser.L</w:t>
      </w:r>
      <w:proofErr w:type="spellEnd"/>
      <w:r>
        <w:rPr>
          <w:rFonts w:asciiTheme="minorHAnsi" w:hAnsiTheme="minorHAnsi"/>
          <w:sz w:val="16"/>
        </w:rPr>
        <w:t>/V/II. Doc. 46/13, 30 de diciembre de 2013 párr. 202.</w:t>
      </w:r>
    </w:p>
  </w:footnote>
  <w:footnote w:id="314">
    <w:p w:rsidR="00AF130B" w:rsidRPr="005D0288" w:rsidRDefault="00AF130B" w:rsidP="00734E08">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w:t>
      </w:r>
      <w:r>
        <w:rPr>
          <w:rFonts w:asciiTheme="minorHAnsi" w:hAnsiTheme="minorHAnsi"/>
          <w:i/>
          <w:sz w:val="16"/>
        </w:rPr>
        <w:t>Informe sobre el Uso de la Prisión Preventiva en las Américas</w:t>
      </w:r>
      <w:r>
        <w:rPr>
          <w:rFonts w:asciiTheme="minorHAnsi" w:hAnsiTheme="minorHAnsi"/>
          <w:sz w:val="16"/>
        </w:rPr>
        <w:t>, OEA/</w:t>
      </w:r>
      <w:proofErr w:type="spellStart"/>
      <w:r>
        <w:rPr>
          <w:rFonts w:asciiTheme="minorHAnsi" w:hAnsiTheme="minorHAnsi"/>
          <w:sz w:val="16"/>
        </w:rPr>
        <w:t>Ser.L</w:t>
      </w:r>
      <w:proofErr w:type="spellEnd"/>
      <w:r>
        <w:rPr>
          <w:rFonts w:asciiTheme="minorHAnsi" w:hAnsiTheme="minorHAnsi"/>
          <w:sz w:val="16"/>
        </w:rPr>
        <w:t xml:space="preserve">/V/II. Doc. 46/13, 30 de diciembre de 2013, párr. 205. </w:t>
      </w:r>
    </w:p>
  </w:footnote>
  <w:footnote w:id="315">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Revista Internacional de la Cruz Roja, Informes y Documentos,</w:t>
      </w:r>
      <w:r>
        <w:rPr>
          <w:rFonts w:asciiTheme="minorHAnsi" w:hAnsiTheme="minorHAnsi"/>
          <w:i/>
          <w:sz w:val="16"/>
        </w:rPr>
        <w:t xml:space="preserve"> Reunión de expertos sobre garantías procesales para detenidos por razones de seguridad en conflictos armados no internacionales. </w:t>
      </w:r>
      <w:r>
        <w:rPr>
          <w:rFonts w:asciiTheme="minorHAnsi" w:hAnsiTheme="minorHAnsi"/>
          <w:sz w:val="16"/>
        </w:rPr>
        <w:t xml:space="preserve">Chatham </w:t>
      </w:r>
      <w:proofErr w:type="spellStart"/>
      <w:r>
        <w:rPr>
          <w:rFonts w:asciiTheme="minorHAnsi" w:hAnsiTheme="minorHAnsi"/>
          <w:sz w:val="16"/>
        </w:rPr>
        <w:t>House</w:t>
      </w:r>
      <w:proofErr w:type="spellEnd"/>
      <w:r>
        <w:rPr>
          <w:rFonts w:asciiTheme="minorHAnsi" w:hAnsiTheme="minorHAnsi"/>
          <w:sz w:val="16"/>
        </w:rPr>
        <w:t xml:space="preserve"> y Comité Internacional de la Cruz Roja, Londres, 22-23 de septiembre de 2008, Volumen 91 Número 876, Diciembre 2009, pp. 878-879.</w:t>
      </w:r>
    </w:p>
  </w:footnote>
  <w:footnote w:id="316">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Revista Internacional de la Cruz Roja, Informes y Documentos,</w:t>
      </w:r>
      <w:r>
        <w:rPr>
          <w:rFonts w:asciiTheme="minorHAnsi" w:hAnsiTheme="minorHAnsi"/>
          <w:i/>
          <w:sz w:val="16"/>
        </w:rPr>
        <w:t xml:space="preserve"> Reunión de expertos sobre garantías procesales para detenidos por razones de seguridad en conflictos armados no internacionales. </w:t>
      </w:r>
      <w:r>
        <w:rPr>
          <w:rFonts w:asciiTheme="minorHAnsi" w:hAnsiTheme="minorHAnsi"/>
          <w:sz w:val="16"/>
        </w:rPr>
        <w:t xml:space="preserve">Chatham </w:t>
      </w:r>
      <w:proofErr w:type="spellStart"/>
      <w:r>
        <w:rPr>
          <w:rFonts w:asciiTheme="minorHAnsi" w:hAnsiTheme="minorHAnsi"/>
          <w:sz w:val="16"/>
        </w:rPr>
        <w:t>House</w:t>
      </w:r>
      <w:proofErr w:type="spellEnd"/>
      <w:r>
        <w:rPr>
          <w:rFonts w:asciiTheme="minorHAnsi" w:hAnsiTheme="minorHAnsi"/>
          <w:sz w:val="16"/>
        </w:rPr>
        <w:t xml:space="preserve"> y Comité Internacional de la Cruz Roja, Londres, 22-23 de septiembre de 2008, Volumen 91 Número 876, Diciembre 2009, p. 879.</w:t>
      </w:r>
    </w:p>
  </w:footnote>
  <w:footnote w:id="317">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Portal de Internet de la Secretaría de la Revisión Periódica. </w:t>
      </w:r>
    </w:p>
  </w:footnote>
  <w:footnote w:id="318">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Revista Internacional de la Cruz Roja, Informes y Documentos,</w:t>
      </w:r>
      <w:r>
        <w:rPr>
          <w:rFonts w:asciiTheme="minorHAnsi" w:hAnsiTheme="minorHAnsi"/>
          <w:i/>
          <w:sz w:val="16"/>
        </w:rPr>
        <w:t xml:space="preserve"> Reunión de expertos sobre garantías procesales para detenidos por razones de seguridad en conflictos armados no internacionales. </w:t>
      </w:r>
      <w:r>
        <w:rPr>
          <w:rFonts w:asciiTheme="minorHAnsi" w:hAnsiTheme="minorHAnsi"/>
          <w:sz w:val="16"/>
        </w:rPr>
        <w:t xml:space="preserve">Chatham </w:t>
      </w:r>
      <w:proofErr w:type="spellStart"/>
      <w:r>
        <w:rPr>
          <w:rFonts w:asciiTheme="minorHAnsi" w:hAnsiTheme="minorHAnsi"/>
          <w:sz w:val="16"/>
        </w:rPr>
        <w:t>House</w:t>
      </w:r>
      <w:proofErr w:type="spellEnd"/>
      <w:r>
        <w:rPr>
          <w:rFonts w:asciiTheme="minorHAnsi" w:hAnsiTheme="minorHAnsi"/>
          <w:sz w:val="16"/>
        </w:rPr>
        <w:t xml:space="preserve"> y Comité Internacional de la Cruz Roja, Londres, 22-23 de septiembre de 2008, Volumen 91 Número 876, Diciembre 2009, p. 879.</w:t>
      </w:r>
    </w:p>
  </w:footnote>
  <w:footnote w:id="319">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proofErr w:type="spellStart"/>
      <w:r>
        <w:rPr>
          <w:rFonts w:asciiTheme="minorHAnsi" w:hAnsiTheme="minorHAnsi"/>
          <w:sz w:val="16"/>
        </w:rPr>
        <w:t>Congressional</w:t>
      </w:r>
      <w:proofErr w:type="spellEnd"/>
      <w:r>
        <w:rPr>
          <w:rFonts w:asciiTheme="minorHAnsi" w:hAnsiTheme="minorHAnsi"/>
          <w:sz w:val="16"/>
        </w:rPr>
        <w:t xml:space="preserve"> </w:t>
      </w:r>
      <w:proofErr w:type="spellStart"/>
      <w:r>
        <w:rPr>
          <w:rFonts w:asciiTheme="minorHAnsi" w:hAnsiTheme="minorHAnsi"/>
          <w:sz w:val="16"/>
        </w:rPr>
        <w:t>Research</w:t>
      </w:r>
      <w:proofErr w:type="spellEnd"/>
      <w:r>
        <w:rPr>
          <w:rFonts w:asciiTheme="minorHAnsi" w:hAnsiTheme="minorHAnsi"/>
          <w:sz w:val="16"/>
        </w:rPr>
        <w:t xml:space="preserve"> </w:t>
      </w:r>
      <w:proofErr w:type="spellStart"/>
      <w:r>
        <w:rPr>
          <w:rFonts w:asciiTheme="minorHAnsi" w:hAnsiTheme="minorHAnsi"/>
          <w:sz w:val="16"/>
        </w:rPr>
        <w:t>Service</w:t>
      </w:r>
      <w:proofErr w:type="spellEnd"/>
      <w:r>
        <w:rPr>
          <w:rFonts w:asciiTheme="minorHAnsi" w:hAnsiTheme="minorHAnsi"/>
          <w:sz w:val="16"/>
        </w:rPr>
        <w:t>, Enemigos Combatientes Detenidos: Recursos de Hábeas Corpus ante Corte Federal, 3 de febrero de 2010, pág. 37.</w:t>
      </w:r>
    </w:p>
  </w:footnote>
  <w:footnote w:id="320">
    <w:p w:rsidR="00AF130B" w:rsidRPr="00237789"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proofErr w:type="spellStart"/>
      <w:r>
        <w:rPr>
          <w:rFonts w:asciiTheme="minorHAnsi" w:hAnsiTheme="minorHAnsi"/>
          <w:i/>
          <w:sz w:val="16"/>
        </w:rPr>
        <w:t>Khadr</w:t>
      </w:r>
      <w:proofErr w:type="spellEnd"/>
      <w:r>
        <w:rPr>
          <w:rFonts w:asciiTheme="minorHAnsi" w:hAnsiTheme="minorHAnsi"/>
          <w:i/>
          <w:sz w:val="16"/>
        </w:rPr>
        <w:t xml:space="preserve"> v. Bush</w:t>
      </w:r>
      <w:r>
        <w:rPr>
          <w:rFonts w:asciiTheme="minorHAnsi" w:hAnsiTheme="minorHAnsi"/>
          <w:sz w:val="16"/>
        </w:rPr>
        <w:t>, 587 F.Supp.2d 225, 235 (D.D.C., 2008).</w:t>
      </w:r>
    </w:p>
  </w:footnote>
  <w:footnote w:id="321">
    <w:p w:rsidR="00AF130B" w:rsidRPr="005D0288" w:rsidRDefault="00AF130B" w:rsidP="00CE3EC6">
      <w:pPr>
        <w:pStyle w:val="FootnoteText"/>
        <w:ind w:left="547" w:hanging="547"/>
        <w:jc w:val="both"/>
        <w:rPr>
          <w:rFonts w:asciiTheme="minorHAnsi" w:hAnsiTheme="minorHAnsi"/>
          <w:sz w:val="16"/>
          <w:szCs w:val="16"/>
          <w:lang w:val="en-US"/>
        </w:rPr>
      </w:pPr>
      <w:r>
        <w:rPr>
          <w:rStyle w:val="FootnoteReference"/>
          <w:rFonts w:asciiTheme="minorHAnsi" w:hAnsiTheme="minorHAnsi"/>
          <w:sz w:val="16"/>
        </w:rPr>
        <w:footnoteRef/>
      </w:r>
      <w:r w:rsidRPr="00237789">
        <w:rPr>
          <w:rFonts w:asciiTheme="minorHAnsi" w:hAnsiTheme="minorHAnsi"/>
          <w:sz w:val="16"/>
          <w:lang w:val="en-US"/>
        </w:rPr>
        <w:t xml:space="preserve"> </w:t>
      </w:r>
      <w:r w:rsidRPr="00237789">
        <w:rPr>
          <w:lang w:val="en-US"/>
        </w:rPr>
        <w:tab/>
      </w:r>
      <w:proofErr w:type="gramStart"/>
      <w:r w:rsidRPr="00237789">
        <w:rPr>
          <w:rFonts w:asciiTheme="minorHAnsi" w:hAnsiTheme="minorHAnsi"/>
          <w:i/>
          <w:sz w:val="16"/>
          <w:lang w:val="en-US"/>
        </w:rPr>
        <w:t>In re Guantanamo Bay Detainee Litigation</w:t>
      </w:r>
      <w:r w:rsidRPr="00237789">
        <w:rPr>
          <w:rFonts w:asciiTheme="minorHAnsi" w:hAnsiTheme="minorHAnsi"/>
          <w:sz w:val="16"/>
          <w:lang w:val="en-US"/>
        </w:rPr>
        <w:t>, 577 F.Supp.2d 312, 314 (D.D.C. 2008).</w:t>
      </w:r>
      <w:proofErr w:type="gramEnd"/>
    </w:p>
  </w:footnote>
  <w:footnote w:id="322">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sidRPr="00237789">
        <w:rPr>
          <w:rFonts w:asciiTheme="minorHAnsi" w:hAnsiTheme="minorHAnsi"/>
          <w:color w:val="545454"/>
          <w:sz w:val="16"/>
          <w:lang w:val="en-US"/>
        </w:rPr>
        <w:t xml:space="preserve"> </w:t>
      </w:r>
      <w:proofErr w:type="gramStart"/>
      <w:r w:rsidRPr="00237789">
        <w:rPr>
          <w:rFonts w:asciiTheme="minorHAnsi" w:hAnsiTheme="minorHAnsi"/>
          <w:i/>
          <w:sz w:val="16"/>
          <w:lang w:val="en-US"/>
        </w:rPr>
        <w:t xml:space="preserve">Shaker </w:t>
      </w:r>
      <w:proofErr w:type="spellStart"/>
      <w:r w:rsidRPr="00237789">
        <w:rPr>
          <w:rFonts w:asciiTheme="minorHAnsi" w:hAnsiTheme="minorHAnsi"/>
          <w:i/>
          <w:sz w:val="16"/>
          <w:lang w:val="en-US"/>
        </w:rPr>
        <w:t>Aamer</w:t>
      </w:r>
      <w:proofErr w:type="spellEnd"/>
      <w:r w:rsidRPr="00237789">
        <w:rPr>
          <w:rFonts w:asciiTheme="minorHAnsi" w:hAnsiTheme="minorHAnsi"/>
          <w:i/>
          <w:sz w:val="16"/>
          <w:lang w:val="en-US"/>
        </w:rPr>
        <w:t xml:space="preserve"> v. Barack Obama</w:t>
      </w:r>
      <w:r w:rsidRPr="00237789">
        <w:rPr>
          <w:rFonts w:asciiTheme="minorHAnsi" w:hAnsiTheme="minorHAnsi"/>
          <w:sz w:val="16"/>
          <w:lang w:val="en-US"/>
        </w:rPr>
        <w:t>, 13-5223 (D.C. Cir. 2014).</w:t>
      </w:r>
      <w:proofErr w:type="gramEnd"/>
      <w:r w:rsidRPr="00237789">
        <w:rPr>
          <w:rFonts w:asciiTheme="minorHAnsi" w:hAnsiTheme="minorHAnsi"/>
          <w:sz w:val="16"/>
          <w:lang w:val="en-US"/>
        </w:rPr>
        <w:t xml:space="preserve"> </w:t>
      </w:r>
      <w:r>
        <w:rPr>
          <w:rFonts w:asciiTheme="minorHAnsi" w:hAnsiTheme="minorHAnsi"/>
          <w:sz w:val="16"/>
        </w:rPr>
        <w:t xml:space="preserve">Disponible en: </w:t>
      </w:r>
      <w:hyperlink r:id="rId101">
        <w:r>
          <w:rPr>
            <w:rStyle w:val="Hyperlink"/>
            <w:rFonts w:asciiTheme="minorHAnsi" w:hAnsiTheme="minorHAnsi"/>
            <w:sz w:val="16"/>
          </w:rPr>
          <w:t>http://www.cadc.uscourts.gov/internet/opinions.nsf/FFE0A48DE60BF3B985257C7C0053997D/$file/13-5223-1479439.pdf</w:t>
        </w:r>
      </w:hyperlink>
      <w:r>
        <w:rPr>
          <w:rFonts w:asciiTheme="minorHAnsi" w:hAnsiTheme="minorHAnsi"/>
          <w:sz w:val="16"/>
        </w:rPr>
        <w:t>. Ver también, Detenidos de Guantánamo Podrían Reivindicar Alegaciones de Malos Tratos (</w:t>
      </w:r>
      <w:proofErr w:type="spellStart"/>
      <w:r>
        <w:rPr>
          <w:rFonts w:asciiTheme="minorHAnsi" w:hAnsiTheme="minorHAnsi"/>
          <w:i/>
          <w:sz w:val="16"/>
        </w:rPr>
        <w:t>Gitmo</w:t>
      </w:r>
      <w:proofErr w:type="spellEnd"/>
      <w:r>
        <w:rPr>
          <w:rFonts w:asciiTheme="minorHAnsi" w:hAnsiTheme="minorHAnsi"/>
          <w:i/>
          <w:sz w:val="16"/>
        </w:rPr>
        <w:t xml:space="preserve"> </w:t>
      </w:r>
      <w:proofErr w:type="spellStart"/>
      <w:r>
        <w:rPr>
          <w:rFonts w:asciiTheme="minorHAnsi" w:hAnsiTheme="minorHAnsi"/>
          <w:i/>
          <w:sz w:val="16"/>
        </w:rPr>
        <w:t>Detainees</w:t>
      </w:r>
      <w:proofErr w:type="spellEnd"/>
      <w:r>
        <w:rPr>
          <w:rFonts w:asciiTheme="minorHAnsi" w:hAnsiTheme="minorHAnsi"/>
          <w:i/>
          <w:sz w:val="16"/>
        </w:rPr>
        <w:t xml:space="preserve"> </w:t>
      </w:r>
      <w:proofErr w:type="spellStart"/>
      <w:r>
        <w:rPr>
          <w:rFonts w:asciiTheme="minorHAnsi" w:hAnsiTheme="minorHAnsi"/>
          <w:i/>
          <w:sz w:val="16"/>
        </w:rPr>
        <w:t>May</w:t>
      </w:r>
      <w:proofErr w:type="spellEnd"/>
      <w:r>
        <w:rPr>
          <w:rFonts w:asciiTheme="minorHAnsi" w:hAnsiTheme="minorHAnsi"/>
          <w:i/>
          <w:sz w:val="16"/>
        </w:rPr>
        <w:t xml:space="preserve"> </w:t>
      </w:r>
      <w:proofErr w:type="spellStart"/>
      <w:r>
        <w:rPr>
          <w:rFonts w:asciiTheme="minorHAnsi" w:hAnsiTheme="minorHAnsi"/>
          <w:i/>
          <w:sz w:val="16"/>
        </w:rPr>
        <w:t>Assert</w:t>
      </w:r>
      <w:proofErr w:type="spellEnd"/>
      <w:r>
        <w:rPr>
          <w:rFonts w:asciiTheme="minorHAnsi" w:hAnsiTheme="minorHAnsi"/>
          <w:i/>
          <w:sz w:val="16"/>
        </w:rPr>
        <w:t xml:space="preserve"> </w:t>
      </w:r>
      <w:proofErr w:type="spellStart"/>
      <w:r>
        <w:rPr>
          <w:rFonts w:asciiTheme="minorHAnsi" w:hAnsiTheme="minorHAnsi"/>
          <w:i/>
          <w:sz w:val="16"/>
        </w:rPr>
        <w:t>Mistreatment</w:t>
      </w:r>
      <w:proofErr w:type="spellEnd"/>
      <w:r>
        <w:rPr>
          <w:rFonts w:asciiTheme="minorHAnsi" w:hAnsiTheme="minorHAnsi"/>
          <w:i/>
          <w:sz w:val="16"/>
        </w:rPr>
        <w:t xml:space="preserve"> </w:t>
      </w:r>
      <w:proofErr w:type="spellStart"/>
      <w:r>
        <w:rPr>
          <w:rFonts w:asciiTheme="minorHAnsi" w:hAnsiTheme="minorHAnsi"/>
          <w:i/>
          <w:sz w:val="16"/>
        </w:rPr>
        <w:t>Claims</w:t>
      </w:r>
      <w:proofErr w:type="spellEnd"/>
      <w:r>
        <w:rPr>
          <w:rFonts w:asciiTheme="minorHAnsi" w:hAnsiTheme="minorHAnsi"/>
          <w:i/>
          <w:sz w:val="16"/>
        </w:rPr>
        <w:t>)</w:t>
      </w:r>
      <w:r>
        <w:rPr>
          <w:rFonts w:asciiTheme="minorHAnsi" w:hAnsiTheme="minorHAnsi"/>
          <w:sz w:val="16"/>
        </w:rPr>
        <w:t xml:space="preserve"> por Steven D. </w:t>
      </w:r>
      <w:proofErr w:type="spellStart"/>
      <w:r>
        <w:rPr>
          <w:rFonts w:asciiTheme="minorHAnsi" w:hAnsiTheme="minorHAnsi"/>
          <w:sz w:val="16"/>
        </w:rPr>
        <w:t>Schwinn</w:t>
      </w:r>
      <w:proofErr w:type="spellEnd"/>
      <w:r>
        <w:rPr>
          <w:rFonts w:asciiTheme="minorHAnsi" w:hAnsiTheme="minorHAnsi"/>
          <w:sz w:val="16"/>
        </w:rPr>
        <w:t xml:space="preserve">. Disponible en: </w:t>
      </w:r>
      <w:hyperlink r:id="rId102">
        <w:r>
          <w:rPr>
            <w:rStyle w:val="Hyperlink"/>
            <w:rFonts w:asciiTheme="minorHAnsi" w:hAnsiTheme="minorHAnsi"/>
            <w:sz w:val="16"/>
          </w:rPr>
          <w:t>http://lawprofessors.typepad.com/conlaw/2014/02/gitmo-detainees-may-assert-mistreatment-claims.html</w:t>
        </w:r>
      </w:hyperlink>
      <w:r>
        <w:rPr>
          <w:rFonts w:asciiTheme="minorHAnsi" w:hAnsiTheme="minorHAnsi"/>
          <w:sz w:val="16"/>
        </w:rPr>
        <w:t xml:space="preserve">  </w:t>
      </w:r>
    </w:p>
  </w:footnote>
  <w:footnote w:id="323">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proofErr w:type="spellStart"/>
      <w:r>
        <w:rPr>
          <w:rFonts w:asciiTheme="minorHAnsi" w:hAnsiTheme="minorHAnsi"/>
          <w:sz w:val="16"/>
        </w:rPr>
        <w:t>Reprieve</w:t>
      </w:r>
      <w:proofErr w:type="spellEnd"/>
      <w:r>
        <w:rPr>
          <w:rFonts w:asciiTheme="minorHAnsi" w:hAnsiTheme="minorHAnsi"/>
          <w:sz w:val="16"/>
        </w:rPr>
        <w:t>, Comunicado de Prensa, Juez ordena al Gobierno de Estados Unidos suspender la alimentación forzada de un detenido de Guantánamo y preservar evidencia en video de su sufrimiento (</w:t>
      </w:r>
      <w:proofErr w:type="spellStart"/>
      <w:r>
        <w:rPr>
          <w:rFonts w:asciiTheme="minorHAnsi" w:hAnsiTheme="minorHAnsi"/>
          <w:i/>
          <w:sz w:val="16"/>
        </w:rPr>
        <w:t>Judge</w:t>
      </w:r>
      <w:proofErr w:type="spellEnd"/>
      <w:r>
        <w:rPr>
          <w:rFonts w:asciiTheme="minorHAnsi" w:hAnsiTheme="minorHAnsi"/>
          <w:i/>
          <w:sz w:val="16"/>
        </w:rPr>
        <w:t xml:space="preserve"> </w:t>
      </w:r>
      <w:proofErr w:type="spellStart"/>
      <w:r>
        <w:rPr>
          <w:rFonts w:asciiTheme="minorHAnsi" w:hAnsiTheme="minorHAnsi"/>
          <w:i/>
          <w:sz w:val="16"/>
        </w:rPr>
        <w:t>orders</w:t>
      </w:r>
      <w:proofErr w:type="spellEnd"/>
      <w:r>
        <w:rPr>
          <w:rFonts w:asciiTheme="minorHAnsi" w:hAnsiTheme="minorHAnsi"/>
          <w:i/>
          <w:sz w:val="16"/>
        </w:rPr>
        <w:t xml:space="preserve"> US </w:t>
      </w:r>
      <w:proofErr w:type="spellStart"/>
      <w:r>
        <w:rPr>
          <w:rFonts w:asciiTheme="minorHAnsi" w:hAnsiTheme="minorHAnsi"/>
          <w:i/>
          <w:sz w:val="16"/>
        </w:rPr>
        <w:t>government</w:t>
      </w:r>
      <w:proofErr w:type="spellEnd"/>
      <w:r>
        <w:rPr>
          <w:rFonts w:asciiTheme="minorHAnsi" w:hAnsiTheme="minorHAnsi"/>
          <w:i/>
          <w:sz w:val="16"/>
        </w:rPr>
        <w:t xml:space="preserve"> to </w:t>
      </w:r>
      <w:proofErr w:type="spellStart"/>
      <w:r>
        <w:rPr>
          <w:rFonts w:asciiTheme="minorHAnsi" w:hAnsiTheme="minorHAnsi"/>
          <w:i/>
          <w:sz w:val="16"/>
        </w:rPr>
        <w:t>halt</w:t>
      </w:r>
      <w:proofErr w:type="spellEnd"/>
      <w:r>
        <w:rPr>
          <w:rFonts w:asciiTheme="minorHAnsi" w:hAnsiTheme="minorHAnsi"/>
          <w:i/>
          <w:sz w:val="16"/>
        </w:rPr>
        <w:t xml:space="preserve"> </w:t>
      </w:r>
      <w:proofErr w:type="spellStart"/>
      <w:r>
        <w:rPr>
          <w:rFonts w:asciiTheme="minorHAnsi" w:hAnsiTheme="minorHAnsi"/>
          <w:i/>
          <w:sz w:val="16"/>
        </w:rPr>
        <w:t>force-feeding</w:t>
      </w:r>
      <w:proofErr w:type="spellEnd"/>
      <w:r>
        <w:rPr>
          <w:rFonts w:asciiTheme="minorHAnsi" w:hAnsiTheme="minorHAnsi"/>
          <w:i/>
          <w:sz w:val="16"/>
        </w:rPr>
        <w:t xml:space="preserve"> of </w:t>
      </w:r>
      <w:proofErr w:type="spellStart"/>
      <w:r>
        <w:rPr>
          <w:rFonts w:asciiTheme="minorHAnsi" w:hAnsiTheme="minorHAnsi"/>
          <w:i/>
          <w:sz w:val="16"/>
        </w:rPr>
        <w:t>Guantanamo</w:t>
      </w:r>
      <w:proofErr w:type="spellEnd"/>
      <w:r>
        <w:rPr>
          <w:rFonts w:asciiTheme="minorHAnsi" w:hAnsiTheme="minorHAnsi"/>
          <w:i/>
          <w:sz w:val="16"/>
        </w:rPr>
        <w:t xml:space="preserve"> </w:t>
      </w:r>
      <w:proofErr w:type="spellStart"/>
      <w:r>
        <w:rPr>
          <w:rFonts w:asciiTheme="minorHAnsi" w:hAnsiTheme="minorHAnsi"/>
          <w:i/>
          <w:sz w:val="16"/>
        </w:rPr>
        <w:t>prisoner</w:t>
      </w:r>
      <w:proofErr w:type="spellEnd"/>
      <w:r>
        <w:rPr>
          <w:rFonts w:asciiTheme="minorHAnsi" w:hAnsiTheme="minorHAnsi"/>
          <w:i/>
          <w:sz w:val="16"/>
        </w:rPr>
        <w:t xml:space="preserve"> and preserve video </w:t>
      </w:r>
      <w:proofErr w:type="spellStart"/>
      <w:r>
        <w:rPr>
          <w:rFonts w:asciiTheme="minorHAnsi" w:hAnsiTheme="minorHAnsi"/>
          <w:i/>
          <w:sz w:val="16"/>
        </w:rPr>
        <w:t>evidence</w:t>
      </w:r>
      <w:proofErr w:type="spellEnd"/>
      <w:r>
        <w:rPr>
          <w:rFonts w:asciiTheme="minorHAnsi" w:hAnsiTheme="minorHAnsi"/>
          <w:i/>
          <w:sz w:val="16"/>
        </w:rPr>
        <w:t xml:space="preserve"> of </w:t>
      </w:r>
      <w:proofErr w:type="spellStart"/>
      <w:r>
        <w:rPr>
          <w:rFonts w:asciiTheme="minorHAnsi" w:hAnsiTheme="minorHAnsi"/>
          <w:i/>
          <w:sz w:val="16"/>
        </w:rPr>
        <w:t>his</w:t>
      </w:r>
      <w:proofErr w:type="spellEnd"/>
      <w:r>
        <w:rPr>
          <w:rFonts w:asciiTheme="minorHAnsi" w:hAnsiTheme="minorHAnsi"/>
          <w:i/>
          <w:sz w:val="16"/>
        </w:rPr>
        <w:t xml:space="preserve"> </w:t>
      </w:r>
      <w:proofErr w:type="spellStart"/>
      <w:r>
        <w:rPr>
          <w:rFonts w:asciiTheme="minorHAnsi" w:hAnsiTheme="minorHAnsi"/>
          <w:i/>
          <w:sz w:val="16"/>
        </w:rPr>
        <w:t>ordeal</w:t>
      </w:r>
      <w:proofErr w:type="spellEnd"/>
      <w:r>
        <w:rPr>
          <w:rFonts w:asciiTheme="minorHAnsi" w:hAnsiTheme="minorHAnsi"/>
          <w:sz w:val="16"/>
        </w:rPr>
        <w:t xml:space="preserve">), 16 de mayo de  2014. Disponible en: </w:t>
      </w:r>
      <w:hyperlink r:id="rId103">
        <w:r>
          <w:rPr>
            <w:rStyle w:val="Hyperlink"/>
            <w:rFonts w:asciiTheme="minorHAnsi" w:hAnsiTheme="minorHAnsi"/>
            <w:sz w:val="16"/>
          </w:rPr>
          <w:t>http://www.reprieve.org/judge-orders-us-government-to-halt-force-feeding-of-guantaacutenamo-prisoner-and-preserve-video-evidence-of-abuse.html</w:t>
        </w:r>
      </w:hyperlink>
    </w:p>
  </w:footnote>
  <w:footnote w:id="324">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w:t>
      </w:r>
      <w:r>
        <w:rPr>
          <w:rFonts w:asciiTheme="minorHAnsi" w:hAnsiTheme="minorHAnsi"/>
          <w:i/>
          <w:sz w:val="16"/>
        </w:rPr>
        <w:t>Informe sobre los Derechos Humanos de las Personas Privadas de Libertad en las Américas</w:t>
      </w:r>
      <w:r>
        <w:rPr>
          <w:rFonts w:asciiTheme="minorHAnsi" w:hAnsiTheme="minorHAnsi"/>
          <w:sz w:val="16"/>
        </w:rPr>
        <w:t>, OEA/</w:t>
      </w:r>
      <w:proofErr w:type="spellStart"/>
      <w:r>
        <w:rPr>
          <w:rFonts w:asciiTheme="minorHAnsi" w:hAnsiTheme="minorHAnsi"/>
          <w:sz w:val="16"/>
        </w:rPr>
        <w:t>Ser.L</w:t>
      </w:r>
      <w:proofErr w:type="spellEnd"/>
      <w:r>
        <w:rPr>
          <w:rFonts w:asciiTheme="minorHAnsi" w:hAnsiTheme="minorHAnsi"/>
          <w:sz w:val="16"/>
        </w:rPr>
        <w:t>/V/II.Doc.64, 31 de diciembre de 2011, párr. 242.</w:t>
      </w:r>
    </w:p>
  </w:footnote>
  <w:footnote w:id="325">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w:t>
      </w:r>
      <w:r>
        <w:rPr>
          <w:rFonts w:asciiTheme="minorHAnsi" w:hAnsiTheme="minorHAnsi"/>
          <w:i/>
          <w:sz w:val="16"/>
        </w:rPr>
        <w:t>Informe sobre los Derechos Humanos de las Personas Privadas de Libertad en las Américas</w:t>
      </w:r>
      <w:r>
        <w:rPr>
          <w:rFonts w:asciiTheme="minorHAnsi" w:hAnsiTheme="minorHAnsi"/>
          <w:sz w:val="16"/>
        </w:rPr>
        <w:t>, OEA/</w:t>
      </w:r>
      <w:proofErr w:type="spellStart"/>
      <w:r>
        <w:rPr>
          <w:rFonts w:asciiTheme="minorHAnsi" w:hAnsiTheme="minorHAnsi"/>
          <w:sz w:val="16"/>
        </w:rPr>
        <w:t>Ser.L</w:t>
      </w:r>
      <w:proofErr w:type="spellEnd"/>
      <w:r>
        <w:rPr>
          <w:rFonts w:asciiTheme="minorHAnsi" w:hAnsiTheme="minorHAnsi"/>
          <w:sz w:val="16"/>
        </w:rPr>
        <w:t>/V/II.Doc.64, 31 de diciembre de 2011, párr. 244.</w:t>
      </w:r>
    </w:p>
  </w:footnote>
  <w:footnote w:id="326">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rPr>
          <w:rFonts w:asciiTheme="minorHAnsi" w:hAnsiTheme="minorHAnsi"/>
          <w:sz w:val="16"/>
        </w:rPr>
        <w:tab/>
        <w:t xml:space="preserve">CIDH, </w:t>
      </w:r>
      <w:r>
        <w:rPr>
          <w:rFonts w:asciiTheme="minorHAnsi" w:hAnsiTheme="minorHAnsi"/>
          <w:i/>
          <w:sz w:val="16"/>
        </w:rPr>
        <w:t>Principios y Buenas Prácticas sobre la Protección de las Personas Privadas de Libertad en las Américas</w:t>
      </w:r>
      <w:r>
        <w:rPr>
          <w:rFonts w:asciiTheme="minorHAnsi" w:hAnsiTheme="minorHAnsi"/>
          <w:sz w:val="16"/>
        </w:rPr>
        <w:t>, Principio V, Marzo de 2008.</w:t>
      </w:r>
    </w:p>
  </w:footnote>
  <w:footnote w:id="327">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Esta solicitud fue reiterada mediante la Resolución 2/11 adoptada el 22 de julio de 2011, así como en el contexto de la Medida Cautelar 259-02 el 23 de julio de 2013.</w:t>
      </w:r>
    </w:p>
  </w:footnote>
  <w:footnote w:id="328">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CBS News, Bush dice que quiere cerrar Guantánamo, 8 de mayo de 2006. Disponible en: </w:t>
      </w:r>
      <w:hyperlink r:id="rId104">
        <w:r>
          <w:rPr>
            <w:rStyle w:val="Hyperlink"/>
            <w:rFonts w:asciiTheme="minorHAnsi" w:hAnsiTheme="minorHAnsi"/>
            <w:sz w:val="16"/>
          </w:rPr>
          <w:t>http://www.cbsnews.com/news/bush-says-he-wants-to-close-guantanamo/</w:t>
        </w:r>
      </w:hyperlink>
      <w:r>
        <w:rPr>
          <w:rFonts w:asciiTheme="minorHAnsi" w:hAnsiTheme="minorHAnsi"/>
          <w:sz w:val="16"/>
        </w:rPr>
        <w:t xml:space="preserve">. </w:t>
      </w:r>
      <w:r>
        <w:rPr>
          <w:rFonts w:asciiTheme="minorHAnsi" w:hAnsiTheme="minorHAnsi"/>
          <w:i/>
          <w:sz w:val="16"/>
        </w:rPr>
        <w:t>Véase también</w:t>
      </w:r>
      <w:r>
        <w:rPr>
          <w:rFonts w:asciiTheme="minorHAnsi" w:hAnsiTheme="minorHAnsi"/>
          <w:sz w:val="16"/>
        </w:rPr>
        <w:t xml:space="preserve">, Human </w:t>
      </w:r>
      <w:proofErr w:type="spellStart"/>
      <w:r>
        <w:rPr>
          <w:rFonts w:asciiTheme="minorHAnsi" w:hAnsiTheme="minorHAnsi"/>
          <w:sz w:val="16"/>
        </w:rPr>
        <w:t>Rights</w:t>
      </w:r>
      <w:proofErr w:type="spellEnd"/>
      <w:r>
        <w:rPr>
          <w:rFonts w:asciiTheme="minorHAnsi" w:hAnsiTheme="minorHAnsi"/>
          <w:sz w:val="16"/>
        </w:rPr>
        <w:t xml:space="preserve"> </w:t>
      </w:r>
      <w:proofErr w:type="spellStart"/>
      <w:r>
        <w:rPr>
          <w:rFonts w:asciiTheme="minorHAnsi" w:hAnsiTheme="minorHAnsi"/>
          <w:sz w:val="16"/>
        </w:rPr>
        <w:t>First</w:t>
      </w:r>
      <w:proofErr w:type="spellEnd"/>
      <w:r>
        <w:rPr>
          <w:rFonts w:asciiTheme="minorHAnsi" w:hAnsiTheme="minorHAnsi"/>
          <w:sz w:val="16"/>
        </w:rPr>
        <w:t xml:space="preserve">, </w:t>
      </w:r>
      <w:proofErr w:type="spellStart"/>
      <w:r>
        <w:rPr>
          <w:rFonts w:asciiTheme="minorHAnsi" w:hAnsiTheme="minorHAnsi"/>
          <w:sz w:val="16"/>
        </w:rPr>
        <w:t>Guantanamo</w:t>
      </w:r>
      <w:proofErr w:type="spellEnd"/>
      <w:r>
        <w:rPr>
          <w:rFonts w:asciiTheme="minorHAnsi" w:hAnsiTheme="minorHAnsi"/>
          <w:sz w:val="16"/>
        </w:rPr>
        <w:t xml:space="preserve">: Una Estrategia de Salida Comprehensiva, pág. 1. Disponible en: </w:t>
      </w:r>
      <w:hyperlink r:id="rId105">
        <w:r>
          <w:rPr>
            <w:rStyle w:val="Hyperlink"/>
            <w:rFonts w:asciiTheme="minorHAnsi" w:hAnsiTheme="minorHAnsi"/>
            <w:sz w:val="16"/>
          </w:rPr>
          <w:t>http://www.humanrightsfirst.org/uploads/pdfs/close-GTMO-july-2013.pdf</w:t>
        </w:r>
      </w:hyperlink>
      <w:r>
        <w:rPr>
          <w:rFonts w:asciiTheme="minorHAnsi" w:hAnsiTheme="minorHAnsi"/>
          <w:sz w:val="16"/>
        </w:rPr>
        <w:t xml:space="preserve">, Declaración de </w:t>
      </w:r>
      <w:proofErr w:type="spellStart"/>
      <w:r>
        <w:rPr>
          <w:rFonts w:asciiTheme="minorHAnsi" w:hAnsiTheme="minorHAnsi"/>
          <w:sz w:val="16"/>
        </w:rPr>
        <w:t>Feinstein</w:t>
      </w:r>
      <w:proofErr w:type="spellEnd"/>
      <w:r>
        <w:rPr>
          <w:rFonts w:asciiTheme="minorHAnsi" w:hAnsiTheme="minorHAnsi"/>
          <w:sz w:val="16"/>
        </w:rPr>
        <w:t xml:space="preserve">, McCain y </w:t>
      </w:r>
      <w:proofErr w:type="spellStart"/>
      <w:r>
        <w:rPr>
          <w:rFonts w:asciiTheme="minorHAnsi" w:hAnsiTheme="minorHAnsi"/>
          <w:sz w:val="16"/>
        </w:rPr>
        <w:t>McDonough</w:t>
      </w:r>
      <w:proofErr w:type="spellEnd"/>
      <w:r>
        <w:rPr>
          <w:rFonts w:asciiTheme="minorHAnsi" w:hAnsiTheme="minorHAnsi"/>
          <w:sz w:val="16"/>
        </w:rPr>
        <w:t xml:space="preserve"> sobre Guantánamo, 7 de junio de 2013. Disponible en: </w:t>
      </w:r>
      <w:hyperlink r:id="rId106">
        <w:r>
          <w:rPr>
            <w:rStyle w:val="Hyperlink"/>
            <w:rFonts w:asciiTheme="minorHAnsi" w:hAnsiTheme="minorHAnsi"/>
            <w:sz w:val="16"/>
          </w:rPr>
          <w:t>http://www.feinstein.senate.gov/public/index.cfm/press-releases?ID=cf92f5a0-4b2a-4c86-92c1-58f7dc612b67</w:t>
        </w:r>
      </w:hyperlink>
      <w:r>
        <w:rPr>
          <w:rFonts w:asciiTheme="minorHAnsi" w:hAnsiTheme="minorHAnsi"/>
          <w:sz w:val="16"/>
        </w:rPr>
        <w:t xml:space="preserve">; y testimonio de Elisa </w:t>
      </w:r>
      <w:proofErr w:type="spellStart"/>
      <w:r>
        <w:rPr>
          <w:rFonts w:asciiTheme="minorHAnsi" w:hAnsiTheme="minorHAnsi"/>
          <w:sz w:val="16"/>
        </w:rPr>
        <w:t>Massimino</w:t>
      </w:r>
      <w:proofErr w:type="spellEnd"/>
      <w:r>
        <w:rPr>
          <w:rFonts w:asciiTheme="minorHAnsi" w:hAnsiTheme="minorHAnsi"/>
          <w:sz w:val="16"/>
        </w:rPr>
        <w:t xml:space="preserve"> ante el Comité Judicial del Senado durante la audiencia de 24 de julio de 2013, pág. 6. Disponible en: </w:t>
      </w:r>
      <w:hyperlink r:id="rId107">
        <w:r>
          <w:rPr>
            <w:rStyle w:val="Hyperlink"/>
            <w:rFonts w:asciiTheme="minorHAnsi" w:hAnsiTheme="minorHAnsi"/>
            <w:sz w:val="16"/>
          </w:rPr>
          <w:t>http://www.judiciary.senate.gov/imo/media/doc/7-24-13MassiminoTestimony.pdf</w:t>
        </w:r>
      </w:hyperlink>
      <w:r>
        <w:rPr>
          <w:rFonts w:asciiTheme="minorHAnsi" w:hAnsiTheme="minorHAnsi"/>
          <w:sz w:val="16"/>
        </w:rPr>
        <w:t xml:space="preserve"> </w:t>
      </w:r>
    </w:p>
  </w:footnote>
  <w:footnote w:id="329">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Decreto Ejecutivo de 22 de enero de 2009, Revisión y disposición de personas detenidas en la Base Naval de la Bahía de Guantánamo y Cierre del Centro de Detención. Disponible en: </w:t>
      </w:r>
      <w:hyperlink r:id="rId108">
        <w:r>
          <w:rPr>
            <w:rStyle w:val="Hyperlink"/>
            <w:rFonts w:asciiTheme="minorHAnsi" w:hAnsiTheme="minorHAnsi"/>
            <w:sz w:val="16"/>
          </w:rPr>
          <w:t>http://www.gpo.gov/fdsys/pkg/FR-2009-01-27/pdf/E9-1893.pdf</w:t>
        </w:r>
      </w:hyperlink>
      <w:r>
        <w:rPr>
          <w:rFonts w:asciiTheme="minorHAnsi" w:hAnsiTheme="minorHAnsi"/>
          <w:sz w:val="16"/>
        </w:rPr>
        <w:t xml:space="preserve">  </w:t>
      </w:r>
    </w:p>
  </w:footnote>
  <w:footnote w:id="330">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celebra orden de cerrar el centro de detención de Guantánamo, Comunicado de Prensa No. 02/09, 27 de enero de 2009. Disponible en: </w:t>
      </w:r>
      <w:hyperlink r:id="rId109">
        <w:r>
          <w:rPr>
            <w:rStyle w:val="Hyperlink"/>
            <w:rFonts w:asciiTheme="minorHAnsi" w:hAnsiTheme="minorHAnsi"/>
            <w:sz w:val="16"/>
          </w:rPr>
          <w:t>http://www.cidh.org/Comunicados/Spanish/2009/02-09sp.htm</w:t>
        </w:r>
      </w:hyperlink>
      <w:r>
        <w:rPr>
          <w:rFonts w:asciiTheme="minorHAnsi" w:hAnsiTheme="minorHAnsi"/>
          <w:sz w:val="16"/>
        </w:rPr>
        <w:t xml:space="preserve">  </w:t>
      </w:r>
    </w:p>
  </w:footnote>
  <w:footnote w:id="331">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En su discurso de 2013 en la Universidad de Defensa Nacional, el Presidente Obama afirmó: “Nuestros aliados no cooperarán con nosotros si piensan que un terrorismo terminará en Guantánamo”. Disponible en: </w:t>
      </w:r>
      <w:hyperlink r:id="rId110">
        <w:r>
          <w:rPr>
            <w:rStyle w:val="Hyperlink"/>
            <w:rFonts w:asciiTheme="minorHAnsi" w:hAnsiTheme="minorHAnsi"/>
            <w:sz w:val="16"/>
          </w:rPr>
          <w:t>http://www.whitehouse.gov/the-press-office/2013/05/23/remarks-president-national-defense-university</w:t>
        </w:r>
      </w:hyperlink>
      <w:r>
        <w:rPr>
          <w:rFonts w:asciiTheme="minorHAnsi" w:hAnsiTheme="minorHAnsi"/>
          <w:color w:val="333333"/>
          <w:sz w:val="16"/>
        </w:rPr>
        <w:t xml:space="preserve"> </w:t>
      </w:r>
    </w:p>
  </w:footnote>
  <w:footnote w:id="332">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El costo anual por cada detenido de Guantánamo sería de alrededor de $1 millón, mientras que el costo de mantener a un detenido en la prisión federal de máxima seguridad de Estados Unidos es menor a $65,000 por persona. Fuente: Declaración del Senador Patrick </w:t>
      </w:r>
      <w:proofErr w:type="spellStart"/>
      <w:r>
        <w:rPr>
          <w:rFonts w:asciiTheme="minorHAnsi" w:hAnsiTheme="minorHAnsi"/>
          <w:sz w:val="16"/>
        </w:rPr>
        <w:t>Leahy</w:t>
      </w:r>
      <w:proofErr w:type="spellEnd"/>
      <w:r>
        <w:rPr>
          <w:rFonts w:asciiTheme="minorHAnsi" w:hAnsiTheme="minorHAnsi"/>
          <w:sz w:val="16"/>
        </w:rPr>
        <w:t xml:space="preserve"> (D-</w:t>
      </w:r>
      <w:proofErr w:type="spellStart"/>
      <w:r>
        <w:rPr>
          <w:rFonts w:asciiTheme="minorHAnsi" w:hAnsiTheme="minorHAnsi"/>
          <w:sz w:val="16"/>
        </w:rPr>
        <w:t>Vt</w:t>
      </w:r>
      <w:proofErr w:type="spellEnd"/>
      <w:r>
        <w:rPr>
          <w:rFonts w:asciiTheme="minorHAnsi" w:hAnsiTheme="minorHAnsi"/>
          <w:sz w:val="16"/>
        </w:rPr>
        <w:t>.), Presidente, Comité Judicial del Senado, Audiencia sobre “El Cierre de Guantánamo: Implicaciones de Seguridad Nacional, Fiscales y de Derechos humanos”, 24 de julio de 2013, pág. 1.</w:t>
      </w:r>
    </w:p>
  </w:footnote>
  <w:footnote w:id="333">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En su discurso del Estado de la Nación de 2014 el presidente Obama señaló: "este tiene que ser el año en el Congreso levante las restricciones restantes respecto de los traslados de detenidos y se cierre el centro de detención de la Bahía de Guantánamo - porque nosotros luchamos contra el terrorismo no sólo a través de la inteligencia y la acción militar, pero permaneciendo fieles a nuestros ideales constitucionales, y siendo un ejemplo para el resto del mundo". Discurso disponible en:  </w:t>
      </w:r>
      <w:hyperlink r:id="rId111">
        <w:r>
          <w:rPr>
            <w:rStyle w:val="Hyperlink"/>
            <w:rFonts w:asciiTheme="minorHAnsi" w:hAnsiTheme="minorHAnsi"/>
            <w:sz w:val="16"/>
          </w:rPr>
          <w:t>http://www.whitehouse.gov/the-press-office/2014/01/28/president-barack-obamas-state-union-address</w:t>
        </w:r>
      </w:hyperlink>
      <w:r>
        <w:rPr>
          <w:rFonts w:asciiTheme="minorHAnsi" w:hAnsiTheme="minorHAnsi"/>
          <w:color w:val="333333"/>
          <w:sz w:val="16"/>
        </w:rPr>
        <w:t xml:space="preserve"> </w:t>
      </w:r>
    </w:p>
  </w:footnote>
  <w:footnote w:id="334">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Comité Judicial del Senado, Subcomité sobre Constitución, Derechos Civiles y Derechos Humanos. Testimonios de la audiencia disponibles en: </w:t>
      </w:r>
      <w:hyperlink r:id="rId112">
        <w:r>
          <w:rPr>
            <w:rStyle w:val="Hyperlink"/>
            <w:rFonts w:asciiTheme="minorHAnsi" w:hAnsiTheme="minorHAnsi"/>
            <w:sz w:val="16"/>
          </w:rPr>
          <w:t>http://www.judiciary.senate.gov/meetings/location-change-closing-guantanamo-the-national-security-fiscal-and-human-rights-implications</w:t>
        </w:r>
      </w:hyperlink>
      <w:r>
        <w:rPr>
          <w:rFonts w:asciiTheme="minorHAnsi" w:hAnsiTheme="minorHAnsi"/>
          <w:sz w:val="16"/>
        </w:rPr>
        <w:t xml:space="preserve"> </w:t>
      </w:r>
    </w:p>
  </w:footnote>
  <w:footnote w:id="335">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Ver los testimonios del Congresista Mike Pompeo y de Frank J. </w:t>
      </w:r>
      <w:proofErr w:type="spellStart"/>
      <w:r>
        <w:rPr>
          <w:rFonts w:asciiTheme="minorHAnsi" w:hAnsiTheme="minorHAnsi"/>
          <w:sz w:val="16"/>
        </w:rPr>
        <w:t>Gaffney</w:t>
      </w:r>
      <w:proofErr w:type="spellEnd"/>
      <w:r>
        <w:rPr>
          <w:rFonts w:asciiTheme="minorHAnsi" w:hAnsiTheme="minorHAnsi"/>
          <w:sz w:val="16"/>
        </w:rPr>
        <w:t xml:space="preserve">, Jr., Presidente del Centro de Política de Seguridad en el marco de la audiencia ante el Comité Judicial del Senado el 24 de julio de 2013. Disponibles en: </w:t>
      </w:r>
      <w:hyperlink r:id="rId113">
        <w:r>
          <w:rPr>
            <w:rStyle w:val="Hyperlink"/>
            <w:rFonts w:asciiTheme="minorHAnsi" w:hAnsiTheme="minorHAnsi"/>
            <w:sz w:val="16"/>
          </w:rPr>
          <w:t>http://www.judiciary.senate.gov/imo/media/doc/7-24-13PompeoTestimony.pdf</w:t>
        </w:r>
      </w:hyperlink>
      <w:r>
        <w:rPr>
          <w:rFonts w:asciiTheme="minorHAnsi" w:hAnsiTheme="minorHAnsi"/>
          <w:sz w:val="16"/>
        </w:rPr>
        <w:t xml:space="preserve"> y </w:t>
      </w:r>
      <w:hyperlink r:id="rId114">
        <w:r>
          <w:rPr>
            <w:rStyle w:val="Hyperlink"/>
            <w:rFonts w:asciiTheme="minorHAnsi" w:hAnsiTheme="minorHAnsi"/>
            <w:sz w:val="16"/>
          </w:rPr>
          <w:t>http://www.judiciary.senate.gov/imo/media/doc/7-24-13GaffneyTestimony.pdf</w:t>
        </w:r>
      </w:hyperlink>
      <w:r>
        <w:rPr>
          <w:rFonts w:asciiTheme="minorHAnsi" w:hAnsiTheme="minorHAnsi"/>
          <w:sz w:val="16"/>
        </w:rPr>
        <w:t xml:space="preserve"> </w:t>
      </w:r>
    </w:p>
  </w:footnote>
  <w:footnote w:id="336">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Una lista de algunos de estos casos ha sido publicada por Andy </w:t>
      </w:r>
      <w:proofErr w:type="spellStart"/>
      <w:r>
        <w:rPr>
          <w:rFonts w:asciiTheme="minorHAnsi" w:hAnsiTheme="minorHAnsi"/>
          <w:sz w:val="16"/>
        </w:rPr>
        <w:t>Worthington</w:t>
      </w:r>
      <w:proofErr w:type="spellEnd"/>
      <w:r>
        <w:rPr>
          <w:rFonts w:asciiTheme="minorHAnsi" w:hAnsiTheme="minorHAnsi"/>
          <w:sz w:val="16"/>
        </w:rPr>
        <w:t xml:space="preserve">, “Resultados de los Recursos de Hábeas Corpus de Guantánamo: La Lista Definitiva”. Disponible en: </w:t>
      </w:r>
      <w:hyperlink r:id="rId115">
        <w:r>
          <w:rPr>
            <w:rStyle w:val="Hyperlink"/>
            <w:rFonts w:asciiTheme="minorHAnsi" w:hAnsiTheme="minorHAnsi"/>
            <w:sz w:val="16"/>
          </w:rPr>
          <w:t>http://www.andyworthington.co.uk/guantanamo-habeas-results-the-definitive-list/</w:t>
        </w:r>
      </w:hyperlink>
      <w:r>
        <w:rPr>
          <w:rFonts w:asciiTheme="minorHAnsi" w:hAnsiTheme="minorHAnsi"/>
          <w:sz w:val="16"/>
        </w:rPr>
        <w:t xml:space="preserve">  </w:t>
      </w:r>
    </w:p>
  </w:footnote>
  <w:footnote w:id="337">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proofErr w:type="spellStart"/>
      <w:r>
        <w:rPr>
          <w:rFonts w:asciiTheme="minorHAnsi" w:hAnsiTheme="minorHAnsi"/>
          <w:i/>
          <w:sz w:val="16"/>
        </w:rPr>
        <w:t>Kiyemba</w:t>
      </w:r>
      <w:proofErr w:type="spellEnd"/>
      <w:r>
        <w:rPr>
          <w:rFonts w:asciiTheme="minorHAnsi" w:hAnsiTheme="minorHAnsi"/>
          <w:i/>
          <w:sz w:val="16"/>
        </w:rPr>
        <w:t xml:space="preserve"> v. Obama</w:t>
      </w:r>
      <w:r>
        <w:rPr>
          <w:rFonts w:asciiTheme="minorHAnsi" w:hAnsiTheme="minorHAnsi"/>
          <w:sz w:val="16"/>
        </w:rPr>
        <w:t>, 555 F.3d 1022, 1032 (D.C. Cir. 2009).</w:t>
      </w:r>
    </w:p>
  </w:footnote>
  <w:footnote w:id="338">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proofErr w:type="spellStart"/>
      <w:r>
        <w:rPr>
          <w:rFonts w:asciiTheme="minorHAnsi" w:hAnsiTheme="minorHAnsi"/>
          <w:i/>
          <w:sz w:val="16"/>
        </w:rPr>
        <w:t>Kiyemba</w:t>
      </w:r>
      <w:proofErr w:type="spellEnd"/>
      <w:r>
        <w:rPr>
          <w:rFonts w:asciiTheme="minorHAnsi" w:hAnsiTheme="minorHAnsi"/>
          <w:i/>
          <w:sz w:val="16"/>
        </w:rPr>
        <w:t xml:space="preserve"> v. Obama</w:t>
      </w:r>
      <w:r>
        <w:rPr>
          <w:rFonts w:asciiTheme="minorHAnsi" w:hAnsiTheme="minorHAnsi"/>
          <w:sz w:val="16"/>
        </w:rPr>
        <w:t>, 563 U.S. (2011).</w:t>
      </w:r>
    </w:p>
  </w:footnote>
  <w:footnote w:id="339">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Informe Final, Grupo de Trabajo para la Revisión de Guantánamo, 22 de enero de 2010. Disponible en: </w:t>
      </w:r>
      <w:hyperlink r:id="rId116">
        <w:r>
          <w:rPr>
            <w:rStyle w:val="Hyperlink"/>
            <w:rFonts w:asciiTheme="minorHAnsi" w:hAnsiTheme="minorHAnsi"/>
            <w:sz w:val="16"/>
          </w:rPr>
          <w:t>http://www.justice.gov/sites/default/files/ag/legacy/2010/06/02/guantanamo-review-final-report.pdf</w:t>
        </w:r>
      </w:hyperlink>
      <w:r>
        <w:rPr>
          <w:rFonts w:asciiTheme="minorHAnsi" w:hAnsiTheme="minorHAnsi"/>
          <w:sz w:val="16"/>
        </w:rPr>
        <w:t xml:space="preserve"> </w:t>
      </w:r>
    </w:p>
  </w:footnote>
  <w:footnote w:id="340">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Informe Final, Grupo de Trabajo para la Revisión de Guantánamo, 22 de enero de 2010, pág. 3.</w:t>
      </w:r>
    </w:p>
  </w:footnote>
  <w:footnote w:id="341">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Informe Final, Grupo de Trabajo para la Revisión de Guantánamo, 22 de enero de 2010, pág. 7.</w:t>
      </w:r>
    </w:p>
  </w:footnote>
  <w:footnote w:id="342">
    <w:p w:rsidR="00AF130B" w:rsidRPr="006B5BEA" w:rsidRDefault="00AF130B" w:rsidP="00CE3EC6">
      <w:pPr>
        <w:pStyle w:val="FootnoteText"/>
        <w:ind w:left="540" w:hanging="540"/>
        <w:jc w:val="both"/>
        <w:rPr>
          <w:rFonts w:asciiTheme="minorHAnsi" w:hAnsiTheme="minorHAnsi"/>
          <w:sz w:val="16"/>
          <w:szCs w:val="16"/>
        </w:rPr>
      </w:pPr>
      <w:r w:rsidRPr="006B5BEA">
        <w:rPr>
          <w:rStyle w:val="FootnoteReference"/>
          <w:rFonts w:asciiTheme="minorHAnsi" w:hAnsiTheme="minorHAnsi"/>
          <w:sz w:val="16"/>
        </w:rPr>
        <w:footnoteRef/>
      </w:r>
      <w:r w:rsidRPr="006B5BEA">
        <w:rPr>
          <w:rStyle w:val="FootnoteReference"/>
          <w:rFonts w:asciiTheme="minorHAnsi" w:hAnsiTheme="minorHAnsi"/>
          <w:sz w:val="16"/>
        </w:rPr>
        <w:t xml:space="preserve"> </w:t>
      </w:r>
      <w:r w:rsidRPr="006B5BEA">
        <w:tab/>
      </w:r>
      <w:r w:rsidRPr="006B5BEA">
        <w:rPr>
          <w:rFonts w:asciiTheme="minorHAnsi" w:hAnsiTheme="minorHAnsi"/>
          <w:sz w:val="16"/>
        </w:rPr>
        <w:t>Comunicación del Gobierno de Estados Unidos dirigida a la Comisión Interamericana de Derechos Humanos respecto del Informe Preliminar sobre el Cierre de Guantánamo, OEA/</w:t>
      </w:r>
      <w:proofErr w:type="spellStart"/>
      <w:r w:rsidRPr="006B5BEA">
        <w:rPr>
          <w:rFonts w:asciiTheme="minorHAnsi" w:hAnsiTheme="minorHAnsi"/>
          <w:sz w:val="16"/>
        </w:rPr>
        <w:t>Ser.L</w:t>
      </w:r>
      <w:proofErr w:type="spellEnd"/>
      <w:r w:rsidRPr="006B5BEA">
        <w:rPr>
          <w:rFonts w:asciiTheme="minorHAnsi" w:hAnsiTheme="minorHAnsi"/>
          <w:sz w:val="16"/>
        </w:rPr>
        <w:t>/V/II.doc. 30 de enero de 2015, 30 de marzo de 2015, pág. 4.</w:t>
      </w:r>
    </w:p>
  </w:footnote>
  <w:footnote w:id="343">
    <w:p w:rsidR="00AF130B" w:rsidRPr="006B5BEA" w:rsidRDefault="00AF130B" w:rsidP="00CE3EC6">
      <w:pPr>
        <w:pStyle w:val="FootnoteText"/>
        <w:ind w:left="547" w:hanging="547"/>
        <w:jc w:val="both"/>
        <w:rPr>
          <w:rFonts w:asciiTheme="minorHAnsi" w:hAnsiTheme="minorHAnsi"/>
          <w:sz w:val="16"/>
          <w:szCs w:val="16"/>
          <w:lang w:val="es-EC"/>
        </w:rPr>
      </w:pPr>
      <w:r w:rsidRPr="006B5BEA">
        <w:rPr>
          <w:rStyle w:val="FootnoteReference"/>
          <w:rFonts w:asciiTheme="minorHAnsi" w:hAnsiTheme="minorHAnsi"/>
          <w:sz w:val="16"/>
        </w:rPr>
        <w:footnoteRef/>
      </w:r>
      <w:r w:rsidRPr="006B5BEA">
        <w:rPr>
          <w:rFonts w:asciiTheme="minorHAnsi" w:hAnsiTheme="minorHAnsi"/>
          <w:sz w:val="16"/>
        </w:rPr>
        <w:t xml:space="preserve"> </w:t>
      </w:r>
      <w:r w:rsidRPr="006B5BEA">
        <w:tab/>
      </w:r>
      <w:r w:rsidRPr="006B5BEA">
        <w:rPr>
          <w:rFonts w:asciiTheme="minorHAnsi" w:hAnsiTheme="minorHAnsi"/>
          <w:sz w:val="16"/>
        </w:rPr>
        <w:t>Informe Final, Grupo de Trabajo para la Revisión de Guantánamo, 22 de enero de 2010, pág. 1.</w:t>
      </w:r>
    </w:p>
  </w:footnote>
  <w:footnote w:id="344">
    <w:p w:rsidR="00AF130B" w:rsidRPr="005D0288" w:rsidRDefault="00AF130B" w:rsidP="00CE3EC6">
      <w:pPr>
        <w:pStyle w:val="FootnoteText"/>
        <w:ind w:left="547" w:hanging="547"/>
        <w:jc w:val="both"/>
        <w:rPr>
          <w:rFonts w:asciiTheme="minorHAnsi" w:hAnsiTheme="minorHAnsi"/>
          <w:sz w:val="16"/>
          <w:szCs w:val="16"/>
          <w:lang w:val="es-EC"/>
        </w:rPr>
      </w:pPr>
      <w:r w:rsidRPr="006B5BEA">
        <w:rPr>
          <w:rStyle w:val="FootnoteReference"/>
          <w:rFonts w:asciiTheme="minorHAnsi" w:hAnsiTheme="minorHAnsi"/>
          <w:sz w:val="16"/>
        </w:rPr>
        <w:footnoteRef/>
      </w:r>
      <w:r w:rsidRPr="006B5BEA">
        <w:rPr>
          <w:rFonts w:asciiTheme="minorHAnsi" w:hAnsiTheme="minorHAnsi"/>
          <w:sz w:val="16"/>
        </w:rPr>
        <w:t xml:space="preserve"> </w:t>
      </w:r>
      <w:r w:rsidRPr="006B5BEA">
        <w:tab/>
      </w:r>
      <w:r w:rsidRPr="006B5BEA">
        <w:rPr>
          <w:rFonts w:asciiTheme="minorHAnsi" w:hAnsiTheme="minorHAnsi"/>
          <w:sz w:val="16"/>
        </w:rPr>
        <w:t xml:space="preserve">Esos países son: Afganistán, Albania, Bélgica, Bermudas, Bosnia y Herzegovina, Gran Bretaña, Bulgaria, Cabo Verde, El Salvador, Estonia, Francia, Georgia, Alemania, Hungría, Irlanda, Italia, Kazajstán, Letonia, Omán, </w:t>
      </w:r>
      <w:proofErr w:type="spellStart"/>
      <w:r w:rsidRPr="006B5BEA">
        <w:rPr>
          <w:rFonts w:asciiTheme="minorHAnsi" w:hAnsiTheme="minorHAnsi"/>
          <w:sz w:val="16"/>
        </w:rPr>
        <w:t>Palau</w:t>
      </w:r>
      <w:proofErr w:type="spellEnd"/>
      <w:r w:rsidRPr="006B5BEA">
        <w:rPr>
          <w:rFonts w:asciiTheme="minorHAnsi" w:hAnsiTheme="minorHAnsi"/>
          <w:sz w:val="16"/>
        </w:rPr>
        <w:t>,</w:t>
      </w:r>
      <w:r>
        <w:rPr>
          <w:rFonts w:asciiTheme="minorHAnsi" w:hAnsiTheme="minorHAnsi"/>
          <w:sz w:val="16"/>
        </w:rPr>
        <w:t xml:space="preserve"> Portugal, Qatar, Arabia Saudita , Eslovaquia, España, Suiza y Uruguay. Fuente: </w:t>
      </w:r>
      <w:proofErr w:type="spellStart"/>
      <w:r>
        <w:rPr>
          <w:rFonts w:asciiTheme="minorHAnsi" w:hAnsiTheme="minorHAnsi"/>
          <w:sz w:val="16"/>
        </w:rPr>
        <w:t>The</w:t>
      </w:r>
      <w:proofErr w:type="spellEnd"/>
      <w:r>
        <w:rPr>
          <w:rFonts w:asciiTheme="minorHAnsi" w:hAnsiTheme="minorHAnsi"/>
          <w:sz w:val="16"/>
        </w:rPr>
        <w:t xml:space="preserve"> New York Times, El Portafolio de Guantánamo. Disponible en: </w:t>
      </w:r>
      <w:hyperlink r:id="rId117">
        <w:r>
          <w:rPr>
            <w:rStyle w:val="Hyperlink"/>
            <w:rFonts w:asciiTheme="minorHAnsi" w:hAnsiTheme="minorHAnsi"/>
            <w:sz w:val="16"/>
          </w:rPr>
          <w:t>http://projects.nytimes.com/guantanamo/transfer-countries</w:t>
        </w:r>
      </w:hyperlink>
      <w:r>
        <w:rPr>
          <w:rFonts w:asciiTheme="minorHAnsi" w:hAnsiTheme="minorHAnsi"/>
          <w:sz w:val="16"/>
        </w:rPr>
        <w:t xml:space="preserve"> </w:t>
      </w:r>
    </w:p>
  </w:footnote>
  <w:footnote w:id="345">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proofErr w:type="spellStart"/>
      <w:r>
        <w:rPr>
          <w:rFonts w:asciiTheme="minorHAnsi" w:hAnsiTheme="minorHAnsi"/>
          <w:sz w:val="16"/>
        </w:rPr>
        <w:t>The</w:t>
      </w:r>
      <w:proofErr w:type="spellEnd"/>
      <w:r>
        <w:rPr>
          <w:rFonts w:asciiTheme="minorHAnsi" w:hAnsiTheme="minorHAnsi"/>
          <w:sz w:val="16"/>
        </w:rPr>
        <w:t xml:space="preserve"> New York Times, El Portafolio de Guantánamo.</w:t>
      </w:r>
    </w:p>
  </w:footnote>
  <w:footnote w:id="346">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Lenguaje utilizado por la Junta de Revisión Periódica en sus decisiones finales. Disponible en: </w:t>
      </w:r>
      <w:hyperlink r:id="rId118">
        <w:r>
          <w:rPr>
            <w:rStyle w:val="Hyperlink"/>
            <w:rFonts w:asciiTheme="minorHAnsi" w:hAnsiTheme="minorHAnsi"/>
            <w:sz w:val="16"/>
          </w:rPr>
          <w:t>http://www.prs.mil/ReviewInformation/FullReviewpage.aspx</w:t>
        </w:r>
      </w:hyperlink>
      <w:r>
        <w:rPr>
          <w:rFonts w:asciiTheme="minorHAnsi" w:hAnsiTheme="minorHAnsi"/>
          <w:sz w:val="16"/>
        </w:rPr>
        <w:t xml:space="preserve"> </w:t>
      </w:r>
    </w:p>
  </w:footnote>
  <w:footnote w:id="347">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Vice News, Vida después de Guantánamo: El Programa de Rehabilitación para el Detenido de Kuwait Liberado, 10 de noviembre de 2014. Disponible en: </w:t>
      </w:r>
      <w:hyperlink r:id="rId119">
        <w:r>
          <w:rPr>
            <w:rStyle w:val="Hyperlink"/>
            <w:rFonts w:asciiTheme="minorHAnsi" w:hAnsiTheme="minorHAnsi"/>
            <w:sz w:val="16"/>
          </w:rPr>
          <w:t>https://news.vice.com/article/life-after-guantanamo-the-rehabilitation-program-for-kuwaits-released-inmate</w:t>
        </w:r>
      </w:hyperlink>
      <w:r>
        <w:rPr>
          <w:rFonts w:asciiTheme="minorHAnsi" w:hAnsiTheme="minorHAnsi"/>
          <w:sz w:val="16"/>
        </w:rPr>
        <w:t xml:space="preserve"> </w:t>
      </w:r>
    </w:p>
  </w:footnote>
  <w:footnote w:id="348">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La República, Los 6 ex reclusos quieren quedarse en Uruguay, 6 de diciembre de 2014. Disponible </w:t>
      </w:r>
      <w:proofErr w:type="spellStart"/>
      <w:r>
        <w:rPr>
          <w:rFonts w:asciiTheme="minorHAnsi" w:hAnsiTheme="minorHAnsi"/>
          <w:sz w:val="16"/>
        </w:rPr>
        <w:t>en:</w:t>
      </w:r>
      <w:hyperlink r:id="rId120">
        <w:r>
          <w:rPr>
            <w:rStyle w:val="Hyperlink"/>
            <w:rFonts w:asciiTheme="minorHAnsi" w:hAnsiTheme="minorHAnsi"/>
            <w:sz w:val="16"/>
          </w:rPr>
          <w:t>http</w:t>
        </w:r>
        <w:proofErr w:type="spellEnd"/>
        <w:r>
          <w:rPr>
            <w:rStyle w:val="Hyperlink"/>
            <w:rFonts w:asciiTheme="minorHAnsi" w:hAnsiTheme="minorHAnsi"/>
            <w:sz w:val="16"/>
          </w:rPr>
          <w:t>://www.republica.com.uy/reclusos-en-uruguay/493003/</w:t>
        </w:r>
      </w:hyperlink>
      <w:r>
        <w:rPr>
          <w:rFonts w:asciiTheme="minorHAnsi" w:hAnsiTheme="minorHAnsi"/>
          <w:sz w:val="16"/>
        </w:rPr>
        <w:t xml:space="preserve"> </w:t>
      </w:r>
    </w:p>
  </w:footnote>
  <w:footnote w:id="349">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proofErr w:type="spellStart"/>
      <w:r>
        <w:rPr>
          <w:rFonts w:asciiTheme="minorHAnsi" w:hAnsiTheme="minorHAnsi"/>
          <w:sz w:val="16"/>
        </w:rPr>
        <w:t>The</w:t>
      </w:r>
      <w:proofErr w:type="spellEnd"/>
      <w:r>
        <w:rPr>
          <w:rFonts w:asciiTheme="minorHAnsi" w:hAnsiTheme="minorHAnsi"/>
          <w:sz w:val="16"/>
        </w:rPr>
        <w:t xml:space="preserve"> New York Times, El Portafolio de Guantánamo.</w:t>
      </w:r>
    </w:p>
  </w:footnote>
  <w:footnote w:id="350">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Informe Final, Grupo de Trabajo para la Revisión de Guantánamo, 22 de enero de 2010, pág. 18.</w:t>
      </w:r>
    </w:p>
  </w:footnote>
  <w:footnote w:id="351">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La decisión está disponible en: </w:t>
      </w:r>
      <w:hyperlink r:id="rId121">
        <w:r>
          <w:rPr>
            <w:rStyle w:val="Hyperlink"/>
            <w:rFonts w:asciiTheme="minorHAnsi" w:hAnsiTheme="minorHAnsi"/>
            <w:sz w:val="16"/>
          </w:rPr>
          <w:t>https://ecf.dcd.uscourts.gov/cgi-bin/show_public_doc?2004cv1254-873</w:t>
        </w:r>
      </w:hyperlink>
      <w:r>
        <w:rPr>
          <w:rFonts w:asciiTheme="minorHAnsi" w:hAnsiTheme="minorHAnsi"/>
          <w:sz w:val="16"/>
        </w:rPr>
        <w:t xml:space="preserve"> </w:t>
      </w:r>
    </w:p>
  </w:footnote>
  <w:footnote w:id="352">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La Casa Blanca, Declaración Conjunta de Estados Unidos y Yemen, 1 de agosto de 2013. Disponible en: </w:t>
      </w:r>
      <w:hyperlink r:id="rId122">
        <w:r>
          <w:rPr>
            <w:rStyle w:val="Hyperlink"/>
            <w:rFonts w:asciiTheme="minorHAnsi" w:hAnsiTheme="minorHAnsi"/>
            <w:sz w:val="16"/>
          </w:rPr>
          <w:t>http://www.whitehouse.gov/the-press-office/2013/08/01/joint-statement-united-states-and-yemen</w:t>
        </w:r>
      </w:hyperlink>
      <w:r>
        <w:rPr>
          <w:rFonts w:asciiTheme="minorHAnsi" w:hAnsiTheme="minorHAnsi"/>
          <w:sz w:val="16"/>
        </w:rPr>
        <w:t xml:space="preserve"> </w:t>
      </w:r>
    </w:p>
  </w:footnote>
  <w:footnote w:id="353">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i/>
          <w:sz w:val="16"/>
        </w:rPr>
        <w:t>Ver</w:t>
      </w:r>
      <w:r>
        <w:rPr>
          <w:rFonts w:asciiTheme="minorHAnsi" w:hAnsiTheme="minorHAnsi"/>
          <w:sz w:val="16"/>
        </w:rPr>
        <w:t xml:space="preserve">, Los ciudadanos de Yemen en Guantánamo, 30 de marzo de 2014. Disponible en: </w:t>
      </w:r>
      <w:hyperlink r:id="rId123">
        <w:r>
          <w:rPr>
            <w:rStyle w:val="Hyperlink"/>
            <w:rFonts w:asciiTheme="minorHAnsi" w:hAnsiTheme="minorHAnsi"/>
            <w:sz w:val="16"/>
          </w:rPr>
          <w:t>http://www.slate.com/articles/news_and_politics/jurisprudence/2014/03/salim_hamdan_and_the_yemeni_prisoners_who_can_t_leave_the_prison_at_guant.html</w:t>
        </w:r>
      </w:hyperlink>
      <w:r>
        <w:rPr>
          <w:rFonts w:asciiTheme="minorHAnsi" w:hAnsiTheme="minorHAnsi"/>
          <w:sz w:val="16"/>
        </w:rPr>
        <w:t xml:space="preserve">; y </w:t>
      </w:r>
      <w:proofErr w:type="spellStart"/>
      <w:r>
        <w:rPr>
          <w:rFonts w:asciiTheme="minorHAnsi" w:hAnsiTheme="minorHAnsi"/>
          <w:sz w:val="16"/>
        </w:rPr>
        <w:t>The</w:t>
      </w:r>
      <w:proofErr w:type="spellEnd"/>
      <w:r>
        <w:rPr>
          <w:rFonts w:asciiTheme="minorHAnsi" w:hAnsiTheme="minorHAnsi"/>
          <w:sz w:val="16"/>
        </w:rPr>
        <w:t xml:space="preserve"> New York Times, Panel Recomienda Trasladar a los Ciudadanos de Yemen detenidos en Guantánamo, 9 de enero de 2014. Disponible en:</w:t>
      </w:r>
      <w:hyperlink r:id="rId124">
        <w:r>
          <w:rPr>
            <w:rStyle w:val="Hyperlink"/>
            <w:rFonts w:asciiTheme="minorHAnsi" w:hAnsiTheme="minorHAnsi"/>
            <w:sz w:val="16"/>
          </w:rPr>
          <w:t>http://www.nytimes.com/2014/01/10/us/panel-recommends-transferring-yemeni-from-guantanamo.html</w:t>
        </w:r>
      </w:hyperlink>
      <w:r>
        <w:rPr>
          <w:rFonts w:asciiTheme="minorHAnsi" w:hAnsiTheme="minorHAnsi"/>
          <w:sz w:val="16"/>
        </w:rPr>
        <w:t xml:space="preserve">  </w:t>
      </w:r>
    </w:p>
  </w:footnote>
  <w:footnote w:id="354">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CIDH, Reunión de Expertos sobre la Situación de los detenidos en la Base Naval Estadounidense de la Bahía de Guantánamo, Washington DC, 3 de octubre de 2013.</w:t>
      </w:r>
    </w:p>
  </w:footnote>
  <w:footnote w:id="355">
    <w:p w:rsidR="00AF130B" w:rsidRPr="00502400" w:rsidRDefault="00AF130B" w:rsidP="00CE3EC6">
      <w:pPr>
        <w:pStyle w:val="FootnoteText"/>
        <w:ind w:left="547" w:hanging="547"/>
        <w:jc w:val="both"/>
        <w:rPr>
          <w:rFonts w:asciiTheme="minorHAnsi" w:hAnsiTheme="minorHAnsi"/>
          <w:sz w:val="16"/>
          <w:szCs w:val="16"/>
        </w:rPr>
      </w:pPr>
      <w:r w:rsidRPr="00502400">
        <w:rPr>
          <w:rStyle w:val="FootnoteReference"/>
          <w:rFonts w:asciiTheme="minorHAnsi" w:hAnsiTheme="minorHAnsi"/>
          <w:sz w:val="16"/>
        </w:rPr>
        <w:footnoteRef/>
      </w:r>
      <w:r w:rsidRPr="00502400">
        <w:rPr>
          <w:rStyle w:val="FootnoteReference"/>
          <w:rFonts w:asciiTheme="minorHAnsi" w:hAnsiTheme="minorHAnsi"/>
          <w:sz w:val="16"/>
        </w:rPr>
        <w:t xml:space="preserve"> </w:t>
      </w:r>
      <w:r w:rsidRPr="00502400">
        <w:tab/>
      </w:r>
      <w:r w:rsidRPr="00502400">
        <w:rPr>
          <w:rFonts w:asciiTheme="minorHAnsi" w:hAnsiTheme="minorHAnsi"/>
          <w:sz w:val="16"/>
        </w:rPr>
        <w:t>Comunicación del Gobierno de Estados Unidos dirigida a la Comisión Interamericana de Derechos Humanos respecto del Informe Preliminar sobre el Cierre de Guantánamo, OEA/</w:t>
      </w:r>
      <w:proofErr w:type="spellStart"/>
      <w:r w:rsidRPr="00502400">
        <w:rPr>
          <w:rFonts w:asciiTheme="minorHAnsi" w:hAnsiTheme="minorHAnsi"/>
          <w:sz w:val="16"/>
        </w:rPr>
        <w:t>Ser.L</w:t>
      </w:r>
      <w:proofErr w:type="spellEnd"/>
      <w:r w:rsidRPr="00502400">
        <w:rPr>
          <w:rFonts w:asciiTheme="minorHAnsi" w:hAnsiTheme="minorHAnsi"/>
          <w:sz w:val="16"/>
        </w:rPr>
        <w:t>/V/II.doc. 30 de enero de 2015, 30 de marzo de 2015, pág. 10.</w:t>
      </w:r>
    </w:p>
  </w:footnote>
  <w:footnote w:id="356">
    <w:p w:rsidR="00AF130B" w:rsidRPr="005D0288" w:rsidRDefault="00AF130B" w:rsidP="00CE3EC6">
      <w:pPr>
        <w:pStyle w:val="FootnoteText"/>
        <w:ind w:left="547" w:hanging="547"/>
        <w:jc w:val="both"/>
        <w:rPr>
          <w:rFonts w:asciiTheme="minorHAnsi" w:hAnsiTheme="minorHAnsi"/>
          <w:sz w:val="16"/>
          <w:szCs w:val="16"/>
          <w:lang w:val="es-EC"/>
        </w:rPr>
      </w:pPr>
      <w:r w:rsidRPr="00502400">
        <w:rPr>
          <w:rStyle w:val="FootnoteReference"/>
          <w:rFonts w:asciiTheme="minorHAnsi" w:hAnsiTheme="minorHAnsi"/>
          <w:sz w:val="16"/>
        </w:rPr>
        <w:footnoteRef/>
      </w:r>
      <w:r w:rsidRPr="00502400">
        <w:rPr>
          <w:rFonts w:asciiTheme="minorHAnsi" w:hAnsiTheme="minorHAnsi"/>
          <w:sz w:val="16"/>
        </w:rPr>
        <w:t xml:space="preserve"> </w:t>
      </w:r>
      <w:r w:rsidRPr="00502400">
        <w:tab/>
      </w:r>
      <w:r w:rsidRPr="00502400">
        <w:rPr>
          <w:rFonts w:asciiTheme="minorHAnsi" w:hAnsiTheme="minorHAnsi"/>
          <w:sz w:val="16"/>
        </w:rPr>
        <w:t>Departamento de Defensa de Estados Unidos, Comunicado No. NR-017-14, Culminación de la Primera Junta de Revisión Periódica</w:t>
      </w:r>
      <w:r>
        <w:rPr>
          <w:rFonts w:asciiTheme="minorHAnsi" w:hAnsiTheme="minorHAnsi"/>
          <w:sz w:val="16"/>
        </w:rPr>
        <w:t xml:space="preserve"> de Guantánamo, 9 de enero de 2014. Disponible en: </w:t>
      </w:r>
      <w:hyperlink r:id="rId125">
        <w:r>
          <w:rPr>
            <w:rStyle w:val="Hyperlink"/>
            <w:rFonts w:asciiTheme="minorHAnsi" w:hAnsiTheme="minorHAnsi"/>
            <w:sz w:val="16"/>
          </w:rPr>
          <w:t>http://www.defense.gov/releases/release.aspx?releaseid=16473</w:t>
        </w:r>
      </w:hyperlink>
      <w:r>
        <w:rPr>
          <w:rFonts w:asciiTheme="minorHAnsi" w:hAnsiTheme="minorHAnsi"/>
          <w:sz w:val="16"/>
        </w:rPr>
        <w:t xml:space="preserve"> </w:t>
      </w:r>
    </w:p>
  </w:footnote>
  <w:footnote w:id="357">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CIDH, Grupo de Trabajo de ONU sobre la Detención Arbitraria, Relator de ONU contra la Tortura, Relator de ONU para los derechos humanos en la lucha contra el terrorismo, y Relator de ONU sobre la salud reiteran necesidad de terminar con la detención indefinida de personas en la Base Naval de Guantánamo ante actual crisis de derechos humanos, Comunicado de Prensa No. 29/13 de 1 de mayo de 2013.</w:t>
      </w:r>
    </w:p>
  </w:footnote>
  <w:footnote w:id="358">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CIDH, Resolución No. 2/06, Sobre las Medidas Cautelares para los Detenidos en Guantánamo, 28 de julio de 2006.</w:t>
      </w:r>
    </w:p>
  </w:footnote>
  <w:footnote w:id="359">
    <w:p w:rsidR="00AF130B" w:rsidRPr="00502400" w:rsidRDefault="00AF130B" w:rsidP="00CE3EC6">
      <w:pPr>
        <w:pStyle w:val="FootnoteText"/>
        <w:ind w:left="547" w:hanging="547"/>
        <w:jc w:val="both"/>
        <w:rPr>
          <w:rFonts w:asciiTheme="minorHAnsi" w:hAnsiTheme="minorHAnsi"/>
          <w:sz w:val="16"/>
          <w:szCs w:val="16"/>
        </w:rPr>
      </w:pPr>
      <w:r w:rsidRPr="00502400">
        <w:rPr>
          <w:rStyle w:val="FootnoteReference"/>
          <w:rFonts w:asciiTheme="minorHAnsi" w:hAnsiTheme="minorHAnsi"/>
          <w:sz w:val="16"/>
        </w:rPr>
        <w:footnoteRef/>
      </w:r>
      <w:r w:rsidRPr="00502400">
        <w:rPr>
          <w:rFonts w:asciiTheme="minorHAnsi" w:hAnsiTheme="minorHAnsi"/>
          <w:sz w:val="16"/>
        </w:rPr>
        <w:t xml:space="preserve"> </w:t>
      </w:r>
      <w:r w:rsidRPr="00502400">
        <w:tab/>
      </w:r>
      <w:r w:rsidRPr="00502400">
        <w:rPr>
          <w:rFonts w:asciiTheme="minorHAnsi" w:hAnsiTheme="minorHAnsi"/>
          <w:i/>
          <w:sz w:val="16"/>
        </w:rPr>
        <w:t>Véase al respecto</w:t>
      </w:r>
      <w:r w:rsidRPr="00502400">
        <w:rPr>
          <w:rFonts w:asciiTheme="minorHAnsi" w:hAnsiTheme="minorHAnsi"/>
          <w:sz w:val="16"/>
        </w:rPr>
        <w:t xml:space="preserve">, entrevista con </w:t>
      </w:r>
      <w:proofErr w:type="spellStart"/>
      <w:r w:rsidRPr="00502400">
        <w:rPr>
          <w:rFonts w:asciiTheme="minorHAnsi" w:hAnsiTheme="minorHAnsi"/>
          <w:sz w:val="16"/>
        </w:rPr>
        <w:t>Lakhdar</w:t>
      </w:r>
      <w:proofErr w:type="spellEnd"/>
      <w:r w:rsidRPr="00502400">
        <w:rPr>
          <w:rFonts w:asciiTheme="minorHAnsi" w:hAnsiTheme="minorHAnsi"/>
          <w:sz w:val="16"/>
        </w:rPr>
        <w:t xml:space="preserve"> </w:t>
      </w:r>
      <w:proofErr w:type="spellStart"/>
      <w:r w:rsidRPr="00502400">
        <w:rPr>
          <w:rFonts w:asciiTheme="minorHAnsi" w:hAnsiTheme="minorHAnsi"/>
          <w:sz w:val="16"/>
        </w:rPr>
        <w:t>Boumediene</w:t>
      </w:r>
      <w:proofErr w:type="spellEnd"/>
      <w:r w:rsidRPr="00502400">
        <w:rPr>
          <w:rFonts w:asciiTheme="minorHAnsi" w:hAnsiTheme="minorHAnsi"/>
          <w:sz w:val="16"/>
        </w:rPr>
        <w:t xml:space="preserve">. Disponible en: </w:t>
      </w:r>
      <w:hyperlink r:id="rId126">
        <w:r w:rsidRPr="00502400">
          <w:rPr>
            <w:rStyle w:val="Hyperlink"/>
            <w:rFonts w:asciiTheme="minorHAnsi" w:hAnsiTheme="minorHAnsi"/>
            <w:sz w:val="16"/>
          </w:rPr>
          <w:t>http://www.nogitmos.org/exguant%C3%A1namoprisonerlakhdarboumedienetalksaboutrebuildinghislifefrance</w:t>
        </w:r>
      </w:hyperlink>
      <w:r w:rsidRPr="00502400">
        <w:rPr>
          <w:rFonts w:asciiTheme="minorHAnsi" w:hAnsiTheme="minorHAnsi"/>
          <w:sz w:val="16"/>
        </w:rPr>
        <w:t xml:space="preserve"> </w:t>
      </w:r>
    </w:p>
  </w:footnote>
  <w:footnote w:id="360">
    <w:p w:rsidR="00AF130B" w:rsidRPr="00502400" w:rsidRDefault="00AF130B" w:rsidP="00CE3EC6">
      <w:pPr>
        <w:pStyle w:val="FootnoteText"/>
        <w:ind w:left="547" w:hanging="547"/>
        <w:jc w:val="both"/>
        <w:rPr>
          <w:rFonts w:asciiTheme="minorHAnsi" w:hAnsiTheme="minorHAnsi"/>
          <w:sz w:val="16"/>
          <w:szCs w:val="16"/>
        </w:rPr>
      </w:pPr>
      <w:r w:rsidRPr="00502400">
        <w:rPr>
          <w:rStyle w:val="FootnoteReference"/>
          <w:rFonts w:asciiTheme="minorHAnsi" w:hAnsiTheme="minorHAnsi"/>
          <w:sz w:val="16"/>
        </w:rPr>
        <w:footnoteRef/>
      </w:r>
      <w:r w:rsidRPr="00502400">
        <w:rPr>
          <w:rFonts w:asciiTheme="minorHAnsi" w:hAnsiTheme="minorHAnsi"/>
          <w:sz w:val="16"/>
        </w:rPr>
        <w:t xml:space="preserve"> </w:t>
      </w:r>
      <w:r w:rsidRPr="00502400">
        <w:tab/>
      </w:r>
      <w:r w:rsidRPr="00502400">
        <w:rPr>
          <w:rFonts w:asciiTheme="minorHAnsi" w:hAnsiTheme="minorHAnsi"/>
          <w:sz w:val="16"/>
        </w:rPr>
        <w:t>Comunicación del Gobierno de Estados Unidos dirigida a la Comisión Interamericana de Derechos Humanos respecto del Informe Preliminar sobre el Cierre de Guantánamo, OEA/</w:t>
      </w:r>
      <w:proofErr w:type="spellStart"/>
      <w:r w:rsidRPr="00502400">
        <w:rPr>
          <w:rFonts w:asciiTheme="minorHAnsi" w:hAnsiTheme="minorHAnsi"/>
          <w:sz w:val="16"/>
        </w:rPr>
        <w:t>Ser.L</w:t>
      </w:r>
      <w:proofErr w:type="spellEnd"/>
      <w:r w:rsidRPr="00502400">
        <w:rPr>
          <w:rFonts w:asciiTheme="minorHAnsi" w:hAnsiTheme="minorHAnsi"/>
          <w:sz w:val="16"/>
        </w:rPr>
        <w:t>/V/II.doc. 30 de enero de 2015, 30 de marzo de 2015, pág. 10.</w:t>
      </w:r>
    </w:p>
  </w:footnote>
  <w:footnote w:id="361">
    <w:p w:rsidR="00AF130B" w:rsidRPr="005D0288" w:rsidRDefault="00AF130B" w:rsidP="00CE3EC6">
      <w:pPr>
        <w:pStyle w:val="FootnoteText"/>
        <w:ind w:left="547" w:hanging="547"/>
        <w:jc w:val="both"/>
        <w:rPr>
          <w:rFonts w:asciiTheme="minorHAnsi" w:hAnsiTheme="minorHAnsi"/>
          <w:sz w:val="16"/>
          <w:szCs w:val="16"/>
          <w:lang w:val="es-EC"/>
        </w:rPr>
      </w:pPr>
      <w:r w:rsidRPr="00502400">
        <w:rPr>
          <w:rStyle w:val="FootnoteReference"/>
          <w:rFonts w:asciiTheme="minorHAnsi" w:hAnsiTheme="minorHAnsi"/>
          <w:sz w:val="16"/>
        </w:rPr>
        <w:footnoteRef/>
      </w:r>
      <w:r w:rsidRPr="00502400">
        <w:rPr>
          <w:rFonts w:asciiTheme="minorHAnsi" w:hAnsiTheme="minorHAnsi"/>
          <w:sz w:val="16"/>
        </w:rPr>
        <w:t xml:space="preserve"> </w:t>
      </w:r>
      <w:r w:rsidRPr="00502400">
        <w:tab/>
      </w:r>
      <w:proofErr w:type="spellStart"/>
      <w:r w:rsidRPr="00502400">
        <w:rPr>
          <w:rFonts w:asciiTheme="minorHAnsi" w:hAnsiTheme="minorHAnsi"/>
          <w:sz w:val="16"/>
        </w:rPr>
        <w:t>The</w:t>
      </w:r>
      <w:proofErr w:type="spellEnd"/>
      <w:r w:rsidRPr="00502400">
        <w:rPr>
          <w:rFonts w:asciiTheme="minorHAnsi" w:hAnsiTheme="minorHAnsi"/>
          <w:sz w:val="16"/>
        </w:rPr>
        <w:t xml:space="preserve"> New York Times, Miedo a la Libertad, 24 de Julio de 2010. Disponible en: </w:t>
      </w:r>
      <w:hyperlink r:id="rId127">
        <w:r w:rsidRPr="00502400">
          <w:rPr>
            <w:rStyle w:val="Hyperlink"/>
            <w:rFonts w:asciiTheme="minorHAnsi" w:hAnsiTheme="minorHAnsi"/>
            <w:sz w:val="16"/>
          </w:rPr>
          <w:t>http://www.nytimes.com/2010/07/25/opinion/25sun1.html</w:t>
        </w:r>
      </w:hyperlink>
      <w:r>
        <w:rPr>
          <w:rFonts w:asciiTheme="minorHAnsi" w:hAnsiTheme="minorHAnsi"/>
          <w:sz w:val="16"/>
        </w:rPr>
        <w:t xml:space="preserve"> </w:t>
      </w:r>
    </w:p>
  </w:footnote>
  <w:footnote w:id="362">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CIDH deplora transferencia forzada de detenido en Guantánamo. Comunicado de Prensa No. 75/10, 2 de agosto de 2010.</w:t>
      </w:r>
    </w:p>
  </w:footnote>
  <w:footnote w:id="363">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i/>
          <w:sz w:val="16"/>
        </w:rPr>
        <w:t>Véase al respecto</w:t>
      </w:r>
      <w:r>
        <w:rPr>
          <w:rFonts w:asciiTheme="minorHAnsi" w:hAnsiTheme="minorHAnsi"/>
          <w:sz w:val="16"/>
        </w:rPr>
        <w:t xml:space="preserve">, </w:t>
      </w:r>
      <w:proofErr w:type="spellStart"/>
      <w:r>
        <w:rPr>
          <w:rFonts w:asciiTheme="minorHAnsi" w:hAnsiTheme="minorHAnsi"/>
          <w:sz w:val="16"/>
        </w:rPr>
        <w:t>Truthout</w:t>
      </w:r>
      <w:proofErr w:type="spellEnd"/>
      <w:r>
        <w:rPr>
          <w:rFonts w:asciiTheme="minorHAnsi" w:hAnsiTheme="minorHAnsi"/>
          <w:sz w:val="16"/>
        </w:rPr>
        <w:t xml:space="preserve">, Ex Detenido de Guantánamo que Alegó haber sido Torturado y Drogado por Estados Unidos, Condenado por Autoridades de Argelia, 31 de enero de 2012. Disponible en: </w:t>
      </w:r>
      <w:hyperlink r:id="rId128">
        <w:r>
          <w:rPr>
            <w:rStyle w:val="Hyperlink"/>
            <w:rFonts w:asciiTheme="minorHAnsi" w:hAnsiTheme="minorHAnsi"/>
            <w:sz w:val="16"/>
          </w:rPr>
          <w:t>http://www.truth-out.org/news/item/6386:former-guantánamo-prisoner-who-alleged-us-torture-drugging-sentenced-by-algerian-authorities</w:t>
        </w:r>
      </w:hyperlink>
      <w:r>
        <w:rPr>
          <w:rFonts w:asciiTheme="minorHAnsi" w:hAnsiTheme="minorHAnsi"/>
          <w:sz w:val="16"/>
        </w:rPr>
        <w:t xml:space="preserve">; y Andy </w:t>
      </w:r>
      <w:proofErr w:type="spellStart"/>
      <w:r>
        <w:rPr>
          <w:rFonts w:asciiTheme="minorHAnsi" w:hAnsiTheme="minorHAnsi"/>
          <w:sz w:val="16"/>
        </w:rPr>
        <w:t>Worthington</w:t>
      </w:r>
      <w:proofErr w:type="spellEnd"/>
      <w:r>
        <w:rPr>
          <w:rFonts w:asciiTheme="minorHAnsi" w:hAnsiTheme="minorHAnsi"/>
          <w:sz w:val="16"/>
        </w:rPr>
        <w:t xml:space="preserve">, La Continua Persecución de Argelia al Ex Detenido de Guantánamo Abdul </w:t>
      </w:r>
      <w:proofErr w:type="spellStart"/>
      <w:r>
        <w:rPr>
          <w:rFonts w:asciiTheme="minorHAnsi" w:hAnsiTheme="minorHAnsi"/>
          <w:sz w:val="16"/>
        </w:rPr>
        <w:t>Aziz</w:t>
      </w:r>
      <w:proofErr w:type="spellEnd"/>
      <w:r>
        <w:rPr>
          <w:rFonts w:asciiTheme="minorHAnsi" w:hAnsiTheme="minorHAnsi"/>
          <w:sz w:val="16"/>
        </w:rPr>
        <w:t xml:space="preserve"> </w:t>
      </w:r>
      <w:proofErr w:type="spellStart"/>
      <w:r>
        <w:rPr>
          <w:rFonts w:asciiTheme="minorHAnsi" w:hAnsiTheme="minorHAnsi"/>
          <w:sz w:val="16"/>
        </w:rPr>
        <w:t>Naji</w:t>
      </w:r>
      <w:proofErr w:type="spellEnd"/>
      <w:r>
        <w:rPr>
          <w:rFonts w:asciiTheme="minorHAnsi" w:hAnsiTheme="minorHAnsi"/>
          <w:sz w:val="16"/>
        </w:rPr>
        <w:t xml:space="preserve">, 18 de septiembre de 2013. Disponible en: </w:t>
      </w:r>
      <w:hyperlink r:id="rId129">
        <w:r>
          <w:rPr>
            <w:rStyle w:val="Hyperlink"/>
            <w:rFonts w:asciiTheme="minorHAnsi" w:hAnsiTheme="minorHAnsi"/>
            <w:sz w:val="16"/>
          </w:rPr>
          <w:t>http://www.andyworthington.co.uk/2013/09/18/algerias-ongoing-persecution-of-former-guantanamo-prisoner-abdul-aziz-naji/</w:t>
        </w:r>
      </w:hyperlink>
      <w:r>
        <w:rPr>
          <w:rFonts w:asciiTheme="minorHAnsi" w:hAnsiTheme="minorHAnsi"/>
          <w:sz w:val="16"/>
        </w:rPr>
        <w:t xml:space="preserve"> </w:t>
      </w:r>
    </w:p>
  </w:footnote>
  <w:footnote w:id="364">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CIDH, Reunión de Expertos sobre la Situación de los detenidos en la Base Naval Estadounidense de la Bahía de Guantánamo, Washington DC, 3 de octubre de 2013.</w:t>
      </w:r>
    </w:p>
  </w:footnote>
  <w:footnote w:id="365">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proofErr w:type="spellStart"/>
      <w:r>
        <w:rPr>
          <w:rFonts w:asciiTheme="minorHAnsi" w:hAnsiTheme="minorHAnsi"/>
          <w:sz w:val="16"/>
        </w:rPr>
        <w:t>The</w:t>
      </w:r>
      <w:proofErr w:type="spellEnd"/>
      <w:r>
        <w:rPr>
          <w:rFonts w:asciiTheme="minorHAnsi" w:hAnsiTheme="minorHAnsi"/>
          <w:sz w:val="16"/>
        </w:rPr>
        <w:t xml:space="preserve"> New York Times, Dos Detenidos de Guantánamo son Repatriados en Contra de su Voluntad a Argelia, 5 de diciembre de 2013. Disponible en: </w:t>
      </w:r>
      <w:hyperlink r:id="rId130">
        <w:r>
          <w:rPr>
            <w:rStyle w:val="Hyperlink"/>
            <w:rFonts w:asciiTheme="minorHAnsi" w:hAnsiTheme="minorHAnsi"/>
            <w:sz w:val="16"/>
          </w:rPr>
          <w:t>http://www.nytimes.com/2013/12/06/us/politics/two-guantanamo-detainees-are-involuntarily-repatriated-to-algeria.html</w:t>
        </w:r>
      </w:hyperlink>
      <w:r>
        <w:rPr>
          <w:rFonts w:asciiTheme="minorHAnsi" w:hAnsiTheme="minorHAnsi"/>
          <w:sz w:val="16"/>
        </w:rPr>
        <w:t xml:space="preserve"> </w:t>
      </w:r>
    </w:p>
  </w:footnote>
  <w:footnote w:id="366">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condena transferencia forzada de </w:t>
      </w:r>
      <w:proofErr w:type="spellStart"/>
      <w:r>
        <w:rPr>
          <w:rFonts w:asciiTheme="minorHAnsi" w:hAnsiTheme="minorHAnsi"/>
          <w:sz w:val="16"/>
        </w:rPr>
        <w:t>Djamel</w:t>
      </w:r>
      <w:proofErr w:type="spellEnd"/>
      <w:r>
        <w:rPr>
          <w:rFonts w:asciiTheme="minorHAnsi" w:hAnsiTheme="minorHAnsi"/>
          <w:sz w:val="16"/>
        </w:rPr>
        <w:t xml:space="preserve"> </w:t>
      </w:r>
      <w:proofErr w:type="spellStart"/>
      <w:r>
        <w:rPr>
          <w:rFonts w:asciiTheme="minorHAnsi" w:hAnsiTheme="minorHAnsi"/>
          <w:sz w:val="16"/>
        </w:rPr>
        <w:t>Ameziane</w:t>
      </w:r>
      <w:proofErr w:type="spellEnd"/>
      <w:r>
        <w:rPr>
          <w:rFonts w:asciiTheme="minorHAnsi" w:hAnsiTheme="minorHAnsi"/>
          <w:sz w:val="16"/>
        </w:rPr>
        <w:t xml:space="preserve"> de Guantánamo a Argelia. Comunicado de Prensa No. 103/13, 19 de diciembre de 2013.</w:t>
      </w:r>
    </w:p>
  </w:footnote>
  <w:footnote w:id="367">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i/>
          <w:sz w:val="16"/>
        </w:rPr>
        <w:t>Al respecto Véase</w:t>
      </w:r>
      <w:r>
        <w:rPr>
          <w:rFonts w:asciiTheme="minorHAnsi" w:hAnsiTheme="minorHAnsi"/>
          <w:sz w:val="16"/>
        </w:rPr>
        <w:t xml:space="preserve">, American </w:t>
      </w:r>
      <w:proofErr w:type="spellStart"/>
      <w:r>
        <w:rPr>
          <w:rFonts w:asciiTheme="minorHAnsi" w:hAnsiTheme="minorHAnsi"/>
          <w:sz w:val="16"/>
        </w:rPr>
        <w:t>Constitution</w:t>
      </w:r>
      <w:proofErr w:type="spellEnd"/>
      <w:r>
        <w:rPr>
          <w:rFonts w:asciiTheme="minorHAnsi" w:hAnsiTheme="minorHAnsi"/>
          <w:sz w:val="16"/>
        </w:rPr>
        <w:t xml:space="preserve"> </w:t>
      </w:r>
      <w:proofErr w:type="spellStart"/>
      <w:r>
        <w:rPr>
          <w:rFonts w:asciiTheme="minorHAnsi" w:hAnsiTheme="minorHAnsi"/>
          <w:sz w:val="16"/>
        </w:rPr>
        <w:t>Society</w:t>
      </w:r>
      <w:proofErr w:type="spellEnd"/>
      <w:r>
        <w:rPr>
          <w:rFonts w:asciiTheme="minorHAnsi" w:hAnsiTheme="minorHAnsi"/>
          <w:sz w:val="16"/>
        </w:rPr>
        <w:t xml:space="preserve"> blog, “</w:t>
      </w:r>
      <w:proofErr w:type="spellStart"/>
      <w:r>
        <w:rPr>
          <w:rFonts w:asciiTheme="minorHAnsi" w:hAnsiTheme="minorHAnsi"/>
          <w:sz w:val="16"/>
        </w:rPr>
        <w:t>Kiyemba</w:t>
      </w:r>
      <w:proofErr w:type="spellEnd"/>
      <w:r>
        <w:rPr>
          <w:rFonts w:asciiTheme="minorHAnsi" w:hAnsiTheme="minorHAnsi"/>
          <w:sz w:val="16"/>
        </w:rPr>
        <w:t xml:space="preserve"> II – Se Determina que los Castigos Crueles e Inusuales son Constitucionales” 24 de marzo de 2010. Disponible en: </w:t>
      </w:r>
      <w:hyperlink r:id="rId131">
        <w:r>
          <w:rPr>
            <w:rStyle w:val="Hyperlink"/>
            <w:rFonts w:asciiTheme="minorHAnsi" w:hAnsiTheme="minorHAnsi"/>
            <w:sz w:val="16"/>
          </w:rPr>
          <w:t>http://www.acslaw.org/acsblog/node/15653</w:t>
        </w:r>
      </w:hyperlink>
      <w:r>
        <w:rPr>
          <w:rFonts w:asciiTheme="minorHAnsi" w:hAnsiTheme="minorHAnsi"/>
          <w:sz w:val="16"/>
        </w:rPr>
        <w:t xml:space="preserve">; </w:t>
      </w:r>
      <w:proofErr w:type="spellStart"/>
      <w:r>
        <w:rPr>
          <w:rFonts w:asciiTheme="minorHAnsi" w:hAnsiTheme="minorHAnsi"/>
          <w:sz w:val="16"/>
        </w:rPr>
        <w:t>SCOTUSblog</w:t>
      </w:r>
      <w:proofErr w:type="spellEnd"/>
      <w:r>
        <w:rPr>
          <w:rFonts w:asciiTheme="minorHAnsi" w:hAnsiTheme="minorHAnsi"/>
          <w:sz w:val="16"/>
        </w:rPr>
        <w:t xml:space="preserve">, Nuevo Recurso </w:t>
      </w:r>
      <w:proofErr w:type="spellStart"/>
      <w:r>
        <w:rPr>
          <w:rFonts w:asciiTheme="minorHAnsi" w:hAnsiTheme="minorHAnsi"/>
          <w:sz w:val="16"/>
        </w:rPr>
        <w:t>respect</w:t>
      </w:r>
      <w:proofErr w:type="spellEnd"/>
      <w:r>
        <w:rPr>
          <w:rFonts w:asciiTheme="minorHAnsi" w:hAnsiTheme="minorHAnsi"/>
          <w:sz w:val="16"/>
        </w:rPr>
        <w:t xml:space="preserve"> de </w:t>
      </w:r>
      <w:proofErr w:type="spellStart"/>
      <w:r>
        <w:rPr>
          <w:rFonts w:asciiTheme="minorHAnsi" w:hAnsiTheme="minorHAnsi"/>
          <w:sz w:val="16"/>
        </w:rPr>
        <w:t>Kiyemba</w:t>
      </w:r>
      <w:proofErr w:type="spellEnd"/>
      <w:r>
        <w:rPr>
          <w:rFonts w:asciiTheme="minorHAnsi" w:hAnsiTheme="minorHAnsi"/>
          <w:sz w:val="16"/>
        </w:rPr>
        <w:t xml:space="preserve"> II por </w:t>
      </w:r>
      <w:proofErr w:type="spellStart"/>
      <w:r>
        <w:rPr>
          <w:rFonts w:asciiTheme="minorHAnsi" w:hAnsiTheme="minorHAnsi"/>
          <w:sz w:val="16"/>
        </w:rPr>
        <w:t>Lyle</w:t>
      </w:r>
      <w:proofErr w:type="spellEnd"/>
      <w:r>
        <w:rPr>
          <w:rFonts w:asciiTheme="minorHAnsi" w:hAnsiTheme="minorHAnsi"/>
          <w:sz w:val="16"/>
        </w:rPr>
        <w:t xml:space="preserve"> </w:t>
      </w:r>
      <w:proofErr w:type="spellStart"/>
      <w:r>
        <w:rPr>
          <w:rFonts w:asciiTheme="minorHAnsi" w:hAnsiTheme="minorHAnsi"/>
          <w:sz w:val="16"/>
        </w:rPr>
        <w:t>Denniston</w:t>
      </w:r>
      <w:proofErr w:type="spellEnd"/>
      <w:r>
        <w:rPr>
          <w:rFonts w:asciiTheme="minorHAnsi" w:hAnsiTheme="minorHAnsi"/>
          <w:sz w:val="16"/>
        </w:rPr>
        <w:t xml:space="preserve">, 24 de agosto de 2010. Disponible en: </w:t>
      </w:r>
      <w:hyperlink r:id="rId132">
        <w:r>
          <w:rPr>
            <w:rStyle w:val="Hyperlink"/>
            <w:rFonts w:asciiTheme="minorHAnsi" w:hAnsiTheme="minorHAnsi"/>
            <w:sz w:val="16"/>
          </w:rPr>
          <w:t>http://www.scotusblog.com/2010/08/new-challenge-to-kiyemba-ii/</w:t>
        </w:r>
      </w:hyperlink>
      <w:r>
        <w:rPr>
          <w:rFonts w:asciiTheme="minorHAnsi" w:hAnsiTheme="minorHAnsi"/>
          <w:sz w:val="16"/>
        </w:rPr>
        <w:t xml:space="preserve">; y </w:t>
      </w:r>
      <w:proofErr w:type="spellStart"/>
      <w:r>
        <w:rPr>
          <w:rFonts w:asciiTheme="minorHAnsi" w:hAnsiTheme="minorHAnsi"/>
          <w:sz w:val="16"/>
        </w:rPr>
        <w:t>Lawfare</w:t>
      </w:r>
      <w:proofErr w:type="spellEnd"/>
      <w:r>
        <w:rPr>
          <w:rFonts w:asciiTheme="minorHAnsi" w:hAnsiTheme="minorHAnsi"/>
          <w:sz w:val="16"/>
        </w:rPr>
        <w:t xml:space="preserve">, Otro Recurso de </w:t>
      </w:r>
      <w:proofErr w:type="spellStart"/>
      <w:r>
        <w:rPr>
          <w:rFonts w:asciiTheme="minorHAnsi" w:hAnsiTheme="minorHAnsi"/>
          <w:sz w:val="16"/>
        </w:rPr>
        <w:t>Certiorari</w:t>
      </w:r>
      <w:proofErr w:type="spellEnd"/>
      <w:r>
        <w:rPr>
          <w:rFonts w:asciiTheme="minorHAnsi" w:hAnsiTheme="minorHAnsi"/>
          <w:sz w:val="16"/>
        </w:rPr>
        <w:t xml:space="preserve"> para Presentar a </w:t>
      </w:r>
      <w:proofErr w:type="spellStart"/>
      <w:r>
        <w:rPr>
          <w:rFonts w:asciiTheme="minorHAnsi" w:hAnsiTheme="minorHAnsi"/>
          <w:sz w:val="16"/>
        </w:rPr>
        <w:t>Munaf</w:t>
      </w:r>
      <w:proofErr w:type="spellEnd"/>
      <w:r>
        <w:rPr>
          <w:rFonts w:asciiTheme="minorHAnsi" w:hAnsiTheme="minorHAnsi"/>
          <w:sz w:val="16"/>
        </w:rPr>
        <w:t xml:space="preserve"> y </w:t>
      </w:r>
      <w:proofErr w:type="spellStart"/>
      <w:r>
        <w:rPr>
          <w:rFonts w:asciiTheme="minorHAnsi" w:hAnsiTheme="minorHAnsi"/>
          <w:sz w:val="16"/>
        </w:rPr>
        <w:t>Kiyemba</w:t>
      </w:r>
      <w:proofErr w:type="spellEnd"/>
      <w:r>
        <w:rPr>
          <w:rFonts w:asciiTheme="minorHAnsi" w:hAnsiTheme="minorHAnsi"/>
          <w:sz w:val="16"/>
        </w:rPr>
        <w:t xml:space="preserve"> II ante los Jueces, 23 de septiembre de 2011. Disponible en: </w:t>
      </w:r>
      <w:hyperlink r:id="rId133">
        <w:r>
          <w:rPr>
            <w:rStyle w:val="Hyperlink"/>
            <w:rFonts w:asciiTheme="minorHAnsi" w:hAnsiTheme="minorHAnsi"/>
            <w:sz w:val="16"/>
          </w:rPr>
          <w:t>http://www.lawfareblog.com/2011/09/another-cert-petition-to-get-munaf-and-kiyemba-ii-before-the-justices/</w:t>
        </w:r>
      </w:hyperlink>
      <w:r>
        <w:rPr>
          <w:rFonts w:asciiTheme="minorHAnsi" w:hAnsiTheme="minorHAnsi"/>
          <w:sz w:val="16"/>
        </w:rPr>
        <w:t xml:space="preserve"> </w:t>
      </w:r>
    </w:p>
  </w:footnote>
  <w:footnote w:id="368">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i/>
          <w:sz w:val="16"/>
        </w:rPr>
        <w:t>Al respecto véase</w:t>
      </w:r>
      <w:r>
        <w:rPr>
          <w:rFonts w:asciiTheme="minorHAnsi" w:hAnsiTheme="minorHAnsi"/>
          <w:sz w:val="16"/>
        </w:rPr>
        <w:t xml:space="preserve">, Human </w:t>
      </w:r>
      <w:proofErr w:type="spellStart"/>
      <w:r>
        <w:rPr>
          <w:rFonts w:asciiTheme="minorHAnsi" w:hAnsiTheme="minorHAnsi"/>
          <w:sz w:val="16"/>
        </w:rPr>
        <w:t>Rights</w:t>
      </w:r>
      <w:proofErr w:type="spellEnd"/>
      <w:r>
        <w:rPr>
          <w:rFonts w:asciiTheme="minorHAnsi" w:hAnsiTheme="minorHAnsi"/>
          <w:sz w:val="16"/>
        </w:rPr>
        <w:t xml:space="preserve"> </w:t>
      </w:r>
      <w:proofErr w:type="spellStart"/>
      <w:r>
        <w:rPr>
          <w:rFonts w:asciiTheme="minorHAnsi" w:hAnsiTheme="minorHAnsi"/>
          <w:sz w:val="16"/>
        </w:rPr>
        <w:t>First</w:t>
      </w:r>
      <w:proofErr w:type="spellEnd"/>
      <w:r>
        <w:rPr>
          <w:rFonts w:asciiTheme="minorHAnsi" w:hAnsiTheme="minorHAnsi"/>
          <w:sz w:val="16"/>
        </w:rPr>
        <w:t xml:space="preserve">, </w:t>
      </w:r>
      <w:proofErr w:type="spellStart"/>
      <w:r>
        <w:rPr>
          <w:rFonts w:asciiTheme="minorHAnsi" w:hAnsiTheme="minorHAnsi"/>
          <w:sz w:val="16"/>
        </w:rPr>
        <w:t>Guantanamo</w:t>
      </w:r>
      <w:proofErr w:type="spellEnd"/>
      <w:r>
        <w:rPr>
          <w:rFonts w:asciiTheme="minorHAnsi" w:hAnsiTheme="minorHAnsi"/>
          <w:sz w:val="16"/>
        </w:rPr>
        <w:t xml:space="preserve">: Una Estrategia de Salida Comprehensiva, Anexo B: Trabajando en el marco de las restricciones a traslados de Guantánamo vigentes. Disponible en: </w:t>
      </w:r>
      <w:hyperlink r:id="rId134">
        <w:r>
          <w:rPr>
            <w:rStyle w:val="Hyperlink"/>
            <w:rFonts w:asciiTheme="minorHAnsi" w:hAnsiTheme="minorHAnsi"/>
            <w:sz w:val="16"/>
          </w:rPr>
          <w:t>http://www.humanrightsfirst.org/uploads/pdfs/close-GTMO-july-2013.pdf</w:t>
        </w:r>
      </w:hyperlink>
      <w:r>
        <w:rPr>
          <w:rFonts w:asciiTheme="minorHAnsi" w:hAnsiTheme="minorHAnsi"/>
          <w:sz w:val="16"/>
        </w:rPr>
        <w:t xml:space="preserve"> </w:t>
      </w:r>
    </w:p>
  </w:footnote>
  <w:footnote w:id="369">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Departamento de Defensa, Oficina de Comisiones Militares. Disponible en: </w:t>
      </w:r>
      <w:hyperlink r:id="rId135">
        <w:r>
          <w:rPr>
            <w:rStyle w:val="Hyperlink"/>
            <w:rFonts w:asciiTheme="minorHAnsi" w:hAnsiTheme="minorHAnsi"/>
            <w:sz w:val="16"/>
          </w:rPr>
          <w:t>http://www.mc.mil/Cases.aspx?caseType=omc&amp;status=4&amp;id=23</w:t>
        </w:r>
      </w:hyperlink>
      <w:r>
        <w:rPr>
          <w:rFonts w:asciiTheme="minorHAnsi" w:hAnsiTheme="minorHAnsi"/>
          <w:sz w:val="16"/>
        </w:rPr>
        <w:t xml:space="preserve"> </w:t>
      </w:r>
    </w:p>
  </w:footnote>
  <w:footnote w:id="370">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Anexo A al Acuerdo Prejudicial, 29 de febrero de 2012. Disponible en: </w:t>
      </w:r>
      <w:hyperlink r:id="rId136">
        <w:r>
          <w:rPr>
            <w:rStyle w:val="Hyperlink"/>
            <w:rFonts w:asciiTheme="minorHAnsi" w:hAnsiTheme="minorHAnsi"/>
            <w:sz w:val="16"/>
          </w:rPr>
          <w:t>http://www.mc.mil/Portals/0/pdfs/Khan/Khan%20(AE013)%20-%20Appendix%20A.pdf</w:t>
        </w:r>
      </w:hyperlink>
      <w:r>
        <w:rPr>
          <w:rFonts w:asciiTheme="minorHAnsi" w:hAnsiTheme="minorHAnsi"/>
          <w:sz w:val="16"/>
        </w:rPr>
        <w:t xml:space="preserve">. </w:t>
      </w:r>
      <w:r>
        <w:rPr>
          <w:rFonts w:asciiTheme="minorHAnsi" w:hAnsiTheme="minorHAnsi"/>
          <w:i/>
          <w:sz w:val="16"/>
        </w:rPr>
        <w:t>Ver también</w:t>
      </w:r>
      <w:r>
        <w:rPr>
          <w:rFonts w:asciiTheme="minorHAnsi" w:hAnsiTheme="minorHAnsi"/>
          <w:sz w:val="16"/>
        </w:rPr>
        <w:t xml:space="preserve">, </w:t>
      </w:r>
      <w:proofErr w:type="spellStart"/>
      <w:r>
        <w:rPr>
          <w:rFonts w:asciiTheme="minorHAnsi" w:hAnsiTheme="minorHAnsi"/>
          <w:sz w:val="16"/>
        </w:rPr>
        <w:t>The</w:t>
      </w:r>
      <w:proofErr w:type="spellEnd"/>
      <w:r>
        <w:rPr>
          <w:rFonts w:asciiTheme="minorHAnsi" w:hAnsiTheme="minorHAnsi"/>
          <w:sz w:val="16"/>
        </w:rPr>
        <w:t xml:space="preserve"> New York Times, Testimonio sobre Al Qaeda se Exige como parte del Acuerdo Inculpatorio, 29 de Febrero de 2012. Disponible en: </w:t>
      </w:r>
      <w:hyperlink r:id="rId137">
        <w:r>
          <w:rPr>
            <w:rStyle w:val="Hyperlink"/>
            <w:rFonts w:asciiTheme="minorHAnsi" w:hAnsiTheme="minorHAnsi"/>
            <w:sz w:val="16"/>
          </w:rPr>
          <w:t>http://www.nytimes.com/2012/03/01/us/majid-khan-pleads-guilty-to-terrorism-plots-in-military-court.html?_r=0</w:t>
        </w:r>
      </w:hyperlink>
      <w:r>
        <w:rPr>
          <w:rFonts w:asciiTheme="minorHAnsi" w:hAnsiTheme="minorHAnsi"/>
          <w:sz w:val="16"/>
        </w:rPr>
        <w:t xml:space="preserve">; y Center </w:t>
      </w:r>
      <w:proofErr w:type="spellStart"/>
      <w:r>
        <w:rPr>
          <w:rFonts w:asciiTheme="minorHAnsi" w:hAnsiTheme="minorHAnsi"/>
          <w:sz w:val="16"/>
        </w:rPr>
        <w:t>for</w:t>
      </w:r>
      <w:proofErr w:type="spellEnd"/>
      <w:r>
        <w:rPr>
          <w:rFonts w:asciiTheme="minorHAnsi" w:hAnsiTheme="minorHAnsi"/>
          <w:sz w:val="16"/>
        </w:rPr>
        <w:t xml:space="preserve"> </w:t>
      </w:r>
      <w:proofErr w:type="spellStart"/>
      <w:r>
        <w:rPr>
          <w:rFonts w:asciiTheme="minorHAnsi" w:hAnsiTheme="minorHAnsi"/>
          <w:sz w:val="16"/>
        </w:rPr>
        <w:t>Constitutional</w:t>
      </w:r>
      <w:proofErr w:type="spellEnd"/>
      <w:r>
        <w:rPr>
          <w:rFonts w:asciiTheme="minorHAnsi" w:hAnsiTheme="minorHAnsi"/>
          <w:sz w:val="16"/>
        </w:rPr>
        <w:t xml:space="preserve"> </w:t>
      </w:r>
      <w:proofErr w:type="spellStart"/>
      <w:r>
        <w:rPr>
          <w:rFonts w:asciiTheme="minorHAnsi" w:hAnsiTheme="minorHAnsi"/>
          <w:sz w:val="16"/>
        </w:rPr>
        <w:t>Rights</w:t>
      </w:r>
      <w:proofErr w:type="spellEnd"/>
      <w:r>
        <w:rPr>
          <w:rFonts w:asciiTheme="minorHAnsi" w:hAnsiTheme="minorHAnsi"/>
          <w:sz w:val="16"/>
        </w:rPr>
        <w:t xml:space="preserve">, </w:t>
      </w:r>
      <w:proofErr w:type="spellStart"/>
      <w:r>
        <w:rPr>
          <w:rFonts w:asciiTheme="minorHAnsi" w:hAnsiTheme="minorHAnsi"/>
          <w:sz w:val="16"/>
        </w:rPr>
        <w:t>Khan</w:t>
      </w:r>
      <w:proofErr w:type="spellEnd"/>
      <w:r>
        <w:rPr>
          <w:rFonts w:asciiTheme="minorHAnsi" w:hAnsiTheme="minorHAnsi"/>
          <w:sz w:val="16"/>
        </w:rPr>
        <w:t xml:space="preserve"> v. Obama/ </w:t>
      </w:r>
      <w:proofErr w:type="spellStart"/>
      <w:r>
        <w:rPr>
          <w:rFonts w:asciiTheme="minorHAnsi" w:hAnsiTheme="minorHAnsi"/>
          <w:sz w:val="16"/>
        </w:rPr>
        <w:t>Khan</w:t>
      </w:r>
      <w:proofErr w:type="spellEnd"/>
      <w:r>
        <w:rPr>
          <w:rFonts w:asciiTheme="minorHAnsi" w:hAnsiTheme="minorHAnsi"/>
          <w:sz w:val="16"/>
        </w:rPr>
        <w:t xml:space="preserve"> v. Gates. Disponible en: </w:t>
      </w:r>
      <w:hyperlink r:id="rId138">
        <w:r>
          <w:rPr>
            <w:rStyle w:val="Hyperlink"/>
            <w:rFonts w:asciiTheme="minorHAnsi" w:hAnsiTheme="minorHAnsi"/>
            <w:sz w:val="16"/>
          </w:rPr>
          <w:t>http://ccrjustice.org/ourcases/current-cases/khan-v.-obama-/-khan-v.-gates</w:t>
        </w:r>
      </w:hyperlink>
      <w:r>
        <w:rPr>
          <w:rFonts w:asciiTheme="minorHAnsi" w:hAnsiTheme="minorHAnsi"/>
          <w:sz w:val="16"/>
        </w:rPr>
        <w:t xml:space="preserve"> </w:t>
      </w:r>
    </w:p>
  </w:footnote>
  <w:footnote w:id="371">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Acuerdo Prejudicial, 20 de febrero de 2014. Disponible en: </w:t>
      </w:r>
      <w:hyperlink r:id="rId139">
        <w:r>
          <w:rPr>
            <w:rStyle w:val="Hyperlink"/>
            <w:rFonts w:asciiTheme="minorHAnsi" w:hAnsiTheme="minorHAnsi"/>
            <w:sz w:val="16"/>
          </w:rPr>
          <w:t>http://www.mc.mil/Cases.aspx?caseType=omc&amp;status=4&amp;id=23</w:t>
        </w:r>
      </w:hyperlink>
      <w:r>
        <w:rPr>
          <w:rFonts w:asciiTheme="minorHAnsi" w:hAnsiTheme="minorHAnsi"/>
          <w:sz w:val="16"/>
        </w:rPr>
        <w:t xml:space="preserve">. </w:t>
      </w:r>
      <w:r>
        <w:rPr>
          <w:rFonts w:asciiTheme="minorHAnsi" w:hAnsiTheme="minorHAnsi"/>
          <w:i/>
          <w:sz w:val="16"/>
        </w:rPr>
        <w:t>Ver también</w:t>
      </w:r>
      <w:r>
        <w:rPr>
          <w:rFonts w:asciiTheme="minorHAnsi" w:hAnsiTheme="minorHAnsi"/>
          <w:sz w:val="16"/>
        </w:rPr>
        <w:t xml:space="preserve">, Human </w:t>
      </w:r>
      <w:proofErr w:type="spellStart"/>
      <w:r>
        <w:rPr>
          <w:rFonts w:asciiTheme="minorHAnsi" w:hAnsiTheme="minorHAnsi"/>
          <w:sz w:val="16"/>
        </w:rPr>
        <w:t>Rights</w:t>
      </w:r>
      <w:proofErr w:type="spellEnd"/>
      <w:r>
        <w:rPr>
          <w:rFonts w:asciiTheme="minorHAnsi" w:hAnsiTheme="minorHAnsi"/>
          <w:sz w:val="16"/>
        </w:rPr>
        <w:t xml:space="preserve"> </w:t>
      </w:r>
      <w:proofErr w:type="spellStart"/>
      <w:r>
        <w:rPr>
          <w:rFonts w:asciiTheme="minorHAnsi" w:hAnsiTheme="minorHAnsi"/>
          <w:sz w:val="16"/>
        </w:rPr>
        <w:t>Watch</w:t>
      </w:r>
      <w:proofErr w:type="spellEnd"/>
      <w:r>
        <w:rPr>
          <w:rFonts w:asciiTheme="minorHAnsi" w:hAnsiTheme="minorHAnsi"/>
          <w:sz w:val="16"/>
        </w:rPr>
        <w:t>, Ahmed Mohammed Ahmed Haza al-</w:t>
      </w:r>
      <w:proofErr w:type="spellStart"/>
      <w:r>
        <w:rPr>
          <w:rFonts w:asciiTheme="minorHAnsi" w:hAnsiTheme="minorHAnsi"/>
          <w:sz w:val="16"/>
        </w:rPr>
        <w:t>Darbi</w:t>
      </w:r>
      <w:proofErr w:type="spellEnd"/>
      <w:r>
        <w:rPr>
          <w:rFonts w:asciiTheme="minorHAnsi" w:hAnsiTheme="minorHAnsi"/>
          <w:sz w:val="16"/>
        </w:rPr>
        <w:t xml:space="preserve">. Disponible en: </w:t>
      </w:r>
      <w:hyperlink r:id="rId140">
        <w:r>
          <w:rPr>
            <w:rStyle w:val="Hyperlink"/>
            <w:rFonts w:asciiTheme="minorHAnsi" w:hAnsiTheme="minorHAnsi"/>
            <w:sz w:val="16"/>
          </w:rPr>
          <w:t>http://www.hrw.org/news/2014/04/21/ahmed-mohammed-ahmed-haza-al-darbi</w:t>
        </w:r>
      </w:hyperlink>
      <w:r>
        <w:rPr>
          <w:rFonts w:asciiTheme="minorHAnsi" w:hAnsiTheme="minorHAnsi"/>
          <w:sz w:val="16"/>
        </w:rPr>
        <w:t xml:space="preserve"> </w:t>
      </w:r>
    </w:p>
  </w:footnote>
  <w:footnote w:id="372">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proofErr w:type="spellStart"/>
      <w:r>
        <w:rPr>
          <w:rFonts w:asciiTheme="minorHAnsi" w:hAnsiTheme="minorHAnsi"/>
          <w:sz w:val="16"/>
        </w:rPr>
        <w:t>The</w:t>
      </w:r>
      <w:proofErr w:type="spellEnd"/>
      <w:r>
        <w:rPr>
          <w:rFonts w:asciiTheme="minorHAnsi" w:hAnsiTheme="minorHAnsi"/>
          <w:sz w:val="16"/>
        </w:rPr>
        <w:t xml:space="preserve"> </w:t>
      </w:r>
      <w:proofErr w:type="spellStart"/>
      <w:r>
        <w:rPr>
          <w:rFonts w:asciiTheme="minorHAnsi" w:hAnsiTheme="minorHAnsi"/>
          <w:sz w:val="16"/>
        </w:rPr>
        <w:t>Daily</w:t>
      </w:r>
      <w:proofErr w:type="spellEnd"/>
      <w:r>
        <w:rPr>
          <w:rFonts w:asciiTheme="minorHAnsi" w:hAnsiTheme="minorHAnsi"/>
          <w:sz w:val="16"/>
        </w:rPr>
        <w:t xml:space="preserve"> Times, Audiencia sobre el 9/11 en Guantánamo cancelada luego del informe sobre la tortura en Estados Unidos, 17 de diciembre de 2014. Disponible en: </w:t>
      </w:r>
      <w:hyperlink r:id="rId141">
        <w:r>
          <w:rPr>
            <w:rStyle w:val="Hyperlink"/>
            <w:rFonts w:asciiTheme="minorHAnsi" w:hAnsiTheme="minorHAnsi"/>
            <w:sz w:val="16"/>
          </w:rPr>
          <w:t>http://www.dailytimes.com.pk/foreign/17-Dec-2014/guantanamo-9-11-hearing-cancelled-after-us-torture-report</w:t>
        </w:r>
      </w:hyperlink>
      <w:r>
        <w:rPr>
          <w:rFonts w:asciiTheme="minorHAnsi" w:hAnsiTheme="minorHAnsi"/>
          <w:sz w:val="16"/>
        </w:rPr>
        <w:t xml:space="preserve">; </w:t>
      </w:r>
      <w:proofErr w:type="spellStart"/>
      <w:r>
        <w:rPr>
          <w:rFonts w:asciiTheme="minorHAnsi" w:hAnsiTheme="minorHAnsi"/>
          <w:sz w:val="16"/>
        </w:rPr>
        <w:t>The</w:t>
      </w:r>
      <w:proofErr w:type="spellEnd"/>
      <w:r>
        <w:rPr>
          <w:rFonts w:asciiTheme="minorHAnsi" w:hAnsiTheme="minorHAnsi"/>
          <w:sz w:val="16"/>
        </w:rPr>
        <w:t xml:space="preserve"> </w:t>
      </w:r>
      <w:proofErr w:type="spellStart"/>
      <w:r>
        <w:rPr>
          <w:rFonts w:asciiTheme="minorHAnsi" w:hAnsiTheme="minorHAnsi"/>
          <w:sz w:val="16"/>
        </w:rPr>
        <w:t>Daily</w:t>
      </w:r>
      <w:proofErr w:type="spellEnd"/>
      <w:r>
        <w:rPr>
          <w:rFonts w:asciiTheme="minorHAnsi" w:hAnsiTheme="minorHAnsi"/>
          <w:sz w:val="16"/>
        </w:rPr>
        <w:t xml:space="preserve"> </w:t>
      </w:r>
      <w:proofErr w:type="spellStart"/>
      <w:r>
        <w:rPr>
          <w:rFonts w:asciiTheme="minorHAnsi" w:hAnsiTheme="minorHAnsi"/>
          <w:sz w:val="16"/>
        </w:rPr>
        <w:t>Beast</w:t>
      </w:r>
      <w:proofErr w:type="spellEnd"/>
      <w:r>
        <w:rPr>
          <w:rFonts w:asciiTheme="minorHAnsi" w:hAnsiTheme="minorHAnsi"/>
          <w:sz w:val="16"/>
        </w:rPr>
        <w:t xml:space="preserve">, Los Fiscales no Tienen Idea de Cuándo Empezará el Juicio contra los Autores Intelectuales del 9/11. 17 de diciembre de 2014. Disponible en: </w:t>
      </w:r>
      <w:hyperlink r:id="rId142">
        <w:r>
          <w:rPr>
            <w:rStyle w:val="Hyperlink"/>
            <w:rFonts w:asciiTheme="minorHAnsi" w:hAnsiTheme="minorHAnsi"/>
            <w:sz w:val="16"/>
          </w:rPr>
          <w:t>http://www.thedailybeast.com/articles/2014/12/17/prosecutors-have-no-idea-when-9-11-mastermind-s-trial-will-start.html</w:t>
        </w:r>
      </w:hyperlink>
      <w:r>
        <w:rPr>
          <w:rFonts w:asciiTheme="minorHAnsi" w:hAnsiTheme="minorHAnsi"/>
          <w:sz w:val="16"/>
        </w:rPr>
        <w:t xml:space="preserve">. </w:t>
      </w:r>
    </w:p>
  </w:footnote>
  <w:footnote w:id="373">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i/>
          <w:sz w:val="16"/>
        </w:rPr>
        <w:t>Al respecto véase</w:t>
      </w:r>
      <w:r>
        <w:rPr>
          <w:rFonts w:asciiTheme="minorHAnsi" w:hAnsiTheme="minorHAnsi"/>
          <w:sz w:val="16"/>
        </w:rPr>
        <w:t xml:space="preserve">, </w:t>
      </w:r>
      <w:proofErr w:type="spellStart"/>
      <w:r>
        <w:rPr>
          <w:rFonts w:asciiTheme="minorHAnsi" w:hAnsiTheme="minorHAnsi"/>
          <w:sz w:val="16"/>
        </w:rPr>
        <w:t>Lawfare</w:t>
      </w:r>
      <w:proofErr w:type="spellEnd"/>
      <w:r>
        <w:rPr>
          <w:rFonts w:asciiTheme="minorHAnsi" w:hAnsiTheme="minorHAnsi"/>
          <w:sz w:val="16"/>
        </w:rPr>
        <w:t xml:space="preserve">, Sesión 8/13: Terminación de la Representación, Reconsiderada Nuevamente, 14 de agosto de 2014. Disponible en: </w:t>
      </w:r>
      <w:hyperlink r:id="rId143">
        <w:r>
          <w:rPr>
            <w:rStyle w:val="Hyperlink"/>
            <w:rFonts w:asciiTheme="minorHAnsi" w:hAnsiTheme="minorHAnsi"/>
            <w:sz w:val="16"/>
          </w:rPr>
          <w:t>http://www.lawfareblog.com/2014/08/813-session-severance-re-reconsidered/</w:t>
        </w:r>
      </w:hyperlink>
      <w:r>
        <w:rPr>
          <w:rFonts w:asciiTheme="minorHAnsi" w:hAnsiTheme="minorHAnsi"/>
          <w:sz w:val="16"/>
        </w:rPr>
        <w:t>; y Sesión 8/14 #2: Sobre la Terminación de la Representación de Al-</w:t>
      </w:r>
      <w:proofErr w:type="spellStart"/>
      <w:r>
        <w:rPr>
          <w:rFonts w:asciiTheme="minorHAnsi" w:hAnsiTheme="minorHAnsi"/>
          <w:sz w:val="16"/>
        </w:rPr>
        <w:t>Hawsawi</w:t>
      </w:r>
      <w:proofErr w:type="spellEnd"/>
      <w:r>
        <w:rPr>
          <w:rFonts w:asciiTheme="minorHAnsi" w:hAnsiTheme="minorHAnsi"/>
          <w:sz w:val="16"/>
        </w:rPr>
        <w:t>, 15 de agosto de 2014. Disponible en:</w:t>
      </w:r>
      <w:hyperlink r:id="rId144">
        <w:r>
          <w:rPr>
            <w:rStyle w:val="Hyperlink"/>
            <w:rFonts w:asciiTheme="minorHAnsi" w:hAnsiTheme="minorHAnsi"/>
            <w:sz w:val="16"/>
          </w:rPr>
          <w:t>http://www.lawfareblog.com/2014/08/814-session-2-on-severing-al-hawsawi/</w:t>
        </w:r>
      </w:hyperlink>
      <w:r>
        <w:rPr>
          <w:rFonts w:asciiTheme="minorHAnsi" w:hAnsiTheme="minorHAnsi"/>
          <w:sz w:val="16"/>
        </w:rPr>
        <w:t xml:space="preserve"> </w:t>
      </w:r>
    </w:p>
  </w:footnote>
  <w:footnote w:id="374">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Style w:val="FootnoteReference"/>
          <w:rFonts w:asciiTheme="minorHAnsi" w:hAnsiTheme="minorHAnsi"/>
          <w:sz w:val="16"/>
        </w:rPr>
        <w:t xml:space="preserve"> </w:t>
      </w:r>
      <w:r>
        <w:tab/>
      </w:r>
      <w:r>
        <w:rPr>
          <w:rFonts w:asciiTheme="minorHAnsi" w:hAnsiTheme="minorHAnsi"/>
          <w:sz w:val="16"/>
        </w:rPr>
        <w:t xml:space="preserve">Departamento de Defensa, Oficina de Comisiones Militares. </w:t>
      </w:r>
    </w:p>
  </w:footnote>
  <w:footnote w:id="375">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i/>
          <w:sz w:val="16"/>
        </w:rPr>
        <w:t>Al respecto véase</w:t>
      </w:r>
      <w:r>
        <w:rPr>
          <w:rFonts w:asciiTheme="minorHAnsi" w:hAnsiTheme="minorHAnsi"/>
          <w:sz w:val="16"/>
        </w:rPr>
        <w:t xml:space="preserve">, </w:t>
      </w:r>
      <w:proofErr w:type="spellStart"/>
      <w:r>
        <w:rPr>
          <w:rFonts w:asciiTheme="minorHAnsi" w:hAnsiTheme="minorHAnsi"/>
          <w:sz w:val="16"/>
        </w:rPr>
        <w:t>Just</w:t>
      </w:r>
      <w:proofErr w:type="spellEnd"/>
      <w:r>
        <w:rPr>
          <w:rFonts w:asciiTheme="minorHAnsi" w:hAnsiTheme="minorHAnsi"/>
          <w:sz w:val="16"/>
        </w:rPr>
        <w:t xml:space="preserve"> Security, Recurso de </w:t>
      </w:r>
      <w:proofErr w:type="spellStart"/>
      <w:r>
        <w:rPr>
          <w:rFonts w:asciiTheme="minorHAnsi" w:hAnsiTheme="minorHAnsi"/>
          <w:sz w:val="16"/>
        </w:rPr>
        <w:t>mandamus</w:t>
      </w:r>
      <w:proofErr w:type="spellEnd"/>
      <w:r>
        <w:rPr>
          <w:rFonts w:asciiTheme="minorHAnsi" w:hAnsiTheme="minorHAnsi"/>
          <w:sz w:val="16"/>
        </w:rPr>
        <w:t xml:space="preserve"> de al-</w:t>
      </w:r>
      <w:proofErr w:type="spellStart"/>
      <w:r>
        <w:rPr>
          <w:rFonts w:asciiTheme="minorHAnsi" w:hAnsiTheme="minorHAnsi"/>
          <w:sz w:val="16"/>
        </w:rPr>
        <w:t>Nashiri</w:t>
      </w:r>
      <w:proofErr w:type="spellEnd"/>
      <w:r>
        <w:rPr>
          <w:rFonts w:asciiTheme="minorHAnsi" w:hAnsiTheme="minorHAnsi"/>
          <w:sz w:val="16"/>
        </w:rPr>
        <w:t xml:space="preserve">: Respuesta del Gobierno y Fecha de la Audiencia Oral, por </w:t>
      </w:r>
      <w:proofErr w:type="spellStart"/>
      <w:r>
        <w:rPr>
          <w:rFonts w:asciiTheme="minorHAnsi" w:hAnsiTheme="minorHAnsi"/>
          <w:sz w:val="16"/>
        </w:rPr>
        <w:t>Marty</w:t>
      </w:r>
      <w:proofErr w:type="spellEnd"/>
      <w:r>
        <w:rPr>
          <w:rFonts w:asciiTheme="minorHAnsi" w:hAnsiTheme="minorHAnsi"/>
          <w:sz w:val="16"/>
        </w:rPr>
        <w:t xml:space="preserve"> </w:t>
      </w:r>
      <w:proofErr w:type="spellStart"/>
      <w:r>
        <w:rPr>
          <w:rFonts w:asciiTheme="minorHAnsi" w:hAnsiTheme="minorHAnsi"/>
          <w:sz w:val="16"/>
        </w:rPr>
        <w:t>Lederman</w:t>
      </w:r>
      <w:proofErr w:type="spellEnd"/>
      <w:r>
        <w:rPr>
          <w:rFonts w:asciiTheme="minorHAnsi" w:hAnsiTheme="minorHAnsi"/>
          <w:sz w:val="16"/>
        </w:rPr>
        <w:t xml:space="preserve">, 3 de diciembre de 2014. Disponible en: </w:t>
      </w:r>
      <w:hyperlink r:id="rId145">
        <w:r>
          <w:rPr>
            <w:rStyle w:val="Hyperlink"/>
            <w:rFonts w:asciiTheme="minorHAnsi" w:hAnsiTheme="minorHAnsi"/>
            <w:sz w:val="16"/>
          </w:rPr>
          <w:t>http://justsecurity.org/17968/al-nashiri-mandamus-petition-government-response-oral-argument-date/</w:t>
        </w:r>
      </w:hyperlink>
      <w:r>
        <w:rPr>
          <w:rFonts w:asciiTheme="minorHAnsi" w:hAnsiTheme="minorHAnsi"/>
          <w:sz w:val="16"/>
        </w:rPr>
        <w:t xml:space="preserve">. </w:t>
      </w:r>
    </w:p>
  </w:footnote>
  <w:footnote w:id="376">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i/>
          <w:sz w:val="16"/>
        </w:rPr>
        <w:t>Al respecto véase</w:t>
      </w:r>
      <w:r>
        <w:rPr>
          <w:rFonts w:asciiTheme="minorHAnsi" w:hAnsiTheme="minorHAnsi"/>
          <w:sz w:val="16"/>
        </w:rPr>
        <w:t xml:space="preserve">, </w:t>
      </w:r>
      <w:proofErr w:type="spellStart"/>
      <w:r>
        <w:rPr>
          <w:rFonts w:asciiTheme="minorHAnsi" w:hAnsiTheme="minorHAnsi"/>
          <w:sz w:val="16"/>
        </w:rPr>
        <w:t>Just</w:t>
      </w:r>
      <w:proofErr w:type="spellEnd"/>
      <w:r>
        <w:rPr>
          <w:rFonts w:asciiTheme="minorHAnsi" w:hAnsiTheme="minorHAnsi"/>
          <w:sz w:val="16"/>
        </w:rPr>
        <w:t xml:space="preserve"> Security, Nuevos desarrollos en al-</w:t>
      </w:r>
      <w:proofErr w:type="spellStart"/>
      <w:r>
        <w:rPr>
          <w:rFonts w:asciiTheme="minorHAnsi" w:hAnsiTheme="minorHAnsi"/>
          <w:sz w:val="16"/>
        </w:rPr>
        <w:t>Nashiri</w:t>
      </w:r>
      <w:proofErr w:type="spellEnd"/>
      <w:r>
        <w:rPr>
          <w:rFonts w:asciiTheme="minorHAnsi" w:hAnsiTheme="minorHAnsi"/>
          <w:sz w:val="16"/>
        </w:rPr>
        <w:t xml:space="preserve"> … sobre los cargos relacionados con el MV </w:t>
      </w:r>
      <w:proofErr w:type="spellStart"/>
      <w:r>
        <w:rPr>
          <w:rFonts w:asciiTheme="minorHAnsi" w:hAnsiTheme="minorHAnsi"/>
          <w:sz w:val="16"/>
        </w:rPr>
        <w:t>Limburg</w:t>
      </w:r>
      <w:proofErr w:type="spellEnd"/>
      <w:r>
        <w:rPr>
          <w:rFonts w:asciiTheme="minorHAnsi" w:hAnsiTheme="minorHAnsi"/>
          <w:sz w:val="16"/>
        </w:rPr>
        <w:t xml:space="preserve"> y el USS COLE, por </w:t>
      </w:r>
      <w:proofErr w:type="spellStart"/>
      <w:r>
        <w:rPr>
          <w:rFonts w:asciiTheme="minorHAnsi" w:hAnsiTheme="minorHAnsi"/>
          <w:sz w:val="16"/>
        </w:rPr>
        <w:t>Marty</w:t>
      </w:r>
      <w:proofErr w:type="spellEnd"/>
      <w:r>
        <w:rPr>
          <w:rFonts w:asciiTheme="minorHAnsi" w:hAnsiTheme="minorHAnsi"/>
          <w:sz w:val="16"/>
        </w:rPr>
        <w:t xml:space="preserve"> </w:t>
      </w:r>
      <w:proofErr w:type="spellStart"/>
      <w:r>
        <w:rPr>
          <w:rFonts w:asciiTheme="minorHAnsi" w:hAnsiTheme="minorHAnsi"/>
          <w:sz w:val="16"/>
        </w:rPr>
        <w:t>Lederman</w:t>
      </w:r>
      <w:proofErr w:type="spellEnd"/>
      <w:r>
        <w:rPr>
          <w:rFonts w:asciiTheme="minorHAnsi" w:hAnsiTheme="minorHAnsi"/>
          <w:sz w:val="16"/>
        </w:rPr>
        <w:t xml:space="preserve">, 17 de octubre de 2014 (Actualizado a noviembre de 2014). Disponible en: </w:t>
      </w:r>
      <w:hyperlink r:id="rId146">
        <w:r>
          <w:rPr>
            <w:rStyle w:val="Hyperlink"/>
            <w:rFonts w:asciiTheme="minorHAnsi" w:hAnsiTheme="minorHAnsi"/>
            <w:sz w:val="16"/>
          </w:rPr>
          <w:t>http://justsecurity.org/16395/al-nashiri-cmcr-limburg-charges/</w:t>
        </w:r>
      </w:hyperlink>
      <w:r>
        <w:rPr>
          <w:rFonts w:asciiTheme="minorHAnsi" w:hAnsiTheme="minorHAnsi"/>
          <w:sz w:val="16"/>
        </w:rPr>
        <w:t xml:space="preserve">. </w:t>
      </w:r>
    </w:p>
  </w:footnote>
  <w:footnote w:id="377">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Departamento de Defensa, Oficina de Comisiones Militares. </w:t>
      </w:r>
    </w:p>
  </w:footnote>
  <w:footnote w:id="378">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Departamento de Defensa, Oficina de Comisiones Militares, </w:t>
      </w:r>
      <w:proofErr w:type="spellStart"/>
      <w:r>
        <w:rPr>
          <w:rFonts w:asciiTheme="minorHAnsi" w:hAnsiTheme="minorHAnsi"/>
          <w:sz w:val="16"/>
        </w:rPr>
        <w:t>Transcript</w:t>
      </w:r>
      <w:proofErr w:type="spellEnd"/>
      <w:r>
        <w:rPr>
          <w:rFonts w:asciiTheme="minorHAnsi" w:hAnsiTheme="minorHAnsi"/>
          <w:sz w:val="16"/>
        </w:rPr>
        <w:t xml:space="preserve"> No Oficial/No Autenticado, R.M.C. Sesión 803, 15 de septiembre de 2014, págs. 26 y 61. Disponible en: </w:t>
      </w:r>
      <w:hyperlink r:id="rId147">
        <w:r>
          <w:rPr>
            <w:rStyle w:val="Hyperlink"/>
            <w:rFonts w:asciiTheme="minorHAnsi" w:hAnsiTheme="minorHAnsi"/>
            <w:sz w:val="16"/>
          </w:rPr>
          <w:t>http://www.mc.mil/Portals/0/pdfs/alIraqi/al%20Iraqi%20(TRANS15Sep2014-PM).pdf</w:t>
        </w:r>
      </w:hyperlink>
      <w:r>
        <w:rPr>
          <w:rFonts w:asciiTheme="minorHAnsi" w:hAnsiTheme="minorHAnsi"/>
          <w:sz w:val="16"/>
        </w:rPr>
        <w:t xml:space="preserve"> </w:t>
      </w:r>
    </w:p>
  </w:footnote>
  <w:footnote w:id="379">
    <w:p w:rsidR="00AF130B" w:rsidRPr="00AF1564" w:rsidRDefault="00AF130B" w:rsidP="00CE3EC6">
      <w:pPr>
        <w:pStyle w:val="FootnoteText"/>
        <w:ind w:left="547" w:hanging="547"/>
        <w:jc w:val="both"/>
        <w:rPr>
          <w:rFonts w:asciiTheme="minorHAnsi" w:hAnsiTheme="minorHAnsi"/>
          <w:sz w:val="16"/>
          <w:szCs w:val="16"/>
          <w:lang w:val="en-US"/>
        </w:rPr>
      </w:pPr>
      <w:r>
        <w:rPr>
          <w:rStyle w:val="FootnoteReference"/>
          <w:rFonts w:asciiTheme="minorHAnsi" w:hAnsiTheme="minorHAnsi"/>
          <w:sz w:val="16"/>
        </w:rPr>
        <w:footnoteRef/>
      </w:r>
      <w:r w:rsidRPr="00AF1564">
        <w:rPr>
          <w:rFonts w:asciiTheme="minorHAnsi" w:hAnsiTheme="minorHAnsi"/>
          <w:sz w:val="16"/>
          <w:lang w:val="en-US"/>
        </w:rPr>
        <w:t xml:space="preserve"> </w:t>
      </w:r>
      <w:r w:rsidRPr="00AF1564">
        <w:rPr>
          <w:lang w:val="en-US"/>
        </w:rPr>
        <w:tab/>
      </w:r>
      <w:proofErr w:type="spellStart"/>
      <w:proofErr w:type="gramStart"/>
      <w:r w:rsidRPr="00AF1564">
        <w:rPr>
          <w:rFonts w:asciiTheme="minorHAnsi" w:hAnsiTheme="minorHAnsi"/>
          <w:i/>
          <w:sz w:val="16"/>
          <w:lang w:val="en-US"/>
        </w:rPr>
        <w:t>Hamdan</w:t>
      </w:r>
      <w:proofErr w:type="spellEnd"/>
      <w:r w:rsidRPr="00AF1564">
        <w:rPr>
          <w:rFonts w:asciiTheme="minorHAnsi" w:hAnsiTheme="minorHAnsi"/>
          <w:i/>
          <w:sz w:val="16"/>
          <w:lang w:val="en-US"/>
        </w:rPr>
        <w:t xml:space="preserve"> v. U.S.</w:t>
      </w:r>
      <w:r w:rsidRPr="00AF1564">
        <w:rPr>
          <w:rFonts w:asciiTheme="minorHAnsi" w:hAnsiTheme="minorHAnsi"/>
          <w:sz w:val="16"/>
          <w:lang w:val="en-US"/>
        </w:rPr>
        <w:t>, 696 F.3d 1238 (2012).</w:t>
      </w:r>
      <w:proofErr w:type="gramEnd"/>
    </w:p>
  </w:footnote>
  <w:footnote w:id="380">
    <w:p w:rsidR="00AF130B" w:rsidRPr="00AF1564" w:rsidRDefault="00AF130B" w:rsidP="00CE3EC6">
      <w:pPr>
        <w:pStyle w:val="FootnoteText"/>
        <w:ind w:left="547" w:hanging="547"/>
        <w:jc w:val="both"/>
        <w:rPr>
          <w:rFonts w:asciiTheme="minorHAnsi" w:hAnsiTheme="minorHAnsi"/>
          <w:sz w:val="16"/>
          <w:szCs w:val="16"/>
          <w:lang w:val="en-US"/>
        </w:rPr>
      </w:pPr>
      <w:r>
        <w:rPr>
          <w:rStyle w:val="FootnoteReference"/>
          <w:rFonts w:asciiTheme="minorHAnsi" w:hAnsiTheme="minorHAnsi"/>
          <w:sz w:val="16"/>
        </w:rPr>
        <w:footnoteRef/>
      </w:r>
      <w:r w:rsidRPr="00AF1564">
        <w:rPr>
          <w:rFonts w:asciiTheme="minorHAnsi" w:hAnsiTheme="minorHAnsi"/>
          <w:sz w:val="16"/>
          <w:lang w:val="en-US"/>
        </w:rPr>
        <w:t xml:space="preserve"> </w:t>
      </w:r>
      <w:r w:rsidRPr="00AF1564">
        <w:rPr>
          <w:lang w:val="en-US"/>
        </w:rPr>
        <w:tab/>
      </w:r>
      <w:proofErr w:type="gramStart"/>
      <w:r w:rsidRPr="00AF1564">
        <w:rPr>
          <w:rFonts w:asciiTheme="minorHAnsi" w:hAnsiTheme="minorHAnsi"/>
          <w:sz w:val="16"/>
          <w:lang w:val="en-US"/>
        </w:rPr>
        <w:t xml:space="preserve">Al </w:t>
      </w:r>
      <w:proofErr w:type="spellStart"/>
      <w:r w:rsidRPr="00AF1564">
        <w:rPr>
          <w:rFonts w:asciiTheme="minorHAnsi" w:hAnsiTheme="minorHAnsi"/>
          <w:sz w:val="16"/>
          <w:lang w:val="en-US"/>
        </w:rPr>
        <w:t>Bahlul</w:t>
      </w:r>
      <w:proofErr w:type="spellEnd"/>
      <w:r w:rsidRPr="00AF1564">
        <w:rPr>
          <w:rFonts w:asciiTheme="minorHAnsi" w:hAnsiTheme="minorHAnsi"/>
          <w:sz w:val="16"/>
          <w:lang w:val="en-US"/>
        </w:rPr>
        <w:t xml:space="preserve"> v. U.S., (2014).</w:t>
      </w:r>
      <w:proofErr w:type="gramEnd"/>
    </w:p>
  </w:footnote>
  <w:footnote w:id="381">
    <w:p w:rsidR="00AF130B" w:rsidRPr="00AF1564" w:rsidRDefault="00AF130B" w:rsidP="00CE3EC6">
      <w:pPr>
        <w:pStyle w:val="FootnoteText"/>
        <w:ind w:left="547" w:hanging="547"/>
        <w:jc w:val="both"/>
        <w:rPr>
          <w:rFonts w:asciiTheme="minorHAnsi" w:hAnsiTheme="minorHAnsi"/>
          <w:sz w:val="16"/>
          <w:szCs w:val="16"/>
          <w:lang w:val="en-US"/>
        </w:rPr>
      </w:pPr>
      <w:r>
        <w:rPr>
          <w:rStyle w:val="FootnoteReference"/>
          <w:rFonts w:asciiTheme="minorHAnsi" w:hAnsiTheme="minorHAnsi"/>
          <w:sz w:val="16"/>
        </w:rPr>
        <w:footnoteRef/>
      </w:r>
      <w:r w:rsidRPr="00AF1564">
        <w:rPr>
          <w:rFonts w:asciiTheme="minorHAnsi" w:hAnsiTheme="minorHAnsi"/>
          <w:sz w:val="16"/>
          <w:lang w:val="en-US"/>
        </w:rPr>
        <w:t xml:space="preserve"> </w:t>
      </w:r>
      <w:r w:rsidRPr="00AF1564">
        <w:rPr>
          <w:lang w:val="en-US"/>
        </w:rPr>
        <w:tab/>
      </w:r>
      <w:proofErr w:type="gramStart"/>
      <w:r w:rsidRPr="00AF1564">
        <w:rPr>
          <w:rFonts w:asciiTheme="minorHAnsi" w:hAnsiTheme="minorHAnsi"/>
          <w:sz w:val="16"/>
          <w:lang w:val="en-US"/>
        </w:rPr>
        <w:t xml:space="preserve">The New York Times, El </w:t>
      </w:r>
      <w:proofErr w:type="spellStart"/>
      <w:r w:rsidRPr="00AF1564">
        <w:rPr>
          <w:rFonts w:asciiTheme="minorHAnsi" w:hAnsiTheme="minorHAnsi"/>
          <w:sz w:val="16"/>
          <w:lang w:val="en-US"/>
        </w:rPr>
        <w:t>Portafolio</w:t>
      </w:r>
      <w:proofErr w:type="spellEnd"/>
      <w:r w:rsidRPr="00AF1564">
        <w:rPr>
          <w:rFonts w:asciiTheme="minorHAnsi" w:hAnsiTheme="minorHAnsi"/>
          <w:sz w:val="16"/>
          <w:lang w:val="en-US"/>
        </w:rPr>
        <w:t xml:space="preserve"> de Guantánamo.</w:t>
      </w:r>
      <w:proofErr w:type="gramEnd"/>
    </w:p>
  </w:footnote>
  <w:footnote w:id="382">
    <w:p w:rsidR="00AF130B" w:rsidRPr="00237789"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sidRPr="00AF1564">
        <w:rPr>
          <w:rFonts w:asciiTheme="minorHAnsi" w:hAnsiTheme="minorHAnsi"/>
          <w:sz w:val="16"/>
          <w:lang w:val="en-US"/>
        </w:rPr>
        <w:t xml:space="preserve"> </w:t>
      </w:r>
      <w:r w:rsidRPr="00AF1564">
        <w:rPr>
          <w:lang w:val="en-US"/>
        </w:rPr>
        <w:tab/>
      </w:r>
      <w:proofErr w:type="gramStart"/>
      <w:r w:rsidRPr="00AF1564">
        <w:rPr>
          <w:rFonts w:asciiTheme="minorHAnsi" w:hAnsiTheme="minorHAnsi"/>
          <w:sz w:val="16"/>
          <w:lang w:val="en-US"/>
        </w:rPr>
        <w:t xml:space="preserve">The New York Times, El </w:t>
      </w:r>
      <w:proofErr w:type="spellStart"/>
      <w:r w:rsidRPr="00AF1564">
        <w:rPr>
          <w:rFonts w:asciiTheme="minorHAnsi" w:hAnsiTheme="minorHAnsi"/>
          <w:sz w:val="16"/>
          <w:lang w:val="en-US"/>
        </w:rPr>
        <w:t>Portafolio</w:t>
      </w:r>
      <w:proofErr w:type="spellEnd"/>
      <w:r w:rsidRPr="00AF1564">
        <w:rPr>
          <w:rFonts w:asciiTheme="minorHAnsi" w:hAnsiTheme="minorHAnsi"/>
          <w:sz w:val="16"/>
          <w:lang w:val="en-US"/>
        </w:rPr>
        <w:t xml:space="preserve"> de Guantánamo.</w:t>
      </w:r>
      <w:proofErr w:type="gramEnd"/>
      <w:r w:rsidRPr="00AF1564">
        <w:rPr>
          <w:rFonts w:asciiTheme="minorHAnsi" w:hAnsiTheme="minorHAnsi"/>
          <w:sz w:val="16"/>
          <w:lang w:val="en-US"/>
        </w:rPr>
        <w:t xml:space="preserve">  </w:t>
      </w:r>
      <w:r>
        <w:rPr>
          <w:rFonts w:asciiTheme="minorHAnsi" w:hAnsiTheme="minorHAnsi"/>
          <w:sz w:val="16"/>
        </w:rPr>
        <w:t xml:space="preserve">Más adelante, </w:t>
      </w:r>
      <w:proofErr w:type="spellStart"/>
      <w:r>
        <w:rPr>
          <w:rFonts w:asciiTheme="minorHAnsi" w:hAnsiTheme="minorHAnsi"/>
          <w:sz w:val="16"/>
        </w:rPr>
        <w:t>Khadr</w:t>
      </w:r>
      <w:proofErr w:type="spellEnd"/>
      <w:r>
        <w:rPr>
          <w:rFonts w:asciiTheme="minorHAnsi" w:hAnsiTheme="minorHAnsi"/>
          <w:sz w:val="16"/>
        </w:rPr>
        <w:t xml:space="preserve"> alegó que el acuerdo inculpatorio fue “concebido en su totalidad por el gobierno estadounidense”, que solo lo había firmado para ser liberado de Guantánamo, y que no tiene memoria alguna sobre el cruce de fuego de 2002 en Afganistán, en el que él fue disparado y un soldado estadounidense fatalmente herido (</w:t>
      </w:r>
      <w:proofErr w:type="spellStart"/>
      <w:r>
        <w:rPr>
          <w:rFonts w:asciiTheme="minorHAnsi" w:hAnsiTheme="minorHAnsi"/>
          <w:sz w:val="16"/>
        </w:rPr>
        <w:t>The</w:t>
      </w:r>
      <w:proofErr w:type="spellEnd"/>
      <w:r>
        <w:rPr>
          <w:rFonts w:asciiTheme="minorHAnsi" w:hAnsiTheme="minorHAnsi"/>
          <w:sz w:val="16"/>
        </w:rPr>
        <w:t xml:space="preserve"> </w:t>
      </w:r>
      <w:proofErr w:type="spellStart"/>
      <w:r>
        <w:rPr>
          <w:rFonts w:asciiTheme="minorHAnsi" w:hAnsiTheme="minorHAnsi"/>
          <w:sz w:val="16"/>
        </w:rPr>
        <w:t>Star</w:t>
      </w:r>
      <w:proofErr w:type="spellEnd"/>
      <w:r>
        <w:rPr>
          <w:rFonts w:asciiTheme="minorHAnsi" w:hAnsiTheme="minorHAnsi"/>
          <w:sz w:val="16"/>
        </w:rPr>
        <w:t xml:space="preserve">, Omar </w:t>
      </w:r>
      <w:proofErr w:type="spellStart"/>
      <w:r>
        <w:rPr>
          <w:rFonts w:asciiTheme="minorHAnsi" w:hAnsiTheme="minorHAnsi"/>
          <w:sz w:val="16"/>
        </w:rPr>
        <w:t>Khadr</w:t>
      </w:r>
      <w:proofErr w:type="spellEnd"/>
      <w:r>
        <w:rPr>
          <w:rFonts w:asciiTheme="minorHAnsi" w:hAnsiTheme="minorHAnsi"/>
          <w:sz w:val="16"/>
        </w:rPr>
        <w:t xml:space="preserve">: No tiene recuerdos sobre el cruce de fuego en Afganistán, 13 de diciembre de 2013.  Disponible en: </w:t>
      </w:r>
      <w:hyperlink r:id="rId148">
        <w:r>
          <w:rPr>
            <w:rStyle w:val="Hyperlink"/>
            <w:rFonts w:asciiTheme="minorHAnsi" w:hAnsiTheme="minorHAnsi"/>
            <w:sz w:val="16"/>
          </w:rPr>
          <w:t>http://www.thestar.com/news/canada/2013/12/13/omar_khadr_no_memory_of_firefight_in_afghanistan.html</w:t>
        </w:r>
      </w:hyperlink>
      <w:r>
        <w:rPr>
          <w:rStyle w:val="Hyperlink"/>
          <w:rFonts w:asciiTheme="minorHAnsi" w:hAnsiTheme="minorHAnsi"/>
          <w:sz w:val="16"/>
        </w:rPr>
        <w:t>).</w:t>
      </w:r>
    </w:p>
  </w:footnote>
  <w:footnote w:id="383">
    <w:p w:rsidR="00AF130B" w:rsidRPr="00502400" w:rsidRDefault="00AF130B" w:rsidP="00CE3EC6">
      <w:pPr>
        <w:pStyle w:val="FootnoteText"/>
        <w:ind w:left="540" w:hanging="540"/>
        <w:jc w:val="both"/>
        <w:rPr>
          <w:rFonts w:asciiTheme="minorHAnsi" w:hAnsiTheme="minorHAnsi"/>
          <w:sz w:val="16"/>
          <w:szCs w:val="16"/>
        </w:rPr>
      </w:pPr>
      <w:r w:rsidRPr="00502400">
        <w:rPr>
          <w:rStyle w:val="FootnoteReference"/>
          <w:rFonts w:asciiTheme="minorHAnsi" w:hAnsiTheme="minorHAnsi"/>
          <w:sz w:val="16"/>
        </w:rPr>
        <w:footnoteRef/>
      </w:r>
      <w:r w:rsidRPr="00502400">
        <w:rPr>
          <w:rStyle w:val="FootnoteReference"/>
          <w:rFonts w:asciiTheme="minorHAnsi" w:hAnsiTheme="minorHAnsi"/>
          <w:sz w:val="16"/>
        </w:rPr>
        <w:t xml:space="preserve"> </w:t>
      </w:r>
      <w:r w:rsidRPr="00502400">
        <w:tab/>
      </w:r>
      <w:r w:rsidRPr="00502400">
        <w:rPr>
          <w:rFonts w:asciiTheme="minorHAnsi" w:hAnsiTheme="minorHAnsi"/>
          <w:sz w:val="16"/>
        </w:rPr>
        <w:t>Comunicación del Gobierno de Estados Unidos dirigida a la Comisión Interamericana de Derechos Humanos respecto del Informe Preliminar sobre el Cierre de Guantánamo, OEA/</w:t>
      </w:r>
      <w:proofErr w:type="spellStart"/>
      <w:r w:rsidRPr="00502400">
        <w:rPr>
          <w:rFonts w:asciiTheme="minorHAnsi" w:hAnsiTheme="minorHAnsi"/>
          <w:sz w:val="16"/>
        </w:rPr>
        <w:t>Ser.L</w:t>
      </w:r>
      <w:proofErr w:type="spellEnd"/>
      <w:r w:rsidRPr="00502400">
        <w:rPr>
          <w:rFonts w:asciiTheme="minorHAnsi" w:hAnsiTheme="minorHAnsi"/>
          <w:sz w:val="16"/>
        </w:rPr>
        <w:t>/V/II.doc. 30 de enero de 2015, 30 de marzo de 2015, pág. 4.</w:t>
      </w:r>
    </w:p>
  </w:footnote>
  <w:footnote w:id="384">
    <w:p w:rsidR="00AF130B" w:rsidRPr="005D0288" w:rsidRDefault="00AF130B" w:rsidP="00CE3EC6">
      <w:pPr>
        <w:pStyle w:val="FootnoteText"/>
        <w:ind w:left="547" w:hanging="547"/>
        <w:jc w:val="both"/>
        <w:rPr>
          <w:rFonts w:asciiTheme="minorHAnsi" w:hAnsiTheme="minorHAnsi"/>
          <w:sz w:val="16"/>
          <w:szCs w:val="16"/>
        </w:rPr>
      </w:pPr>
      <w:r w:rsidRPr="00502400">
        <w:rPr>
          <w:rStyle w:val="FootnoteReference"/>
          <w:rFonts w:asciiTheme="minorHAnsi" w:hAnsiTheme="minorHAnsi"/>
          <w:sz w:val="16"/>
        </w:rPr>
        <w:footnoteRef/>
      </w:r>
      <w:r w:rsidRPr="00502400">
        <w:rPr>
          <w:rFonts w:asciiTheme="minorHAnsi" w:hAnsiTheme="minorHAnsi"/>
          <w:sz w:val="16"/>
        </w:rPr>
        <w:t xml:space="preserve"> </w:t>
      </w:r>
      <w:r w:rsidRPr="00502400">
        <w:tab/>
      </w:r>
      <w:r w:rsidRPr="00502400">
        <w:rPr>
          <w:rFonts w:asciiTheme="minorHAnsi" w:hAnsiTheme="minorHAnsi"/>
          <w:sz w:val="16"/>
        </w:rPr>
        <w:t>CIDH, Reunión de Expertos sobre la Situación de los detenidos en la Base Naval Estadounidense de la Bahía de Guantánamo, Washington DC, 3 de octubre de 2013.</w:t>
      </w:r>
    </w:p>
  </w:footnote>
  <w:footnote w:id="385">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Para mayor información sobre la PRB, visitar el portal de internet de la Secretaría de Revisión Periódica en: </w:t>
      </w:r>
      <w:hyperlink r:id="rId149">
        <w:r>
          <w:rPr>
            <w:rStyle w:val="Hyperlink"/>
            <w:rFonts w:asciiTheme="minorHAnsi" w:hAnsiTheme="minorHAnsi"/>
            <w:sz w:val="16"/>
          </w:rPr>
          <w:t>www.prs.mil</w:t>
        </w:r>
      </w:hyperlink>
      <w:r>
        <w:rPr>
          <w:rFonts w:asciiTheme="minorHAnsi" w:hAnsiTheme="minorHAnsi"/>
          <w:sz w:val="16"/>
        </w:rPr>
        <w:t xml:space="preserve">. </w:t>
      </w:r>
    </w:p>
  </w:footnote>
  <w:footnote w:id="386">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Decreto Ejecutivo 13567 de 7 de marzo de 2011, Revisión Periódica de Personas Detenidas en la Base Naval de Guantánamo con base en la Autorización para el Uso de la Fuerza Militar”. Disponible en: </w:t>
      </w:r>
      <w:hyperlink r:id="rId150">
        <w:r>
          <w:rPr>
            <w:rStyle w:val="Hyperlink"/>
            <w:rFonts w:asciiTheme="minorHAnsi" w:hAnsiTheme="minorHAnsi"/>
            <w:sz w:val="16"/>
          </w:rPr>
          <w:t>http://www.gpo.gov/fdsys/pkg/FR-2011-03-10/pdf/2011-5728.pdf</w:t>
        </w:r>
      </w:hyperlink>
      <w:r>
        <w:rPr>
          <w:rFonts w:asciiTheme="minorHAnsi" w:hAnsiTheme="minorHAnsi"/>
          <w:sz w:val="16"/>
        </w:rPr>
        <w:t xml:space="preserve"> </w:t>
      </w:r>
    </w:p>
  </w:footnote>
  <w:footnote w:id="387">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Ver las </w:t>
      </w:r>
      <w:proofErr w:type="spellStart"/>
      <w:r>
        <w:rPr>
          <w:rFonts w:asciiTheme="minorHAnsi" w:hAnsiTheme="minorHAnsi"/>
          <w:sz w:val="16"/>
        </w:rPr>
        <w:t>decisions</w:t>
      </w:r>
      <w:proofErr w:type="spellEnd"/>
      <w:r>
        <w:rPr>
          <w:rFonts w:asciiTheme="minorHAnsi" w:hAnsiTheme="minorHAnsi"/>
          <w:sz w:val="16"/>
        </w:rPr>
        <w:t xml:space="preserve"> finales de la PRB en los casos de </w:t>
      </w:r>
      <w:proofErr w:type="spellStart"/>
      <w:r>
        <w:rPr>
          <w:rFonts w:asciiTheme="minorHAnsi" w:hAnsiTheme="minorHAnsi"/>
          <w:sz w:val="16"/>
        </w:rPr>
        <w:t>Abdel</w:t>
      </w:r>
      <w:proofErr w:type="spellEnd"/>
      <w:r>
        <w:rPr>
          <w:rFonts w:asciiTheme="minorHAnsi" w:hAnsiTheme="minorHAnsi"/>
          <w:sz w:val="16"/>
        </w:rPr>
        <w:t xml:space="preserve"> </w:t>
      </w:r>
      <w:proofErr w:type="spellStart"/>
      <w:r>
        <w:rPr>
          <w:rFonts w:asciiTheme="minorHAnsi" w:hAnsiTheme="minorHAnsi"/>
          <w:sz w:val="16"/>
        </w:rPr>
        <w:t>Malik</w:t>
      </w:r>
      <w:proofErr w:type="spellEnd"/>
      <w:r>
        <w:rPr>
          <w:rFonts w:asciiTheme="minorHAnsi" w:hAnsiTheme="minorHAnsi"/>
          <w:sz w:val="16"/>
        </w:rPr>
        <w:t xml:space="preserve"> Ahmed </w:t>
      </w:r>
      <w:proofErr w:type="spellStart"/>
      <w:r>
        <w:rPr>
          <w:rFonts w:asciiTheme="minorHAnsi" w:hAnsiTheme="minorHAnsi"/>
          <w:sz w:val="16"/>
        </w:rPr>
        <w:t>Abdel</w:t>
      </w:r>
      <w:proofErr w:type="spellEnd"/>
      <w:r>
        <w:rPr>
          <w:rFonts w:asciiTheme="minorHAnsi" w:hAnsiTheme="minorHAnsi"/>
          <w:sz w:val="16"/>
        </w:rPr>
        <w:t xml:space="preserve"> </w:t>
      </w:r>
      <w:proofErr w:type="spellStart"/>
      <w:r>
        <w:rPr>
          <w:rFonts w:asciiTheme="minorHAnsi" w:hAnsiTheme="minorHAnsi"/>
          <w:sz w:val="16"/>
        </w:rPr>
        <w:t>Wahab</w:t>
      </w:r>
      <w:proofErr w:type="spellEnd"/>
      <w:r>
        <w:rPr>
          <w:rFonts w:asciiTheme="minorHAnsi" w:hAnsiTheme="minorHAnsi"/>
          <w:sz w:val="16"/>
        </w:rPr>
        <w:t xml:space="preserve"> Al </w:t>
      </w:r>
      <w:proofErr w:type="spellStart"/>
      <w:r>
        <w:rPr>
          <w:rFonts w:asciiTheme="minorHAnsi" w:hAnsiTheme="minorHAnsi"/>
          <w:sz w:val="16"/>
        </w:rPr>
        <w:t>Rahabi</w:t>
      </w:r>
      <w:proofErr w:type="spellEnd"/>
      <w:r>
        <w:rPr>
          <w:rFonts w:asciiTheme="minorHAnsi" w:hAnsiTheme="minorHAnsi"/>
          <w:sz w:val="16"/>
        </w:rPr>
        <w:t xml:space="preserve">, Salem Ahmad </w:t>
      </w:r>
      <w:proofErr w:type="spellStart"/>
      <w:r>
        <w:rPr>
          <w:rFonts w:asciiTheme="minorHAnsi" w:hAnsiTheme="minorHAnsi"/>
          <w:sz w:val="16"/>
        </w:rPr>
        <w:t>Hadi</w:t>
      </w:r>
      <w:proofErr w:type="spellEnd"/>
      <w:r>
        <w:rPr>
          <w:rFonts w:asciiTheme="minorHAnsi" w:hAnsiTheme="minorHAnsi"/>
          <w:sz w:val="16"/>
        </w:rPr>
        <w:t xml:space="preserve"> </w:t>
      </w:r>
      <w:proofErr w:type="spellStart"/>
      <w:r>
        <w:rPr>
          <w:rFonts w:asciiTheme="minorHAnsi" w:hAnsiTheme="minorHAnsi"/>
          <w:sz w:val="16"/>
        </w:rPr>
        <w:t>Bin</w:t>
      </w:r>
      <w:proofErr w:type="spellEnd"/>
      <w:r>
        <w:rPr>
          <w:rFonts w:asciiTheme="minorHAnsi" w:hAnsiTheme="minorHAnsi"/>
          <w:sz w:val="16"/>
        </w:rPr>
        <w:t xml:space="preserve"> </w:t>
      </w:r>
      <w:proofErr w:type="spellStart"/>
      <w:r>
        <w:rPr>
          <w:rFonts w:asciiTheme="minorHAnsi" w:hAnsiTheme="minorHAnsi"/>
          <w:sz w:val="16"/>
        </w:rPr>
        <w:t>Kanad</w:t>
      </w:r>
      <w:proofErr w:type="spellEnd"/>
      <w:r>
        <w:rPr>
          <w:rFonts w:asciiTheme="minorHAnsi" w:hAnsiTheme="minorHAnsi"/>
          <w:sz w:val="16"/>
        </w:rPr>
        <w:t xml:space="preserve">, </w:t>
      </w:r>
      <w:proofErr w:type="spellStart"/>
      <w:r>
        <w:rPr>
          <w:rFonts w:asciiTheme="minorHAnsi" w:hAnsiTheme="minorHAnsi"/>
          <w:sz w:val="16"/>
        </w:rPr>
        <w:t>Muhammed</w:t>
      </w:r>
      <w:proofErr w:type="spellEnd"/>
      <w:r>
        <w:rPr>
          <w:rFonts w:asciiTheme="minorHAnsi" w:hAnsiTheme="minorHAnsi"/>
          <w:sz w:val="16"/>
        </w:rPr>
        <w:t xml:space="preserve"> </w:t>
      </w:r>
      <w:proofErr w:type="spellStart"/>
      <w:r>
        <w:rPr>
          <w:rFonts w:asciiTheme="minorHAnsi" w:hAnsiTheme="minorHAnsi"/>
          <w:sz w:val="16"/>
        </w:rPr>
        <w:t>Abd</w:t>
      </w:r>
      <w:proofErr w:type="spellEnd"/>
      <w:r>
        <w:rPr>
          <w:rFonts w:asciiTheme="minorHAnsi" w:hAnsiTheme="minorHAnsi"/>
          <w:sz w:val="16"/>
        </w:rPr>
        <w:t xml:space="preserve"> Al </w:t>
      </w:r>
      <w:proofErr w:type="spellStart"/>
      <w:r>
        <w:rPr>
          <w:rFonts w:asciiTheme="minorHAnsi" w:hAnsiTheme="minorHAnsi"/>
          <w:sz w:val="16"/>
        </w:rPr>
        <w:t>Rahman</w:t>
      </w:r>
      <w:proofErr w:type="spellEnd"/>
      <w:r>
        <w:rPr>
          <w:rFonts w:asciiTheme="minorHAnsi" w:hAnsiTheme="minorHAnsi"/>
          <w:sz w:val="16"/>
        </w:rPr>
        <w:t xml:space="preserve"> </w:t>
      </w:r>
      <w:proofErr w:type="spellStart"/>
      <w:r>
        <w:rPr>
          <w:rFonts w:asciiTheme="minorHAnsi" w:hAnsiTheme="minorHAnsi"/>
          <w:sz w:val="16"/>
        </w:rPr>
        <w:t>Awn</w:t>
      </w:r>
      <w:proofErr w:type="spellEnd"/>
      <w:r>
        <w:rPr>
          <w:rFonts w:asciiTheme="minorHAnsi" w:hAnsiTheme="minorHAnsi"/>
          <w:sz w:val="16"/>
        </w:rPr>
        <w:t xml:space="preserve"> Al-</w:t>
      </w:r>
      <w:proofErr w:type="spellStart"/>
      <w:r>
        <w:rPr>
          <w:rFonts w:asciiTheme="minorHAnsi" w:hAnsiTheme="minorHAnsi"/>
          <w:sz w:val="16"/>
        </w:rPr>
        <w:t>Shamrani</w:t>
      </w:r>
      <w:proofErr w:type="spellEnd"/>
      <w:r>
        <w:rPr>
          <w:rFonts w:asciiTheme="minorHAnsi" w:hAnsiTheme="minorHAnsi"/>
          <w:sz w:val="16"/>
        </w:rPr>
        <w:t xml:space="preserve">, y </w:t>
      </w:r>
      <w:proofErr w:type="spellStart"/>
      <w:r>
        <w:rPr>
          <w:rFonts w:asciiTheme="minorHAnsi" w:hAnsiTheme="minorHAnsi"/>
          <w:sz w:val="16"/>
        </w:rPr>
        <w:t>Faez</w:t>
      </w:r>
      <w:proofErr w:type="spellEnd"/>
      <w:r>
        <w:rPr>
          <w:rFonts w:asciiTheme="minorHAnsi" w:hAnsiTheme="minorHAnsi"/>
          <w:sz w:val="16"/>
        </w:rPr>
        <w:t xml:space="preserve"> Mohammed Ahmed Al-</w:t>
      </w:r>
      <w:proofErr w:type="spellStart"/>
      <w:r>
        <w:rPr>
          <w:rFonts w:asciiTheme="minorHAnsi" w:hAnsiTheme="minorHAnsi"/>
          <w:sz w:val="16"/>
        </w:rPr>
        <w:t>Kandari</w:t>
      </w:r>
      <w:proofErr w:type="spellEnd"/>
      <w:r>
        <w:rPr>
          <w:rFonts w:asciiTheme="minorHAnsi" w:hAnsiTheme="minorHAnsi"/>
          <w:sz w:val="16"/>
        </w:rPr>
        <w:t xml:space="preserve">. Disponibles en: </w:t>
      </w:r>
      <w:hyperlink r:id="rId151">
        <w:r>
          <w:rPr>
            <w:rStyle w:val="Hyperlink"/>
            <w:rFonts w:asciiTheme="minorHAnsi" w:hAnsiTheme="minorHAnsi"/>
            <w:sz w:val="16"/>
          </w:rPr>
          <w:t>http://www.prs.mil/ReviewInformation/FullReviewpage.aspx</w:t>
        </w:r>
      </w:hyperlink>
      <w:r>
        <w:rPr>
          <w:rFonts w:asciiTheme="minorHAnsi" w:hAnsiTheme="minorHAnsi"/>
          <w:color w:val="555555"/>
          <w:sz w:val="16"/>
        </w:rPr>
        <w:t xml:space="preserve"> </w:t>
      </w:r>
    </w:p>
  </w:footnote>
  <w:footnote w:id="388">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Departamento de Defensa, Oficina de Comisiones Militares, Resumen Desclasificado de Decisión Final, </w:t>
      </w:r>
      <w:proofErr w:type="spellStart"/>
      <w:r>
        <w:rPr>
          <w:rFonts w:asciiTheme="minorHAnsi" w:hAnsiTheme="minorHAnsi"/>
          <w:sz w:val="16"/>
        </w:rPr>
        <w:t>Fouzi</w:t>
      </w:r>
      <w:proofErr w:type="spellEnd"/>
      <w:r>
        <w:rPr>
          <w:rFonts w:asciiTheme="minorHAnsi" w:hAnsiTheme="minorHAnsi"/>
          <w:sz w:val="16"/>
        </w:rPr>
        <w:t xml:space="preserve"> </w:t>
      </w:r>
      <w:proofErr w:type="spellStart"/>
      <w:r>
        <w:rPr>
          <w:rFonts w:asciiTheme="minorHAnsi" w:hAnsiTheme="minorHAnsi"/>
          <w:sz w:val="16"/>
        </w:rPr>
        <w:t>Khalid</w:t>
      </w:r>
      <w:proofErr w:type="spellEnd"/>
      <w:r>
        <w:rPr>
          <w:rFonts w:asciiTheme="minorHAnsi" w:hAnsiTheme="minorHAnsi"/>
          <w:sz w:val="16"/>
        </w:rPr>
        <w:t xml:space="preserve"> </w:t>
      </w:r>
      <w:proofErr w:type="spellStart"/>
      <w:r>
        <w:rPr>
          <w:rFonts w:asciiTheme="minorHAnsi" w:hAnsiTheme="minorHAnsi"/>
          <w:sz w:val="16"/>
        </w:rPr>
        <w:t>Agdullah</w:t>
      </w:r>
      <w:proofErr w:type="spellEnd"/>
      <w:r>
        <w:rPr>
          <w:rFonts w:asciiTheme="minorHAnsi" w:hAnsiTheme="minorHAnsi"/>
          <w:sz w:val="16"/>
        </w:rPr>
        <w:t xml:space="preserve"> Al </w:t>
      </w:r>
      <w:proofErr w:type="spellStart"/>
      <w:r>
        <w:rPr>
          <w:rFonts w:asciiTheme="minorHAnsi" w:hAnsiTheme="minorHAnsi"/>
          <w:sz w:val="16"/>
        </w:rPr>
        <w:t>Awda</w:t>
      </w:r>
      <w:proofErr w:type="spellEnd"/>
      <w:r>
        <w:rPr>
          <w:rFonts w:asciiTheme="minorHAnsi" w:hAnsiTheme="minorHAnsi"/>
          <w:sz w:val="16"/>
        </w:rPr>
        <w:t xml:space="preserve">, 14 de julio de 2014. Disponible en: </w:t>
      </w:r>
      <w:hyperlink r:id="rId152">
        <w:r>
          <w:rPr>
            <w:rStyle w:val="Hyperlink"/>
            <w:rFonts w:asciiTheme="minorHAnsi" w:hAnsiTheme="minorHAnsi"/>
            <w:sz w:val="16"/>
          </w:rPr>
          <w:t>http://www.prs.mil/Portals/60/Documents/ISN232/140714_U_ISN232_FINAL_DETERMINATION_PUBLIC.pdf</w:t>
        </w:r>
      </w:hyperlink>
      <w:r>
        <w:rPr>
          <w:rFonts w:asciiTheme="minorHAnsi" w:hAnsiTheme="minorHAnsi"/>
          <w:sz w:val="16"/>
        </w:rPr>
        <w:t xml:space="preserve"> </w:t>
      </w:r>
    </w:p>
  </w:footnote>
  <w:footnote w:id="389">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Departamento de Defensa, Oficina de Comisiones Militares, Resumen Desclasificado de Decisión Final, </w:t>
      </w:r>
      <w:proofErr w:type="spellStart"/>
      <w:r>
        <w:rPr>
          <w:rFonts w:asciiTheme="minorHAnsi" w:hAnsiTheme="minorHAnsi"/>
          <w:sz w:val="16"/>
        </w:rPr>
        <w:t>Faez</w:t>
      </w:r>
      <w:proofErr w:type="spellEnd"/>
      <w:r>
        <w:rPr>
          <w:rFonts w:asciiTheme="minorHAnsi" w:hAnsiTheme="minorHAnsi"/>
          <w:sz w:val="16"/>
        </w:rPr>
        <w:t xml:space="preserve"> Mohammed Ahmed Al-</w:t>
      </w:r>
      <w:proofErr w:type="spellStart"/>
      <w:r>
        <w:rPr>
          <w:rFonts w:asciiTheme="minorHAnsi" w:hAnsiTheme="minorHAnsi"/>
          <w:sz w:val="16"/>
        </w:rPr>
        <w:t>Kandari</w:t>
      </w:r>
      <w:proofErr w:type="spellEnd"/>
      <w:r>
        <w:rPr>
          <w:rFonts w:asciiTheme="minorHAnsi" w:hAnsiTheme="minorHAnsi"/>
          <w:sz w:val="16"/>
        </w:rPr>
        <w:t xml:space="preserve">, 14 de julio de 2014. Disponible en: </w:t>
      </w:r>
      <w:hyperlink r:id="rId153">
        <w:r>
          <w:rPr>
            <w:rStyle w:val="Hyperlink"/>
            <w:rFonts w:asciiTheme="minorHAnsi" w:hAnsiTheme="minorHAnsi"/>
            <w:sz w:val="16"/>
          </w:rPr>
          <w:t>http://www.prs.mil/Portals/60/Documents/ISN552/140714_U_ISN552_FINAL_DETERMINATION_PUBLIC.pdf</w:t>
        </w:r>
      </w:hyperlink>
      <w:r>
        <w:rPr>
          <w:rFonts w:asciiTheme="minorHAnsi" w:hAnsiTheme="minorHAnsi"/>
          <w:sz w:val="16"/>
        </w:rPr>
        <w:t xml:space="preserve"> </w:t>
      </w:r>
    </w:p>
  </w:footnote>
  <w:footnote w:id="390">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Los </w:t>
      </w:r>
      <w:proofErr w:type="spellStart"/>
      <w:r>
        <w:rPr>
          <w:rFonts w:asciiTheme="minorHAnsi" w:hAnsiTheme="minorHAnsi"/>
          <w:sz w:val="16"/>
        </w:rPr>
        <w:t>Angeles</w:t>
      </w:r>
      <w:proofErr w:type="spellEnd"/>
      <w:r>
        <w:rPr>
          <w:rFonts w:asciiTheme="minorHAnsi" w:hAnsiTheme="minorHAnsi"/>
          <w:sz w:val="16"/>
        </w:rPr>
        <w:t xml:space="preserve"> Times, Más Ex Detenidos de Guantánamo Retornan a Actividades Militantes, según el Pentágono. 7 de enero de 2010. Disponible en: </w:t>
      </w:r>
      <w:hyperlink r:id="rId154">
        <w:r>
          <w:rPr>
            <w:rStyle w:val="Hyperlink"/>
            <w:rFonts w:asciiTheme="minorHAnsi" w:hAnsiTheme="minorHAnsi"/>
            <w:sz w:val="16"/>
          </w:rPr>
          <w:t>http://articles.latimes.com/2010/jan/07/nation/la-na-guantanamo-repeaters7-2010jan07</w:t>
        </w:r>
      </w:hyperlink>
      <w:r>
        <w:rPr>
          <w:rFonts w:asciiTheme="minorHAnsi" w:hAnsiTheme="minorHAnsi"/>
          <w:sz w:val="16"/>
        </w:rPr>
        <w:t xml:space="preserve"> </w:t>
      </w:r>
    </w:p>
  </w:footnote>
  <w:footnote w:id="391">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proofErr w:type="spellStart"/>
      <w:r>
        <w:rPr>
          <w:rFonts w:asciiTheme="minorHAnsi" w:hAnsiTheme="minorHAnsi"/>
          <w:sz w:val="16"/>
        </w:rPr>
        <w:t>Seton</w:t>
      </w:r>
      <w:proofErr w:type="spellEnd"/>
      <w:r>
        <w:rPr>
          <w:rFonts w:asciiTheme="minorHAnsi" w:hAnsiTheme="minorHAnsi"/>
          <w:sz w:val="16"/>
        </w:rPr>
        <w:t xml:space="preserve"> Hall </w:t>
      </w:r>
      <w:proofErr w:type="spellStart"/>
      <w:r>
        <w:rPr>
          <w:rFonts w:asciiTheme="minorHAnsi" w:hAnsiTheme="minorHAnsi"/>
          <w:sz w:val="16"/>
        </w:rPr>
        <w:t>University</w:t>
      </w:r>
      <w:proofErr w:type="spellEnd"/>
      <w:r>
        <w:rPr>
          <w:rFonts w:asciiTheme="minorHAnsi" w:hAnsiTheme="minorHAnsi"/>
          <w:sz w:val="16"/>
        </w:rPr>
        <w:t xml:space="preserve"> </w:t>
      </w:r>
      <w:proofErr w:type="spellStart"/>
      <w:r>
        <w:rPr>
          <w:rFonts w:asciiTheme="minorHAnsi" w:hAnsiTheme="minorHAnsi"/>
          <w:sz w:val="16"/>
        </w:rPr>
        <w:t>School</w:t>
      </w:r>
      <w:proofErr w:type="spellEnd"/>
      <w:r>
        <w:rPr>
          <w:rFonts w:asciiTheme="minorHAnsi" w:hAnsiTheme="minorHAnsi"/>
          <w:sz w:val="16"/>
        </w:rPr>
        <w:t xml:space="preserve"> of </w:t>
      </w:r>
      <w:proofErr w:type="spellStart"/>
      <w:r>
        <w:rPr>
          <w:rFonts w:asciiTheme="minorHAnsi" w:hAnsiTheme="minorHAnsi"/>
          <w:sz w:val="16"/>
        </w:rPr>
        <w:t>Law</w:t>
      </w:r>
      <w:proofErr w:type="spellEnd"/>
      <w:r>
        <w:rPr>
          <w:rFonts w:asciiTheme="minorHAnsi" w:hAnsiTheme="minorHAnsi"/>
          <w:sz w:val="16"/>
        </w:rPr>
        <w:t xml:space="preserve">, Center </w:t>
      </w:r>
      <w:proofErr w:type="spellStart"/>
      <w:r>
        <w:rPr>
          <w:rFonts w:asciiTheme="minorHAnsi" w:hAnsiTheme="minorHAnsi"/>
          <w:sz w:val="16"/>
        </w:rPr>
        <w:t>for</w:t>
      </w:r>
      <w:proofErr w:type="spellEnd"/>
      <w:r>
        <w:rPr>
          <w:rFonts w:asciiTheme="minorHAnsi" w:hAnsiTheme="minorHAnsi"/>
          <w:sz w:val="16"/>
        </w:rPr>
        <w:t xml:space="preserve"> </w:t>
      </w:r>
      <w:proofErr w:type="spellStart"/>
      <w:r>
        <w:rPr>
          <w:rFonts w:asciiTheme="minorHAnsi" w:hAnsiTheme="minorHAnsi"/>
          <w:sz w:val="16"/>
        </w:rPr>
        <w:t>Policy</w:t>
      </w:r>
      <w:proofErr w:type="spellEnd"/>
      <w:r>
        <w:rPr>
          <w:rFonts w:asciiTheme="minorHAnsi" w:hAnsiTheme="minorHAnsi"/>
          <w:sz w:val="16"/>
        </w:rPr>
        <w:t xml:space="preserve"> &amp; </w:t>
      </w:r>
      <w:proofErr w:type="spellStart"/>
      <w:r>
        <w:rPr>
          <w:rFonts w:asciiTheme="minorHAnsi" w:hAnsiTheme="minorHAnsi"/>
          <w:sz w:val="16"/>
        </w:rPr>
        <w:t>Research</w:t>
      </w:r>
      <w:proofErr w:type="spellEnd"/>
      <w:r>
        <w:rPr>
          <w:rFonts w:asciiTheme="minorHAnsi" w:hAnsiTheme="minorHAnsi"/>
          <w:sz w:val="16"/>
        </w:rPr>
        <w:t xml:space="preserve">, La Seguridad Nacional Merece Algo Mejor: “Extrañas” cifras de reincidencia afectan el debate sobre la política de Guantánamo, 23 de marzo de 2012.  Disponible en: </w:t>
      </w:r>
      <w:hyperlink r:id="rId155">
        <w:r>
          <w:rPr>
            <w:rStyle w:val="Hyperlink"/>
            <w:rFonts w:asciiTheme="minorHAnsi" w:hAnsiTheme="minorHAnsi"/>
            <w:sz w:val="16"/>
          </w:rPr>
          <w:t>http://law.shu.edu/ProgramsCenters/PublicIntGovServ/policyresearch/upload/National-Security-Deserves-Better-Odd-Recidivism-Numbers-Undermine-the-Guantanamo-Policy-Debate.pdf</w:t>
        </w:r>
      </w:hyperlink>
      <w:r>
        <w:rPr>
          <w:rFonts w:asciiTheme="minorHAnsi" w:hAnsiTheme="minorHAnsi"/>
          <w:sz w:val="16"/>
        </w:rPr>
        <w:t xml:space="preserve"> </w:t>
      </w:r>
    </w:p>
  </w:footnote>
  <w:footnote w:id="392">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Human </w:t>
      </w:r>
      <w:proofErr w:type="spellStart"/>
      <w:r>
        <w:rPr>
          <w:rFonts w:asciiTheme="minorHAnsi" w:hAnsiTheme="minorHAnsi"/>
          <w:sz w:val="16"/>
        </w:rPr>
        <w:t>Rights</w:t>
      </w:r>
      <w:proofErr w:type="spellEnd"/>
      <w:r>
        <w:rPr>
          <w:rFonts w:asciiTheme="minorHAnsi" w:hAnsiTheme="minorHAnsi"/>
          <w:sz w:val="16"/>
        </w:rPr>
        <w:t xml:space="preserve"> </w:t>
      </w:r>
      <w:proofErr w:type="spellStart"/>
      <w:r>
        <w:rPr>
          <w:rFonts w:asciiTheme="minorHAnsi" w:hAnsiTheme="minorHAnsi"/>
          <w:sz w:val="16"/>
        </w:rPr>
        <w:t>First</w:t>
      </w:r>
      <w:proofErr w:type="spellEnd"/>
      <w:r>
        <w:rPr>
          <w:rFonts w:asciiTheme="minorHAnsi" w:hAnsiTheme="minorHAnsi"/>
          <w:sz w:val="16"/>
        </w:rPr>
        <w:t xml:space="preserve">, </w:t>
      </w:r>
      <w:proofErr w:type="spellStart"/>
      <w:r>
        <w:rPr>
          <w:rFonts w:asciiTheme="minorHAnsi" w:hAnsiTheme="minorHAnsi"/>
          <w:sz w:val="16"/>
        </w:rPr>
        <w:t>Guantanamo</w:t>
      </w:r>
      <w:proofErr w:type="spellEnd"/>
      <w:r>
        <w:rPr>
          <w:rFonts w:asciiTheme="minorHAnsi" w:hAnsiTheme="minorHAnsi"/>
          <w:sz w:val="16"/>
        </w:rPr>
        <w:t xml:space="preserve">: Una Estrategia de Salida Comprehensiva, Anexo C, pág. 28. Disponible en: </w:t>
      </w:r>
      <w:hyperlink r:id="rId156">
        <w:r>
          <w:rPr>
            <w:rStyle w:val="Hyperlink"/>
            <w:rFonts w:asciiTheme="minorHAnsi" w:hAnsiTheme="minorHAnsi"/>
            <w:sz w:val="16"/>
          </w:rPr>
          <w:t>http://www.humanrightsfirst.org/uploads/pdfs/close-GTMO-july-2013.pdf</w:t>
        </w:r>
      </w:hyperlink>
    </w:p>
  </w:footnote>
  <w:footnote w:id="393">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Oficina del Director de Inteligencia Nacional, Resumen de la Reincidencia de los Detenidos que se Encontraban Privados de Libertad en la Bahía de Guantánamo, Cuba, hasta el 15 de julio de 2014. Disponible en: </w:t>
      </w:r>
      <w:hyperlink r:id="rId157">
        <w:r>
          <w:rPr>
            <w:rStyle w:val="Hyperlink"/>
            <w:rFonts w:asciiTheme="minorHAnsi" w:hAnsiTheme="minorHAnsi"/>
            <w:sz w:val="16"/>
          </w:rPr>
          <w:t>http://www.dni.gov/files/documents/September_2014_GTMO%20Unclass%20Release.pdf</w:t>
        </w:r>
      </w:hyperlink>
      <w:r>
        <w:rPr>
          <w:rFonts w:asciiTheme="minorHAnsi" w:hAnsiTheme="minorHAnsi"/>
          <w:sz w:val="16"/>
        </w:rPr>
        <w:t xml:space="preserve"> </w:t>
      </w:r>
    </w:p>
  </w:footnote>
  <w:footnote w:id="394">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New America </w:t>
      </w:r>
      <w:proofErr w:type="spellStart"/>
      <w:r>
        <w:rPr>
          <w:rFonts w:asciiTheme="minorHAnsi" w:hAnsiTheme="minorHAnsi"/>
          <w:sz w:val="16"/>
        </w:rPr>
        <w:t>Foundation</w:t>
      </w:r>
      <w:proofErr w:type="spellEnd"/>
      <w:r>
        <w:rPr>
          <w:rFonts w:asciiTheme="minorHAnsi" w:hAnsiTheme="minorHAnsi"/>
          <w:sz w:val="16"/>
        </w:rPr>
        <w:t>, Anexo: Qué tan peligrosos son los detenidos de Guantánamo que han sido liberados</w:t>
      </w:r>
      <w:proofErr w:type="gramStart"/>
      <w:r>
        <w:rPr>
          <w:rFonts w:asciiTheme="minorHAnsi" w:hAnsiTheme="minorHAnsi"/>
          <w:sz w:val="16"/>
        </w:rPr>
        <w:t>?</w:t>
      </w:r>
      <w:proofErr w:type="gramEnd"/>
      <w:r>
        <w:rPr>
          <w:rFonts w:asciiTheme="minorHAnsi" w:hAnsiTheme="minorHAnsi"/>
          <w:sz w:val="16"/>
        </w:rPr>
        <w:t xml:space="preserve">, por Peter Bergen y Bailey </w:t>
      </w:r>
      <w:proofErr w:type="spellStart"/>
      <w:r>
        <w:rPr>
          <w:rFonts w:asciiTheme="minorHAnsi" w:hAnsiTheme="minorHAnsi"/>
          <w:sz w:val="16"/>
        </w:rPr>
        <w:t>Cahall</w:t>
      </w:r>
      <w:proofErr w:type="spellEnd"/>
      <w:r>
        <w:rPr>
          <w:rFonts w:asciiTheme="minorHAnsi" w:hAnsiTheme="minorHAnsi"/>
          <w:sz w:val="16"/>
        </w:rPr>
        <w:t xml:space="preserve">, 5 de junio de 2014. Disponible en: </w:t>
      </w:r>
      <w:hyperlink r:id="rId158">
        <w:r>
          <w:rPr>
            <w:rStyle w:val="Hyperlink"/>
            <w:rFonts w:asciiTheme="minorHAnsi" w:hAnsiTheme="minorHAnsi"/>
            <w:sz w:val="16"/>
          </w:rPr>
          <w:t>http://newamerica.net/publications/resources/2014/how_many_guantanamo_detainees_return_to_the_battlefield</w:t>
        </w:r>
      </w:hyperlink>
      <w:r>
        <w:rPr>
          <w:rFonts w:asciiTheme="minorHAnsi" w:hAnsiTheme="minorHAnsi"/>
          <w:sz w:val="16"/>
        </w:rPr>
        <w:t xml:space="preserve"> </w:t>
      </w:r>
    </w:p>
  </w:footnote>
  <w:footnote w:id="395">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CIDH, </w:t>
      </w:r>
      <w:r>
        <w:rPr>
          <w:rFonts w:asciiTheme="minorHAnsi" w:hAnsiTheme="minorHAnsi"/>
          <w:i/>
          <w:sz w:val="16"/>
        </w:rPr>
        <w:t xml:space="preserve">Informe sobre Terrorismo y Derechos Humanos, </w:t>
      </w:r>
      <w:r>
        <w:rPr>
          <w:rFonts w:asciiTheme="minorHAnsi" w:hAnsiTheme="minorHAnsi"/>
          <w:sz w:val="16"/>
        </w:rPr>
        <w:t>OEA/</w:t>
      </w:r>
      <w:proofErr w:type="spellStart"/>
      <w:r>
        <w:rPr>
          <w:rFonts w:asciiTheme="minorHAnsi" w:hAnsiTheme="minorHAnsi"/>
          <w:sz w:val="16"/>
        </w:rPr>
        <w:t>Ser.L</w:t>
      </w:r>
      <w:proofErr w:type="spellEnd"/>
      <w:r>
        <w:rPr>
          <w:rFonts w:asciiTheme="minorHAnsi" w:hAnsiTheme="minorHAnsi"/>
          <w:sz w:val="16"/>
        </w:rPr>
        <w:t xml:space="preserve">/V/II.116.Doc.5 rev.1, 22 de octubre de 2002, prefacio. </w:t>
      </w:r>
    </w:p>
  </w:footnote>
  <w:footnote w:id="396">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 xml:space="preserve">Discurso del Presidente Obama en la Universidad de Defensa Nacional el 23 de mayo de 2013. Disponible en: </w:t>
      </w:r>
      <w:hyperlink r:id="rId159">
        <w:r>
          <w:rPr>
            <w:rStyle w:val="Hyperlink"/>
            <w:rFonts w:asciiTheme="minorHAnsi" w:hAnsiTheme="minorHAnsi"/>
            <w:sz w:val="16"/>
          </w:rPr>
          <w:t>http://www.whitehouse.gov/the-press-office/2013/05/23/remarks-president-national-defense-university</w:t>
        </w:r>
      </w:hyperlink>
      <w:r>
        <w:rPr>
          <w:rStyle w:val="Hyperlink"/>
          <w:rFonts w:asciiTheme="minorHAnsi" w:hAnsiTheme="minorHAnsi"/>
          <w:sz w:val="16"/>
        </w:rPr>
        <w:t xml:space="preserve"> </w:t>
      </w:r>
    </w:p>
  </w:footnote>
  <w:footnote w:id="397">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i/>
          <w:sz w:val="16"/>
        </w:rPr>
        <w:t>Véase, al respecto</w:t>
      </w:r>
      <w:r>
        <w:rPr>
          <w:rFonts w:asciiTheme="minorHAnsi" w:hAnsiTheme="minorHAnsi"/>
          <w:sz w:val="16"/>
        </w:rPr>
        <w:t xml:space="preserve">, Mark </w:t>
      </w:r>
      <w:proofErr w:type="spellStart"/>
      <w:r>
        <w:rPr>
          <w:rFonts w:asciiTheme="minorHAnsi" w:hAnsiTheme="minorHAnsi"/>
          <w:sz w:val="16"/>
        </w:rPr>
        <w:t>Denbeaux</w:t>
      </w:r>
      <w:proofErr w:type="spellEnd"/>
      <w:r>
        <w:rPr>
          <w:rFonts w:asciiTheme="minorHAnsi" w:hAnsiTheme="minorHAnsi"/>
          <w:sz w:val="16"/>
        </w:rPr>
        <w:t xml:space="preserve">, Informe sobre los Detenidos de Guantánamo: Un Perfil de 517 Detenidos con Base en el Análisis de la Información del Departamento de Defensa, Informe de la Facultad de Derecho de la Universidad de </w:t>
      </w:r>
      <w:proofErr w:type="spellStart"/>
      <w:r>
        <w:rPr>
          <w:rFonts w:asciiTheme="minorHAnsi" w:hAnsiTheme="minorHAnsi"/>
          <w:sz w:val="16"/>
        </w:rPr>
        <w:t>Seaton</w:t>
      </w:r>
      <w:proofErr w:type="spellEnd"/>
      <w:r>
        <w:rPr>
          <w:rFonts w:asciiTheme="minorHAnsi" w:hAnsiTheme="minorHAnsi"/>
          <w:sz w:val="16"/>
        </w:rPr>
        <w:t xml:space="preserve"> Hall  (2006). Disponible en: </w:t>
      </w:r>
      <w:hyperlink r:id="rId160">
        <w:r>
          <w:rPr>
            <w:rStyle w:val="Hyperlink"/>
            <w:rFonts w:asciiTheme="minorHAnsi" w:hAnsiTheme="minorHAnsi"/>
            <w:sz w:val="16"/>
          </w:rPr>
          <w:t>http://law.shu.edu/publications/guantanamoReports/guantanamo_report_final_2_08_06.pdf</w:t>
        </w:r>
      </w:hyperlink>
      <w:r>
        <w:rPr>
          <w:rFonts w:asciiTheme="minorHAnsi" w:hAnsiTheme="minorHAnsi"/>
          <w:sz w:val="16"/>
        </w:rPr>
        <w:t xml:space="preserve"> </w:t>
      </w:r>
    </w:p>
  </w:footnote>
  <w:footnote w:id="398">
    <w:p w:rsidR="00AF130B" w:rsidRPr="005D0288" w:rsidRDefault="00AF130B" w:rsidP="00CE3EC6">
      <w:pPr>
        <w:pStyle w:val="FootnoteText"/>
        <w:ind w:left="547" w:hanging="547"/>
        <w:jc w:val="both"/>
        <w:rPr>
          <w:rFonts w:asciiTheme="minorHAnsi" w:hAnsiTheme="minorHAnsi"/>
          <w:sz w:val="16"/>
          <w:szCs w:val="16"/>
          <w:lang w:val="es-EC"/>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CIDH, Comunicado de Prensa 29/13: CIDH, Grupo de Trabajo de ONU sobre la Detención Arbitraria, Relator de ONU contra la Tortura, Relator de ONU para los derechos humanos en la lucha contra el terrorismo, y Relator de ONU sobre la salud reiteran necesidad de terminar con la detención indefinida de personas en la Base Naval de Guantánamo ante actual crisis de derechos humanos, 1 de mayo de 2013.</w:t>
      </w:r>
    </w:p>
    <w:p w:rsidR="00AF130B" w:rsidRPr="005D0288" w:rsidRDefault="00AF130B" w:rsidP="00CE3EC6">
      <w:pPr>
        <w:pStyle w:val="FootnoteText"/>
        <w:ind w:left="547" w:hanging="547"/>
        <w:jc w:val="both"/>
        <w:rPr>
          <w:rFonts w:asciiTheme="minorHAnsi" w:hAnsiTheme="minorHAnsi"/>
          <w:sz w:val="16"/>
          <w:szCs w:val="16"/>
          <w:lang w:val="es-EC"/>
        </w:rPr>
      </w:pPr>
    </w:p>
  </w:footnote>
  <w:footnote w:id="399">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CAT/C/USA/CO/3-5, 19 de diciembre de 2014.</w:t>
      </w:r>
    </w:p>
  </w:footnote>
  <w:footnote w:id="400">
    <w:p w:rsidR="00AF130B" w:rsidRPr="005D0288" w:rsidRDefault="00AF130B" w:rsidP="00CE3EC6">
      <w:pPr>
        <w:pStyle w:val="FootnoteText"/>
        <w:ind w:left="547" w:hanging="547"/>
        <w:jc w:val="both"/>
        <w:rPr>
          <w:rFonts w:asciiTheme="minorHAnsi" w:hAnsiTheme="minorHAnsi"/>
          <w:sz w:val="16"/>
          <w:szCs w:val="16"/>
        </w:rPr>
      </w:pPr>
      <w:r>
        <w:rPr>
          <w:rStyle w:val="FootnoteReference"/>
          <w:rFonts w:asciiTheme="minorHAnsi" w:hAnsiTheme="minorHAnsi"/>
          <w:sz w:val="16"/>
        </w:rPr>
        <w:footnoteRef/>
      </w:r>
      <w:r>
        <w:rPr>
          <w:rFonts w:asciiTheme="minorHAnsi" w:hAnsiTheme="minorHAnsi"/>
          <w:sz w:val="16"/>
        </w:rPr>
        <w:t xml:space="preserve"> </w:t>
      </w:r>
      <w:r>
        <w:tab/>
      </w:r>
      <w:r>
        <w:rPr>
          <w:rFonts w:asciiTheme="minorHAnsi" w:hAnsiTheme="minorHAnsi"/>
          <w:sz w:val="16"/>
        </w:rPr>
        <w:t>CIDH. Comunicado de Prensa 147/14: CIDH celebra el reasentamiento de seis detenidos de Guantánamo en Uruguay e insta a los Estados Miembros de la OEA a seguir el ejemplo de Uruguay, 10 de diciembre de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0B" w:rsidRPr="002A0750" w:rsidRDefault="00AF130B">
    <w:pPr>
      <w:pStyle w:val="Header"/>
      <w:jc w:val="right"/>
      <w:rPr>
        <w:rFonts w:ascii="Calibri" w:hAnsi="Calibri"/>
        <w:color w:val="4A442A"/>
        <w:sz w:val="14"/>
        <w:szCs w:val="14"/>
      </w:rPr>
    </w:pPr>
    <w:r>
      <w:rPr>
        <w:rFonts w:ascii="Calibri" w:hAnsi="Calibri"/>
        <w:color w:val="4A442A"/>
        <w:sz w:val="14"/>
      </w:rPr>
      <w:t xml:space="preserve">Capítulo I Introducción  |  </w:t>
    </w:r>
    <w:r w:rsidRPr="002A0750">
      <w:rPr>
        <w:rFonts w:ascii="Calibri" w:hAnsi="Calibri"/>
        <w:color w:val="4A442A"/>
        <w:sz w:val="14"/>
        <w:szCs w:val="14"/>
      </w:rPr>
      <w:fldChar w:fldCharType="begin"/>
    </w:r>
    <w:r w:rsidRPr="002A0750">
      <w:rPr>
        <w:rFonts w:ascii="Calibri" w:hAnsi="Calibri"/>
        <w:color w:val="4A442A"/>
        <w:sz w:val="14"/>
        <w:szCs w:val="14"/>
      </w:rPr>
      <w:instrText xml:space="preserve"> PAGE   \* MERGEFORMAT </w:instrText>
    </w:r>
    <w:r w:rsidRPr="002A0750">
      <w:rPr>
        <w:rFonts w:ascii="Calibri" w:hAnsi="Calibri"/>
        <w:color w:val="4A442A"/>
        <w:sz w:val="14"/>
        <w:szCs w:val="14"/>
      </w:rPr>
      <w:fldChar w:fldCharType="separate"/>
    </w:r>
    <w:r>
      <w:rPr>
        <w:rFonts w:ascii="Calibri" w:hAnsi="Calibri"/>
        <w:noProof/>
        <w:color w:val="4A442A"/>
        <w:sz w:val="14"/>
        <w:szCs w:val="14"/>
      </w:rPr>
      <w:t>3</w:t>
    </w:r>
    <w:r w:rsidRPr="002A0750">
      <w:rPr>
        <w:rFonts w:ascii="Calibri" w:hAnsi="Calibri"/>
        <w:noProof/>
        <w:color w:val="4A442A"/>
        <w:sz w:val="14"/>
        <w:szCs w:val="14"/>
      </w:rPr>
      <w:fldChar w:fldCharType="end"/>
    </w:r>
  </w:p>
  <w:p w:rsidR="00AF130B" w:rsidRPr="002A0750" w:rsidRDefault="00AF130B">
    <w:pPr>
      <w:pStyle w:val="Header"/>
      <w:rPr>
        <w:rFonts w:ascii="Calibri" w:hAnsi="Calibri"/>
        <w:color w:val="4A442A"/>
        <w:sz w:val="14"/>
        <w:szCs w:val="14"/>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0B" w:rsidRPr="00DB24DC" w:rsidRDefault="00AF130B">
    <w:pPr>
      <w:pStyle w:val="Header"/>
      <w:jc w:val="right"/>
      <w:rPr>
        <w:rFonts w:ascii="Calibri" w:hAnsi="Calibri"/>
        <w:color w:val="4A442A"/>
        <w:sz w:val="14"/>
        <w:szCs w:val="14"/>
      </w:rPr>
    </w:pPr>
    <w:r w:rsidRPr="00DB24DC">
      <w:rPr>
        <w:rFonts w:ascii="Calibri" w:hAnsi="Calibri"/>
        <w:color w:val="4A442A"/>
        <w:sz w:val="14"/>
        <w:szCs w:val="14"/>
      </w:rPr>
      <w:t xml:space="preserve">Capítulo 2 Evolución de las iniciativas de la CIDH relativas a Guantánamo  |  </w:t>
    </w:r>
    <w:r w:rsidRPr="00DB24DC">
      <w:rPr>
        <w:rFonts w:ascii="Calibri" w:hAnsi="Calibri"/>
        <w:color w:val="4A442A"/>
        <w:sz w:val="14"/>
        <w:szCs w:val="14"/>
      </w:rPr>
      <w:fldChar w:fldCharType="begin"/>
    </w:r>
    <w:r w:rsidRPr="00DB24DC">
      <w:rPr>
        <w:rFonts w:ascii="Calibri" w:hAnsi="Calibri"/>
        <w:color w:val="4A442A"/>
        <w:sz w:val="14"/>
        <w:szCs w:val="14"/>
      </w:rPr>
      <w:instrText xml:space="preserve"> PAGE   \* MERGEFORMAT </w:instrText>
    </w:r>
    <w:r w:rsidRPr="00DB24DC">
      <w:rPr>
        <w:rFonts w:ascii="Calibri" w:hAnsi="Calibri"/>
        <w:color w:val="4A442A"/>
        <w:sz w:val="14"/>
        <w:szCs w:val="14"/>
      </w:rPr>
      <w:fldChar w:fldCharType="separate"/>
    </w:r>
    <w:r w:rsidR="007A62F2">
      <w:rPr>
        <w:rFonts w:ascii="Calibri" w:hAnsi="Calibri"/>
        <w:noProof/>
        <w:color w:val="4A442A"/>
        <w:sz w:val="14"/>
        <w:szCs w:val="14"/>
      </w:rPr>
      <w:t>35</w:t>
    </w:r>
    <w:r w:rsidRPr="00DB24DC">
      <w:rPr>
        <w:rFonts w:ascii="Calibri" w:hAnsi="Calibri"/>
        <w:noProof/>
        <w:color w:val="4A442A"/>
        <w:sz w:val="14"/>
        <w:szCs w:val="14"/>
      </w:rPr>
      <w:fldChar w:fldCharType="end"/>
    </w:r>
  </w:p>
  <w:p w:rsidR="00AF130B" w:rsidRPr="00DB24DC" w:rsidRDefault="00AF130B" w:rsidP="00F66705">
    <w:pPr>
      <w:pStyle w:val="Header"/>
      <w:jc w:val="right"/>
      <w:rPr>
        <w:rFonts w:ascii="Calibri" w:hAnsi="Calibri"/>
        <w:color w:val="4A442A"/>
        <w:sz w:val="14"/>
        <w:szCs w:val="14"/>
      </w:rPr>
    </w:pPr>
  </w:p>
  <w:p w:rsidR="00AF130B" w:rsidRPr="00DB24DC" w:rsidRDefault="00AF130B" w:rsidP="00F66705">
    <w:pPr>
      <w:pStyle w:val="Header"/>
      <w:jc w:val="right"/>
      <w:rPr>
        <w:rFonts w:ascii="Calibri" w:hAnsi="Calibri"/>
        <w:color w:val="4A442A"/>
        <w:sz w:val="14"/>
        <w:szCs w:val="14"/>
      </w:rPr>
    </w:pPr>
  </w:p>
  <w:p w:rsidR="00AF130B" w:rsidRPr="00DB24DC" w:rsidRDefault="00AF130B" w:rsidP="00F66705">
    <w:pPr>
      <w:pStyle w:val="Header"/>
      <w:jc w:val="right"/>
      <w:rPr>
        <w:rFonts w:ascii="Calibri" w:hAnsi="Calibri"/>
        <w:color w:val="4A442A"/>
        <w:sz w:val="14"/>
        <w:szCs w:val="1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0B" w:rsidRPr="00C12992" w:rsidRDefault="00AF130B" w:rsidP="00C12992">
    <w:pPr>
      <w:pStyle w:val="Header"/>
      <w:rPr>
        <w:rFonts w:ascii="Calibri" w:hAnsi="Calibri"/>
        <w:color w:val="4A442A"/>
        <w:sz w:val="14"/>
        <w:szCs w:val="1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0B" w:rsidRPr="00DB24DC" w:rsidRDefault="00AF130B" w:rsidP="00952501">
    <w:pPr>
      <w:pStyle w:val="Header"/>
      <w:jc w:val="right"/>
      <w:rPr>
        <w:rFonts w:ascii="Calibri" w:hAnsi="Calibri"/>
        <w:color w:val="4A442A"/>
        <w:sz w:val="14"/>
        <w:szCs w:val="14"/>
      </w:rPr>
    </w:pPr>
    <w:r w:rsidRPr="00DB24DC">
      <w:rPr>
        <w:rFonts w:ascii="Calibri" w:hAnsi="Calibri"/>
        <w:color w:val="4A442A"/>
        <w:sz w:val="14"/>
        <w:szCs w:val="14"/>
      </w:rPr>
      <w:t xml:space="preserve">Capítulo 3 Condiciones de detención  |  </w:t>
    </w:r>
    <w:r w:rsidRPr="00DB24DC">
      <w:rPr>
        <w:rFonts w:ascii="Calibri" w:hAnsi="Calibri"/>
        <w:color w:val="4A442A"/>
        <w:sz w:val="14"/>
        <w:szCs w:val="14"/>
      </w:rPr>
      <w:fldChar w:fldCharType="begin"/>
    </w:r>
    <w:r w:rsidRPr="00DB24DC">
      <w:rPr>
        <w:rFonts w:ascii="Calibri" w:hAnsi="Calibri"/>
        <w:color w:val="4A442A"/>
        <w:sz w:val="14"/>
        <w:szCs w:val="14"/>
      </w:rPr>
      <w:instrText xml:space="preserve"> PAGE   \* MERGEFORMAT </w:instrText>
    </w:r>
    <w:r w:rsidRPr="00DB24DC">
      <w:rPr>
        <w:rFonts w:ascii="Calibri" w:hAnsi="Calibri"/>
        <w:color w:val="4A442A"/>
        <w:sz w:val="14"/>
        <w:szCs w:val="14"/>
      </w:rPr>
      <w:fldChar w:fldCharType="separate"/>
    </w:r>
    <w:r w:rsidR="007A62F2">
      <w:rPr>
        <w:rFonts w:ascii="Calibri" w:hAnsi="Calibri"/>
        <w:noProof/>
        <w:color w:val="4A442A"/>
        <w:sz w:val="14"/>
        <w:szCs w:val="14"/>
      </w:rPr>
      <w:t>71</w:t>
    </w:r>
    <w:r w:rsidRPr="00DB24DC">
      <w:rPr>
        <w:rFonts w:ascii="Calibri" w:hAnsi="Calibri"/>
        <w:noProof/>
        <w:color w:val="4A442A"/>
        <w:sz w:val="14"/>
        <w:szCs w:val="14"/>
      </w:rPr>
      <w:fldChar w:fldCharType="end"/>
    </w:r>
  </w:p>
  <w:p w:rsidR="00AF130B" w:rsidRPr="00DB24DC" w:rsidRDefault="00AF130B" w:rsidP="00952501">
    <w:pPr>
      <w:pStyle w:val="Header"/>
      <w:jc w:val="right"/>
      <w:rPr>
        <w:rFonts w:ascii="Calibri" w:hAnsi="Calibri"/>
        <w:color w:val="4A442A"/>
        <w:sz w:val="14"/>
        <w:szCs w:val="14"/>
      </w:rPr>
    </w:pPr>
  </w:p>
  <w:p w:rsidR="00AF130B" w:rsidRPr="00DB24DC" w:rsidRDefault="00AF130B" w:rsidP="00952501">
    <w:pPr>
      <w:pStyle w:val="Header"/>
      <w:jc w:val="right"/>
      <w:rPr>
        <w:rFonts w:ascii="Calibri" w:hAnsi="Calibri"/>
        <w:color w:val="4A442A"/>
        <w:sz w:val="14"/>
        <w:szCs w:val="14"/>
      </w:rPr>
    </w:pPr>
  </w:p>
  <w:p w:rsidR="00AF130B" w:rsidRPr="00DB24DC" w:rsidRDefault="00AF130B" w:rsidP="00952501">
    <w:pPr>
      <w:pStyle w:val="Header"/>
      <w:jc w:val="right"/>
      <w:rPr>
        <w:rFonts w:ascii="Calibri" w:hAnsi="Calibri"/>
        <w:color w:val="4A442A"/>
        <w:sz w:val="14"/>
        <w:szCs w:val="1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0B" w:rsidRPr="00F010D6" w:rsidRDefault="00AF130B" w:rsidP="00C12992">
    <w:pPr>
      <w:pStyle w:val="Header"/>
      <w:rPr>
        <w:rFonts w:ascii="Calibri" w:hAnsi="Calibri"/>
        <w:color w:val="4A442A"/>
        <w:sz w:val="14"/>
        <w:szCs w:val="1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0B" w:rsidRPr="00D241E8" w:rsidRDefault="00AF130B" w:rsidP="00370CF8">
    <w:pPr>
      <w:pStyle w:val="Header"/>
      <w:jc w:val="right"/>
      <w:rPr>
        <w:rFonts w:ascii="Calibri" w:hAnsi="Calibri"/>
        <w:color w:val="4A442A"/>
        <w:sz w:val="14"/>
        <w:szCs w:val="14"/>
      </w:rPr>
    </w:pPr>
    <w:r w:rsidRPr="00D241E8">
      <w:rPr>
        <w:rFonts w:ascii="Calibri" w:hAnsi="Calibri"/>
        <w:color w:val="4A442A"/>
        <w:sz w:val="14"/>
        <w:szCs w:val="14"/>
      </w:rPr>
      <w:t xml:space="preserve">Capítulo 4 Acceso a la justicia  |  </w:t>
    </w:r>
    <w:r w:rsidRPr="00D241E8">
      <w:rPr>
        <w:rFonts w:ascii="Calibri" w:hAnsi="Calibri"/>
        <w:color w:val="4A442A"/>
        <w:sz w:val="14"/>
        <w:szCs w:val="14"/>
      </w:rPr>
      <w:fldChar w:fldCharType="begin"/>
    </w:r>
    <w:r w:rsidRPr="00D241E8">
      <w:rPr>
        <w:rFonts w:ascii="Calibri" w:hAnsi="Calibri"/>
        <w:color w:val="4A442A"/>
        <w:sz w:val="14"/>
        <w:szCs w:val="14"/>
      </w:rPr>
      <w:instrText xml:space="preserve"> PAGE   \* MERGEFORMAT </w:instrText>
    </w:r>
    <w:r w:rsidRPr="00D241E8">
      <w:rPr>
        <w:rFonts w:ascii="Calibri" w:hAnsi="Calibri"/>
        <w:color w:val="4A442A"/>
        <w:sz w:val="14"/>
        <w:szCs w:val="14"/>
      </w:rPr>
      <w:fldChar w:fldCharType="separate"/>
    </w:r>
    <w:r w:rsidR="00D26452">
      <w:rPr>
        <w:rFonts w:ascii="Calibri" w:hAnsi="Calibri"/>
        <w:noProof/>
        <w:color w:val="4A442A"/>
        <w:sz w:val="14"/>
        <w:szCs w:val="14"/>
      </w:rPr>
      <w:t>113</w:t>
    </w:r>
    <w:r w:rsidRPr="00D241E8">
      <w:rPr>
        <w:rFonts w:ascii="Calibri" w:hAnsi="Calibri"/>
        <w:noProof/>
        <w:color w:val="4A442A"/>
        <w:sz w:val="14"/>
        <w:szCs w:val="14"/>
      </w:rPr>
      <w:fldChar w:fldCharType="end"/>
    </w:r>
  </w:p>
  <w:p w:rsidR="00AF130B" w:rsidRPr="00D241E8" w:rsidRDefault="00AF130B" w:rsidP="00156DB9">
    <w:pPr>
      <w:pStyle w:val="Header"/>
      <w:jc w:val="right"/>
      <w:rPr>
        <w:rFonts w:ascii="Calibri" w:hAnsi="Calibri"/>
        <w:color w:val="4A442A"/>
        <w:sz w:val="14"/>
        <w:szCs w:val="14"/>
      </w:rPr>
    </w:pPr>
  </w:p>
  <w:p w:rsidR="00AF130B" w:rsidRPr="00D241E8" w:rsidRDefault="00AF130B" w:rsidP="00156DB9">
    <w:pPr>
      <w:pStyle w:val="Header"/>
      <w:jc w:val="right"/>
      <w:rPr>
        <w:rFonts w:ascii="Calibri" w:hAnsi="Calibri"/>
        <w:color w:val="4A442A"/>
        <w:sz w:val="14"/>
        <w:szCs w:val="14"/>
      </w:rPr>
    </w:pPr>
  </w:p>
  <w:p w:rsidR="00AF130B" w:rsidRPr="00D241E8" w:rsidRDefault="00AF130B" w:rsidP="00156DB9">
    <w:pPr>
      <w:pStyle w:val="Header"/>
      <w:jc w:val="right"/>
      <w:rPr>
        <w:rFonts w:ascii="Calibri" w:hAnsi="Calibri"/>
        <w:color w:val="4A442A"/>
        <w:sz w:val="14"/>
        <w:szCs w:val="14"/>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0B" w:rsidRPr="002A0750" w:rsidRDefault="00AF130B">
    <w:pPr>
      <w:pStyle w:val="Header"/>
      <w:rPr>
        <w:rFonts w:ascii="Calibri" w:hAnsi="Calibri"/>
        <w:color w:val="4A442A"/>
        <w:sz w:val="14"/>
        <w:szCs w:val="14"/>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0B" w:rsidRPr="00034771" w:rsidRDefault="00AF130B" w:rsidP="00467695">
    <w:pPr>
      <w:pStyle w:val="Header"/>
      <w:jc w:val="right"/>
      <w:rPr>
        <w:rFonts w:ascii="Calibri" w:hAnsi="Calibri"/>
        <w:color w:val="4A442A"/>
        <w:sz w:val="14"/>
        <w:szCs w:val="14"/>
      </w:rPr>
    </w:pPr>
    <w:r w:rsidRPr="00034771">
      <w:rPr>
        <w:rFonts w:ascii="Calibri" w:hAnsi="Calibri"/>
        <w:color w:val="4A442A"/>
        <w:sz w:val="14"/>
        <w:szCs w:val="14"/>
      </w:rPr>
      <w:t>Capítulo 5</w:t>
    </w:r>
    <w:r w:rsidRPr="00034771">
      <w:rPr>
        <w:sz w:val="14"/>
        <w:szCs w:val="14"/>
      </w:rPr>
      <w:t xml:space="preserve"> </w:t>
    </w:r>
    <w:r w:rsidRPr="00034771">
      <w:rPr>
        <w:rFonts w:ascii="Calibri" w:hAnsi="Calibri"/>
        <w:color w:val="4A442A"/>
        <w:sz w:val="14"/>
        <w:szCs w:val="14"/>
      </w:rPr>
      <w:t>Hacia e</w:t>
    </w:r>
    <w:r>
      <w:rPr>
        <w:rFonts w:ascii="Calibri" w:hAnsi="Calibri"/>
        <w:color w:val="4A442A"/>
        <w:sz w:val="14"/>
        <w:szCs w:val="14"/>
      </w:rPr>
      <w:t>l cierre de Guantánamo: O</w:t>
    </w:r>
    <w:r w:rsidRPr="00034771">
      <w:rPr>
        <w:rFonts w:ascii="Calibri" w:hAnsi="Calibri"/>
        <w:color w:val="4A442A"/>
        <w:sz w:val="14"/>
        <w:szCs w:val="14"/>
      </w:rPr>
      <w:t xml:space="preserve">bligaciones jurídicas internacionales </w:t>
    </w:r>
    <w:r>
      <w:rPr>
        <w:rFonts w:ascii="Calibri" w:hAnsi="Calibri"/>
        <w:color w:val="4A442A"/>
        <w:sz w:val="14"/>
        <w:szCs w:val="14"/>
      </w:rPr>
      <w:t xml:space="preserve"> </w:t>
    </w:r>
    <w:r w:rsidRPr="00034771">
      <w:rPr>
        <w:rFonts w:ascii="Calibri" w:hAnsi="Calibri"/>
        <w:color w:val="4A442A"/>
        <w:sz w:val="14"/>
        <w:szCs w:val="14"/>
      </w:rPr>
      <w:t xml:space="preserve">|  </w:t>
    </w:r>
    <w:r w:rsidRPr="00034771">
      <w:rPr>
        <w:rFonts w:ascii="Calibri" w:hAnsi="Calibri"/>
        <w:color w:val="4A442A"/>
        <w:sz w:val="14"/>
        <w:szCs w:val="14"/>
      </w:rPr>
      <w:fldChar w:fldCharType="begin"/>
    </w:r>
    <w:r w:rsidRPr="00034771">
      <w:rPr>
        <w:rFonts w:ascii="Calibri" w:hAnsi="Calibri"/>
        <w:color w:val="4A442A"/>
        <w:sz w:val="14"/>
        <w:szCs w:val="14"/>
      </w:rPr>
      <w:instrText xml:space="preserve"> PAGE   \* MERGEFORMAT </w:instrText>
    </w:r>
    <w:r w:rsidRPr="00034771">
      <w:rPr>
        <w:rFonts w:ascii="Calibri" w:hAnsi="Calibri"/>
        <w:color w:val="4A442A"/>
        <w:sz w:val="14"/>
        <w:szCs w:val="14"/>
      </w:rPr>
      <w:fldChar w:fldCharType="separate"/>
    </w:r>
    <w:r w:rsidR="00D26452">
      <w:rPr>
        <w:rFonts w:ascii="Calibri" w:hAnsi="Calibri"/>
        <w:noProof/>
        <w:color w:val="4A442A"/>
        <w:sz w:val="14"/>
        <w:szCs w:val="14"/>
      </w:rPr>
      <w:t>135</w:t>
    </w:r>
    <w:r w:rsidRPr="00034771">
      <w:rPr>
        <w:rFonts w:ascii="Calibri" w:hAnsi="Calibri"/>
        <w:noProof/>
        <w:color w:val="4A442A"/>
        <w:sz w:val="14"/>
        <w:szCs w:val="14"/>
      </w:rPr>
      <w:fldChar w:fldCharType="end"/>
    </w:r>
  </w:p>
  <w:p w:rsidR="00AF130B" w:rsidRPr="00CC4100" w:rsidRDefault="00AF130B" w:rsidP="00056273">
    <w:pPr>
      <w:pStyle w:val="Header"/>
      <w:jc w:val="both"/>
      <w:rPr>
        <w:rFonts w:ascii="Calibri" w:hAnsi="Calibri"/>
        <w:color w:val="4A442A"/>
        <w:sz w:val="14"/>
        <w:szCs w:val="14"/>
      </w:rPr>
    </w:pPr>
    <w:r>
      <w:rPr>
        <w:rFonts w:ascii="Calibri" w:hAnsi="Calibri"/>
        <w:color w:val="4A442A"/>
        <w:sz w:val="14"/>
        <w:szCs w:val="14"/>
      </w:rPr>
      <w:t xml:space="preserve">                                                                                                                                               </w:t>
    </w:r>
    <w:proofErr w:type="gramStart"/>
    <w:r>
      <w:rPr>
        <w:rFonts w:ascii="Calibri" w:hAnsi="Calibri"/>
        <w:color w:val="4A442A"/>
        <w:sz w:val="14"/>
        <w:szCs w:val="14"/>
      </w:rPr>
      <w:t>relativas</w:t>
    </w:r>
    <w:proofErr w:type="gramEnd"/>
    <w:r>
      <w:rPr>
        <w:rFonts w:ascii="Calibri" w:hAnsi="Calibri"/>
        <w:color w:val="4A442A"/>
        <w:sz w:val="14"/>
        <w:szCs w:val="14"/>
      </w:rPr>
      <w:t xml:space="preserve"> </w:t>
    </w:r>
    <w:r w:rsidRPr="00034771">
      <w:rPr>
        <w:rFonts w:ascii="Calibri" w:hAnsi="Calibri"/>
        <w:color w:val="4A442A"/>
        <w:sz w:val="14"/>
        <w:szCs w:val="14"/>
      </w:rPr>
      <w:t>al traslado o liberación de los detenidos</w:t>
    </w:r>
  </w:p>
  <w:p w:rsidR="00AF130B" w:rsidRPr="00CC4100" w:rsidRDefault="00AF130B" w:rsidP="00467695">
    <w:pPr>
      <w:pStyle w:val="Header"/>
      <w:jc w:val="right"/>
      <w:rPr>
        <w:rFonts w:ascii="Calibri" w:hAnsi="Calibri"/>
        <w:color w:val="4A442A"/>
        <w:sz w:val="14"/>
        <w:szCs w:val="14"/>
      </w:rPr>
    </w:pPr>
  </w:p>
  <w:p w:rsidR="00AF130B" w:rsidRPr="00CC4100" w:rsidRDefault="00AF130B" w:rsidP="00467695">
    <w:pPr>
      <w:pStyle w:val="Header"/>
      <w:jc w:val="right"/>
      <w:rPr>
        <w:rFonts w:ascii="Calibri" w:hAnsi="Calibri"/>
        <w:color w:val="4A442A"/>
        <w:sz w:val="14"/>
        <w:szCs w:val="14"/>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0B" w:rsidRPr="002A0750" w:rsidRDefault="00AF130B">
    <w:pPr>
      <w:pStyle w:val="Header"/>
      <w:rPr>
        <w:rFonts w:ascii="Calibri" w:hAnsi="Calibri"/>
        <w:color w:val="4A442A"/>
        <w:sz w:val="14"/>
        <w:szCs w:val="14"/>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0B" w:rsidRPr="00CC4100" w:rsidRDefault="00AF130B" w:rsidP="00477F3F">
    <w:pPr>
      <w:pStyle w:val="Header"/>
      <w:jc w:val="right"/>
      <w:rPr>
        <w:rFonts w:ascii="Calibri" w:hAnsi="Calibri"/>
        <w:color w:val="4A442A"/>
        <w:sz w:val="14"/>
        <w:szCs w:val="14"/>
      </w:rPr>
    </w:pPr>
    <w:r w:rsidRPr="00CC4100">
      <w:rPr>
        <w:rFonts w:ascii="Calibri" w:hAnsi="Calibri"/>
        <w:color w:val="4A442A"/>
        <w:sz w:val="14"/>
        <w:szCs w:val="14"/>
      </w:rPr>
      <w:t xml:space="preserve">Capítulo 6 Conclusiones y recomendaciones  |  </w:t>
    </w:r>
    <w:r w:rsidRPr="00CC4100">
      <w:rPr>
        <w:rFonts w:ascii="Calibri" w:hAnsi="Calibri"/>
        <w:color w:val="4A442A"/>
        <w:sz w:val="14"/>
        <w:szCs w:val="14"/>
      </w:rPr>
      <w:fldChar w:fldCharType="begin"/>
    </w:r>
    <w:r w:rsidRPr="00CC4100">
      <w:rPr>
        <w:rFonts w:ascii="Calibri" w:hAnsi="Calibri"/>
        <w:color w:val="4A442A"/>
        <w:sz w:val="14"/>
        <w:szCs w:val="14"/>
      </w:rPr>
      <w:instrText xml:space="preserve"> PAGE   \* MERGEFORMAT </w:instrText>
    </w:r>
    <w:r w:rsidRPr="00CC4100">
      <w:rPr>
        <w:rFonts w:ascii="Calibri" w:hAnsi="Calibri"/>
        <w:color w:val="4A442A"/>
        <w:sz w:val="14"/>
        <w:szCs w:val="14"/>
      </w:rPr>
      <w:fldChar w:fldCharType="separate"/>
    </w:r>
    <w:r w:rsidR="00D26452">
      <w:rPr>
        <w:rFonts w:ascii="Calibri" w:hAnsi="Calibri"/>
        <w:noProof/>
        <w:color w:val="4A442A"/>
        <w:sz w:val="14"/>
        <w:szCs w:val="14"/>
      </w:rPr>
      <w:t>139</w:t>
    </w:r>
    <w:r w:rsidRPr="00CC4100">
      <w:rPr>
        <w:rFonts w:ascii="Calibri" w:hAnsi="Calibri"/>
        <w:noProof/>
        <w:color w:val="4A442A"/>
        <w:sz w:val="14"/>
        <w:szCs w:val="14"/>
      </w:rPr>
      <w:fldChar w:fldCharType="end"/>
    </w:r>
  </w:p>
  <w:p w:rsidR="00AF130B" w:rsidRPr="00CC4100" w:rsidRDefault="00AF130B" w:rsidP="00477F3F">
    <w:pPr>
      <w:pStyle w:val="Header"/>
      <w:jc w:val="right"/>
      <w:rPr>
        <w:rFonts w:ascii="Calibri" w:hAnsi="Calibri"/>
        <w:color w:val="4A442A"/>
        <w:sz w:val="14"/>
        <w:szCs w:val="14"/>
      </w:rPr>
    </w:pPr>
  </w:p>
  <w:p w:rsidR="00AF130B" w:rsidRPr="00CC4100" w:rsidRDefault="00AF130B" w:rsidP="00477F3F">
    <w:pPr>
      <w:pStyle w:val="Header"/>
      <w:jc w:val="right"/>
      <w:rPr>
        <w:rFonts w:ascii="Calibri" w:hAnsi="Calibri"/>
        <w:color w:val="4A442A"/>
        <w:sz w:val="14"/>
        <w:szCs w:val="14"/>
      </w:rPr>
    </w:pPr>
  </w:p>
  <w:p w:rsidR="00AF130B" w:rsidRPr="00CC4100" w:rsidRDefault="00AF130B" w:rsidP="00477F3F">
    <w:pPr>
      <w:pStyle w:val="Header"/>
      <w:jc w:val="right"/>
      <w:rPr>
        <w:rFonts w:ascii="Calibri" w:hAnsi="Calibri"/>
        <w:color w:val="4A442A"/>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0B" w:rsidRDefault="00AF13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0B" w:rsidRPr="002A0750" w:rsidRDefault="00AF130B">
    <w:pPr>
      <w:pStyle w:val="Header"/>
      <w:rPr>
        <w:rFonts w:ascii="Calibri" w:hAnsi="Calibri"/>
        <w:color w:val="4A442A"/>
        <w:sz w:val="14"/>
        <w:szCs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0B" w:rsidRPr="002A0750" w:rsidRDefault="00AF130B">
    <w:pPr>
      <w:pStyle w:val="Header"/>
      <w:rPr>
        <w:rFonts w:ascii="Calibri" w:hAnsi="Calibri"/>
        <w:color w:val="4A442A"/>
        <w:sz w:val="14"/>
        <w:szCs w:val="1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0B" w:rsidRPr="00DB24DC" w:rsidRDefault="00AF130B">
    <w:pPr>
      <w:pStyle w:val="Header"/>
      <w:rPr>
        <w:rFonts w:ascii="Calibri" w:hAnsi="Calibri"/>
        <w:color w:val="4A442A"/>
        <w:sz w:val="14"/>
        <w:szCs w:val="14"/>
      </w:rPr>
    </w:pPr>
    <w:r w:rsidRPr="00DB24DC">
      <w:rPr>
        <w:rFonts w:ascii="Calibri" w:hAnsi="Calibri"/>
        <w:color w:val="4A442A"/>
        <w:sz w:val="14"/>
        <w:szCs w:val="14"/>
      </w:rPr>
      <w:fldChar w:fldCharType="begin"/>
    </w:r>
    <w:r w:rsidRPr="00DB24DC">
      <w:rPr>
        <w:rFonts w:ascii="Calibri" w:hAnsi="Calibri"/>
        <w:color w:val="4A442A"/>
        <w:sz w:val="14"/>
        <w:szCs w:val="14"/>
      </w:rPr>
      <w:instrText xml:space="preserve"> PAGE   \* MERGEFORMAT </w:instrText>
    </w:r>
    <w:r w:rsidRPr="00DB24DC">
      <w:rPr>
        <w:rFonts w:ascii="Calibri" w:hAnsi="Calibri"/>
        <w:color w:val="4A442A"/>
        <w:sz w:val="14"/>
        <w:szCs w:val="14"/>
      </w:rPr>
      <w:fldChar w:fldCharType="separate"/>
    </w:r>
    <w:r w:rsidR="00D26452">
      <w:rPr>
        <w:rFonts w:ascii="Calibri" w:hAnsi="Calibri"/>
        <w:noProof/>
        <w:color w:val="4A442A"/>
        <w:sz w:val="14"/>
        <w:szCs w:val="14"/>
      </w:rPr>
      <w:t>140</w:t>
    </w:r>
    <w:r w:rsidRPr="00DB24DC">
      <w:rPr>
        <w:rFonts w:ascii="Calibri" w:hAnsi="Calibri"/>
        <w:noProof/>
        <w:color w:val="4A442A"/>
        <w:sz w:val="14"/>
        <w:szCs w:val="14"/>
      </w:rPr>
      <w:fldChar w:fldCharType="end"/>
    </w:r>
    <w:r w:rsidRPr="00DB24DC">
      <w:rPr>
        <w:rFonts w:ascii="Calibri" w:hAnsi="Calibri"/>
        <w:noProof/>
        <w:color w:val="4A442A"/>
        <w:sz w:val="14"/>
        <w:szCs w:val="14"/>
      </w:rPr>
      <w:t xml:space="preserve">  |  Hacia el cierre de Guantánamo</w:t>
    </w:r>
  </w:p>
  <w:p w:rsidR="00AF130B" w:rsidRPr="00DB24DC" w:rsidRDefault="00AF130B" w:rsidP="002A0750">
    <w:pPr>
      <w:pStyle w:val="Header"/>
      <w:rPr>
        <w:rFonts w:ascii="Calibri" w:hAnsi="Calibri"/>
        <w:color w:val="4A442A"/>
        <w:sz w:val="14"/>
        <w:szCs w:val="14"/>
      </w:rPr>
    </w:pPr>
  </w:p>
  <w:p w:rsidR="00AF130B" w:rsidRPr="00DB24DC" w:rsidRDefault="00AF130B" w:rsidP="002A0750">
    <w:pPr>
      <w:pStyle w:val="Header"/>
      <w:rPr>
        <w:rFonts w:ascii="Calibri" w:hAnsi="Calibri"/>
        <w:color w:val="4A442A"/>
        <w:sz w:val="14"/>
        <w:szCs w:val="14"/>
      </w:rPr>
    </w:pPr>
  </w:p>
  <w:p w:rsidR="00AF130B" w:rsidRPr="00DB24DC" w:rsidRDefault="00AF130B" w:rsidP="002A0750">
    <w:pPr>
      <w:pStyle w:val="Header"/>
      <w:rPr>
        <w:rFonts w:ascii="Calibri" w:hAnsi="Calibri"/>
        <w:color w:val="4A442A"/>
        <w:sz w:val="14"/>
        <w:szCs w:val="1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0B" w:rsidRPr="00DB24DC" w:rsidRDefault="00AF130B">
    <w:pPr>
      <w:pStyle w:val="Header"/>
      <w:jc w:val="right"/>
      <w:rPr>
        <w:rFonts w:ascii="Calibri" w:hAnsi="Calibri"/>
        <w:color w:val="4A442A"/>
        <w:sz w:val="14"/>
        <w:szCs w:val="14"/>
      </w:rPr>
    </w:pPr>
    <w:r w:rsidRPr="00DB24DC">
      <w:rPr>
        <w:rFonts w:ascii="Calibri" w:hAnsi="Calibri"/>
        <w:color w:val="4A442A"/>
        <w:sz w:val="14"/>
        <w:szCs w:val="14"/>
      </w:rPr>
      <w:t xml:space="preserve">Resumen Ejecutivo  |  </w:t>
    </w:r>
    <w:r w:rsidRPr="00DB24DC">
      <w:rPr>
        <w:rFonts w:ascii="Calibri" w:hAnsi="Calibri"/>
        <w:color w:val="4A442A"/>
        <w:sz w:val="14"/>
        <w:szCs w:val="14"/>
      </w:rPr>
      <w:fldChar w:fldCharType="begin"/>
    </w:r>
    <w:r w:rsidRPr="00DB24DC">
      <w:rPr>
        <w:rFonts w:ascii="Calibri" w:hAnsi="Calibri"/>
        <w:color w:val="4A442A"/>
        <w:sz w:val="14"/>
        <w:szCs w:val="14"/>
      </w:rPr>
      <w:instrText xml:space="preserve"> PAGE   \* MERGEFORMAT </w:instrText>
    </w:r>
    <w:r w:rsidRPr="00DB24DC">
      <w:rPr>
        <w:rFonts w:ascii="Calibri" w:hAnsi="Calibri"/>
        <w:color w:val="4A442A"/>
        <w:sz w:val="14"/>
        <w:szCs w:val="14"/>
      </w:rPr>
      <w:fldChar w:fldCharType="separate"/>
    </w:r>
    <w:r w:rsidR="007A62F2">
      <w:rPr>
        <w:rFonts w:ascii="Calibri" w:hAnsi="Calibri"/>
        <w:noProof/>
        <w:color w:val="4A442A"/>
        <w:sz w:val="14"/>
        <w:szCs w:val="14"/>
      </w:rPr>
      <w:t>11</w:t>
    </w:r>
    <w:r w:rsidRPr="00DB24DC">
      <w:rPr>
        <w:rFonts w:ascii="Calibri" w:hAnsi="Calibri"/>
        <w:noProof/>
        <w:color w:val="4A442A"/>
        <w:sz w:val="14"/>
        <w:szCs w:val="14"/>
      </w:rPr>
      <w:fldChar w:fldCharType="end"/>
    </w:r>
  </w:p>
  <w:p w:rsidR="00AF130B" w:rsidRPr="00DB24DC" w:rsidRDefault="00AF130B" w:rsidP="00EB1FC4">
    <w:pPr>
      <w:pStyle w:val="Header"/>
      <w:jc w:val="right"/>
      <w:rPr>
        <w:rFonts w:ascii="Calibri" w:hAnsi="Calibri"/>
        <w:color w:val="4A442A"/>
        <w:sz w:val="14"/>
        <w:szCs w:val="14"/>
      </w:rPr>
    </w:pPr>
  </w:p>
  <w:p w:rsidR="00AF130B" w:rsidRPr="00DB24DC" w:rsidRDefault="00AF130B" w:rsidP="00EB1FC4">
    <w:pPr>
      <w:pStyle w:val="Header"/>
      <w:jc w:val="right"/>
      <w:rPr>
        <w:rFonts w:ascii="Calibri" w:hAnsi="Calibri"/>
        <w:color w:val="4A442A"/>
        <w:sz w:val="14"/>
        <w:szCs w:val="14"/>
      </w:rPr>
    </w:pPr>
  </w:p>
  <w:p w:rsidR="00AF130B" w:rsidRPr="00DB24DC" w:rsidRDefault="00AF130B" w:rsidP="00EB1FC4">
    <w:pPr>
      <w:pStyle w:val="Header"/>
      <w:jc w:val="right"/>
      <w:rPr>
        <w:rFonts w:ascii="Calibri" w:hAnsi="Calibri"/>
        <w:color w:val="4A442A"/>
        <w:sz w:val="14"/>
        <w:szCs w:val="1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0B" w:rsidRPr="00CB7C09" w:rsidRDefault="00AF130B" w:rsidP="00CB7C0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0B" w:rsidRPr="00DB24DC" w:rsidRDefault="00AF130B" w:rsidP="00373D92">
    <w:pPr>
      <w:pStyle w:val="Header"/>
      <w:jc w:val="right"/>
      <w:rPr>
        <w:rFonts w:ascii="Calibri" w:hAnsi="Calibri"/>
        <w:noProof/>
        <w:color w:val="4A442A"/>
        <w:sz w:val="14"/>
        <w:szCs w:val="14"/>
      </w:rPr>
    </w:pPr>
    <w:r w:rsidRPr="00DB24DC">
      <w:rPr>
        <w:rFonts w:ascii="Calibri" w:hAnsi="Calibri"/>
        <w:color w:val="4A442A"/>
        <w:sz w:val="14"/>
        <w:szCs w:val="14"/>
      </w:rPr>
      <w:t xml:space="preserve">Capítulo 1 Introducción  |  </w:t>
    </w:r>
    <w:r w:rsidRPr="00DB24DC">
      <w:rPr>
        <w:rFonts w:ascii="Calibri" w:hAnsi="Calibri"/>
        <w:color w:val="4A442A"/>
        <w:sz w:val="14"/>
        <w:szCs w:val="14"/>
      </w:rPr>
      <w:fldChar w:fldCharType="begin"/>
    </w:r>
    <w:r w:rsidRPr="00DB24DC">
      <w:rPr>
        <w:rFonts w:ascii="Calibri" w:hAnsi="Calibri"/>
        <w:color w:val="4A442A"/>
        <w:sz w:val="14"/>
        <w:szCs w:val="14"/>
      </w:rPr>
      <w:instrText xml:space="preserve"> PAGE   \* MERGEFORMAT </w:instrText>
    </w:r>
    <w:r w:rsidRPr="00DB24DC">
      <w:rPr>
        <w:rFonts w:ascii="Calibri" w:hAnsi="Calibri"/>
        <w:color w:val="4A442A"/>
        <w:sz w:val="14"/>
        <w:szCs w:val="14"/>
      </w:rPr>
      <w:fldChar w:fldCharType="separate"/>
    </w:r>
    <w:r w:rsidR="007A62F2">
      <w:rPr>
        <w:rFonts w:ascii="Calibri" w:hAnsi="Calibri"/>
        <w:noProof/>
        <w:color w:val="4A442A"/>
        <w:sz w:val="14"/>
        <w:szCs w:val="14"/>
      </w:rPr>
      <w:t>19</w:t>
    </w:r>
    <w:r w:rsidRPr="00DB24DC">
      <w:rPr>
        <w:rFonts w:ascii="Calibri" w:hAnsi="Calibri"/>
        <w:noProof/>
        <w:color w:val="4A442A"/>
        <w:sz w:val="14"/>
        <w:szCs w:val="14"/>
      </w:rPr>
      <w:fldChar w:fldCharType="end"/>
    </w:r>
  </w:p>
  <w:p w:rsidR="00AF130B" w:rsidRPr="00DB24DC" w:rsidRDefault="00AF130B" w:rsidP="00373D92">
    <w:pPr>
      <w:pStyle w:val="Header"/>
      <w:jc w:val="right"/>
      <w:rPr>
        <w:rFonts w:ascii="Calibri" w:hAnsi="Calibri"/>
        <w:noProof/>
        <w:color w:val="4A442A"/>
        <w:sz w:val="14"/>
        <w:szCs w:val="14"/>
      </w:rPr>
    </w:pPr>
  </w:p>
  <w:p w:rsidR="00AF130B" w:rsidRPr="00DB24DC" w:rsidRDefault="00AF130B" w:rsidP="00373D92">
    <w:pPr>
      <w:pStyle w:val="Header"/>
      <w:jc w:val="right"/>
      <w:rPr>
        <w:rFonts w:ascii="Calibri" w:hAnsi="Calibri"/>
        <w:noProof/>
        <w:color w:val="4A442A"/>
        <w:sz w:val="14"/>
        <w:szCs w:val="14"/>
      </w:rPr>
    </w:pPr>
  </w:p>
  <w:p w:rsidR="00AF130B" w:rsidRPr="00DB24DC" w:rsidRDefault="00AF130B" w:rsidP="00373D92">
    <w:pPr>
      <w:pStyle w:val="Header"/>
      <w:jc w:val="right"/>
      <w:rPr>
        <w:rFonts w:ascii="Calibri" w:hAnsi="Calibri"/>
        <w:color w:val="4A442A"/>
        <w:sz w:val="14"/>
        <w:szCs w:val="1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30B" w:rsidRPr="00C12992" w:rsidRDefault="00AF130B" w:rsidP="00C129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028B4"/>
    <w:multiLevelType w:val="hybridMultilevel"/>
    <w:tmpl w:val="D8887924"/>
    <w:lvl w:ilvl="0" w:tplc="1B9816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13642E8"/>
    <w:multiLevelType w:val="hybridMultilevel"/>
    <w:tmpl w:val="E7008390"/>
    <w:lvl w:ilvl="0" w:tplc="197649D0">
      <w:start w:val="5"/>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201DDA"/>
    <w:multiLevelType w:val="hybridMultilevel"/>
    <w:tmpl w:val="83ACD60C"/>
    <w:lvl w:ilvl="0" w:tplc="0666DCE6">
      <w:start w:val="1"/>
      <w:numFmt w:val="decimal"/>
      <w:lvlText w:val="%1."/>
      <w:lvlJc w:val="left"/>
      <w:pPr>
        <w:ind w:left="720" w:hanging="360"/>
      </w:pPr>
      <w:rPr>
        <w:rFonts w:hint="default"/>
        <w:b w:val="0"/>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79543242">
      <w:start w:val="1"/>
      <w:numFmt w:val="decimal"/>
      <w:lvlText w:val="%7."/>
      <w:lvlJc w:val="left"/>
      <w:pPr>
        <w:ind w:left="5040" w:hanging="360"/>
      </w:pPr>
      <w:rPr>
        <w:b/>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88400A"/>
    <w:multiLevelType w:val="hybridMultilevel"/>
    <w:tmpl w:val="B4C4639E"/>
    <w:lvl w:ilvl="0" w:tplc="194A86E4">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CC543A"/>
    <w:multiLevelType w:val="hybridMultilevel"/>
    <w:tmpl w:val="7D406824"/>
    <w:lvl w:ilvl="0" w:tplc="BC9C35D8">
      <w:start w:val="1"/>
      <w:numFmt w:val="lowerLetter"/>
      <w:pStyle w:val="Style4"/>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985F72"/>
    <w:multiLevelType w:val="hybridMultilevel"/>
    <w:tmpl w:val="F5682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6877EA"/>
    <w:multiLevelType w:val="hybridMultilevel"/>
    <w:tmpl w:val="79D43EC2"/>
    <w:lvl w:ilvl="0" w:tplc="E760D560">
      <w:start w:val="1"/>
      <w:numFmt w:val="decimal"/>
      <w:pStyle w:val="Style3"/>
      <w:lvlText w:val="%1."/>
      <w:lvlJc w:val="left"/>
      <w:pPr>
        <w:ind w:left="900" w:hanging="360"/>
      </w:pPr>
      <w:rPr>
        <w:rFonts w:hint="default"/>
      </w:r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3F421369"/>
    <w:multiLevelType w:val="hybridMultilevel"/>
    <w:tmpl w:val="E286E5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9478AB"/>
    <w:multiLevelType w:val="hybridMultilevel"/>
    <w:tmpl w:val="A88C82D2"/>
    <w:lvl w:ilvl="0" w:tplc="374020E4">
      <w:start w:val="1"/>
      <w:numFmt w:val="decimal"/>
      <w:lvlText w:val="%1."/>
      <w:lvlJc w:val="left"/>
      <w:pPr>
        <w:ind w:left="720" w:hanging="360"/>
      </w:pPr>
      <w:rPr>
        <w:rFonts w:cs="Times New Roman" w:hint="default"/>
        <w:vanish w:val="0"/>
        <w:color w:val="808080" w:themeColor="background1" w:themeShade="8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AAB5719"/>
    <w:multiLevelType w:val="hybridMultilevel"/>
    <w:tmpl w:val="C7766EAC"/>
    <w:lvl w:ilvl="0" w:tplc="4796B426">
      <w:start w:val="1"/>
      <w:numFmt w:val="decimal"/>
      <w:lvlText w:val="%1."/>
      <w:lvlJc w:val="left"/>
      <w:pPr>
        <w:ind w:left="1440" w:hanging="360"/>
      </w:pPr>
      <w:rPr>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9154602"/>
    <w:multiLevelType w:val="hybridMultilevel"/>
    <w:tmpl w:val="5EE25EF4"/>
    <w:lvl w:ilvl="0" w:tplc="19F6459A">
      <w:start w:val="1"/>
      <w:numFmt w:val="upperRoman"/>
      <w:lvlText w:val="%1."/>
      <w:lvlJc w:val="left"/>
      <w:pPr>
        <w:tabs>
          <w:tab w:val="num" w:pos="1080"/>
        </w:tabs>
        <w:ind w:left="1080" w:hanging="720"/>
      </w:pPr>
      <w:rPr>
        <w:rFonts w:hint="default"/>
      </w:rPr>
    </w:lvl>
    <w:lvl w:ilvl="1" w:tplc="4C8E367E">
      <w:start w:val="1"/>
      <w:numFmt w:val="upperLetter"/>
      <w:pStyle w:val="Style2"/>
      <w:lvlText w:val="%2."/>
      <w:lvlJc w:val="left"/>
      <w:pPr>
        <w:tabs>
          <w:tab w:val="num" w:pos="2160"/>
        </w:tabs>
        <w:ind w:left="2160" w:hanging="1080"/>
      </w:pPr>
      <w:rPr>
        <w:rFonts w:hint="default"/>
      </w:rPr>
    </w:lvl>
    <w:lvl w:ilvl="2" w:tplc="0409000B">
      <w:start w:val="1"/>
      <w:numFmt w:val="bullet"/>
      <w:lvlText w:val=""/>
      <w:lvlJc w:val="left"/>
      <w:pPr>
        <w:tabs>
          <w:tab w:val="num" w:pos="2340"/>
        </w:tabs>
        <w:ind w:left="2340" w:hanging="360"/>
      </w:pPr>
      <w:rPr>
        <w:rFonts w:ascii="Wingdings" w:hAnsi="Wingdings" w:hint="default"/>
      </w:rPr>
    </w:lvl>
    <w:lvl w:ilvl="3" w:tplc="0D76B034">
      <w:start w:val="1"/>
      <w:numFmt w:val="decimal"/>
      <w:lvlText w:val="%4."/>
      <w:lvlJc w:val="left"/>
      <w:pPr>
        <w:tabs>
          <w:tab w:val="num" w:pos="2880"/>
        </w:tabs>
        <w:ind w:left="2880" w:hanging="360"/>
      </w:pPr>
      <w:rPr>
        <w:rFonts w:hint="default"/>
      </w:rPr>
    </w:lvl>
    <w:lvl w:ilvl="4" w:tplc="18582BFE">
      <w:start w:val="1"/>
      <w:numFmt w:val="lowerRoman"/>
      <w:lvlText w:val="%5."/>
      <w:lvlJc w:val="left"/>
      <w:pPr>
        <w:tabs>
          <w:tab w:val="num" w:pos="3960"/>
        </w:tabs>
        <w:ind w:left="3960" w:hanging="720"/>
      </w:pPr>
      <w:rPr>
        <w:rFonts w:ascii="Calibri" w:eastAsia="Times New Roman" w:hAnsi="Calibri" w:cs="Times New Roman" w:hint="default"/>
      </w:rPr>
    </w:lvl>
    <w:lvl w:ilvl="5" w:tplc="C97C2BAC">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15A07CC"/>
    <w:multiLevelType w:val="hybridMultilevel"/>
    <w:tmpl w:val="280EFF98"/>
    <w:lvl w:ilvl="0" w:tplc="13E0BB2E">
      <w:start w:val="1"/>
      <w:numFmt w:val="upperLetter"/>
      <w:pStyle w:val="Style1"/>
      <w:lvlText w:val="%1."/>
      <w:lvlJc w:val="left"/>
      <w:pPr>
        <w:ind w:left="1080" w:hanging="360"/>
      </w:pPr>
      <w:rPr>
        <w:rFonts w:hint="default"/>
      </w:rPr>
    </w:lvl>
    <w:lvl w:ilvl="1" w:tplc="053AF470">
      <w:start w:val="4"/>
      <w:numFmt w:val="upperRoman"/>
      <w:lvlText w:val="%2."/>
      <w:lvlJc w:val="left"/>
      <w:pPr>
        <w:tabs>
          <w:tab w:val="num" w:pos="2160"/>
        </w:tabs>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1"/>
  </w:num>
  <w:num w:numId="3">
    <w:abstractNumId w:val="6"/>
  </w:num>
  <w:num w:numId="4">
    <w:abstractNumId w:val="8"/>
  </w:num>
  <w:num w:numId="5">
    <w:abstractNumId w:val="2"/>
  </w:num>
  <w:num w:numId="6">
    <w:abstractNumId w:val="9"/>
  </w:num>
  <w:num w:numId="7">
    <w:abstractNumId w:val="0"/>
  </w:num>
  <w:num w:numId="8">
    <w:abstractNumId w:val="1"/>
  </w:num>
  <w:num w:numId="9">
    <w:abstractNumId w:val="4"/>
  </w:num>
  <w:num w:numId="10">
    <w:abstractNumId w:val="5"/>
  </w:num>
  <w:num w:numId="11">
    <w:abstractNumId w:val="6"/>
    <w:lvlOverride w:ilvl="0">
      <w:startOverride w:val="1"/>
    </w:lvlOverride>
  </w:num>
  <w:num w:numId="12">
    <w:abstractNumId w:val="6"/>
    <w:lvlOverride w:ilvl="0">
      <w:startOverride w:val="1"/>
    </w:lvlOverride>
  </w:num>
  <w:num w:numId="13">
    <w:abstractNumId w:val="4"/>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7"/>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lvlOverride w:ilvl="0">
      <w:startOverride w:val="1"/>
    </w:lvlOverride>
  </w:num>
  <w:num w:numId="28">
    <w:abstractNumId w:val="3"/>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 w:numId="33">
    <w:abstractNumId w:val="6"/>
    <w:lvlOverride w:ilvl="0">
      <w:startOverride w:val="2"/>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C7"/>
    <w:rsid w:val="00002BBE"/>
    <w:rsid w:val="000032AD"/>
    <w:rsid w:val="0001036D"/>
    <w:rsid w:val="00010681"/>
    <w:rsid w:val="00010D13"/>
    <w:rsid w:val="00011600"/>
    <w:rsid w:val="00012EAA"/>
    <w:rsid w:val="0001301C"/>
    <w:rsid w:val="00013EDC"/>
    <w:rsid w:val="00014A25"/>
    <w:rsid w:val="0001523F"/>
    <w:rsid w:val="00016102"/>
    <w:rsid w:val="00016655"/>
    <w:rsid w:val="00016E80"/>
    <w:rsid w:val="00022FD5"/>
    <w:rsid w:val="000265A3"/>
    <w:rsid w:val="00026EDA"/>
    <w:rsid w:val="00027C12"/>
    <w:rsid w:val="00027E96"/>
    <w:rsid w:val="00032211"/>
    <w:rsid w:val="00032AEC"/>
    <w:rsid w:val="00032DB9"/>
    <w:rsid w:val="00033B0E"/>
    <w:rsid w:val="00034771"/>
    <w:rsid w:val="00034A66"/>
    <w:rsid w:val="0003518B"/>
    <w:rsid w:val="00036C80"/>
    <w:rsid w:val="00041424"/>
    <w:rsid w:val="00041963"/>
    <w:rsid w:val="00044106"/>
    <w:rsid w:val="000444A5"/>
    <w:rsid w:val="000452F9"/>
    <w:rsid w:val="00046097"/>
    <w:rsid w:val="000462E5"/>
    <w:rsid w:val="00046E47"/>
    <w:rsid w:val="00053281"/>
    <w:rsid w:val="0005446B"/>
    <w:rsid w:val="0005455B"/>
    <w:rsid w:val="00054608"/>
    <w:rsid w:val="00054892"/>
    <w:rsid w:val="00054CB5"/>
    <w:rsid w:val="00054DF0"/>
    <w:rsid w:val="00054E79"/>
    <w:rsid w:val="00056273"/>
    <w:rsid w:val="00056CE9"/>
    <w:rsid w:val="00057EFD"/>
    <w:rsid w:val="00061063"/>
    <w:rsid w:val="00061134"/>
    <w:rsid w:val="00061D3F"/>
    <w:rsid w:val="00062CB8"/>
    <w:rsid w:val="00064A84"/>
    <w:rsid w:val="00065AE7"/>
    <w:rsid w:val="0006645D"/>
    <w:rsid w:val="00070547"/>
    <w:rsid w:val="00070839"/>
    <w:rsid w:val="00070851"/>
    <w:rsid w:val="00070E15"/>
    <w:rsid w:val="00071465"/>
    <w:rsid w:val="000717EA"/>
    <w:rsid w:val="00071FB0"/>
    <w:rsid w:val="00072889"/>
    <w:rsid w:val="00072FF8"/>
    <w:rsid w:val="00073960"/>
    <w:rsid w:val="00073E8C"/>
    <w:rsid w:val="00073F6B"/>
    <w:rsid w:val="000801AC"/>
    <w:rsid w:val="00080337"/>
    <w:rsid w:val="0008037D"/>
    <w:rsid w:val="000811A0"/>
    <w:rsid w:val="00081C43"/>
    <w:rsid w:val="0008231E"/>
    <w:rsid w:val="000825FF"/>
    <w:rsid w:val="0008297C"/>
    <w:rsid w:val="000848CA"/>
    <w:rsid w:val="00085392"/>
    <w:rsid w:val="000857F4"/>
    <w:rsid w:val="00086712"/>
    <w:rsid w:val="00086E60"/>
    <w:rsid w:val="000903C2"/>
    <w:rsid w:val="000909D2"/>
    <w:rsid w:val="0009208D"/>
    <w:rsid w:val="00092351"/>
    <w:rsid w:val="00092819"/>
    <w:rsid w:val="00094FF0"/>
    <w:rsid w:val="00095D2B"/>
    <w:rsid w:val="00096068"/>
    <w:rsid w:val="00097EBA"/>
    <w:rsid w:val="00097ECE"/>
    <w:rsid w:val="000A05A4"/>
    <w:rsid w:val="000A05FD"/>
    <w:rsid w:val="000A0642"/>
    <w:rsid w:val="000A06DE"/>
    <w:rsid w:val="000A086C"/>
    <w:rsid w:val="000A190D"/>
    <w:rsid w:val="000A1AFE"/>
    <w:rsid w:val="000A1DDA"/>
    <w:rsid w:val="000A3C89"/>
    <w:rsid w:val="000A4784"/>
    <w:rsid w:val="000A4F36"/>
    <w:rsid w:val="000A5C26"/>
    <w:rsid w:val="000A5D33"/>
    <w:rsid w:val="000A5E63"/>
    <w:rsid w:val="000A6AAE"/>
    <w:rsid w:val="000A6C03"/>
    <w:rsid w:val="000B03E3"/>
    <w:rsid w:val="000B22C0"/>
    <w:rsid w:val="000B2512"/>
    <w:rsid w:val="000B4D7F"/>
    <w:rsid w:val="000B7DEE"/>
    <w:rsid w:val="000C00F6"/>
    <w:rsid w:val="000C2C94"/>
    <w:rsid w:val="000C45B0"/>
    <w:rsid w:val="000C4742"/>
    <w:rsid w:val="000C7AAC"/>
    <w:rsid w:val="000D0E3B"/>
    <w:rsid w:val="000D1C52"/>
    <w:rsid w:val="000D2D2E"/>
    <w:rsid w:val="000D2F11"/>
    <w:rsid w:val="000D308B"/>
    <w:rsid w:val="000D3690"/>
    <w:rsid w:val="000D64B5"/>
    <w:rsid w:val="000D6554"/>
    <w:rsid w:val="000D69BA"/>
    <w:rsid w:val="000D6EF4"/>
    <w:rsid w:val="000D742C"/>
    <w:rsid w:val="000D781C"/>
    <w:rsid w:val="000D7E95"/>
    <w:rsid w:val="000E0C86"/>
    <w:rsid w:val="000E12A4"/>
    <w:rsid w:val="000E2045"/>
    <w:rsid w:val="000E2439"/>
    <w:rsid w:val="000E68EE"/>
    <w:rsid w:val="000F0837"/>
    <w:rsid w:val="000F0B6D"/>
    <w:rsid w:val="000F22AF"/>
    <w:rsid w:val="000F42D0"/>
    <w:rsid w:val="000F6256"/>
    <w:rsid w:val="000F6EA7"/>
    <w:rsid w:val="00100D91"/>
    <w:rsid w:val="00101ADC"/>
    <w:rsid w:val="00101D80"/>
    <w:rsid w:val="00102839"/>
    <w:rsid w:val="001029AC"/>
    <w:rsid w:val="00103069"/>
    <w:rsid w:val="00103CBE"/>
    <w:rsid w:val="00104918"/>
    <w:rsid w:val="00105F21"/>
    <w:rsid w:val="00107953"/>
    <w:rsid w:val="0011002A"/>
    <w:rsid w:val="001106FC"/>
    <w:rsid w:val="00110D4A"/>
    <w:rsid w:val="00110F7B"/>
    <w:rsid w:val="001116AC"/>
    <w:rsid w:val="00112049"/>
    <w:rsid w:val="00112477"/>
    <w:rsid w:val="001142D5"/>
    <w:rsid w:val="0011495E"/>
    <w:rsid w:val="00116C61"/>
    <w:rsid w:val="001175A5"/>
    <w:rsid w:val="0011771D"/>
    <w:rsid w:val="00117EE5"/>
    <w:rsid w:val="00120933"/>
    <w:rsid w:val="00120A89"/>
    <w:rsid w:val="00121ABE"/>
    <w:rsid w:val="001238FD"/>
    <w:rsid w:val="001249F9"/>
    <w:rsid w:val="00124A99"/>
    <w:rsid w:val="00125C17"/>
    <w:rsid w:val="0012702B"/>
    <w:rsid w:val="00130296"/>
    <w:rsid w:val="00130BFB"/>
    <w:rsid w:val="0013105F"/>
    <w:rsid w:val="001335B9"/>
    <w:rsid w:val="00133DEA"/>
    <w:rsid w:val="001366D5"/>
    <w:rsid w:val="00137303"/>
    <w:rsid w:val="00137E9F"/>
    <w:rsid w:val="0014017A"/>
    <w:rsid w:val="00141064"/>
    <w:rsid w:val="001414D4"/>
    <w:rsid w:val="00141B02"/>
    <w:rsid w:val="00142085"/>
    <w:rsid w:val="00142BB7"/>
    <w:rsid w:val="0014776B"/>
    <w:rsid w:val="001504B3"/>
    <w:rsid w:val="00150FB2"/>
    <w:rsid w:val="00152EAE"/>
    <w:rsid w:val="00153EA2"/>
    <w:rsid w:val="001547E9"/>
    <w:rsid w:val="00155A4D"/>
    <w:rsid w:val="00156712"/>
    <w:rsid w:val="00156DA7"/>
    <w:rsid w:val="00156DB9"/>
    <w:rsid w:val="001613C2"/>
    <w:rsid w:val="001622CD"/>
    <w:rsid w:val="001654ED"/>
    <w:rsid w:val="00165B1C"/>
    <w:rsid w:val="00165CF0"/>
    <w:rsid w:val="00165E7D"/>
    <w:rsid w:val="00167044"/>
    <w:rsid w:val="0016749A"/>
    <w:rsid w:val="00170780"/>
    <w:rsid w:val="001707FA"/>
    <w:rsid w:val="00171A8C"/>
    <w:rsid w:val="00172B6E"/>
    <w:rsid w:val="00172E3D"/>
    <w:rsid w:val="0017530B"/>
    <w:rsid w:val="0017571F"/>
    <w:rsid w:val="0017676C"/>
    <w:rsid w:val="00177A97"/>
    <w:rsid w:val="001807FA"/>
    <w:rsid w:val="0018161B"/>
    <w:rsid w:val="00181BE3"/>
    <w:rsid w:val="00181BF2"/>
    <w:rsid w:val="00181E29"/>
    <w:rsid w:val="00182F21"/>
    <w:rsid w:val="00184A38"/>
    <w:rsid w:val="001851EC"/>
    <w:rsid w:val="00185282"/>
    <w:rsid w:val="001868E4"/>
    <w:rsid w:val="00186D70"/>
    <w:rsid w:val="001917DA"/>
    <w:rsid w:val="001927FE"/>
    <w:rsid w:val="001948FE"/>
    <w:rsid w:val="00195A17"/>
    <w:rsid w:val="001962AB"/>
    <w:rsid w:val="00197345"/>
    <w:rsid w:val="00197FF5"/>
    <w:rsid w:val="001A0C8D"/>
    <w:rsid w:val="001A0D7C"/>
    <w:rsid w:val="001A3836"/>
    <w:rsid w:val="001A414B"/>
    <w:rsid w:val="001A58FF"/>
    <w:rsid w:val="001A6122"/>
    <w:rsid w:val="001A68F6"/>
    <w:rsid w:val="001A6A73"/>
    <w:rsid w:val="001A7122"/>
    <w:rsid w:val="001B1645"/>
    <w:rsid w:val="001B2664"/>
    <w:rsid w:val="001B30B3"/>
    <w:rsid w:val="001B4104"/>
    <w:rsid w:val="001B4573"/>
    <w:rsid w:val="001B47CD"/>
    <w:rsid w:val="001B5E83"/>
    <w:rsid w:val="001B656F"/>
    <w:rsid w:val="001B6DC3"/>
    <w:rsid w:val="001B73D7"/>
    <w:rsid w:val="001C0BC4"/>
    <w:rsid w:val="001C27BB"/>
    <w:rsid w:val="001C2B87"/>
    <w:rsid w:val="001C389B"/>
    <w:rsid w:val="001C3B9E"/>
    <w:rsid w:val="001C621C"/>
    <w:rsid w:val="001C7881"/>
    <w:rsid w:val="001D0CDA"/>
    <w:rsid w:val="001D1BBE"/>
    <w:rsid w:val="001D20D3"/>
    <w:rsid w:val="001D2533"/>
    <w:rsid w:val="001D321F"/>
    <w:rsid w:val="001D438A"/>
    <w:rsid w:val="001D4928"/>
    <w:rsid w:val="001D4BEF"/>
    <w:rsid w:val="001D4EA6"/>
    <w:rsid w:val="001D5451"/>
    <w:rsid w:val="001E140D"/>
    <w:rsid w:val="001E14E7"/>
    <w:rsid w:val="001E271D"/>
    <w:rsid w:val="001E29D3"/>
    <w:rsid w:val="001E2B7F"/>
    <w:rsid w:val="001E3631"/>
    <w:rsid w:val="001E512C"/>
    <w:rsid w:val="001E5519"/>
    <w:rsid w:val="001F0383"/>
    <w:rsid w:val="001F107D"/>
    <w:rsid w:val="001F1D6F"/>
    <w:rsid w:val="001F21A7"/>
    <w:rsid w:val="001F2439"/>
    <w:rsid w:val="001F33F6"/>
    <w:rsid w:val="001F5BE8"/>
    <w:rsid w:val="001F7590"/>
    <w:rsid w:val="001F7F5F"/>
    <w:rsid w:val="00200D53"/>
    <w:rsid w:val="00202DB3"/>
    <w:rsid w:val="00203C6D"/>
    <w:rsid w:val="00205470"/>
    <w:rsid w:val="00206EBF"/>
    <w:rsid w:val="0020743B"/>
    <w:rsid w:val="00207D0C"/>
    <w:rsid w:val="00210701"/>
    <w:rsid w:val="002125BC"/>
    <w:rsid w:val="00212B21"/>
    <w:rsid w:val="00212B73"/>
    <w:rsid w:val="00212E17"/>
    <w:rsid w:val="00212F5C"/>
    <w:rsid w:val="00213ABF"/>
    <w:rsid w:val="00214A35"/>
    <w:rsid w:val="00216628"/>
    <w:rsid w:val="00217134"/>
    <w:rsid w:val="002204C0"/>
    <w:rsid w:val="00221E70"/>
    <w:rsid w:val="00221F1B"/>
    <w:rsid w:val="0022326D"/>
    <w:rsid w:val="00223435"/>
    <w:rsid w:val="00223FB4"/>
    <w:rsid w:val="0022452E"/>
    <w:rsid w:val="002248A6"/>
    <w:rsid w:val="00224C06"/>
    <w:rsid w:val="002258E8"/>
    <w:rsid w:val="00225F6F"/>
    <w:rsid w:val="00226B99"/>
    <w:rsid w:val="0022771C"/>
    <w:rsid w:val="002308AB"/>
    <w:rsid w:val="00231ACF"/>
    <w:rsid w:val="00235334"/>
    <w:rsid w:val="00237789"/>
    <w:rsid w:val="00237EA5"/>
    <w:rsid w:val="00240C42"/>
    <w:rsid w:val="0024154A"/>
    <w:rsid w:val="002416A4"/>
    <w:rsid w:val="002419F5"/>
    <w:rsid w:val="00245374"/>
    <w:rsid w:val="0024658B"/>
    <w:rsid w:val="002467B0"/>
    <w:rsid w:val="0024688F"/>
    <w:rsid w:val="00246D84"/>
    <w:rsid w:val="00247711"/>
    <w:rsid w:val="00250536"/>
    <w:rsid w:val="0025476B"/>
    <w:rsid w:val="0025489B"/>
    <w:rsid w:val="0025506E"/>
    <w:rsid w:val="0025570C"/>
    <w:rsid w:val="00255E36"/>
    <w:rsid w:val="00256176"/>
    <w:rsid w:val="00256EFC"/>
    <w:rsid w:val="00256F09"/>
    <w:rsid w:val="002576A5"/>
    <w:rsid w:val="002577FA"/>
    <w:rsid w:val="0026000F"/>
    <w:rsid w:val="00260C46"/>
    <w:rsid w:val="002611BC"/>
    <w:rsid w:val="002617AE"/>
    <w:rsid w:val="0026200A"/>
    <w:rsid w:val="00265B6C"/>
    <w:rsid w:val="00266964"/>
    <w:rsid w:val="00266F80"/>
    <w:rsid w:val="0026733B"/>
    <w:rsid w:val="00272658"/>
    <w:rsid w:val="00273A43"/>
    <w:rsid w:val="002750C5"/>
    <w:rsid w:val="00275713"/>
    <w:rsid w:val="0028126B"/>
    <w:rsid w:val="00281E8C"/>
    <w:rsid w:val="00282937"/>
    <w:rsid w:val="00282EF1"/>
    <w:rsid w:val="0028367E"/>
    <w:rsid w:val="00285BD7"/>
    <w:rsid w:val="00285E88"/>
    <w:rsid w:val="0028654D"/>
    <w:rsid w:val="00287EA0"/>
    <w:rsid w:val="0029156F"/>
    <w:rsid w:val="00291B6D"/>
    <w:rsid w:val="00291EE0"/>
    <w:rsid w:val="0029429F"/>
    <w:rsid w:val="00297034"/>
    <w:rsid w:val="002971C9"/>
    <w:rsid w:val="002A06B5"/>
    <w:rsid w:val="002A0750"/>
    <w:rsid w:val="002A1295"/>
    <w:rsid w:val="002A320D"/>
    <w:rsid w:val="002A37A0"/>
    <w:rsid w:val="002A3CFB"/>
    <w:rsid w:val="002A45CE"/>
    <w:rsid w:val="002A4A9F"/>
    <w:rsid w:val="002A5FB9"/>
    <w:rsid w:val="002B26F9"/>
    <w:rsid w:val="002B3460"/>
    <w:rsid w:val="002B4853"/>
    <w:rsid w:val="002B4AF7"/>
    <w:rsid w:val="002B5418"/>
    <w:rsid w:val="002B5793"/>
    <w:rsid w:val="002B5EBF"/>
    <w:rsid w:val="002B6F74"/>
    <w:rsid w:val="002C0D11"/>
    <w:rsid w:val="002C18E9"/>
    <w:rsid w:val="002C1F5A"/>
    <w:rsid w:val="002C2E5E"/>
    <w:rsid w:val="002C4AAF"/>
    <w:rsid w:val="002C4E99"/>
    <w:rsid w:val="002C6CDD"/>
    <w:rsid w:val="002D20A0"/>
    <w:rsid w:val="002D29A5"/>
    <w:rsid w:val="002D3F2D"/>
    <w:rsid w:val="002D46BC"/>
    <w:rsid w:val="002D523A"/>
    <w:rsid w:val="002D5EB2"/>
    <w:rsid w:val="002D69E5"/>
    <w:rsid w:val="002D7602"/>
    <w:rsid w:val="002E05EB"/>
    <w:rsid w:val="002E255E"/>
    <w:rsid w:val="002E2C5C"/>
    <w:rsid w:val="002E3297"/>
    <w:rsid w:val="002E571C"/>
    <w:rsid w:val="002E5F84"/>
    <w:rsid w:val="002F10E1"/>
    <w:rsid w:val="002F27EF"/>
    <w:rsid w:val="002F3BDD"/>
    <w:rsid w:val="002F4E04"/>
    <w:rsid w:val="002F51B4"/>
    <w:rsid w:val="002F5B07"/>
    <w:rsid w:val="002F657F"/>
    <w:rsid w:val="002F79A3"/>
    <w:rsid w:val="002F7DD7"/>
    <w:rsid w:val="003007DC"/>
    <w:rsid w:val="003010A9"/>
    <w:rsid w:val="00303431"/>
    <w:rsid w:val="00306DED"/>
    <w:rsid w:val="00307C2E"/>
    <w:rsid w:val="00310851"/>
    <w:rsid w:val="0031251E"/>
    <w:rsid w:val="00312933"/>
    <w:rsid w:val="003139FA"/>
    <w:rsid w:val="003143C1"/>
    <w:rsid w:val="0031445E"/>
    <w:rsid w:val="00320155"/>
    <w:rsid w:val="00320DAD"/>
    <w:rsid w:val="003219F9"/>
    <w:rsid w:val="003221C8"/>
    <w:rsid w:val="0032400E"/>
    <w:rsid w:val="0032638F"/>
    <w:rsid w:val="0032662A"/>
    <w:rsid w:val="00330963"/>
    <w:rsid w:val="00331E75"/>
    <w:rsid w:val="00332E3C"/>
    <w:rsid w:val="00332FD9"/>
    <w:rsid w:val="00333815"/>
    <w:rsid w:val="0033534C"/>
    <w:rsid w:val="00335DEB"/>
    <w:rsid w:val="00337DAF"/>
    <w:rsid w:val="00341442"/>
    <w:rsid w:val="003437E4"/>
    <w:rsid w:val="00344134"/>
    <w:rsid w:val="00344486"/>
    <w:rsid w:val="0034458E"/>
    <w:rsid w:val="003469C0"/>
    <w:rsid w:val="00350420"/>
    <w:rsid w:val="003516E2"/>
    <w:rsid w:val="0035233A"/>
    <w:rsid w:val="00353CB3"/>
    <w:rsid w:val="00354CB0"/>
    <w:rsid w:val="00354EC8"/>
    <w:rsid w:val="00355FD9"/>
    <w:rsid w:val="00361A11"/>
    <w:rsid w:val="00361F9A"/>
    <w:rsid w:val="00362523"/>
    <w:rsid w:val="003627BD"/>
    <w:rsid w:val="00363057"/>
    <w:rsid w:val="003632C0"/>
    <w:rsid w:val="0036501D"/>
    <w:rsid w:val="00370CF8"/>
    <w:rsid w:val="00372CE5"/>
    <w:rsid w:val="003730C5"/>
    <w:rsid w:val="00373ADD"/>
    <w:rsid w:val="00373D92"/>
    <w:rsid w:val="00376908"/>
    <w:rsid w:val="00376FE9"/>
    <w:rsid w:val="00381642"/>
    <w:rsid w:val="0038197A"/>
    <w:rsid w:val="00382D88"/>
    <w:rsid w:val="00382E48"/>
    <w:rsid w:val="00384C58"/>
    <w:rsid w:val="0038586D"/>
    <w:rsid w:val="00386589"/>
    <w:rsid w:val="003870EA"/>
    <w:rsid w:val="00387E3F"/>
    <w:rsid w:val="00391EA0"/>
    <w:rsid w:val="003927AD"/>
    <w:rsid w:val="003934DA"/>
    <w:rsid w:val="00393AAF"/>
    <w:rsid w:val="003973C7"/>
    <w:rsid w:val="00397D61"/>
    <w:rsid w:val="003A0289"/>
    <w:rsid w:val="003A2616"/>
    <w:rsid w:val="003A3C16"/>
    <w:rsid w:val="003A48F1"/>
    <w:rsid w:val="003B0007"/>
    <w:rsid w:val="003B010D"/>
    <w:rsid w:val="003B1066"/>
    <w:rsid w:val="003B18A3"/>
    <w:rsid w:val="003B1AB4"/>
    <w:rsid w:val="003B2770"/>
    <w:rsid w:val="003B2FD9"/>
    <w:rsid w:val="003B3710"/>
    <w:rsid w:val="003B44D3"/>
    <w:rsid w:val="003B6A16"/>
    <w:rsid w:val="003B7453"/>
    <w:rsid w:val="003B7820"/>
    <w:rsid w:val="003B7A2D"/>
    <w:rsid w:val="003B7C2F"/>
    <w:rsid w:val="003B7FC4"/>
    <w:rsid w:val="003C1ED7"/>
    <w:rsid w:val="003C2AAF"/>
    <w:rsid w:val="003C30F9"/>
    <w:rsid w:val="003C3580"/>
    <w:rsid w:val="003C35B7"/>
    <w:rsid w:val="003C4ADA"/>
    <w:rsid w:val="003C4F35"/>
    <w:rsid w:val="003C60AC"/>
    <w:rsid w:val="003C627D"/>
    <w:rsid w:val="003C7621"/>
    <w:rsid w:val="003D0256"/>
    <w:rsid w:val="003D1054"/>
    <w:rsid w:val="003D1F9C"/>
    <w:rsid w:val="003D3A8C"/>
    <w:rsid w:val="003D3BBE"/>
    <w:rsid w:val="003D6B34"/>
    <w:rsid w:val="003E0BB3"/>
    <w:rsid w:val="003E0D9C"/>
    <w:rsid w:val="003E0F12"/>
    <w:rsid w:val="003E107C"/>
    <w:rsid w:val="003E4AE0"/>
    <w:rsid w:val="003E724D"/>
    <w:rsid w:val="003E7288"/>
    <w:rsid w:val="003E78B9"/>
    <w:rsid w:val="003F1E57"/>
    <w:rsid w:val="003F2AF9"/>
    <w:rsid w:val="003F4CA0"/>
    <w:rsid w:val="003F517F"/>
    <w:rsid w:val="003F7621"/>
    <w:rsid w:val="003F7DC0"/>
    <w:rsid w:val="00400378"/>
    <w:rsid w:val="0040296B"/>
    <w:rsid w:val="00403C6A"/>
    <w:rsid w:val="00403E48"/>
    <w:rsid w:val="00404539"/>
    <w:rsid w:val="00404F9A"/>
    <w:rsid w:val="00405F38"/>
    <w:rsid w:val="004071D6"/>
    <w:rsid w:val="00410A88"/>
    <w:rsid w:val="0041176F"/>
    <w:rsid w:val="00412909"/>
    <w:rsid w:val="004150D7"/>
    <w:rsid w:val="0041634B"/>
    <w:rsid w:val="00416424"/>
    <w:rsid w:val="00417FD4"/>
    <w:rsid w:val="004200E6"/>
    <w:rsid w:val="00422C2C"/>
    <w:rsid w:val="00422DC1"/>
    <w:rsid w:val="0042331C"/>
    <w:rsid w:val="00423C46"/>
    <w:rsid w:val="0043008A"/>
    <w:rsid w:val="004309C5"/>
    <w:rsid w:val="00431A85"/>
    <w:rsid w:val="0043244D"/>
    <w:rsid w:val="0043424D"/>
    <w:rsid w:val="00437232"/>
    <w:rsid w:val="00441A18"/>
    <w:rsid w:val="004420EF"/>
    <w:rsid w:val="00444199"/>
    <w:rsid w:val="00445D3B"/>
    <w:rsid w:val="004462F2"/>
    <w:rsid w:val="00446EA8"/>
    <w:rsid w:val="004500F2"/>
    <w:rsid w:val="0045059D"/>
    <w:rsid w:val="00450632"/>
    <w:rsid w:val="00450E07"/>
    <w:rsid w:val="004544D5"/>
    <w:rsid w:val="00454B0C"/>
    <w:rsid w:val="004557BF"/>
    <w:rsid w:val="004573CA"/>
    <w:rsid w:val="00461EEA"/>
    <w:rsid w:val="00462DC4"/>
    <w:rsid w:val="00462E7B"/>
    <w:rsid w:val="00464BF5"/>
    <w:rsid w:val="00467695"/>
    <w:rsid w:val="00467C19"/>
    <w:rsid w:val="00472208"/>
    <w:rsid w:val="00472968"/>
    <w:rsid w:val="00473D58"/>
    <w:rsid w:val="00474D0C"/>
    <w:rsid w:val="00474D2B"/>
    <w:rsid w:val="00474DDA"/>
    <w:rsid w:val="00475F39"/>
    <w:rsid w:val="004765EB"/>
    <w:rsid w:val="0047669B"/>
    <w:rsid w:val="004770FE"/>
    <w:rsid w:val="00477F3F"/>
    <w:rsid w:val="004813DF"/>
    <w:rsid w:val="0048158C"/>
    <w:rsid w:val="00483980"/>
    <w:rsid w:val="00487D7B"/>
    <w:rsid w:val="004908C8"/>
    <w:rsid w:val="00491BEE"/>
    <w:rsid w:val="00492702"/>
    <w:rsid w:val="00493929"/>
    <w:rsid w:val="004A07C0"/>
    <w:rsid w:val="004A25E4"/>
    <w:rsid w:val="004A2D08"/>
    <w:rsid w:val="004A30A6"/>
    <w:rsid w:val="004A368E"/>
    <w:rsid w:val="004A39C1"/>
    <w:rsid w:val="004A3EED"/>
    <w:rsid w:val="004A58FE"/>
    <w:rsid w:val="004A5ADC"/>
    <w:rsid w:val="004A686A"/>
    <w:rsid w:val="004A7944"/>
    <w:rsid w:val="004A7C0C"/>
    <w:rsid w:val="004B0B9E"/>
    <w:rsid w:val="004B0DBB"/>
    <w:rsid w:val="004B1F80"/>
    <w:rsid w:val="004B328D"/>
    <w:rsid w:val="004B393F"/>
    <w:rsid w:val="004B4116"/>
    <w:rsid w:val="004B4881"/>
    <w:rsid w:val="004B5C62"/>
    <w:rsid w:val="004B62FF"/>
    <w:rsid w:val="004B7B4E"/>
    <w:rsid w:val="004C11D7"/>
    <w:rsid w:val="004C1CDE"/>
    <w:rsid w:val="004C1DEE"/>
    <w:rsid w:val="004C3059"/>
    <w:rsid w:val="004C5AA7"/>
    <w:rsid w:val="004C74ED"/>
    <w:rsid w:val="004D1335"/>
    <w:rsid w:val="004D2C78"/>
    <w:rsid w:val="004D380C"/>
    <w:rsid w:val="004D38C8"/>
    <w:rsid w:val="004D6201"/>
    <w:rsid w:val="004D62AB"/>
    <w:rsid w:val="004E0861"/>
    <w:rsid w:val="004E120A"/>
    <w:rsid w:val="004E2CE3"/>
    <w:rsid w:val="004E6663"/>
    <w:rsid w:val="004E6B68"/>
    <w:rsid w:val="004E7112"/>
    <w:rsid w:val="004E7AE6"/>
    <w:rsid w:val="004E7AFA"/>
    <w:rsid w:val="004F1227"/>
    <w:rsid w:val="004F1766"/>
    <w:rsid w:val="004F2259"/>
    <w:rsid w:val="004F3263"/>
    <w:rsid w:val="004F3404"/>
    <w:rsid w:val="004F36F9"/>
    <w:rsid w:val="004F383B"/>
    <w:rsid w:val="004F45EE"/>
    <w:rsid w:val="004F50B5"/>
    <w:rsid w:val="004F6204"/>
    <w:rsid w:val="004F7871"/>
    <w:rsid w:val="00502400"/>
    <w:rsid w:val="00502E42"/>
    <w:rsid w:val="00503B1E"/>
    <w:rsid w:val="00503F45"/>
    <w:rsid w:val="00503F8E"/>
    <w:rsid w:val="0050487A"/>
    <w:rsid w:val="00505B0D"/>
    <w:rsid w:val="00507AE2"/>
    <w:rsid w:val="00507CFB"/>
    <w:rsid w:val="00510270"/>
    <w:rsid w:val="00510BFF"/>
    <w:rsid w:val="005110E4"/>
    <w:rsid w:val="0051158D"/>
    <w:rsid w:val="005129D6"/>
    <w:rsid w:val="00513F10"/>
    <w:rsid w:val="00514126"/>
    <w:rsid w:val="00514193"/>
    <w:rsid w:val="00515A4B"/>
    <w:rsid w:val="00516639"/>
    <w:rsid w:val="00523B5C"/>
    <w:rsid w:val="00523F86"/>
    <w:rsid w:val="00524B87"/>
    <w:rsid w:val="00525C39"/>
    <w:rsid w:val="00526155"/>
    <w:rsid w:val="00526AAE"/>
    <w:rsid w:val="00530BDC"/>
    <w:rsid w:val="005315BF"/>
    <w:rsid w:val="00531F51"/>
    <w:rsid w:val="00532809"/>
    <w:rsid w:val="005330D6"/>
    <w:rsid w:val="00535414"/>
    <w:rsid w:val="00535E8E"/>
    <w:rsid w:val="00536AC0"/>
    <w:rsid w:val="00536C6F"/>
    <w:rsid w:val="005373B0"/>
    <w:rsid w:val="005408D3"/>
    <w:rsid w:val="00540D7D"/>
    <w:rsid w:val="0054243D"/>
    <w:rsid w:val="00542BA8"/>
    <w:rsid w:val="00544151"/>
    <w:rsid w:val="00544617"/>
    <w:rsid w:val="00544956"/>
    <w:rsid w:val="00544DCE"/>
    <w:rsid w:val="00544DD5"/>
    <w:rsid w:val="00544FD8"/>
    <w:rsid w:val="005451B3"/>
    <w:rsid w:val="00546790"/>
    <w:rsid w:val="00546BAC"/>
    <w:rsid w:val="0054777E"/>
    <w:rsid w:val="00547E29"/>
    <w:rsid w:val="00550EFF"/>
    <w:rsid w:val="0055214C"/>
    <w:rsid w:val="0055288A"/>
    <w:rsid w:val="0055302D"/>
    <w:rsid w:val="00553819"/>
    <w:rsid w:val="00553A92"/>
    <w:rsid w:val="00554978"/>
    <w:rsid w:val="00554CB7"/>
    <w:rsid w:val="00555123"/>
    <w:rsid w:val="00555D27"/>
    <w:rsid w:val="00557134"/>
    <w:rsid w:val="00557D1C"/>
    <w:rsid w:val="005619B7"/>
    <w:rsid w:val="00561A8B"/>
    <w:rsid w:val="0056327F"/>
    <w:rsid w:val="00564245"/>
    <w:rsid w:val="0056508C"/>
    <w:rsid w:val="00565CBF"/>
    <w:rsid w:val="00571154"/>
    <w:rsid w:val="00571C57"/>
    <w:rsid w:val="00571DA7"/>
    <w:rsid w:val="005728CE"/>
    <w:rsid w:val="00572CB8"/>
    <w:rsid w:val="0057451A"/>
    <w:rsid w:val="0057466A"/>
    <w:rsid w:val="00575AA3"/>
    <w:rsid w:val="00576258"/>
    <w:rsid w:val="00577300"/>
    <w:rsid w:val="0058140E"/>
    <w:rsid w:val="00581DFA"/>
    <w:rsid w:val="005825B8"/>
    <w:rsid w:val="005833E0"/>
    <w:rsid w:val="00583CA1"/>
    <w:rsid w:val="005854BA"/>
    <w:rsid w:val="005857CA"/>
    <w:rsid w:val="00587A89"/>
    <w:rsid w:val="00590149"/>
    <w:rsid w:val="00590755"/>
    <w:rsid w:val="005919EF"/>
    <w:rsid w:val="00591DCC"/>
    <w:rsid w:val="00592765"/>
    <w:rsid w:val="00592F4B"/>
    <w:rsid w:val="005933EC"/>
    <w:rsid w:val="00593461"/>
    <w:rsid w:val="00594D05"/>
    <w:rsid w:val="005950F0"/>
    <w:rsid w:val="005957D5"/>
    <w:rsid w:val="005962D4"/>
    <w:rsid w:val="00597F21"/>
    <w:rsid w:val="005A0AE9"/>
    <w:rsid w:val="005A0EDB"/>
    <w:rsid w:val="005A1DDF"/>
    <w:rsid w:val="005A2646"/>
    <w:rsid w:val="005A33E2"/>
    <w:rsid w:val="005A356A"/>
    <w:rsid w:val="005A3924"/>
    <w:rsid w:val="005A3F46"/>
    <w:rsid w:val="005A5DD8"/>
    <w:rsid w:val="005A67C3"/>
    <w:rsid w:val="005A6D34"/>
    <w:rsid w:val="005A79F1"/>
    <w:rsid w:val="005B0EB0"/>
    <w:rsid w:val="005B4B8F"/>
    <w:rsid w:val="005B4C71"/>
    <w:rsid w:val="005B51BB"/>
    <w:rsid w:val="005B57E6"/>
    <w:rsid w:val="005B72B8"/>
    <w:rsid w:val="005C0370"/>
    <w:rsid w:val="005C447C"/>
    <w:rsid w:val="005C4AAC"/>
    <w:rsid w:val="005C4EA4"/>
    <w:rsid w:val="005C5E56"/>
    <w:rsid w:val="005C7CAE"/>
    <w:rsid w:val="005D0288"/>
    <w:rsid w:val="005D0C6B"/>
    <w:rsid w:val="005D133B"/>
    <w:rsid w:val="005D15C8"/>
    <w:rsid w:val="005D1BA9"/>
    <w:rsid w:val="005D5247"/>
    <w:rsid w:val="005D58A9"/>
    <w:rsid w:val="005D6E37"/>
    <w:rsid w:val="005D7134"/>
    <w:rsid w:val="005D730F"/>
    <w:rsid w:val="005D7A1B"/>
    <w:rsid w:val="005E008E"/>
    <w:rsid w:val="005E30C6"/>
    <w:rsid w:val="005E38A7"/>
    <w:rsid w:val="005E6786"/>
    <w:rsid w:val="005E769A"/>
    <w:rsid w:val="005E76BE"/>
    <w:rsid w:val="005F157F"/>
    <w:rsid w:val="005F1586"/>
    <w:rsid w:val="005F1660"/>
    <w:rsid w:val="005F2AA0"/>
    <w:rsid w:val="005F3267"/>
    <w:rsid w:val="005F3483"/>
    <w:rsid w:val="005F3956"/>
    <w:rsid w:val="005F5392"/>
    <w:rsid w:val="005F5C6A"/>
    <w:rsid w:val="005F602C"/>
    <w:rsid w:val="005F6B58"/>
    <w:rsid w:val="0060091A"/>
    <w:rsid w:val="00600A64"/>
    <w:rsid w:val="00600EAF"/>
    <w:rsid w:val="0060198D"/>
    <w:rsid w:val="00601A13"/>
    <w:rsid w:val="00601E83"/>
    <w:rsid w:val="00602938"/>
    <w:rsid w:val="006038A2"/>
    <w:rsid w:val="00603B61"/>
    <w:rsid w:val="00603C73"/>
    <w:rsid w:val="006054C3"/>
    <w:rsid w:val="006057CF"/>
    <w:rsid w:val="0060646E"/>
    <w:rsid w:val="00610AD2"/>
    <w:rsid w:val="00611238"/>
    <w:rsid w:val="006117C3"/>
    <w:rsid w:val="00611A59"/>
    <w:rsid w:val="00611C6F"/>
    <w:rsid w:val="00611DBF"/>
    <w:rsid w:val="00612822"/>
    <w:rsid w:val="00613292"/>
    <w:rsid w:val="0061515B"/>
    <w:rsid w:val="00615233"/>
    <w:rsid w:val="0061536E"/>
    <w:rsid w:val="00624192"/>
    <w:rsid w:val="006247CA"/>
    <w:rsid w:val="00625A43"/>
    <w:rsid w:val="006318AF"/>
    <w:rsid w:val="006323D7"/>
    <w:rsid w:val="006336A5"/>
    <w:rsid w:val="00633BFD"/>
    <w:rsid w:val="006341BA"/>
    <w:rsid w:val="006344A0"/>
    <w:rsid w:val="0063603A"/>
    <w:rsid w:val="00636520"/>
    <w:rsid w:val="006374CE"/>
    <w:rsid w:val="006376DB"/>
    <w:rsid w:val="006378A9"/>
    <w:rsid w:val="0064122C"/>
    <w:rsid w:val="006415F9"/>
    <w:rsid w:val="00641865"/>
    <w:rsid w:val="00641E8F"/>
    <w:rsid w:val="006425BA"/>
    <w:rsid w:val="00642CA1"/>
    <w:rsid w:val="006434FA"/>
    <w:rsid w:val="0064386D"/>
    <w:rsid w:val="00643BF3"/>
    <w:rsid w:val="00644953"/>
    <w:rsid w:val="00644D19"/>
    <w:rsid w:val="006453A7"/>
    <w:rsid w:val="006466FC"/>
    <w:rsid w:val="00646D3F"/>
    <w:rsid w:val="006510B7"/>
    <w:rsid w:val="006527C7"/>
    <w:rsid w:val="00652B03"/>
    <w:rsid w:val="00653454"/>
    <w:rsid w:val="00653683"/>
    <w:rsid w:val="00655417"/>
    <w:rsid w:val="006562D8"/>
    <w:rsid w:val="00657FC3"/>
    <w:rsid w:val="0066067E"/>
    <w:rsid w:val="00662AE8"/>
    <w:rsid w:val="006633B3"/>
    <w:rsid w:val="00663947"/>
    <w:rsid w:val="00665F46"/>
    <w:rsid w:val="00666280"/>
    <w:rsid w:val="00666635"/>
    <w:rsid w:val="00670479"/>
    <w:rsid w:val="00671675"/>
    <w:rsid w:val="00674B2C"/>
    <w:rsid w:val="00675DE6"/>
    <w:rsid w:val="00677E48"/>
    <w:rsid w:val="00682660"/>
    <w:rsid w:val="00682D63"/>
    <w:rsid w:val="006833BB"/>
    <w:rsid w:val="006847FF"/>
    <w:rsid w:val="00684AA4"/>
    <w:rsid w:val="0068546F"/>
    <w:rsid w:val="00685B19"/>
    <w:rsid w:val="00686BC0"/>
    <w:rsid w:val="006915F3"/>
    <w:rsid w:val="006948D6"/>
    <w:rsid w:val="00694D22"/>
    <w:rsid w:val="00695083"/>
    <w:rsid w:val="00695855"/>
    <w:rsid w:val="00696BDF"/>
    <w:rsid w:val="006A0AF0"/>
    <w:rsid w:val="006A0F4C"/>
    <w:rsid w:val="006A182D"/>
    <w:rsid w:val="006A3AA4"/>
    <w:rsid w:val="006A514D"/>
    <w:rsid w:val="006A52A1"/>
    <w:rsid w:val="006A57DE"/>
    <w:rsid w:val="006A7140"/>
    <w:rsid w:val="006A7434"/>
    <w:rsid w:val="006B05F6"/>
    <w:rsid w:val="006B09A8"/>
    <w:rsid w:val="006B11FA"/>
    <w:rsid w:val="006B16A8"/>
    <w:rsid w:val="006B2B3F"/>
    <w:rsid w:val="006B33DD"/>
    <w:rsid w:val="006B3828"/>
    <w:rsid w:val="006B58CA"/>
    <w:rsid w:val="006B5BEA"/>
    <w:rsid w:val="006B7CE0"/>
    <w:rsid w:val="006B7F63"/>
    <w:rsid w:val="006C37A7"/>
    <w:rsid w:val="006C3E27"/>
    <w:rsid w:val="006C4C16"/>
    <w:rsid w:val="006C57F5"/>
    <w:rsid w:val="006C599F"/>
    <w:rsid w:val="006C5A04"/>
    <w:rsid w:val="006C5E80"/>
    <w:rsid w:val="006C628E"/>
    <w:rsid w:val="006C6A53"/>
    <w:rsid w:val="006D1075"/>
    <w:rsid w:val="006D1096"/>
    <w:rsid w:val="006D157C"/>
    <w:rsid w:val="006D170F"/>
    <w:rsid w:val="006D2283"/>
    <w:rsid w:val="006D3541"/>
    <w:rsid w:val="006D4740"/>
    <w:rsid w:val="006D54F6"/>
    <w:rsid w:val="006D5E65"/>
    <w:rsid w:val="006D6009"/>
    <w:rsid w:val="006D63A6"/>
    <w:rsid w:val="006D68CA"/>
    <w:rsid w:val="006E06AC"/>
    <w:rsid w:val="006E37D7"/>
    <w:rsid w:val="006E4FA4"/>
    <w:rsid w:val="006F13E5"/>
    <w:rsid w:val="006F19D7"/>
    <w:rsid w:val="006F2AAA"/>
    <w:rsid w:val="006F357F"/>
    <w:rsid w:val="006F3743"/>
    <w:rsid w:val="006F4F1B"/>
    <w:rsid w:val="006F5B1C"/>
    <w:rsid w:val="006F74D7"/>
    <w:rsid w:val="007011C5"/>
    <w:rsid w:val="00701819"/>
    <w:rsid w:val="00706D22"/>
    <w:rsid w:val="007100B8"/>
    <w:rsid w:val="007113D3"/>
    <w:rsid w:val="007130C8"/>
    <w:rsid w:val="00714353"/>
    <w:rsid w:val="00714B30"/>
    <w:rsid w:val="00714EBB"/>
    <w:rsid w:val="0071777D"/>
    <w:rsid w:val="00720E7A"/>
    <w:rsid w:val="00720F7C"/>
    <w:rsid w:val="00721740"/>
    <w:rsid w:val="00724BF6"/>
    <w:rsid w:val="00724CD2"/>
    <w:rsid w:val="00726999"/>
    <w:rsid w:val="00726C31"/>
    <w:rsid w:val="00727DF3"/>
    <w:rsid w:val="0073127A"/>
    <w:rsid w:val="00731CBE"/>
    <w:rsid w:val="00731DEA"/>
    <w:rsid w:val="00731FC5"/>
    <w:rsid w:val="007335D0"/>
    <w:rsid w:val="007339B2"/>
    <w:rsid w:val="00734C30"/>
    <w:rsid w:val="00734E08"/>
    <w:rsid w:val="00737A25"/>
    <w:rsid w:val="00737B72"/>
    <w:rsid w:val="00737C48"/>
    <w:rsid w:val="007402DE"/>
    <w:rsid w:val="007411DC"/>
    <w:rsid w:val="007416D3"/>
    <w:rsid w:val="007424DD"/>
    <w:rsid w:val="00744C6D"/>
    <w:rsid w:val="00745954"/>
    <w:rsid w:val="00745C04"/>
    <w:rsid w:val="00746639"/>
    <w:rsid w:val="00746D88"/>
    <w:rsid w:val="00747F82"/>
    <w:rsid w:val="007525BD"/>
    <w:rsid w:val="00752ACC"/>
    <w:rsid w:val="00752E07"/>
    <w:rsid w:val="00753010"/>
    <w:rsid w:val="0075375D"/>
    <w:rsid w:val="00755674"/>
    <w:rsid w:val="00755BA8"/>
    <w:rsid w:val="0075653A"/>
    <w:rsid w:val="00762D65"/>
    <w:rsid w:val="00763DB2"/>
    <w:rsid w:val="0076548D"/>
    <w:rsid w:val="007701AA"/>
    <w:rsid w:val="007705F3"/>
    <w:rsid w:val="00770B0E"/>
    <w:rsid w:val="0077169C"/>
    <w:rsid w:val="00771829"/>
    <w:rsid w:val="00771E92"/>
    <w:rsid w:val="0077228D"/>
    <w:rsid w:val="00772586"/>
    <w:rsid w:val="0077263B"/>
    <w:rsid w:val="00773335"/>
    <w:rsid w:val="00773FF4"/>
    <w:rsid w:val="00775C9A"/>
    <w:rsid w:val="00776541"/>
    <w:rsid w:val="007769E7"/>
    <w:rsid w:val="00777DF0"/>
    <w:rsid w:val="00780282"/>
    <w:rsid w:val="007803DF"/>
    <w:rsid w:val="00781139"/>
    <w:rsid w:val="00782764"/>
    <w:rsid w:val="00784A12"/>
    <w:rsid w:val="0078576E"/>
    <w:rsid w:val="00790CE2"/>
    <w:rsid w:val="0079181B"/>
    <w:rsid w:val="00791A13"/>
    <w:rsid w:val="00792293"/>
    <w:rsid w:val="00794878"/>
    <w:rsid w:val="00794D3D"/>
    <w:rsid w:val="00795B8F"/>
    <w:rsid w:val="007A29DE"/>
    <w:rsid w:val="007A3740"/>
    <w:rsid w:val="007A40EF"/>
    <w:rsid w:val="007A62F2"/>
    <w:rsid w:val="007A65E3"/>
    <w:rsid w:val="007B0799"/>
    <w:rsid w:val="007B1A62"/>
    <w:rsid w:val="007B1CD8"/>
    <w:rsid w:val="007B1FA1"/>
    <w:rsid w:val="007B2190"/>
    <w:rsid w:val="007B21DE"/>
    <w:rsid w:val="007B6BF1"/>
    <w:rsid w:val="007B75FE"/>
    <w:rsid w:val="007B7639"/>
    <w:rsid w:val="007C0FD8"/>
    <w:rsid w:val="007C307B"/>
    <w:rsid w:val="007C3768"/>
    <w:rsid w:val="007C54AC"/>
    <w:rsid w:val="007C612F"/>
    <w:rsid w:val="007C6AEC"/>
    <w:rsid w:val="007D04DC"/>
    <w:rsid w:val="007D08B7"/>
    <w:rsid w:val="007D0FEE"/>
    <w:rsid w:val="007D2DB4"/>
    <w:rsid w:val="007D3683"/>
    <w:rsid w:val="007D37E8"/>
    <w:rsid w:val="007D3CBC"/>
    <w:rsid w:val="007D5EC5"/>
    <w:rsid w:val="007E1F84"/>
    <w:rsid w:val="007E482A"/>
    <w:rsid w:val="007E4B46"/>
    <w:rsid w:val="007E6E04"/>
    <w:rsid w:val="007E7443"/>
    <w:rsid w:val="007F0201"/>
    <w:rsid w:val="007F0A0A"/>
    <w:rsid w:val="007F1660"/>
    <w:rsid w:val="007F3D76"/>
    <w:rsid w:val="00801157"/>
    <w:rsid w:val="00801665"/>
    <w:rsid w:val="00801EB9"/>
    <w:rsid w:val="00802FD7"/>
    <w:rsid w:val="00803E58"/>
    <w:rsid w:val="00804ADA"/>
    <w:rsid w:val="0080537C"/>
    <w:rsid w:val="0080576F"/>
    <w:rsid w:val="008060BC"/>
    <w:rsid w:val="00806454"/>
    <w:rsid w:val="00807865"/>
    <w:rsid w:val="008101DD"/>
    <w:rsid w:val="00810B6B"/>
    <w:rsid w:val="00810D88"/>
    <w:rsid w:val="00811EA3"/>
    <w:rsid w:val="00812C3B"/>
    <w:rsid w:val="00814C96"/>
    <w:rsid w:val="00815345"/>
    <w:rsid w:val="0081669C"/>
    <w:rsid w:val="00816AB6"/>
    <w:rsid w:val="00817A8D"/>
    <w:rsid w:val="00817F0F"/>
    <w:rsid w:val="008208FC"/>
    <w:rsid w:val="008213C5"/>
    <w:rsid w:val="00821896"/>
    <w:rsid w:val="00822099"/>
    <w:rsid w:val="008229F4"/>
    <w:rsid w:val="008233AA"/>
    <w:rsid w:val="0082386F"/>
    <w:rsid w:val="00825612"/>
    <w:rsid w:val="00827BCF"/>
    <w:rsid w:val="00830612"/>
    <w:rsid w:val="00830672"/>
    <w:rsid w:val="008332B8"/>
    <w:rsid w:val="00833CB2"/>
    <w:rsid w:val="0083499D"/>
    <w:rsid w:val="00835A13"/>
    <w:rsid w:val="00835BEE"/>
    <w:rsid w:val="00835FA9"/>
    <w:rsid w:val="00837D06"/>
    <w:rsid w:val="0084002A"/>
    <w:rsid w:val="008407F9"/>
    <w:rsid w:val="00840BCF"/>
    <w:rsid w:val="00841860"/>
    <w:rsid w:val="00841AEB"/>
    <w:rsid w:val="00843EA2"/>
    <w:rsid w:val="00845B51"/>
    <w:rsid w:val="00846CCC"/>
    <w:rsid w:val="00850FA5"/>
    <w:rsid w:val="0085378E"/>
    <w:rsid w:val="00853EF2"/>
    <w:rsid w:val="00854670"/>
    <w:rsid w:val="00854A96"/>
    <w:rsid w:val="00854B1C"/>
    <w:rsid w:val="008553EA"/>
    <w:rsid w:val="0085573F"/>
    <w:rsid w:val="00856AE7"/>
    <w:rsid w:val="00857D95"/>
    <w:rsid w:val="008628E7"/>
    <w:rsid w:val="00863CE8"/>
    <w:rsid w:val="00865023"/>
    <w:rsid w:val="00865171"/>
    <w:rsid w:val="008655D0"/>
    <w:rsid w:val="008668CA"/>
    <w:rsid w:val="00867DE3"/>
    <w:rsid w:val="00871B2C"/>
    <w:rsid w:val="0087220E"/>
    <w:rsid w:val="008727FD"/>
    <w:rsid w:val="008739E0"/>
    <w:rsid w:val="00874679"/>
    <w:rsid w:val="00874E3D"/>
    <w:rsid w:val="00876258"/>
    <w:rsid w:val="00876297"/>
    <w:rsid w:val="00876EE6"/>
    <w:rsid w:val="008777DE"/>
    <w:rsid w:val="00877D9F"/>
    <w:rsid w:val="00880B19"/>
    <w:rsid w:val="00880E1C"/>
    <w:rsid w:val="008810EC"/>
    <w:rsid w:val="00882369"/>
    <w:rsid w:val="008841B6"/>
    <w:rsid w:val="00884760"/>
    <w:rsid w:val="00884F4D"/>
    <w:rsid w:val="00885F36"/>
    <w:rsid w:val="00890D06"/>
    <w:rsid w:val="00892631"/>
    <w:rsid w:val="00892979"/>
    <w:rsid w:val="00893D31"/>
    <w:rsid w:val="00894305"/>
    <w:rsid w:val="0089490A"/>
    <w:rsid w:val="00895EB3"/>
    <w:rsid w:val="00896F55"/>
    <w:rsid w:val="008A1A2E"/>
    <w:rsid w:val="008A24D0"/>
    <w:rsid w:val="008A269C"/>
    <w:rsid w:val="008A2EAE"/>
    <w:rsid w:val="008A4661"/>
    <w:rsid w:val="008A7057"/>
    <w:rsid w:val="008A7673"/>
    <w:rsid w:val="008A7CEB"/>
    <w:rsid w:val="008B257B"/>
    <w:rsid w:val="008B2765"/>
    <w:rsid w:val="008B2EEC"/>
    <w:rsid w:val="008B4DC5"/>
    <w:rsid w:val="008B4F1A"/>
    <w:rsid w:val="008B68BB"/>
    <w:rsid w:val="008C381F"/>
    <w:rsid w:val="008C5636"/>
    <w:rsid w:val="008C5B5A"/>
    <w:rsid w:val="008D1717"/>
    <w:rsid w:val="008D50E5"/>
    <w:rsid w:val="008D56CE"/>
    <w:rsid w:val="008D5970"/>
    <w:rsid w:val="008D59C8"/>
    <w:rsid w:val="008D5EBB"/>
    <w:rsid w:val="008D671D"/>
    <w:rsid w:val="008D6CC2"/>
    <w:rsid w:val="008D75B9"/>
    <w:rsid w:val="008D7C6D"/>
    <w:rsid w:val="008E47E5"/>
    <w:rsid w:val="008E4C7B"/>
    <w:rsid w:val="008E594E"/>
    <w:rsid w:val="008E59C4"/>
    <w:rsid w:val="008E5BC9"/>
    <w:rsid w:val="008E7D83"/>
    <w:rsid w:val="008F549E"/>
    <w:rsid w:val="008F579F"/>
    <w:rsid w:val="008F6476"/>
    <w:rsid w:val="008F6721"/>
    <w:rsid w:val="008F7672"/>
    <w:rsid w:val="008F7741"/>
    <w:rsid w:val="00900A75"/>
    <w:rsid w:val="00901782"/>
    <w:rsid w:val="00901FE4"/>
    <w:rsid w:val="009037AE"/>
    <w:rsid w:val="00904152"/>
    <w:rsid w:val="00904F9B"/>
    <w:rsid w:val="00905128"/>
    <w:rsid w:val="00907B36"/>
    <w:rsid w:val="0091084E"/>
    <w:rsid w:val="009114A0"/>
    <w:rsid w:val="00911859"/>
    <w:rsid w:val="00914A7C"/>
    <w:rsid w:val="00914C49"/>
    <w:rsid w:val="0091681A"/>
    <w:rsid w:val="009171F5"/>
    <w:rsid w:val="00921F07"/>
    <w:rsid w:val="009234F2"/>
    <w:rsid w:val="0092507B"/>
    <w:rsid w:val="00925C0D"/>
    <w:rsid w:val="00926F40"/>
    <w:rsid w:val="0092744A"/>
    <w:rsid w:val="00927B4D"/>
    <w:rsid w:val="00927FD8"/>
    <w:rsid w:val="00930C78"/>
    <w:rsid w:val="009314CA"/>
    <w:rsid w:val="00931DB8"/>
    <w:rsid w:val="00932E7C"/>
    <w:rsid w:val="00933AB7"/>
    <w:rsid w:val="00935962"/>
    <w:rsid w:val="00936A7A"/>
    <w:rsid w:val="00937D20"/>
    <w:rsid w:val="009409E5"/>
    <w:rsid w:val="009411A4"/>
    <w:rsid w:val="009458A8"/>
    <w:rsid w:val="00945E8F"/>
    <w:rsid w:val="009460DB"/>
    <w:rsid w:val="00946EE0"/>
    <w:rsid w:val="00947AFA"/>
    <w:rsid w:val="009519D0"/>
    <w:rsid w:val="00951E6D"/>
    <w:rsid w:val="00952501"/>
    <w:rsid w:val="0095257D"/>
    <w:rsid w:val="00952FC6"/>
    <w:rsid w:val="00953CA1"/>
    <w:rsid w:val="009548D9"/>
    <w:rsid w:val="00957448"/>
    <w:rsid w:val="009604F5"/>
    <w:rsid w:val="00960E73"/>
    <w:rsid w:val="00961042"/>
    <w:rsid w:val="0096136A"/>
    <w:rsid w:val="0096164A"/>
    <w:rsid w:val="00961CB0"/>
    <w:rsid w:val="00962E5C"/>
    <w:rsid w:val="00962E7A"/>
    <w:rsid w:val="009707F3"/>
    <w:rsid w:val="00971EEB"/>
    <w:rsid w:val="009735E8"/>
    <w:rsid w:val="00974A9E"/>
    <w:rsid w:val="00975803"/>
    <w:rsid w:val="00975B4A"/>
    <w:rsid w:val="00975E3B"/>
    <w:rsid w:val="00976234"/>
    <w:rsid w:val="009810C7"/>
    <w:rsid w:val="0098179F"/>
    <w:rsid w:val="009829EC"/>
    <w:rsid w:val="00982EBC"/>
    <w:rsid w:val="00983C76"/>
    <w:rsid w:val="00984EF4"/>
    <w:rsid w:val="00985771"/>
    <w:rsid w:val="00987669"/>
    <w:rsid w:val="00990EA0"/>
    <w:rsid w:val="00991752"/>
    <w:rsid w:val="00991F37"/>
    <w:rsid w:val="00992128"/>
    <w:rsid w:val="00992D13"/>
    <w:rsid w:val="00993D36"/>
    <w:rsid w:val="00994337"/>
    <w:rsid w:val="00994E52"/>
    <w:rsid w:val="00995B94"/>
    <w:rsid w:val="009970B9"/>
    <w:rsid w:val="009A156B"/>
    <w:rsid w:val="009A1D18"/>
    <w:rsid w:val="009A37E2"/>
    <w:rsid w:val="009A5A56"/>
    <w:rsid w:val="009A5E13"/>
    <w:rsid w:val="009A675A"/>
    <w:rsid w:val="009A6CBA"/>
    <w:rsid w:val="009A6F51"/>
    <w:rsid w:val="009B0A9C"/>
    <w:rsid w:val="009B2C05"/>
    <w:rsid w:val="009B3749"/>
    <w:rsid w:val="009B4D53"/>
    <w:rsid w:val="009B59D8"/>
    <w:rsid w:val="009B695A"/>
    <w:rsid w:val="009B715B"/>
    <w:rsid w:val="009B7862"/>
    <w:rsid w:val="009C03C9"/>
    <w:rsid w:val="009C13BF"/>
    <w:rsid w:val="009C1AF1"/>
    <w:rsid w:val="009C1AF3"/>
    <w:rsid w:val="009C1EAA"/>
    <w:rsid w:val="009C3056"/>
    <w:rsid w:val="009C610A"/>
    <w:rsid w:val="009C6859"/>
    <w:rsid w:val="009D07D6"/>
    <w:rsid w:val="009D25A1"/>
    <w:rsid w:val="009D2CE9"/>
    <w:rsid w:val="009D4333"/>
    <w:rsid w:val="009D5E84"/>
    <w:rsid w:val="009D61BD"/>
    <w:rsid w:val="009D62DB"/>
    <w:rsid w:val="009D681C"/>
    <w:rsid w:val="009D68D4"/>
    <w:rsid w:val="009D6EE3"/>
    <w:rsid w:val="009D7963"/>
    <w:rsid w:val="009E1C76"/>
    <w:rsid w:val="009E21F9"/>
    <w:rsid w:val="009E4CC2"/>
    <w:rsid w:val="009E5C8A"/>
    <w:rsid w:val="009F0616"/>
    <w:rsid w:val="009F24A7"/>
    <w:rsid w:val="009F51C7"/>
    <w:rsid w:val="009F5329"/>
    <w:rsid w:val="009F61AC"/>
    <w:rsid w:val="009F7F2E"/>
    <w:rsid w:val="00A0262F"/>
    <w:rsid w:val="00A03BF6"/>
    <w:rsid w:val="00A0469A"/>
    <w:rsid w:val="00A04FF3"/>
    <w:rsid w:val="00A05768"/>
    <w:rsid w:val="00A101A1"/>
    <w:rsid w:val="00A1074C"/>
    <w:rsid w:val="00A10B36"/>
    <w:rsid w:val="00A115AF"/>
    <w:rsid w:val="00A11CE9"/>
    <w:rsid w:val="00A1236A"/>
    <w:rsid w:val="00A1357C"/>
    <w:rsid w:val="00A141F6"/>
    <w:rsid w:val="00A14276"/>
    <w:rsid w:val="00A142E4"/>
    <w:rsid w:val="00A145F7"/>
    <w:rsid w:val="00A14C7D"/>
    <w:rsid w:val="00A16F7D"/>
    <w:rsid w:val="00A17852"/>
    <w:rsid w:val="00A20255"/>
    <w:rsid w:val="00A20964"/>
    <w:rsid w:val="00A21558"/>
    <w:rsid w:val="00A21579"/>
    <w:rsid w:val="00A23F57"/>
    <w:rsid w:val="00A31D2F"/>
    <w:rsid w:val="00A321D2"/>
    <w:rsid w:val="00A33799"/>
    <w:rsid w:val="00A359CF"/>
    <w:rsid w:val="00A359DC"/>
    <w:rsid w:val="00A35C34"/>
    <w:rsid w:val="00A432C3"/>
    <w:rsid w:val="00A439A6"/>
    <w:rsid w:val="00A44F5D"/>
    <w:rsid w:val="00A44F72"/>
    <w:rsid w:val="00A45C6D"/>
    <w:rsid w:val="00A46E68"/>
    <w:rsid w:val="00A50681"/>
    <w:rsid w:val="00A51EC6"/>
    <w:rsid w:val="00A52A5D"/>
    <w:rsid w:val="00A539A0"/>
    <w:rsid w:val="00A53E5B"/>
    <w:rsid w:val="00A54597"/>
    <w:rsid w:val="00A54E13"/>
    <w:rsid w:val="00A552EC"/>
    <w:rsid w:val="00A56E0D"/>
    <w:rsid w:val="00A61526"/>
    <w:rsid w:val="00A6154A"/>
    <w:rsid w:val="00A643F2"/>
    <w:rsid w:val="00A64A84"/>
    <w:rsid w:val="00A66412"/>
    <w:rsid w:val="00A66767"/>
    <w:rsid w:val="00A6686F"/>
    <w:rsid w:val="00A6776B"/>
    <w:rsid w:val="00A7014A"/>
    <w:rsid w:val="00A70FB6"/>
    <w:rsid w:val="00A71894"/>
    <w:rsid w:val="00A741E7"/>
    <w:rsid w:val="00A7444B"/>
    <w:rsid w:val="00A74C88"/>
    <w:rsid w:val="00A75872"/>
    <w:rsid w:val="00A77CAF"/>
    <w:rsid w:val="00A8092D"/>
    <w:rsid w:val="00A83972"/>
    <w:rsid w:val="00A84E74"/>
    <w:rsid w:val="00A8584C"/>
    <w:rsid w:val="00A862FE"/>
    <w:rsid w:val="00A864CF"/>
    <w:rsid w:val="00A8671F"/>
    <w:rsid w:val="00A90752"/>
    <w:rsid w:val="00A90A0D"/>
    <w:rsid w:val="00A9298C"/>
    <w:rsid w:val="00A92F3E"/>
    <w:rsid w:val="00A93BA3"/>
    <w:rsid w:val="00A9441D"/>
    <w:rsid w:val="00A95D70"/>
    <w:rsid w:val="00A95E62"/>
    <w:rsid w:val="00A96FA1"/>
    <w:rsid w:val="00AA0441"/>
    <w:rsid w:val="00AA09DB"/>
    <w:rsid w:val="00AA0C6A"/>
    <w:rsid w:val="00AA1251"/>
    <w:rsid w:val="00AA195B"/>
    <w:rsid w:val="00AA2306"/>
    <w:rsid w:val="00AA2B2E"/>
    <w:rsid w:val="00AA7A68"/>
    <w:rsid w:val="00AB05CD"/>
    <w:rsid w:val="00AB1040"/>
    <w:rsid w:val="00AB1433"/>
    <w:rsid w:val="00AB16D0"/>
    <w:rsid w:val="00AB171F"/>
    <w:rsid w:val="00AB2B99"/>
    <w:rsid w:val="00AB2DFD"/>
    <w:rsid w:val="00AB30DD"/>
    <w:rsid w:val="00AB3166"/>
    <w:rsid w:val="00AB6807"/>
    <w:rsid w:val="00AB7BA7"/>
    <w:rsid w:val="00AC0BFD"/>
    <w:rsid w:val="00AC2788"/>
    <w:rsid w:val="00AC3764"/>
    <w:rsid w:val="00AC4A00"/>
    <w:rsid w:val="00AC4A2F"/>
    <w:rsid w:val="00AC579F"/>
    <w:rsid w:val="00AC7CC5"/>
    <w:rsid w:val="00AC7CCA"/>
    <w:rsid w:val="00AD0655"/>
    <w:rsid w:val="00AD1534"/>
    <w:rsid w:val="00AD1F6C"/>
    <w:rsid w:val="00AD36B8"/>
    <w:rsid w:val="00AD56DA"/>
    <w:rsid w:val="00AD5755"/>
    <w:rsid w:val="00AD6361"/>
    <w:rsid w:val="00AD66D7"/>
    <w:rsid w:val="00AE29CD"/>
    <w:rsid w:val="00AE2CFA"/>
    <w:rsid w:val="00AE2FBB"/>
    <w:rsid w:val="00AE34A1"/>
    <w:rsid w:val="00AE4928"/>
    <w:rsid w:val="00AE4FDD"/>
    <w:rsid w:val="00AE7266"/>
    <w:rsid w:val="00AF130B"/>
    <w:rsid w:val="00AF1564"/>
    <w:rsid w:val="00AF19F8"/>
    <w:rsid w:val="00AF1E04"/>
    <w:rsid w:val="00AF3614"/>
    <w:rsid w:val="00AF4902"/>
    <w:rsid w:val="00AF54D2"/>
    <w:rsid w:val="00AF62D0"/>
    <w:rsid w:val="00AF6DF1"/>
    <w:rsid w:val="00B0181B"/>
    <w:rsid w:val="00B040A1"/>
    <w:rsid w:val="00B04AAA"/>
    <w:rsid w:val="00B074CB"/>
    <w:rsid w:val="00B07B26"/>
    <w:rsid w:val="00B12D57"/>
    <w:rsid w:val="00B14153"/>
    <w:rsid w:val="00B16A2E"/>
    <w:rsid w:val="00B205E9"/>
    <w:rsid w:val="00B26ED2"/>
    <w:rsid w:val="00B2730E"/>
    <w:rsid w:val="00B27C5E"/>
    <w:rsid w:val="00B3233A"/>
    <w:rsid w:val="00B340B5"/>
    <w:rsid w:val="00B344B0"/>
    <w:rsid w:val="00B34E40"/>
    <w:rsid w:val="00B368CE"/>
    <w:rsid w:val="00B40ADD"/>
    <w:rsid w:val="00B41D78"/>
    <w:rsid w:val="00B43EC2"/>
    <w:rsid w:val="00B44220"/>
    <w:rsid w:val="00B44B65"/>
    <w:rsid w:val="00B47F13"/>
    <w:rsid w:val="00B50437"/>
    <w:rsid w:val="00B50B57"/>
    <w:rsid w:val="00B50C1B"/>
    <w:rsid w:val="00B518D8"/>
    <w:rsid w:val="00B51D5B"/>
    <w:rsid w:val="00B52646"/>
    <w:rsid w:val="00B54016"/>
    <w:rsid w:val="00B5726C"/>
    <w:rsid w:val="00B606FE"/>
    <w:rsid w:val="00B61083"/>
    <w:rsid w:val="00B617C3"/>
    <w:rsid w:val="00B6199F"/>
    <w:rsid w:val="00B621D3"/>
    <w:rsid w:val="00B63956"/>
    <w:rsid w:val="00B63B41"/>
    <w:rsid w:val="00B6430C"/>
    <w:rsid w:val="00B651E2"/>
    <w:rsid w:val="00B654DF"/>
    <w:rsid w:val="00B65796"/>
    <w:rsid w:val="00B746CC"/>
    <w:rsid w:val="00B77380"/>
    <w:rsid w:val="00B804D7"/>
    <w:rsid w:val="00B820C6"/>
    <w:rsid w:val="00B82D49"/>
    <w:rsid w:val="00B83818"/>
    <w:rsid w:val="00B8623F"/>
    <w:rsid w:val="00B86282"/>
    <w:rsid w:val="00B866B0"/>
    <w:rsid w:val="00B86B87"/>
    <w:rsid w:val="00B86F4F"/>
    <w:rsid w:val="00B87897"/>
    <w:rsid w:val="00B87BBA"/>
    <w:rsid w:val="00B90612"/>
    <w:rsid w:val="00B91656"/>
    <w:rsid w:val="00B92675"/>
    <w:rsid w:val="00B93001"/>
    <w:rsid w:val="00B93910"/>
    <w:rsid w:val="00B93E5C"/>
    <w:rsid w:val="00B957C5"/>
    <w:rsid w:val="00B96BE5"/>
    <w:rsid w:val="00B976F2"/>
    <w:rsid w:val="00BA042D"/>
    <w:rsid w:val="00BA36EF"/>
    <w:rsid w:val="00BA3D0C"/>
    <w:rsid w:val="00BA4F54"/>
    <w:rsid w:val="00BA7442"/>
    <w:rsid w:val="00BA74C7"/>
    <w:rsid w:val="00BB360B"/>
    <w:rsid w:val="00BB3B6B"/>
    <w:rsid w:val="00BB3BD4"/>
    <w:rsid w:val="00BB473F"/>
    <w:rsid w:val="00BB6C88"/>
    <w:rsid w:val="00BC001F"/>
    <w:rsid w:val="00BC318D"/>
    <w:rsid w:val="00BC458A"/>
    <w:rsid w:val="00BC6282"/>
    <w:rsid w:val="00BC631C"/>
    <w:rsid w:val="00BC75B6"/>
    <w:rsid w:val="00BC799A"/>
    <w:rsid w:val="00BD0AC3"/>
    <w:rsid w:val="00BD2C90"/>
    <w:rsid w:val="00BD3FDD"/>
    <w:rsid w:val="00BD5624"/>
    <w:rsid w:val="00BD5B4E"/>
    <w:rsid w:val="00BD78F5"/>
    <w:rsid w:val="00BE0E98"/>
    <w:rsid w:val="00BE1E67"/>
    <w:rsid w:val="00BE4D8D"/>
    <w:rsid w:val="00BE6778"/>
    <w:rsid w:val="00BE775D"/>
    <w:rsid w:val="00BF0616"/>
    <w:rsid w:val="00BF3B5A"/>
    <w:rsid w:val="00BF4271"/>
    <w:rsid w:val="00BF4734"/>
    <w:rsid w:val="00C00893"/>
    <w:rsid w:val="00C0165A"/>
    <w:rsid w:val="00C02F10"/>
    <w:rsid w:val="00C043C6"/>
    <w:rsid w:val="00C07A0F"/>
    <w:rsid w:val="00C11CBC"/>
    <w:rsid w:val="00C124A3"/>
    <w:rsid w:val="00C12992"/>
    <w:rsid w:val="00C12D5F"/>
    <w:rsid w:val="00C12F5A"/>
    <w:rsid w:val="00C145F1"/>
    <w:rsid w:val="00C147BF"/>
    <w:rsid w:val="00C162ED"/>
    <w:rsid w:val="00C167AC"/>
    <w:rsid w:val="00C1767B"/>
    <w:rsid w:val="00C20A25"/>
    <w:rsid w:val="00C20BD5"/>
    <w:rsid w:val="00C214AF"/>
    <w:rsid w:val="00C25F48"/>
    <w:rsid w:val="00C30C95"/>
    <w:rsid w:val="00C326DB"/>
    <w:rsid w:val="00C33B19"/>
    <w:rsid w:val="00C3594C"/>
    <w:rsid w:val="00C41D7D"/>
    <w:rsid w:val="00C42194"/>
    <w:rsid w:val="00C42243"/>
    <w:rsid w:val="00C42364"/>
    <w:rsid w:val="00C42873"/>
    <w:rsid w:val="00C42DCE"/>
    <w:rsid w:val="00C4396C"/>
    <w:rsid w:val="00C45CDF"/>
    <w:rsid w:val="00C4667F"/>
    <w:rsid w:val="00C46AC0"/>
    <w:rsid w:val="00C46CB3"/>
    <w:rsid w:val="00C46F3D"/>
    <w:rsid w:val="00C473CC"/>
    <w:rsid w:val="00C50316"/>
    <w:rsid w:val="00C50DEC"/>
    <w:rsid w:val="00C51373"/>
    <w:rsid w:val="00C51A64"/>
    <w:rsid w:val="00C51F3C"/>
    <w:rsid w:val="00C5292A"/>
    <w:rsid w:val="00C52E77"/>
    <w:rsid w:val="00C537A3"/>
    <w:rsid w:val="00C539DD"/>
    <w:rsid w:val="00C53E36"/>
    <w:rsid w:val="00C543ED"/>
    <w:rsid w:val="00C5457F"/>
    <w:rsid w:val="00C552EB"/>
    <w:rsid w:val="00C55B72"/>
    <w:rsid w:val="00C55FFD"/>
    <w:rsid w:val="00C563E8"/>
    <w:rsid w:val="00C5782E"/>
    <w:rsid w:val="00C605D5"/>
    <w:rsid w:val="00C60624"/>
    <w:rsid w:val="00C6094E"/>
    <w:rsid w:val="00C60C63"/>
    <w:rsid w:val="00C6466A"/>
    <w:rsid w:val="00C64BF3"/>
    <w:rsid w:val="00C64FC8"/>
    <w:rsid w:val="00C6575D"/>
    <w:rsid w:val="00C665F0"/>
    <w:rsid w:val="00C666AC"/>
    <w:rsid w:val="00C66B42"/>
    <w:rsid w:val="00C677FB"/>
    <w:rsid w:val="00C679E9"/>
    <w:rsid w:val="00C7012E"/>
    <w:rsid w:val="00C714A3"/>
    <w:rsid w:val="00C71AFB"/>
    <w:rsid w:val="00C723AB"/>
    <w:rsid w:val="00C723F4"/>
    <w:rsid w:val="00C733C8"/>
    <w:rsid w:val="00C77120"/>
    <w:rsid w:val="00C777CD"/>
    <w:rsid w:val="00C801E5"/>
    <w:rsid w:val="00C83042"/>
    <w:rsid w:val="00C84236"/>
    <w:rsid w:val="00C8425A"/>
    <w:rsid w:val="00C8656D"/>
    <w:rsid w:val="00C877FB"/>
    <w:rsid w:val="00C92044"/>
    <w:rsid w:val="00C92EA1"/>
    <w:rsid w:val="00C934F2"/>
    <w:rsid w:val="00C94767"/>
    <w:rsid w:val="00C95A96"/>
    <w:rsid w:val="00C96EE1"/>
    <w:rsid w:val="00CA0CDB"/>
    <w:rsid w:val="00CA12C9"/>
    <w:rsid w:val="00CA21C5"/>
    <w:rsid w:val="00CA2793"/>
    <w:rsid w:val="00CA52C0"/>
    <w:rsid w:val="00CA64C2"/>
    <w:rsid w:val="00CA71AB"/>
    <w:rsid w:val="00CA7338"/>
    <w:rsid w:val="00CA7C3D"/>
    <w:rsid w:val="00CB1210"/>
    <w:rsid w:val="00CB139D"/>
    <w:rsid w:val="00CB2E16"/>
    <w:rsid w:val="00CB45DE"/>
    <w:rsid w:val="00CB74EF"/>
    <w:rsid w:val="00CB7C09"/>
    <w:rsid w:val="00CC18D7"/>
    <w:rsid w:val="00CC2655"/>
    <w:rsid w:val="00CC30FA"/>
    <w:rsid w:val="00CC4100"/>
    <w:rsid w:val="00CC5E15"/>
    <w:rsid w:val="00CC668E"/>
    <w:rsid w:val="00CC6B7A"/>
    <w:rsid w:val="00CC7274"/>
    <w:rsid w:val="00CD0A4E"/>
    <w:rsid w:val="00CD0F83"/>
    <w:rsid w:val="00CD3B5B"/>
    <w:rsid w:val="00CD3B6A"/>
    <w:rsid w:val="00CD471F"/>
    <w:rsid w:val="00CD7021"/>
    <w:rsid w:val="00CE067A"/>
    <w:rsid w:val="00CE0D9C"/>
    <w:rsid w:val="00CE3B33"/>
    <w:rsid w:val="00CE3EB4"/>
    <w:rsid w:val="00CE3EC6"/>
    <w:rsid w:val="00CF04AE"/>
    <w:rsid w:val="00CF3175"/>
    <w:rsid w:val="00CF37F7"/>
    <w:rsid w:val="00CF3EEC"/>
    <w:rsid w:val="00CF579A"/>
    <w:rsid w:val="00CF62F1"/>
    <w:rsid w:val="00CF7205"/>
    <w:rsid w:val="00CF76C3"/>
    <w:rsid w:val="00D01A51"/>
    <w:rsid w:val="00D01C73"/>
    <w:rsid w:val="00D02962"/>
    <w:rsid w:val="00D02DA4"/>
    <w:rsid w:val="00D05507"/>
    <w:rsid w:val="00D063F6"/>
    <w:rsid w:val="00D07AED"/>
    <w:rsid w:val="00D10A5E"/>
    <w:rsid w:val="00D12664"/>
    <w:rsid w:val="00D12A20"/>
    <w:rsid w:val="00D13A26"/>
    <w:rsid w:val="00D13AD4"/>
    <w:rsid w:val="00D155D8"/>
    <w:rsid w:val="00D15B36"/>
    <w:rsid w:val="00D1656A"/>
    <w:rsid w:val="00D213E8"/>
    <w:rsid w:val="00D21AE2"/>
    <w:rsid w:val="00D22000"/>
    <w:rsid w:val="00D23FA0"/>
    <w:rsid w:val="00D23FC8"/>
    <w:rsid w:val="00D241E8"/>
    <w:rsid w:val="00D2571F"/>
    <w:rsid w:val="00D26452"/>
    <w:rsid w:val="00D307E2"/>
    <w:rsid w:val="00D308F9"/>
    <w:rsid w:val="00D32090"/>
    <w:rsid w:val="00D32518"/>
    <w:rsid w:val="00D33E40"/>
    <w:rsid w:val="00D347C8"/>
    <w:rsid w:val="00D35570"/>
    <w:rsid w:val="00D35934"/>
    <w:rsid w:val="00D36E60"/>
    <w:rsid w:val="00D4326E"/>
    <w:rsid w:val="00D4466B"/>
    <w:rsid w:val="00D4502A"/>
    <w:rsid w:val="00D45709"/>
    <w:rsid w:val="00D45DC6"/>
    <w:rsid w:val="00D465B4"/>
    <w:rsid w:val="00D4678D"/>
    <w:rsid w:val="00D473EF"/>
    <w:rsid w:val="00D5085F"/>
    <w:rsid w:val="00D517CD"/>
    <w:rsid w:val="00D5201E"/>
    <w:rsid w:val="00D52205"/>
    <w:rsid w:val="00D528C1"/>
    <w:rsid w:val="00D541DE"/>
    <w:rsid w:val="00D54281"/>
    <w:rsid w:val="00D544AD"/>
    <w:rsid w:val="00D544D0"/>
    <w:rsid w:val="00D54AE2"/>
    <w:rsid w:val="00D55641"/>
    <w:rsid w:val="00D568A5"/>
    <w:rsid w:val="00D5722C"/>
    <w:rsid w:val="00D5723B"/>
    <w:rsid w:val="00D57344"/>
    <w:rsid w:val="00D57F55"/>
    <w:rsid w:val="00D60A09"/>
    <w:rsid w:val="00D63BC3"/>
    <w:rsid w:val="00D64C71"/>
    <w:rsid w:val="00D6522F"/>
    <w:rsid w:val="00D675D0"/>
    <w:rsid w:val="00D703EC"/>
    <w:rsid w:val="00D725E7"/>
    <w:rsid w:val="00D750D9"/>
    <w:rsid w:val="00D75797"/>
    <w:rsid w:val="00D75E92"/>
    <w:rsid w:val="00D77755"/>
    <w:rsid w:val="00D779C6"/>
    <w:rsid w:val="00D801F5"/>
    <w:rsid w:val="00D82841"/>
    <w:rsid w:val="00D85E9F"/>
    <w:rsid w:val="00D85F25"/>
    <w:rsid w:val="00D86360"/>
    <w:rsid w:val="00D876DE"/>
    <w:rsid w:val="00D90223"/>
    <w:rsid w:val="00D90644"/>
    <w:rsid w:val="00D90F9D"/>
    <w:rsid w:val="00D918FB"/>
    <w:rsid w:val="00D91C08"/>
    <w:rsid w:val="00D929B0"/>
    <w:rsid w:val="00D92CD1"/>
    <w:rsid w:val="00D92EF5"/>
    <w:rsid w:val="00D93348"/>
    <w:rsid w:val="00D9390F"/>
    <w:rsid w:val="00D95566"/>
    <w:rsid w:val="00D965C0"/>
    <w:rsid w:val="00D97543"/>
    <w:rsid w:val="00D978EA"/>
    <w:rsid w:val="00DA1C92"/>
    <w:rsid w:val="00DA2C89"/>
    <w:rsid w:val="00DA33AB"/>
    <w:rsid w:val="00DA36A8"/>
    <w:rsid w:val="00DA3A14"/>
    <w:rsid w:val="00DA3D44"/>
    <w:rsid w:val="00DA3E2C"/>
    <w:rsid w:val="00DA413F"/>
    <w:rsid w:val="00DA4AE5"/>
    <w:rsid w:val="00DA4BFF"/>
    <w:rsid w:val="00DA4E66"/>
    <w:rsid w:val="00DA5999"/>
    <w:rsid w:val="00DA62B9"/>
    <w:rsid w:val="00DB053A"/>
    <w:rsid w:val="00DB11D7"/>
    <w:rsid w:val="00DB15D2"/>
    <w:rsid w:val="00DB24DC"/>
    <w:rsid w:val="00DB3989"/>
    <w:rsid w:val="00DB74AE"/>
    <w:rsid w:val="00DC16B4"/>
    <w:rsid w:val="00DC1D23"/>
    <w:rsid w:val="00DC1D90"/>
    <w:rsid w:val="00DC2019"/>
    <w:rsid w:val="00DC266A"/>
    <w:rsid w:val="00DC42A1"/>
    <w:rsid w:val="00DC53F1"/>
    <w:rsid w:val="00DC5819"/>
    <w:rsid w:val="00DC5C4C"/>
    <w:rsid w:val="00DC5EE5"/>
    <w:rsid w:val="00DD07E1"/>
    <w:rsid w:val="00DD2A39"/>
    <w:rsid w:val="00DD392F"/>
    <w:rsid w:val="00DD47D6"/>
    <w:rsid w:val="00DD662C"/>
    <w:rsid w:val="00DD7967"/>
    <w:rsid w:val="00DD7E3C"/>
    <w:rsid w:val="00DE040A"/>
    <w:rsid w:val="00DE295B"/>
    <w:rsid w:val="00DE3E13"/>
    <w:rsid w:val="00DE61AC"/>
    <w:rsid w:val="00DE767F"/>
    <w:rsid w:val="00DF1808"/>
    <w:rsid w:val="00DF1C58"/>
    <w:rsid w:val="00DF1EC7"/>
    <w:rsid w:val="00DF28BB"/>
    <w:rsid w:val="00DF2A42"/>
    <w:rsid w:val="00DF3F26"/>
    <w:rsid w:val="00DF4A2A"/>
    <w:rsid w:val="00DF7A7C"/>
    <w:rsid w:val="00E000F5"/>
    <w:rsid w:val="00E01790"/>
    <w:rsid w:val="00E02E2C"/>
    <w:rsid w:val="00E046C4"/>
    <w:rsid w:val="00E06E4B"/>
    <w:rsid w:val="00E072EE"/>
    <w:rsid w:val="00E104F6"/>
    <w:rsid w:val="00E115C7"/>
    <w:rsid w:val="00E11852"/>
    <w:rsid w:val="00E120DD"/>
    <w:rsid w:val="00E138DB"/>
    <w:rsid w:val="00E139BB"/>
    <w:rsid w:val="00E14303"/>
    <w:rsid w:val="00E1508F"/>
    <w:rsid w:val="00E1565C"/>
    <w:rsid w:val="00E16811"/>
    <w:rsid w:val="00E2239D"/>
    <w:rsid w:val="00E2286A"/>
    <w:rsid w:val="00E23B72"/>
    <w:rsid w:val="00E24804"/>
    <w:rsid w:val="00E25145"/>
    <w:rsid w:val="00E25361"/>
    <w:rsid w:val="00E27729"/>
    <w:rsid w:val="00E30113"/>
    <w:rsid w:val="00E3058B"/>
    <w:rsid w:val="00E3098E"/>
    <w:rsid w:val="00E321AC"/>
    <w:rsid w:val="00E341FF"/>
    <w:rsid w:val="00E34536"/>
    <w:rsid w:val="00E35D40"/>
    <w:rsid w:val="00E365E1"/>
    <w:rsid w:val="00E373B7"/>
    <w:rsid w:val="00E379BE"/>
    <w:rsid w:val="00E37CAA"/>
    <w:rsid w:val="00E40A04"/>
    <w:rsid w:val="00E40BF3"/>
    <w:rsid w:val="00E417E7"/>
    <w:rsid w:val="00E42A68"/>
    <w:rsid w:val="00E435DB"/>
    <w:rsid w:val="00E43BBD"/>
    <w:rsid w:val="00E43E0E"/>
    <w:rsid w:val="00E44980"/>
    <w:rsid w:val="00E45243"/>
    <w:rsid w:val="00E45256"/>
    <w:rsid w:val="00E45694"/>
    <w:rsid w:val="00E46B22"/>
    <w:rsid w:val="00E47038"/>
    <w:rsid w:val="00E478ED"/>
    <w:rsid w:val="00E47AD3"/>
    <w:rsid w:val="00E50CE7"/>
    <w:rsid w:val="00E56836"/>
    <w:rsid w:val="00E57100"/>
    <w:rsid w:val="00E61E80"/>
    <w:rsid w:val="00E6226E"/>
    <w:rsid w:val="00E62B5F"/>
    <w:rsid w:val="00E6454A"/>
    <w:rsid w:val="00E65219"/>
    <w:rsid w:val="00E65524"/>
    <w:rsid w:val="00E65527"/>
    <w:rsid w:val="00E7068A"/>
    <w:rsid w:val="00E70C69"/>
    <w:rsid w:val="00E70DB8"/>
    <w:rsid w:val="00E714DA"/>
    <w:rsid w:val="00E72B77"/>
    <w:rsid w:val="00E72E99"/>
    <w:rsid w:val="00E730DF"/>
    <w:rsid w:val="00E73B3B"/>
    <w:rsid w:val="00E74583"/>
    <w:rsid w:val="00E7536C"/>
    <w:rsid w:val="00E754EF"/>
    <w:rsid w:val="00E77A01"/>
    <w:rsid w:val="00E802AD"/>
    <w:rsid w:val="00E81AEC"/>
    <w:rsid w:val="00E8218D"/>
    <w:rsid w:val="00E83B6C"/>
    <w:rsid w:val="00E84579"/>
    <w:rsid w:val="00E8552A"/>
    <w:rsid w:val="00E86079"/>
    <w:rsid w:val="00E86238"/>
    <w:rsid w:val="00E8624D"/>
    <w:rsid w:val="00E867CF"/>
    <w:rsid w:val="00E86ED2"/>
    <w:rsid w:val="00E87378"/>
    <w:rsid w:val="00E9004C"/>
    <w:rsid w:val="00E909D3"/>
    <w:rsid w:val="00E939FE"/>
    <w:rsid w:val="00E93B82"/>
    <w:rsid w:val="00E9448F"/>
    <w:rsid w:val="00E96C97"/>
    <w:rsid w:val="00E97F71"/>
    <w:rsid w:val="00EA1EE6"/>
    <w:rsid w:val="00EA4B77"/>
    <w:rsid w:val="00EA56B8"/>
    <w:rsid w:val="00EA749E"/>
    <w:rsid w:val="00EA7DCA"/>
    <w:rsid w:val="00EA7FD3"/>
    <w:rsid w:val="00EB1366"/>
    <w:rsid w:val="00EB1939"/>
    <w:rsid w:val="00EB1E97"/>
    <w:rsid w:val="00EB1FC4"/>
    <w:rsid w:val="00EB4A87"/>
    <w:rsid w:val="00EB4D2B"/>
    <w:rsid w:val="00EB6847"/>
    <w:rsid w:val="00EB73F7"/>
    <w:rsid w:val="00EB74E9"/>
    <w:rsid w:val="00EC054C"/>
    <w:rsid w:val="00EC0BCF"/>
    <w:rsid w:val="00EC0F19"/>
    <w:rsid w:val="00EC2D52"/>
    <w:rsid w:val="00EC3019"/>
    <w:rsid w:val="00EC3369"/>
    <w:rsid w:val="00EC3CE8"/>
    <w:rsid w:val="00EC48FC"/>
    <w:rsid w:val="00EC5677"/>
    <w:rsid w:val="00EC6F11"/>
    <w:rsid w:val="00EC72A3"/>
    <w:rsid w:val="00EC7522"/>
    <w:rsid w:val="00EC76FE"/>
    <w:rsid w:val="00ED0C41"/>
    <w:rsid w:val="00ED263D"/>
    <w:rsid w:val="00ED2684"/>
    <w:rsid w:val="00ED3C52"/>
    <w:rsid w:val="00ED3F2C"/>
    <w:rsid w:val="00ED4879"/>
    <w:rsid w:val="00ED5178"/>
    <w:rsid w:val="00ED56FA"/>
    <w:rsid w:val="00ED68FF"/>
    <w:rsid w:val="00EE0B86"/>
    <w:rsid w:val="00EE10A0"/>
    <w:rsid w:val="00EE3CDE"/>
    <w:rsid w:val="00EE3E28"/>
    <w:rsid w:val="00EE50DE"/>
    <w:rsid w:val="00EE5E53"/>
    <w:rsid w:val="00EE7034"/>
    <w:rsid w:val="00EF0202"/>
    <w:rsid w:val="00EF0732"/>
    <w:rsid w:val="00EF0883"/>
    <w:rsid w:val="00EF1262"/>
    <w:rsid w:val="00EF2192"/>
    <w:rsid w:val="00EF385F"/>
    <w:rsid w:val="00EF4187"/>
    <w:rsid w:val="00EF439D"/>
    <w:rsid w:val="00EF5712"/>
    <w:rsid w:val="00EF610F"/>
    <w:rsid w:val="00EF66DD"/>
    <w:rsid w:val="00EF67DD"/>
    <w:rsid w:val="00EF740A"/>
    <w:rsid w:val="00F003D4"/>
    <w:rsid w:val="00F004FE"/>
    <w:rsid w:val="00F010D6"/>
    <w:rsid w:val="00F026DE"/>
    <w:rsid w:val="00F040E7"/>
    <w:rsid w:val="00F04189"/>
    <w:rsid w:val="00F05141"/>
    <w:rsid w:val="00F0543E"/>
    <w:rsid w:val="00F10D64"/>
    <w:rsid w:val="00F1671D"/>
    <w:rsid w:val="00F2021E"/>
    <w:rsid w:val="00F21C19"/>
    <w:rsid w:val="00F2386B"/>
    <w:rsid w:val="00F24184"/>
    <w:rsid w:val="00F2421A"/>
    <w:rsid w:val="00F24B4E"/>
    <w:rsid w:val="00F256BC"/>
    <w:rsid w:val="00F262DD"/>
    <w:rsid w:val="00F27577"/>
    <w:rsid w:val="00F315A7"/>
    <w:rsid w:val="00F326D6"/>
    <w:rsid w:val="00F33222"/>
    <w:rsid w:val="00F33CF5"/>
    <w:rsid w:val="00F41423"/>
    <w:rsid w:val="00F41887"/>
    <w:rsid w:val="00F427C7"/>
    <w:rsid w:val="00F42937"/>
    <w:rsid w:val="00F46E2F"/>
    <w:rsid w:val="00F47662"/>
    <w:rsid w:val="00F5007D"/>
    <w:rsid w:val="00F501F8"/>
    <w:rsid w:val="00F50E7B"/>
    <w:rsid w:val="00F51D67"/>
    <w:rsid w:val="00F54AA3"/>
    <w:rsid w:val="00F57548"/>
    <w:rsid w:val="00F57654"/>
    <w:rsid w:val="00F6194A"/>
    <w:rsid w:val="00F61D65"/>
    <w:rsid w:val="00F6348F"/>
    <w:rsid w:val="00F65A6F"/>
    <w:rsid w:val="00F66705"/>
    <w:rsid w:val="00F66B6F"/>
    <w:rsid w:val="00F7092C"/>
    <w:rsid w:val="00F71576"/>
    <w:rsid w:val="00F733C0"/>
    <w:rsid w:val="00F73504"/>
    <w:rsid w:val="00F735C5"/>
    <w:rsid w:val="00F740A4"/>
    <w:rsid w:val="00F740C7"/>
    <w:rsid w:val="00F743B4"/>
    <w:rsid w:val="00F75C03"/>
    <w:rsid w:val="00F75E90"/>
    <w:rsid w:val="00F7663D"/>
    <w:rsid w:val="00F76987"/>
    <w:rsid w:val="00F81A67"/>
    <w:rsid w:val="00F81F4C"/>
    <w:rsid w:val="00F82F32"/>
    <w:rsid w:val="00F86030"/>
    <w:rsid w:val="00F86271"/>
    <w:rsid w:val="00F90639"/>
    <w:rsid w:val="00F906F0"/>
    <w:rsid w:val="00F91FB8"/>
    <w:rsid w:val="00F92160"/>
    <w:rsid w:val="00F92320"/>
    <w:rsid w:val="00F9374F"/>
    <w:rsid w:val="00F97367"/>
    <w:rsid w:val="00FA1315"/>
    <w:rsid w:val="00FA257F"/>
    <w:rsid w:val="00FA2A5D"/>
    <w:rsid w:val="00FA4670"/>
    <w:rsid w:val="00FA7086"/>
    <w:rsid w:val="00FA7497"/>
    <w:rsid w:val="00FB042D"/>
    <w:rsid w:val="00FB05EA"/>
    <w:rsid w:val="00FB1457"/>
    <w:rsid w:val="00FB1A25"/>
    <w:rsid w:val="00FB44CC"/>
    <w:rsid w:val="00FB5FE8"/>
    <w:rsid w:val="00FB6947"/>
    <w:rsid w:val="00FB7F4E"/>
    <w:rsid w:val="00FC052C"/>
    <w:rsid w:val="00FC0950"/>
    <w:rsid w:val="00FC1618"/>
    <w:rsid w:val="00FC1EF6"/>
    <w:rsid w:val="00FC204B"/>
    <w:rsid w:val="00FC2F1B"/>
    <w:rsid w:val="00FC3073"/>
    <w:rsid w:val="00FC57B5"/>
    <w:rsid w:val="00FC70D1"/>
    <w:rsid w:val="00FC77A6"/>
    <w:rsid w:val="00FD2048"/>
    <w:rsid w:val="00FD377D"/>
    <w:rsid w:val="00FD3924"/>
    <w:rsid w:val="00FD4D52"/>
    <w:rsid w:val="00FD5056"/>
    <w:rsid w:val="00FD6F04"/>
    <w:rsid w:val="00FD75F4"/>
    <w:rsid w:val="00FE20DF"/>
    <w:rsid w:val="00FE3593"/>
    <w:rsid w:val="00FE4105"/>
    <w:rsid w:val="00FE42C0"/>
    <w:rsid w:val="00FE481F"/>
    <w:rsid w:val="00FE4AC9"/>
    <w:rsid w:val="00FE4FBE"/>
    <w:rsid w:val="00FE61E7"/>
    <w:rsid w:val="00FE662D"/>
    <w:rsid w:val="00FE71C6"/>
    <w:rsid w:val="00FF2AB9"/>
    <w:rsid w:val="00FF45C2"/>
    <w:rsid w:val="00FF46BD"/>
    <w:rsid w:val="00FF494D"/>
    <w:rsid w:val="00FF4BAD"/>
    <w:rsid w:val="00FF5021"/>
    <w:rsid w:val="00FF6046"/>
    <w:rsid w:val="00FF73BD"/>
    <w:rsid w:val="00FF7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FF743B"/>
    <w:pPr>
      <w:keepNext/>
      <w:ind w:left="1440" w:hanging="1440"/>
      <w:outlineLvl w:val="0"/>
    </w:pPr>
    <w:rPr>
      <w:rFonts w:ascii="Cambria" w:hAnsi="Cambria" w:cs="Arial"/>
      <w:b/>
      <w:bCs/>
      <w:kern w:val="32"/>
      <w:sz w:val="32"/>
      <w:szCs w:val="32"/>
    </w:rPr>
  </w:style>
  <w:style w:type="paragraph" w:styleId="Heading2">
    <w:name w:val="heading 2"/>
    <w:basedOn w:val="Style1"/>
    <w:next w:val="Normal"/>
    <w:link w:val="Heading2Char"/>
    <w:qFormat/>
    <w:rsid w:val="0043424D"/>
    <w:pPr>
      <w:numPr>
        <w:numId w:val="28"/>
      </w:numPr>
      <w:spacing w:before="240" w:after="240"/>
      <w:ind w:left="547" w:hanging="547"/>
      <w:outlineLvl w:val="1"/>
    </w:pPr>
    <w:rPr>
      <w:sz w:val="28"/>
      <w:szCs w:val="28"/>
    </w:rPr>
  </w:style>
  <w:style w:type="paragraph" w:styleId="Heading5">
    <w:name w:val="heading 5"/>
    <w:basedOn w:val="Normal"/>
    <w:qFormat/>
    <w:rsid w:val="00B54016"/>
    <w:pPr>
      <w:keepNext/>
      <w:jc w:val="both"/>
      <w:outlineLvl w:val="4"/>
    </w:pPr>
    <w:rPr>
      <w:rFonts w:ascii="Univers" w:hAnsi="Univers"/>
      <w:b/>
      <w:bCs/>
      <w:spacing w:val="-2"/>
      <w:sz w:val="22"/>
      <w:szCs w:val="22"/>
    </w:rPr>
  </w:style>
  <w:style w:type="paragraph" w:styleId="Heading6">
    <w:name w:val="heading 6"/>
    <w:basedOn w:val="Normal"/>
    <w:next w:val="Normal"/>
    <w:link w:val="Heading6Char"/>
    <w:uiPriority w:val="9"/>
    <w:semiHidden/>
    <w:unhideWhenUsed/>
    <w:qFormat/>
    <w:rsid w:val="00C95A96"/>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text,Footnote reference,FA Fu,Footnote Text Char Char Char,Footnote Text Cha,FA Fußnotentext,FA Fuﬂnotentext,Texto nota pie Car,Footnote Text Char Char,Ca,fn"/>
    <w:basedOn w:val="Normal"/>
    <w:link w:val="FootnoteTextChar"/>
    <w:uiPriority w:val="99"/>
    <w:rsid w:val="007339B2"/>
    <w:rPr>
      <w:sz w:val="20"/>
      <w:szCs w:val="20"/>
    </w:rPr>
  </w:style>
  <w:style w:type="character" w:styleId="FootnoteReference">
    <w:name w:val="footnote reference"/>
    <w:aliases w:val="Footnotes refss,Texto de nota al pie,Appel note de bas de page,f,Ref,de nota al pie,normal,Footnote number,referencia nota al pie,BVI fnr,4_G,16 Point,Superscript 6 Point,Ref. de nota al pie.,Footnote symbol,Footnote,Texto nota al pie"/>
    <w:uiPriority w:val="99"/>
    <w:rsid w:val="007339B2"/>
    <w:rPr>
      <w:vertAlign w:val="superscript"/>
    </w:rPr>
  </w:style>
  <w:style w:type="paragraph" w:styleId="Footer">
    <w:name w:val="footer"/>
    <w:basedOn w:val="Normal"/>
    <w:link w:val="FooterChar"/>
    <w:uiPriority w:val="99"/>
    <w:rsid w:val="006B11FA"/>
    <w:pPr>
      <w:tabs>
        <w:tab w:val="center" w:pos="4320"/>
        <w:tab w:val="right" w:pos="8640"/>
      </w:tabs>
    </w:pPr>
  </w:style>
  <w:style w:type="character" w:styleId="PageNumber">
    <w:name w:val="page number"/>
    <w:basedOn w:val="DefaultParagraphFont"/>
    <w:rsid w:val="006B11FA"/>
  </w:style>
  <w:style w:type="paragraph" w:styleId="Title">
    <w:name w:val="Title"/>
    <w:basedOn w:val="Normal"/>
    <w:qFormat/>
    <w:rsid w:val="00205470"/>
    <w:pPr>
      <w:spacing w:before="100" w:beforeAutospacing="1" w:after="100" w:afterAutospacing="1"/>
    </w:pPr>
  </w:style>
  <w:style w:type="paragraph" w:customStyle="1" w:styleId="Default">
    <w:name w:val="Default"/>
    <w:link w:val="DefaultChar"/>
    <w:rsid w:val="006D6009"/>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2B5EBF"/>
    <w:pPr>
      <w:spacing w:before="100" w:beforeAutospacing="1" w:after="100" w:afterAutospacing="1"/>
    </w:pPr>
  </w:style>
  <w:style w:type="character" w:customStyle="1" w:styleId="style65">
    <w:name w:val="style65"/>
    <w:rsid w:val="00C46CB3"/>
    <w:rPr>
      <w:rFonts w:ascii="Arial" w:hAnsi="Arial" w:cs="Arial" w:hint="default"/>
      <w:b/>
      <w:bCs/>
      <w:color w:val="999999"/>
      <w:sz w:val="24"/>
      <w:szCs w:val="24"/>
    </w:rPr>
  </w:style>
  <w:style w:type="character" w:customStyle="1" w:styleId="FootnoteTextChar">
    <w:name w:val="Footnote Text Char"/>
    <w:aliases w:val="Footnote Text Char Char Char Char Char Char,Footnote Text Char Char Char Char Char1,footnote text Char,Footnote reference Char,FA Fu Char,Footnote Text Char Char Char Char1,Footnote Text Cha Char,FA Fußnotentext Char,Ca Char,fn Char"/>
    <w:link w:val="FootnoteText"/>
    <w:locked/>
    <w:rsid w:val="00572CB8"/>
    <w:rPr>
      <w:lang w:val="es-ES" w:eastAsia="es-ES" w:bidi="es-ES"/>
    </w:rPr>
  </w:style>
  <w:style w:type="paragraph" w:styleId="BalloonText">
    <w:name w:val="Balloon Text"/>
    <w:basedOn w:val="Normal"/>
    <w:semiHidden/>
    <w:rsid w:val="00572CB8"/>
    <w:rPr>
      <w:rFonts w:ascii="Tahoma" w:hAnsi="Tahoma" w:cs="Tahoma"/>
      <w:sz w:val="16"/>
      <w:szCs w:val="16"/>
    </w:rPr>
  </w:style>
  <w:style w:type="character" w:styleId="Hyperlink">
    <w:name w:val="Hyperlink"/>
    <w:uiPriority w:val="99"/>
    <w:rsid w:val="001F33F6"/>
    <w:rPr>
      <w:color w:val="0000FF"/>
      <w:u w:val="single"/>
    </w:rPr>
  </w:style>
  <w:style w:type="character" w:styleId="Strong">
    <w:name w:val="Strong"/>
    <w:uiPriority w:val="22"/>
    <w:qFormat/>
    <w:rsid w:val="006C628E"/>
    <w:rPr>
      <w:b/>
      <w:bCs/>
    </w:rPr>
  </w:style>
  <w:style w:type="paragraph" w:customStyle="1" w:styleId="cptitle">
    <w:name w:val="cptitle"/>
    <w:basedOn w:val="Normal"/>
    <w:rsid w:val="000D64B5"/>
    <w:pPr>
      <w:spacing w:before="100" w:beforeAutospacing="1" w:after="100" w:afterAutospacing="1"/>
    </w:pPr>
  </w:style>
  <w:style w:type="paragraph" w:styleId="BodyTextIndent2">
    <w:name w:val="Body Text Indent 2"/>
    <w:basedOn w:val="Normal"/>
    <w:rsid w:val="00641865"/>
    <w:pPr>
      <w:widowControl w:val="0"/>
      <w:ind w:firstLine="720"/>
      <w:jc w:val="both"/>
    </w:pPr>
    <w:rPr>
      <w:rFonts w:ascii="Univers" w:hAnsi="Univers"/>
      <w:snapToGrid w:val="0"/>
      <w:sz w:val="22"/>
      <w:szCs w:val="20"/>
    </w:rPr>
  </w:style>
  <w:style w:type="paragraph" w:styleId="ListParagraph">
    <w:name w:val="List Paragraph"/>
    <w:basedOn w:val="Normal"/>
    <w:link w:val="ListParagraphChar"/>
    <w:uiPriority w:val="34"/>
    <w:qFormat/>
    <w:rsid w:val="00291B6D"/>
    <w:pPr>
      <w:ind w:left="720"/>
    </w:pPr>
  </w:style>
  <w:style w:type="paragraph" w:styleId="Header">
    <w:name w:val="header"/>
    <w:basedOn w:val="Normal"/>
    <w:link w:val="HeaderChar"/>
    <w:uiPriority w:val="99"/>
    <w:rsid w:val="000F6EA7"/>
    <w:pPr>
      <w:tabs>
        <w:tab w:val="center" w:pos="4320"/>
        <w:tab w:val="right" w:pos="8640"/>
      </w:tabs>
    </w:pPr>
  </w:style>
  <w:style w:type="paragraph" w:customStyle="1" w:styleId="SingleTxtG">
    <w:name w:val="_ Single Txt_G"/>
    <w:basedOn w:val="Normal"/>
    <w:link w:val="SingleTxtGChar"/>
    <w:rsid w:val="00746D88"/>
    <w:pPr>
      <w:spacing w:after="120" w:line="240" w:lineRule="atLeast"/>
      <w:ind w:left="1134" w:right="1134"/>
      <w:jc w:val="both"/>
    </w:pPr>
    <w:rPr>
      <w:sz w:val="20"/>
      <w:szCs w:val="20"/>
    </w:rPr>
  </w:style>
  <w:style w:type="character" w:customStyle="1" w:styleId="SingleTxtGChar">
    <w:name w:val="_ Single Txt_G Char"/>
    <w:link w:val="SingleTxtG"/>
    <w:locked/>
    <w:rsid w:val="00746D88"/>
    <w:rPr>
      <w:lang w:val="es-ES" w:eastAsia="es-ES" w:bidi="es-ES"/>
    </w:rPr>
  </w:style>
  <w:style w:type="character" w:customStyle="1" w:styleId="FooterChar">
    <w:name w:val="Footer Char"/>
    <w:link w:val="Footer"/>
    <w:uiPriority w:val="99"/>
    <w:rsid w:val="007F3D76"/>
    <w:rPr>
      <w:sz w:val="24"/>
      <w:szCs w:val="24"/>
      <w:lang w:val="es-ES"/>
    </w:rPr>
  </w:style>
  <w:style w:type="character" w:customStyle="1" w:styleId="Heading2Char">
    <w:name w:val="Heading 2 Char"/>
    <w:link w:val="Heading2"/>
    <w:rsid w:val="0043424D"/>
    <w:rPr>
      <w:rFonts w:ascii="Cambria" w:hAnsi="Cambria"/>
      <w:b/>
      <w:i/>
      <w:sz w:val="28"/>
      <w:szCs w:val="28"/>
      <w:lang w:val="es-ES" w:eastAsia="es-ES"/>
    </w:rPr>
  </w:style>
  <w:style w:type="paragraph" w:customStyle="1" w:styleId="Style1">
    <w:name w:val="Style1"/>
    <w:basedOn w:val="Normal"/>
    <w:link w:val="Style1Char"/>
    <w:qFormat/>
    <w:rsid w:val="00387E3F"/>
    <w:pPr>
      <w:numPr>
        <w:numId w:val="2"/>
      </w:numPr>
      <w:ind w:left="540" w:hanging="540"/>
      <w:jc w:val="both"/>
    </w:pPr>
    <w:rPr>
      <w:rFonts w:ascii="Cambria" w:hAnsi="Cambria"/>
      <w:b/>
      <w:i/>
      <w:sz w:val="20"/>
      <w:szCs w:val="20"/>
    </w:rPr>
  </w:style>
  <w:style w:type="paragraph" w:customStyle="1" w:styleId="Style2">
    <w:name w:val="Style2"/>
    <w:basedOn w:val="Normal"/>
    <w:link w:val="Style2Char"/>
    <w:qFormat/>
    <w:rsid w:val="00F6348F"/>
    <w:pPr>
      <w:numPr>
        <w:ilvl w:val="1"/>
        <w:numId w:val="1"/>
      </w:numPr>
      <w:tabs>
        <w:tab w:val="clear" w:pos="2160"/>
        <w:tab w:val="num" w:pos="1440"/>
      </w:tabs>
      <w:ind w:left="1440" w:hanging="720"/>
      <w:jc w:val="both"/>
    </w:pPr>
    <w:rPr>
      <w:rFonts w:ascii="Cambria" w:hAnsi="Cambria"/>
      <w:b/>
      <w:sz w:val="20"/>
      <w:szCs w:val="20"/>
    </w:rPr>
  </w:style>
  <w:style w:type="character" w:customStyle="1" w:styleId="Style1Char">
    <w:name w:val="Style1 Char"/>
    <w:link w:val="Style1"/>
    <w:rsid w:val="00387E3F"/>
    <w:rPr>
      <w:rFonts w:ascii="Cambria" w:hAnsi="Cambria"/>
      <w:b/>
      <w:i/>
      <w:lang w:val="es-ES" w:eastAsia="es-ES"/>
    </w:rPr>
  </w:style>
  <w:style w:type="paragraph" w:styleId="TOC1">
    <w:name w:val="toc 1"/>
    <w:basedOn w:val="Normal"/>
    <w:next w:val="Normal"/>
    <w:autoRedefine/>
    <w:uiPriority w:val="39"/>
    <w:rsid w:val="00DA5999"/>
    <w:pPr>
      <w:pBdr>
        <w:bottom w:val="single" w:sz="4" w:space="1" w:color="auto"/>
      </w:pBdr>
      <w:tabs>
        <w:tab w:val="left" w:pos="360"/>
        <w:tab w:val="left" w:pos="720"/>
        <w:tab w:val="left" w:pos="1080"/>
        <w:tab w:val="right" w:pos="7830"/>
      </w:tabs>
    </w:pPr>
  </w:style>
  <w:style w:type="character" w:customStyle="1" w:styleId="Style2Char">
    <w:name w:val="Style2 Char"/>
    <w:link w:val="Style2"/>
    <w:rsid w:val="00F6348F"/>
    <w:rPr>
      <w:rFonts w:ascii="Cambria" w:hAnsi="Cambria"/>
      <w:b/>
      <w:lang w:val="es-ES" w:eastAsia="es-ES"/>
    </w:rPr>
  </w:style>
  <w:style w:type="paragraph" w:styleId="TOC2">
    <w:name w:val="toc 2"/>
    <w:basedOn w:val="Normal"/>
    <w:next w:val="Normal"/>
    <w:autoRedefine/>
    <w:uiPriority w:val="39"/>
    <w:rsid w:val="005A3F46"/>
    <w:pPr>
      <w:tabs>
        <w:tab w:val="left" w:pos="547"/>
        <w:tab w:val="right" w:pos="7740"/>
      </w:tabs>
      <w:spacing w:after="120"/>
      <w:ind w:left="360" w:hanging="360"/>
    </w:pPr>
    <w:rPr>
      <w:rFonts w:asciiTheme="majorHAnsi" w:hAnsiTheme="majorHAnsi"/>
      <w:i/>
      <w:noProof/>
      <w:sz w:val="20"/>
      <w:szCs w:val="20"/>
    </w:rPr>
  </w:style>
  <w:style w:type="character" w:customStyle="1" w:styleId="apple-converted-space">
    <w:name w:val="apple-converted-space"/>
    <w:basedOn w:val="DefaultParagraphFont"/>
    <w:rsid w:val="006F19D7"/>
  </w:style>
  <w:style w:type="character" w:customStyle="1" w:styleId="Heading6Char">
    <w:name w:val="Heading 6 Char"/>
    <w:link w:val="Heading6"/>
    <w:uiPriority w:val="9"/>
    <w:semiHidden/>
    <w:rsid w:val="00C95A96"/>
    <w:rPr>
      <w:rFonts w:ascii="Calibri" w:eastAsia="Times New Roman" w:hAnsi="Calibri" w:cs="Times New Roman"/>
      <w:b/>
      <w:bCs/>
      <w:sz w:val="22"/>
      <w:szCs w:val="22"/>
      <w:lang w:val="es-ES"/>
    </w:rPr>
  </w:style>
  <w:style w:type="character" w:customStyle="1" w:styleId="typewriter">
    <w:name w:val="typewriter"/>
    <w:rsid w:val="00C95A96"/>
    <w:rPr>
      <w:rFonts w:ascii="Courier New" w:hAnsi="Courier New" w:cs="Courier New" w:hint="default"/>
    </w:rPr>
  </w:style>
  <w:style w:type="character" w:customStyle="1" w:styleId="HeaderChar">
    <w:name w:val="Header Char"/>
    <w:link w:val="Header"/>
    <w:uiPriority w:val="99"/>
    <w:rsid w:val="002A0750"/>
    <w:rPr>
      <w:sz w:val="24"/>
      <w:szCs w:val="24"/>
      <w:lang w:val="es-ES"/>
    </w:rPr>
  </w:style>
  <w:style w:type="paragraph" w:customStyle="1" w:styleId="Style3">
    <w:name w:val="Style3"/>
    <w:basedOn w:val="Style1"/>
    <w:link w:val="Style3Char"/>
    <w:qFormat/>
    <w:rsid w:val="00B0181B"/>
    <w:pPr>
      <w:numPr>
        <w:numId w:val="3"/>
      </w:numPr>
      <w:ind w:left="1094" w:hanging="547"/>
      <w:outlineLvl w:val="2"/>
    </w:pPr>
    <w:rPr>
      <w:i w:val="0"/>
      <w:sz w:val="22"/>
      <w:szCs w:val="22"/>
    </w:rPr>
  </w:style>
  <w:style w:type="character" w:customStyle="1" w:styleId="Style3Char">
    <w:name w:val="Style3 Char"/>
    <w:link w:val="Style3"/>
    <w:rsid w:val="00B0181B"/>
    <w:rPr>
      <w:rFonts w:ascii="Cambria" w:hAnsi="Cambria"/>
      <w:b/>
      <w:sz w:val="22"/>
      <w:szCs w:val="22"/>
      <w:lang w:val="es-ES" w:eastAsia="es-ES"/>
    </w:rPr>
  </w:style>
  <w:style w:type="character" w:customStyle="1" w:styleId="ListParagraphChar">
    <w:name w:val="List Paragraph Char"/>
    <w:link w:val="ListParagraph"/>
    <w:uiPriority w:val="34"/>
    <w:rsid w:val="006054C3"/>
    <w:rPr>
      <w:sz w:val="24"/>
      <w:szCs w:val="24"/>
      <w:lang w:val="es-ES"/>
    </w:rPr>
  </w:style>
  <w:style w:type="character" w:customStyle="1" w:styleId="DefaultChar">
    <w:name w:val="Default Char"/>
    <w:link w:val="Default"/>
    <w:rsid w:val="00C8425A"/>
    <w:rPr>
      <w:rFonts w:ascii="Calibri" w:hAnsi="Calibri" w:cs="Calibri"/>
      <w:color w:val="000000"/>
      <w:sz w:val="24"/>
      <w:szCs w:val="24"/>
    </w:rPr>
  </w:style>
  <w:style w:type="character" w:customStyle="1" w:styleId="st1">
    <w:name w:val="st1"/>
    <w:rsid w:val="00C8425A"/>
  </w:style>
  <w:style w:type="paragraph" w:customStyle="1" w:styleId="Footnotes">
    <w:name w:val="Footnotes"/>
    <w:basedOn w:val="FootnoteText"/>
    <w:qFormat/>
    <w:rsid w:val="00C8425A"/>
    <w:pPr>
      <w:spacing w:after="120"/>
      <w:ind w:firstLine="720"/>
      <w:jc w:val="both"/>
    </w:pPr>
    <w:rPr>
      <w:rFonts w:ascii="Cambria" w:hAnsi="Cambria"/>
      <w:sz w:val="16"/>
      <w:szCs w:val="16"/>
      <w:u w:color="000000"/>
    </w:rPr>
  </w:style>
  <w:style w:type="paragraph" w:customStyle="1" w:styleId="Style4">
    <w:name w:val="Style4"/>
    <w:basedOn w:val="ListParagraph"/>
    <w:link w:val="Style4Char"/>
    <w:qFormat/>
    <w:rsid w:val="00B91656"/>
    <w:pPr>
      <w:numPr>
        <w:numId w:val="9"/>
      </w:numPr>
      <w:ind w:left="1080" w:hanging="720"/>
      <w:jc w:val="both"/>
    </w:pPr>
    <w:rPr>
      <w:rFonts w:ascii="Cambria" w:hAnsi="Cambria"/>
      <w:b/>
      <w:sz w:val="20"/>
      <w:szCs w:val="20"/>
    </w:rPr>
  </w:style>
  <w:style w:type="paragraph" w:styleId="TOC3">
    <w:name w:val="toc 3"/>
    <w:basedOn w:val="Normal"/>
    <w:next w:val="Normal"/>
    <w:autoRedefine/>
    <w:uiPriority w:val="39"/>
    <w:rsid w:val="00603B61"/>
    <w:pPr>
      <w:tabs>
        <w:tab w:val="left" w:pos="288"/>
        <w:tab w:val="left" w:pos="720"/>
        <w:tab w:val="right" w:pos="7740"/>
      </w:tabs>
      <w:ind w:left="720" w:hanging="360"/>
    </w:pPr>
  </w:style>
  <w:style w:type="character" w:customStyle="1" w:styleId="Style4Char">
    <w:name w:val="Style4 Char"/>
    <w:link w:val="Style4"/>
    <w:rsid w:val="00B91656"/>
    <w:rPr>
      <w:rFonts w:ascii="Cambria" w:hAnsi="Cambria"/>
      <w:b/>
      <w:lang w:val="es-ES"/>
    </w:rPr>
  </w:style>
  <w:style w:type="paragraph" w:styleId="TOC4">
    <w:name w:val="toc 4"/>
    <w:basedOn w:val="Normal"/>
    <w:next w:val="Normal"/>
    <w:autoRedefine/>
    <w:uiPriority w:val="39"/>
    <w:rsid w:val="00BF3B5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FF743B"/>
    <w:pPr>
      <w:keepNext/>
      <w:ind w:left="1440" w:hanging="1440"/>
      <w:outlineLvl w:val="0"/>
    </w:pPr>
    <w:rPr>
      <w:rFonts w:ascii="Cambria" w:hAnsi="Cambria" w:cs="Arial"/>
      <w:b/>
      <w:bCs/>
      <w:kern w:val="32"/>
      <w:sz w:val="32"/>
      <w:szCs w:val="32"/>
    </w:rPr>
  </w:style>
  <w:style w:type="paragraph" w:styleId="Heading2">
    <w:name w:val="heading 2"/>
    <w:basedOn w:val="Style1"/>
    <w:next w:val="Normal"/>
    <w:link w:val="Heading2Char"/>
    <w:qFormat/>
    <w:rsid w:val="0043424D"/>
    <w:pPr>
      <w:numPr>
        <w:numId w:val="28"/>
      </w:numPr>
      <w:spacing w:before="240" w:after="240"/>
      <w:ind w:left="547" w:hanging="547"/>
      <w:outlineLvl w:val="1"/>
    </w:pPr>
    <w:rPr>
      <w:sz w:val="28"/>
      <w:szCs w:val="28"/>
    </w:rPr>
  </w:style>
  <w:style w:type="paragraph" w:styleId="Heading5">
    <w:name w:val="heading 5"/>
    <w:basedOn w:val="Normal"/>
    <w:qFormat/>
    <w:rsid w:val="00B54016"/>
    <w:pPr>
      <w:keepNext/>
      <w:jc w:val="both"/>
      <w:outlineLvl w:val="4"/>
    </w:pPr>
    <w:rPr>
      <w:rFonts w:ascii="Univers" w:hAnsi="Univers"/>
      <w:b/>
      <w:bCs/>
      <w:spacing w:val="-2"/>
      <w:sz w:val="22"/>
      <w:szCs w:val="22"/>
    </w:rPr>
  </w:style>
  <w:style w:type="paragraph" w:styleId="Heading6">
    <w:name w:val="heading 6"/>
    <w:basedOn w:val="Normal"/>
    <w:next w:val="Normal"/>
    <w:link w:val="Heading6Char"/>
    <w:uiPriority w:val="9"/>
    <w:semiHidden/>
    <w:unhideWhenUsed/>
    <w:qFormat/>
    <w:rsid w:val="00C95A96"/>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text,Footnote reference,FA Fu,Footnote Text Char Char Char,Footnote Text Cha,FA Fußnotentext,FA Fuﬂnotentext,Texto nota pie Car,Footnote Text Char Char,Ca,fn"/>
    <w:basedOn w:val="Normal"/>
    <w:link w:val="FootnoteTextChar"/>
    <w:uiPriority w:val="99"/>
    <w:rsid w:val="007339B2"/>
    <w:rPr>
      <w:sz w:val="20"/>
      <w:szCs w:val="20"/>
    </w:rPr>
  </w:style>
  <w:style w:type="character" w:styleId="FootnoteReference">
    <w:name w:val="footnote reference"/>
    <w:aliases w:val="Footnotes refss,Texto de nota al pie,Appel note de bas de page,f,Ref,de nota al pie,normal,Footnote number,referencia nota al pie,BVI fnr,4_G,16 Point,Superscript 6 Point,Ref. de nota al pie.,Footnote symbol,Footnote,Texto nota al pie"/>
    <w:uiPriority w:val="99"/>
    <w:rsid w:val="007339B2"/>
    <w:rPr>
      <w:vertAlign w:val="superscript"/>
    </w:rPr>
  </w:style>
  <w:style w:type="paragraph" w:styleId="Footer">
    <w:name w:val="footer"/>
    <w:basedOn w:val="Normal"/>
    <w:link w:val="FooterChar"/>
    <w:uiPriority w:val="99"/>
    <w:rsid w:val="006B11FA"/>
    <w:pPr>
      <w:tabs>
        <w:tab w:val="center" w:pos="4320"/>
        <w:tab w:val="right" w:pos="8640"/>
      </w:tabs>
    </w:pPr>
  </w:style>
  <w:style w:type="character" w:styleId="PageNumber">
    <w:name w:val="page number"/>
    <w:basedOn w:val="DefaultParagraphFont"/>
    <w:rsid w:val="006B11FA"/>
  </w:style>
  <w:style w:type="paragraph" w:styleId="Title">
    <w:name w:val="Title"/>
    <w:basedOn w:val="Normal"/>
    <w:qFormat/>
    <w:rsid w:val="00205470"/>
    <w:pPr>
      <w:spacing w:before="100" w:beforeAutospacing="1" w:after="100" w:afterAutospacing="1"/>
    </w:pPr>
  </w:style>
  <w:style w:type="paragraph" w:customStyle="1" w:styleId="Default">
    <w:name w:val="Default"/>
    <w:link w:val="DefaultChar"/>
    <w:rsid w:val="006D6009"/>
    <w:pPr>
      <w:autoSpaceDE w:val="0"/>
      <w:autoSpaceDN w:val="0"/>
      <w:adjustRightInd w:val="0"/>
    </w:pPr>
    <w:rPr>
      <w:rFonts w:ascii="Calibri" w:hAnsi="Calibri" w:cs="Calibri"/>
      <w:color w:val="000000"/>
      <w:sz w:val="24"/>
      <w:szCs w:val="24"/>
    </w:rPr>
  </w:style>
  <w:style w:type="paragraph" w:styleId="NormalWeb">
    <w:name w:val="Normal (Web)"/>
    <w:basedOn w:val="Normal"/>
    <w:uiPriority w:val="99"/>
    <w:rsid w:val="002B5EBF"/>
    <w:pPr>
      <w:spacing w:before="100" w:beforeAutospacing="1" w:after="100" w:afterAutospacing="1"/>
    </w:pPr>
  </w:style>
  <w:style w:type="character" w:customStyle="1" w:styleId="style65">
    <w:name w:val="style65"/>
    <w:rsid w:val="00C46CB3"/>
    <w:rPr>
      <w:rFonts w:ascii="Arial" w:hAnsi="Arial" w:cs="Arial" w:hint="default"/>
      <w:b/>
      <w:bCs/>
      <w:color w:val="999999"/>
      <w:sz w:val="24"/>
      <w:szCs w:val="24"/>
    </w:rPr>
  </w:style>
  <w:style w:type="character" w:customStyle="1" w:styleId="FootnoteTextChar">
    <w:name w:val="Footnote Text Char"/>
    <w:aliases w:val="Footnote Text Char Char Char Char Char Char,Footnote Text Char Char Char Char Char1,footnote text Char,Footnote reference Char,FA Fu Char,Footnote Text Char Char Char Char1,Footnote Text Cha Char,FA Fußnotentext Char,Ca Char,fn Char"/>
    <w:link w:val="FootnoteText"/>
    <w:locked/>
    <w:rsid w:val="00572CB8"/>
    <w:rPr>
      <w:lang w:val="es-ES" w:eastAsia="es-ES" w:bidi="es-ES"/>
    </w:rPr>
  </w:style>
  <w:style w:type="paragraph" w:styleId="BalloonText">
    <w:name w:val="Balloon Text"/>
    <w:basedOn w:val="Normal"/>
    <w:semiHidden/>
    <w:rsid w:val="00572CB8"/>
    <w:rPr>
      <w:rFonts w:ascii="Tahoma" w:hAnsi="Tahoma" w:cs="Tahoma"/>
      <w:sz w:val="16"/>
      <w:szCs w:val="16"/>
    </w:rPr>
  </w:style>
  <w:style w:type="character" w:styleId="Hyperlink">
    <w:name w:val="Hyperlink"/>
    <w:uiPriority w:val="99"/>
    <w:rsid w:val="001F33F6"/>
    <w:rPr>
      <w:color w:val="0000FF"/>
      <w:u w:val="single"/>
    </w:rPr>
  </w:style>
  <w:style w:type="character" w:styleId="Strong">
    <w:name w:val="Strong"/>
    <w:uiPriority w:val="22"/>
    <w:qFormat/>
    <w:rsid w:val="006C628E"/>
    <w:rPr>
      <w:b/>
      <w:bCs/>
    </w:rPr>
  </w:style>
  <w:style w:type="paragraph" w:customStyle="1" w:styleId="cptitle">
    <w:name w:val="cptitle"/>
    <w:basedOn w:val="Normal"/>
    <w:rsid w:val="000D64B5"/>
    <w:pPr>
      <w:spacing w:before="100" w:beforeAutospacing="1" w:after="100" w:afterAutospacing="1"/>
    </w:pPr>
  </w:style>
  <w:style w:type="paragraph" w:styleId="BodyTextIndent2">
    <w:name w:val="Body Text Indent 2"/>
    <w:basedOn w:val="Normal"/>
    <w:rsid w:val="00641865"/>
    <w:pPr>
      <w:widowControl w:val="0"/>
      <w:ind w:firstLine="720"/>
      <w:jc w:val="both"/>
    </w:pPr>
    <w:rPr>
      <w:rFonts w:ascii="Univers" w:hAnsi="Univers"/>
      <w:snapToGrid w:val="0"/>
      <w:sz w:val="22"/>
      <w:szCs w:val="20"/>
    </w:rPr>
  </w:style>
  <w:style w:type="paragraph" w:styleId="ListParagraph">
    <w:name w:val="List Paragraph"/>
    <w:basedOn w:val="Normal"/>
    <w:link w:val="ListParagraphChar"/>
    <w:uiPriority w:val="34"/>
    <w:qFormat/>
    <w:rsid w:val="00291B6D"/>
    <w:pPr>
      <w:ind w:left="720"/>
    </w:pPr>
  </w:style>
  <w:style w:type="paragraph" w:styleId="Header">
    <w:name w:val="header"/>
    <w:basedOn w:val="Normal"/>
    <w:link w:val="HeaderChar"/>
    <w:uiPriority w:val="99"/>
    <w:rsid w:val="000F6EA7"/>
    <w:pPr>
      <w:tabs>
        <w:tab w:val="center" w:pos="4320"/>
        <w:tab w:val="right" w:pos="8640"/>
      </w:tabs>
    </w:pPr>
  </w:style>
  <w:style w:type="paragraph" w:customStyle="1" w:styleId="SingleTxtG">
    <w:name w:val="_ Single Txt_G"/>
    <w:basedOn w:val="Normal"/>
    <w:link w:val="SingleTxtGChar"/>
    <w:rsid w:val="00746D88"/>
    <w:pPr>
      <w:spacing w:after="120" w:line="240" w:lineRule="atLeast"/>
      <w:ind w:left="1134" w:right="1134"/>
      <w:jc w:val="both"/>
    </w:pPr>
    <w:rPr>
      <w:sz w:val="20"/>
      <w:szCs w:val="20"/>
    </w:rPr>
  </w:style>
  <w:style w:type="character" w:customStyle="1" w:styleId="SingleTxtGChar">
    <w:name w:val="_ Single Txt_G Char"/>
    <w:link w:val="SingleTxtG"/>
    <w:locked/>
    <w:rsid w:val="00746D88"/>
    <w:rPr>
      <w:lang w:val="es-ES" w:eastAsia="es-ES" w:bidi="es-ES"/>
    </w:rPr>
  </w:style>
  <w:style w:type="character" w:customStyle="1" w:styleId="FooterChar">
    <w:name w:val="Footer Char"/>
    <w:link w:val="Footer"/>
    <w:uiPriority w:val="99"/>
    <w:rsid w:val="007F3D76"/>
    <w:rPr>
      <w:sz w:val="24"/>
      <w:szCs w:val="24"/>
      <w:lang w:val="es-ES"/>
    </w:rPr>
  </w:style>
  <w:style w:type="character" w:customStyle="1" w:styleId="Heading2Char">
    <w:name w:val="Heading 2 Char"/>
    <w:link w:val="Heading2"/>
    <w:rsid w:val="0043424D"/>
    <w:rPr>
      <w:rFonts w:ascii="Cambria" w:hAnsi="Cambria"/>
      <w:b/>
      <w:i/>
      <w:sz w:val="28"/>
      <w:szCs w:val="28"/>
      <w:lang w:val="es-ES" w:eastAsia="es-ES"/>
    </w:rPr>
  </w:style>
  <w:style w:type="paragraph" w:customStyle="1" w:styleId="Style1">
    <w:name w:val="Style1"/>
    <w:basedOn w:val="Normal"/>
    <w:link w:val="Style1Char"/>
    <w:qFormat/>
    <w:rsid w:val="00387E3F"/>
    <w:pPr>
      <w:numPr>
        <w:numId w:val="2"/>
      </w:numPr>
      <w:ind w:left="540" w:hanging="540"/>
      <w:jc w:val="both"/>
    </w:pPr>
    <w:rPr>
      <w:rFonts w:ascii="Cambria" w:hAnsi="Cambria"/>
      <w:b/>
      <w:i/>
      <w:sz w:val="20"/>
      <w:szCs w:val="20"/>
    </w:rPr>
  </w:style>
  <w:style w:type="paragraph" w:customStyle="1" w:styleId="Style2">
    <w:name w:val="Style2"/>
    <w:basedOn w:val="Normal"/>
    <w:link w:val="Style2Char"/>
    <w:qFormat/>
    <w:rsid w:val="00F6348F"/>
    <w:pPr>
      <w:numPr>
        <w:ilvl w:val="1"/>
        <w:numId w:val="1"/>
      </w:numPr>
      <w:tabs>
        <w:tab w:val="clear" w:pos="2160"/>
        <w:tab w:val="num" w:pos="1440"/>
      </w:tabs>
      <w:ind w:left="1440" w:hanging="720"/>
      <w:jc w:val="both"/>
    </w:pPr>
    <w:rPr>
      <w:rFonts w:ascii="Cambria" w:hAnsi="Cambria"/>
      <w:b/>
      <w:sz w:val="20"/>
      <w:szCs w:val="20"/>
    </w:rPr>
  </w:style>
  <w:style w:type="character" w:customStyle="1" w:styleId="Style1Char">
    <w:name w:val="Style1 Char"/>
    <w:link w:val="Style1"/>
    <w:rsid w:val="00387E3F"/>
    <w:rPr>
      <w:rFonts w:ascii="Cambria" w:hAnsi="Cambria"/>
      <w:b/>
      <w:i/>
      <w:lang w:val="es-ES" w:eastAsia="es-ES"/>
    </w:rPr>
  </w:style>
  <w:style w:type="paragraph" w:styleId="TOC1">
    <w:name w:val="toc 1"/>
    <w:basedOn w:val="Normal"/>
    <w:next w:val="Normal"/>
    <w:autoRedefine/>
    <w:uiPriority w:val="39"/>
    <w:rsid w:val="00DA5999"/>
    <w:pPr>
      <w:pBdr>
        <w:bottom w:val="single" w:sz="4" w:space="1" w:color="auto"/>
      </w:pBdr>
      <w:tabs>
        <w:tab w:val="left" w:pos="360"/>
        <w:tab w:val="left" w:pos="720"/>
        <w:tab w:val="left" w:pos="1080"/>
        <w:tab w:val="right" w:pos="7830"/>
      </w:tabs>
    </w:pPr>
  </w:style>
  <w:style w:type="character" w:customStyle="1" w:styleId="Style2Char">
    <w:name w:val="Style2 Char"/>
    <w:link w:val="Style2"/>
    <w:rsid w:val="00F6348F"/>
    <w:rPr>
      <w:rFonts w:ascii="Cambria" w:hAnsi="Cambria"/>
      <w:b/>
      <w:lang w:val="es-ES" w:eastAsia="es-ES"/>
    </w:rPr>
  </w:style>
  <w:style w:type="paragraph" w:styleId="TOC2">
    <w:name w:val="toc 2"/>
    <w:basedOn w:val="Normal"/>
    <w:next w:val="Normal"/>
    <w:autoRedefine/>
    <w:uiPriority w:val="39"/>
    <w:rsid w:val="005A3F46"/>
    <w:pPr>
      <w:tabs>
        <w:tab w:val="left" w:pos="547"/>
        <w:tab w:val="right" w:pos="7740"/>
      </w:tabs>
      <w:spacing w:after="120"/>
      <w:ind w:left="360" w:hanging="360"/>
    </w:pPr>
    <w:rPr>
      <w:rFonts w:asciiTheme="majorHAnsi" w:hAnsiTheme="majorHAnsi"/>
      <w:i/>
      <w:noProof/>
      <w:sz w:val="20"/>
      <w:szCs w:val="20"/>
    </w:rPr>
  </w:style>
  <w:style w:type="character" w:customStyle="1" w:styleId="apple-converted-space">
    <w:name w:val="apple-converted-space"/>
    <w:basedOn w:val="DefaultParagraphFont"/>
    <w:rsid w:val="006F19D7"/>
  </w:style>
  <w:style w:type="character" w:customStyle="1" w:styleId="Heading6Char">
    <w:name w:val="Heading 6 Char"/>
    <w:link w:val="Heading6"/>
    <w:uiPriority w:val="9"/>
    <w:semiHidden/>
    <w:rsid w:val="00C95A96"/>
    <w:rPr>
      <w:rFonts w:ascii="Calibri" w:eastAsia="Times New Roman" w:hAnsi="Calibri" w:cs="Times New Roman"/>
      <w:b/>
      <w:bCs/>
      <w:sz w:val="22"/>
      <w:szCs w:val="22"/>
      <w:lang w:val="es-ES"/>
    </w:rPr>
  </w:style>
  <w:style w:type="character" w:customStyle="1" w:styleId="typewriter">
    <w:name w:val="typewriter"/>
    <w:rsid w:val="00C95A96"/>
    <w:rPr>
      <w:rFonts w:ascii="Courier New" w:hAnsi="Courier New" w:cs="Courier New" w:hint="default"/>
    </w:rPr>
  </w:style>
  <w:style w:type="character" w:customStyle="1" w:styleId="HeaderChar">
    <w:name w:val="Header Char"/>
    <w:link w:val="Header"/>
    <w:uiPriority w:val="99"/>
    <w:rsid w:val="002A0750"/>
    <w:rPr>
      <w:sz w:val="24"/>
      <w:szCs w:val="24"/>
      <w:lang w:val="es-ES"/>
    </w:rPr>
  </w:style>
  <w:style w:type="paragraph" w:customStyle="1" w:styleId="Style3">
    <w:name w:val="Style3"/>
    <w:basedOn w:val="Style1"/>
    <w:link w:val="Style3Char"/>
    <w:qFormat/>
    <w:rsid w:val="00B0181B"/>
    <w:pPr>
      <w:numPr>
        <w:numId w:val="3"/>
      </w:numPr>
      <w:ind w:left="1094" w:hanging="547"/>
      <w:outlineLvl w:val="2"/>
    </w:pPr>
    <w:rPr>
      <w:i w:val="0"/>
      <w:sz w:val="22"/>
      <w:szCs w:val="22"/>
    </w:rPr>
  </w:style>
  <w:style w:type="character" w:customStyle="1" w:styleId="Style3Char">
    <w:name w:val="Style3 Char"/>
    <w:link w:val="Style3"/>
    <w:rsid w:val="00B0181B"/>
    <w:rPr>
      <w:rFonts w:ascii="Cambria" w:hAnsi="Cambria"/>
      <w:b/>
      <w:sz w:val="22"/>
      <w:szCs w:val="22"/>
      <w:lang w:val="es-ES" w:eastAsia="es-ES"/>
    </w:rPr>
  </w:style>
  <w:style w:type="character" w:customStyle="1" w:styleId="ListParagraphChar">
    <w:name w:val="List Paragraph Char"/>
    <w:link w:val="ListParagraph"/>
    <w:uiPriority w:val="34"/>
    <w:rsid w:val="006054C3"/>
    <w:rPr>
      <w:sz w:val="24"/>
      <w:szCs w:val="24"/>
      <w:lang w:val="es-ES"/>
    </w:rPr>
  </w:style>
  <w:style w:type="character" w:customStyle="1" w:styleId="DefaultChar">
    <w:name w:val="Default Char"/>
    <w:link w:val="Default"/>
    <w:rsid w:val="00C8425A"/>
    <w:rPr>
      <w:rFonts w:ascii="Calibri" w:hAnsi="Calibri" w:cs="Calibri"/>
      <w:color w:val="000000"/>
      <w:sz w:val="24"/>
      <w:szCs w:val="24"/>
    </w:rPr>
  </w:style>
  <w:style w:type="character" w:customStyle="1" w:styleId="st1">
    <w:name w:val="st1"/>
    <w:rsid w:val="00C8425A"/>
  </w:style>
  <w:style w:type="paragraph" w:customStyle="1" w:styleId="Footnotes">
    <w:name w:val="Footnotes"/>
    <w:basedOn w:val="FootnoteText"/>
    <w:qFormat/>
    <w:rsid w:val="00C8425A"/>
    <w:pPr>
      <w:spacing w:after="120"/>
      <w:ind w:firstLine="720"/>
      <w:jc w:val="both"/>
    </w:pPr>
    <w:rPr>
      <w:rFonts w:ascii="Cambria" w:hAnsi="Cambria"/>
      <w:sz w:val="16"/>
      <w:szCs w:val="16"/>
      <w:u w:color="000000"/>
    </w:rPr>
  </w:style>
  <w:style w:type="paragraph" w:customStyle="1" w:styleId="Style4">
    <w:name w:val="Style4"/>
    <w:basedOn w:val="ListParagraph"/>
    <w:link w:val="Style4Char"/>
    <w:qFormat/>
    <w:rsid w:val="00B91656"/>
    <w:pPr>
      <w:numPr>
        <w:numId w:val="9"/>
      </w:numPr>
      <w:ind w:left="1080" w:hanging="720"/>
      <w:jc w:val="both"/>
    </w:pPr>
    <w:rPr>
      <w:rFonts w:ascii="Cambria" w:hAnsi="Cambria"/>
      <w:b/>
      <w:sz w:val="20"/>
      <w:szCs w:val="20"/>
    </w:rPr>
  </w:style>
  <w:style w:type="paragraph" w:styleId="TOC3">
    <w:name w:val="toc 3"/>
    <w:basedOn w:val="Normal"/>
    <w:next w:val="Normal"/>
    <w:autoRedefine/>
    <w:uiPriority w:val="39"/>
    <w:rsid w:val="00603B61"/>
    <w:pPr>
      <w:tabs>
        <w:tab w:val="left" w:pos="288"/>
        <w:tab w:val="left" w:pos="720"/>
        <w:tab w:val="right" w:pos="7740"/>
      </w:tabs>
      <w:ind w:left="720" w:hanging="360"/>
    </w:pPr>
  </w:style>
  <w:style w:type="character" w:customStyle="1" w:styleId="Style4Char">
    <w:name w:val="Style4 Char"/>
    <w:link w:val="Style4"/>
    <w:rsid w:val="00B91656"/>
    <w:rPr>
      <w:rFonts w:ascii="Cambria" w:hAnsi="Cambria"/>
      <w:b/>
      <w:lang w:val="es-ES"/>
    </w:rPr>
  </w:style>
  <w:style w:type="paragraph" w:styleId="TOC4">
    <w:name w:val="toc 4"/>
    <w:basedOn w:val="Normal"/>
    <w:next w:val="Normal"/>
    <w:autoRedefine/>
    <w:uiPriority w:val="39"/>
    <w:rsid w:val="00BF3B5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6242">
      <w:bodyDiv w:val="1"/>
      <w:marLeft w:val="0"/>
      <w:marRight w:val="0"/>
      <w:marTop w:val="0"/>
      <w:marBottom w:val="0"/>
      <w:divBdr>
        <w:top w:val="none" w:sz="0" w:space="0" w:color="auto"/>
        <w:left w:val="none" w:sz="0" w:space="0" w:color="auto"/>
        <w:bottom w:val="none" w:sz="0" w:space="0" w:color="auto"/>
        <w:right w:val="none" w:sz="0" w:space="0" w:color="auto"/>
      </w:divBdr>
      <w:divsChild>
        <w:div w:id="1180970968">
          <w:marLeft w:val="0"/>
          <w:marRight w:val="0"/>
          <w:marTop w:val="0"/>
          <w:marBottom w:val="0"/>
          <w:divBdr>
            <w:top w:val="none" w:sz="0" w:space="0" w:color="auto"/>
            <w:left w:val="none" w:sz="0" w:space="0" w:color="auto"/>
            <w:bottom w:val="none" w:sz="0" w:space="0" w:color="auto"/>
            <w:right w:val="none" w:sz="0" w:space="0" w:color="auto"/>
          </w:divBdr>
          <w:divsChild>
            <w:div w:id="1820881383">
              <w:marLeft w:val="0"/>
              <w:marRight w:val="0"/>
              <w:marTop w:val="0"/>
              <w:marBottom w:val="0"/>
              <w:divBdr>
                <w:top w:val="none" w:sz="0" w:space="0" w:color="auto"/>
                <w:left w:val="none" w:sz="0" w:space="0" w:color="auto"/>
                <w:bottom w:val="none" w:sz="0" w:space="0" w:color="auto"/>
                <w:right w:val="none" w:sz="0" w:space="0" w:color="auto"/>
              </w:divBdr>
              <w:divsChild>
                <w:div w:id="15726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5219">
      <w:bodyDiv w:val="1"/>
      <w:marLeft w:val="0"/>
      <w:marRight w:val="0"/>
      <w:marTop w:val="0"/>
      <w:marBottom w:val="0"/>
      <w:divBdr>
        <w:top w:val="none" w:sz="0" w:space="0" w:color="auto"/>
        <w:left w:val="none" w:sz="0" w:space="0" w:color="auto"/>
        <w:bottom w:val="none" w:sz="0" w:space="0" w:color="auto"/>
        <w:right w:val="none" w:sz="0" w:space="0" w:color="auto"/>
      </w:divBdr>
      <w:divsChild>
        <w:div w:id="340855065">
          <w:marLeft w:val="0"/>
          <w:marRight w:val="0"/>
          <w:marTop w:val="0"/>
          <w:marBottom w:val="0"/>
          <w:divBdr>
            <w:top w:val="none" w:sz="0" w:space="0" w:color="auto"/>
            <w:left w:val="none" w:sz="0" w:space="0" w:color="auto"/>
            <w:bottom w:val="none" w:sz="0" w:space="0" w:color="auto"/>
            <w:right w:val="none" w:sz="0" w:space="0" w:color="auto"/>
          </w:divBdr>
        </w:div>
      </w:divsChild>
    </w:div>
    <w:div w:id="210465345">
      <w:bodyDiv w:val="1"/>
      <w:marLeft w:val="0"/>
      <w:marRight w:val="0"/>
      <w:marTop w:val="0"/>
      <w:marBottom w:val="0"/>
      <w:divBdr>
        <w:top w:val="none" w:sz="0" w:space="0" w:color="auto"/>
        <w:left w:val="none" w:sz="0" w:space="0" w:color="auto"/>
        <w:bottom w:val="none" w:sz="0" w:space="0" w:color="auto"/>
        <w:right w:val="none" w:sz="0" w:space="0" w:color="auto"/>
      </w:divBdr>
      <w:divsChild>
        <w:div w:id="218396751">
          <w:marLeft w:val="0"/>
          <w:marRight w:val="0"/>
          <w:marTop w:val="0"/>
          <w:marBottom w:val="0"/>
          <w:divBdr>
            <w:top w:val="none" w:sz="0" w:space="0" w:color="auto"/>
            <w:left w:val="none" w:sz="0" w:space="0" w:color="auto"/>
            <w:bottom w:val="none" w:sz="0" w:space="0" w:color="auto"/>
            <w:right w:val="none" w:sz="0" w:space="0" w:color="auto"/>
          </w:divBdr>
          <w:divsChild>
            <w:div w:id="2052148887">
              <w:marLeft w:val="0"/>
              <w:marRight w:val="0"/>
              <w:marTop w:val="0"/>
              <w:marBottom w:val="0"/>
              <w:divBdr>
                <w:top w:val="none" w:sz="0" w:space="0" w:color="auto"/>
                <w:left w:val="none" w:sz="0" w:space="0" w:color="auto"/>
                <w:bottom w:val="none" w:sz="0" w:space="0" w:color="auto"/>
                <w:right w:val="none" w:sz="0" w:space="0" w:color="auto"/>
              </w:divBdr>
              <w:divsChild>
                <w:div w:id="5432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964727">
      <w:bodyDiv w:val="1"/>
      <w:marLeft w:val="0"/>
      <w:marRight w:val="0"/>
      <w:marTop w:val="0"/>
      <w:marBottom w:val="0"/>
      <w:divBdr>
        <w:top w:val="none" w:sz="0" w:space="0" w:color="auto"/>
        <w:left w:val="none" w:sz="0" w:space="0" w:color="auto"/>
        <w:bottom w:val="none" w:sz="0" w:space="0" w:color="auto"/>
        <w:right w:val="none" w:sz="0" w:space="0" w:color="auto"/>
      </w:divBdr>
      <w:divsChild>
        <w:div w:id="1332677042">
          <w:marLeft w:val="0"/>
          <w:marRight w:val="0"/>
          <w:marTop w:val="0"/>
          <w:marBottom w:val="0"/>
          <w:divBdr>
            <w:top w:val="none" w:sz="0" w:space="0" w:color="auto"/>
            <w:left w:val="none" w:sz="0" w:space="0" w:color="auto"/>
            <w:bottom w:val="none" w:sz="0" w:space="0" w:color="auto"/>
            <w:right w:val="none" w:sz="0" w:space="0" w:color="auto"/>
          </w:divBdr>
          <w:divsChild>
            <w:div w:id="20977279">
              <w:marLeft w:val="0"/>
              <w:marRight w:val="0"/>
              <w:marTop w:val="0"/>
              <w:marBottom w:val="0"/>
              <w:divBdr>
                <w:top w:val="none" w:sz="0" w:space="0" w:color="auto"/>
                <w:left w:val="none" w:sz="0" w:space="0" w:color="auto"/>
                <w:bottom w:val="none" w:sz="0" w:space="0" w:color="auto"/>
                <w:right w:val="none" w:sz="0" w:space="0" w:color="auto"/>
              </w:divBdr>
            </w:div>
            <w:div w:id="31922757">
              <w:marLeft w:val="0"/>
              <w:marRight w:val="0"/>
              <w:marTop w:val="0"/>
              <w:marBottom w:val="0"/>
              <w:divBdr>
                <w:top w:val="none" w:sz="0" w:space="0" w:color="auto"/>
                <w:left w:val="none" w:sz="0" w:space="0" w:color="auto"/>
                <w:bottom w:val="none" w:sz="0" w:space="0" w:color="auto"/>
                <w:right w:val="none" w:sz="0" w:space="0" w:color="auto"/>
              </w:divBdr>
            </w:div>
            <w:div w:id="599415614">
              <w:marLeft w:val="0"/>
              <w:marRight w:val="0"/>
              <w:marTop w:val="0"/>
              <w:marBottom w:val="0"/>
              <w:divBdr>
                <w:top w:val="none" w:sz="0" w:space="0" w:color="auto"/>
                <w:left w:val="none" w:sz="0" w:space="0" w:color="auto"/>
                <w:bottom w:val="none" w:sz="0" w:space="0" w:color="auto"/>
                <w:right w:val="none" w:sz="0" w:space="0" w:color="auto"/>
              </w:divBdr>
            </w:div>
            <w:div w:id="17876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70217">
      <w:bodyDiv w:val="1"/>
      <w:marLeft w:val="0"/>
      <w:marRight w:val="0"/>
      <w:marTop w:val="0"/>
      <w:marBottom w:val="0"/>
      <w:divBdr>
        <w:top w:val="none" w:sz="0" w:space="0" w:color="auto"/>
        <w:left w:val="none" w:sz="0" w:space="0" w:color="auto"/>
        <w:bottom w:val="none" w:sz="0" w:space="0" w:color="auto"/>
        <w:right w:val="none" w:sz="0" w:space="0" w:color="auto"/>
      </w:divBdr>
    </w:div>
    <w:div w:id="263851095">
      <w:bodyDiv w:val="1"/>
      <w:marLeft w:val="0"/>
      <w:marRight w:val="0"/>
      <w:marTop w:val="0"/>
      <w:marBottom w:val="0"/>
      <w:divBdr>
        <w:top w:val="none" w:sz="0" w:space="0" w:color="auto"/>
        <w:left w:val="none" w:sz="0" w:space="0" w:color="auto"/>
        <w:bottom w:val="none" w:sz="0" w:space="0" w:color="auto"/>
        <w:right w:val="none" w:sz="0" w:space="0" w:color="auto"/>
      </w:divBdr>
      <w:divsChild>
        <w:div w:id="1613199332">
          <w:marLeft w:val="0"/>
          <w:marRight w:val="0"/>
          <w:marTop w:val="0"/>
          <w:marBottom w:val="0"/>
          <w:divBdr>
            <w:top w:val="none" w:sz="0" w:space="0" w:color="auto"/>
            <w:left w:val="none" w:sz="0" w:space="0" w:color="auto"/>
            <w:bottom w:val="none" w:sz="0" w:space="0" w:color="auto"/>
            <w:right w:val="none" w:sz="0" w:space="0" w:color="auto"/>
          </w:divBdr>
          <w:divsChild>
            <w:div w:id="1226910969">
              <w:marLeft w:val="0"/>
              <w:marRight w:val="0"/>
              <w:marTop w:val="0"/>
              <w:marBottom w:val="0"/>
              <w:divBdr>
                <w:top w:val="none" w:sz="0" w:space="0" w:color="auto"/>
                <w:left w:val="none" w:sz="0" w:space="0" w:color="auto"/>
                <w:bottom w:val="none" w:sz="0" w:space="0" w:color="auto"/>
                <w:right w:val="none" w:sz="0" w:space="0" w:color="auto"/>
              </w:divBdr>
              <w:divsChild>
                <w:div w:id="1193497141">
                  <w:marLeft w:val="0"/>
                  <w:marRight w:val="0"/>
                  <w:marTop w:val="0"/>
                  <w:marBottom w:val="0"/>
                  <w:divBdr>
                    <w:top w:val="none" w:sz="0" w:space="0" w:color="auto"/>
                    <w:left w:val="none" w:sz="0" w:space="0" w:color="auto"/>
                    <w:bottom w:val="none" w:sz="0" w:space="0" w:color="auto"/>
                    <w:right w:val="none" w:sz="0" w:space="0" w:color="auto"/>
                  </w:divBdr>
                  <w:divsChild>
                    <w:div w:id="614212402">
                      <w:marLeft w:val="0"/>
                      <w:marRight w:val="0"/>
                      <w:marTop w:val="0"/>
                      <w:marBottom w:val="0"/>
                      <w:divBdr>
                        <w:top w:val="none" w:sz="0" w:space="0" w:color="auto"/>
                        <w:left w:val="none" w:sz="0" w:space="0" w:color="auto"/>
                        <w:bottom w:val="none" w:sz="0" w:space="0" w:color="auto"/>
                        <w:right w:val="none" w:sz="0" w:space="0" w:color="auto"/>
                      </w:divBdr>
                      <w:divsChild>
                        <w:div w:id="1770734921">
                          <w:marLeft w:val="0"/>
                          <w:marRight w:val="0"/>
                          <w:marTop w:val="0"/>
                          <w:marBottom w:val="0"/>
                          <w:divBdr>
                            <w:top w:val="none" w:sz="0" w:space="0" w:color="auto"/>
                            <w:left w:val="none" w:sz="0" w:space="0" w:color="auto"/>
                            <w:bottom w:val="none" w:sz="0" w:space="0" w:color="auto"/>
                            <w:right w:val="none" w:sz="0" w:space="0" w:color="auto"/>
                          </w:divBdr>
                          <w:divsChild>
                            <w:div w:id="556625844">
                              <w:marLeft w:val="0"/>
                              <w:marRight w:val="0"/>
                              <w:marTop w:val="0"/>
                              <w:marBottom w:val="0"/>
                              <w:divBdr>
                                <w:top w:val="none" w:sz="0" w:space="0" w:color="auto"/>
                                <w:left w:val="none" w:sz="0" w:space="0" w:color="auto"/>
                                <w:bottom w:val="none" w:sz="0" w:space="0" w:color="auto"/>
                                <w:right w:val="none" w:sz="0" w:space="0" w:color="auto"/>
                              </w:divBdr>
                              <w:divsChild>
                                <w:div w:id="1110973369">
                                  <w:marLeft w:val="0"/>
                                  <w:marRight w:val="0"/>
                                  <w:marTop w:val="0"/>
                                  <w:marBottom w:val="0"/>
                                  <w:divBdr>
                                    <w:top w:val="none" w:sz="0" w:space="0" w:color="auto"/>
                                    <w:left w:val="none" w:sz="0" w:space="0" w:color="auto"/>
                                    <w:bottom w:val="none" w:sz="0" w:space="0" w:color="auto"/>
                                    <w:right w:val="none" w:sz="0" w:space="0" w:color="auto"/>
                                  </w:divBdr>
                                  <w:divsChild>
                                    <w:div w:id="1708797670">
                                      <w:marLeft w:val="0"/>
                                      <w:marRight w:val="0"/>
                                      <w:marTop w:val="0"/>
                                      <w:marBottom w:val="0"/>
                                      <w:divBdr>
                                        <w:top w:val="none" w:sz="0" w:space="0" w:color="auto"/>
                                        <w:left w:val="none" w:sz="0" w:space="0" w:color="auto"/>
                                        <w:bottom w:val="none" w:sz="0" w:space="0" w:color="auto"/>
                                        <w:right w:val="none" w:sz="0" w:space="0" w:color="auto"/>
                                      </w:divBdr>
                                      <w:divsChild>
                                        <w:div w:id="1018389577">
                                          <w:marLeft w:val="0"/>
                                          <w:marRight w:val="0"/>
                                          <w:marTop w:val="0"/>
                                          <w:marBottom w:val="0"/>
                                          <w:divBdr>
                                            <w:top w:val="none" w:sz="0" w:space="0" w:color="auto"/>
                                            <w:left w:val="none" w:sz="0" w:space="0" w:color="auto"/>
                                            <w:bottom w:val="none" w:sz="0" w:space="0" w:color="auto"/>
                                            <w:right w:val="none" w:sz="0" w:space="0" w:color="auto"/>
                                          </w:divBdr>
                                          <w:divsChild>
                                            <w:div w:id="656686209">
                                              <w:marLeft w:val="0"/>
                                              <w:marRight w:val="0"/>
                                              <w:marTop w:val="0"/>
                                              <w:marBottom w:val="0"/>
                                              <w:divBdr>
                                                <w:top w:val="none" w:sz="0" w:space="0" w:color="auto"/>
                                                <w:left w:val="none" w:sz="0" w:space="0" w:color="auto"/>
                                                <w:bottom w:val="none" w:sz="0" w:space="0" w:color="auto"/>
                                                <w:right w:val="none" w:sz="0" w:space="0" w:color="auto"/>
                                              </w:divBdr>
                                              <w:divsChild>
                                                <w:div w:id="715668305">
                                                  <w:marLeft w:val="0"/>
                                                  <w:marRight w:val="0"/>
                                                  <w:marTop w:val="0"/>
                                                  <w:marBottom w:val="0"/>
                                                  <w:divBdr>
                                                    <w:top w:val="none" w:sz="0" w:space="0" w:color="auto"/>
                                                    <w:left w:val="none" w:sz="0" w:space="0" w:color="auto"/>
                                                    <w:bottom w:val="none" w:sz="0" w:space="0" w:color="auto"/>
                                                    <w:right w:val="none" w:sz="0" w:space="0" w:color="auto"/>
                                                  </w:divBdr>
                                                  <w:divsChild>
                                                    <w:div w:id="857080840">
                                                      <w:marLeft w:val="0"/>
                                                      <w:marRight w:val="0"/>
                                                      <w:marTop w:val="0"/>
                                                      <w:marBottom w:val="0"/>
                                                      <w:divBdr>
                                                        <w:top w:val="none" w:sz="0" w:space="0" w:color="auto"/>
                                                        <w:left w:val="none" w:sz="0" w:space="0" w:color="auto"/>
                                                        <w:bottom w:val="none" w:sz="0" w:space="0" w:color="auto"/>
                                                        <w:right w:val="none" w:sz="0" w:space="0" w:color="auto"/>
                                                      </w:divBdr>
                                                      <w:divsChild>
                                                        <w:div w:id="256863925">
                                                          <w:marLeft w:val="0"/>
                                                          <w:marRight w:val="0"/>
                                                          <w:marTop w:val="0"/>
                                                          <w:marBottom w:val="0"/>
                                                          <w:divBdr>
                                                            <w:top w:val="none" w:sz="0" w:space="0" w:color="auto"/>
                                                            <w:left w:val="none" w:sz="0" w:space="0" w:color="auto"/>
                                                            <w:bottom w:val="none" w:sz="0" w:space="0" w:color="auto"/>
                                                            <w:right w:val="none" w:sz="0" w:space="0" w:color="auto"/>
                                                          </w:divBdr>
                                                          <w:divsChild>
                                                            <w:div w:id="1252353538">
                                                              <w:marLeft w:val="0"/>
                                                              <w:marRight w:val="0"/>
                                                              <w:marTop w:val="0"/>
                                                              <w:marBottom w:val="396"/>
                                                              <w:divBdr>
                                                                <w:top w:val="none" w:sz="0" w:space="0" w:color="auto"/>
                                                                <w:left w:val="none" w:sz="0" w:space="0" w:color="auto"/>
                                                                <w:bottom w:val="none" w:sz="0" w:space="0" w:color="auto"/>
                                                                <w:right w:val="none" w:sz="0" w:space="0" w:color="auto"/>
                                                              </w:divBdr>
                                                              <w:divsChild>
                                                                <w:div w:id="180554705">
                                                                  <w:marLeft w:val="0"/>
                                                                  <w:marRight w:val="0"/>
                                                                  <w:marTop w:val="0"/>
                                                                  <w:marBottom w:val="0"/>
                                                                  <w:divBdr>
                                                                    <w:top w:val="none" w:sz="0" w:space="0" w:color="auto"/>
                                                                    <w:left w:val="none" w:sz="0" w:space="0" w:color="auto"/>
                                                                    <w:bottom w:val="none" w:sz="0" w:space="0" w:color="auto"/>
                                                                    <w:right w:val="none" w:sz="0" w:space="0" w:color="auto"/>
                                                                  </w:divBdr>
                                                                  <w:divsChild>
                                                                    <w:div w:id="114642960">
                                                                      <w:marLeft w:val="0"/>
                                                                      <w:marRight w:val="0"/>
                                                                      <w:marTop w:val="0"/>
                                                                      <w:marBottom w:val="0"/>
                                                                      <w:divBdr>
                                                                        <w:top w:val="none" w:sz="0" w:space="0" w:color="auto"/>
                                                                        <w:left w:val="none" w:sz="0" w:space="0" w:color="auto"/>
                                                                        <w:bottom w:val="none" w:sz="0" w:space="0" w:color="auto"/>
                                                                        <w:right w:val="none" w:sz="0" w:space="0" w:color="auto"/>
                                                                      </w:divBdr>
                                                                      <w:divsChild>
                                                                        <w:div w:id="1456947735">
                                                                          <w:marLeft w:val="0"/>
                                                                          <w:marRight w:val="0"/>
                                                                          <w:marTop w:val="0"/>
                                                                          <w:marBottom w:val="0"/>
                                                                          <w:divBdr>
                                                                            <w:top w:val="none" w:sz="0" w:space="0" w:color="auto"/>
                                                                            <w:left w:val="none" w:sz="0" w:space="0" w:color="auto"/>
                                                                            <w:bottom w:val="none" w:sz="0" w:space="0" w:color="auto"/>
                                                                            <w:right w:val="none" w:sz="0" w:space="0" w:color="auto"/>
                                                                          </w:divBdr>
                                                                          <w:divsChild>
                                                                            <w:div w:id="3982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0204118">
      <w:bodyDiv w:val="1"/>
      <w:marLeft w:val="0"/>
      <w:marRight w:val="0"/>
      <w:marTop w:val="0"/>
      <w:marBottom w:val="0"/>
      <w:divBdr>
        <w:top w:val="none" w:sz="0" w:space="0" w:color="auto"/>
        <w:left w:val="none" w:sz="0" w:space="0" w:color="auto"/>
        <w:bottom w:val="none" w:sz="0" w:space="0" w:color="auto"/>
        <w:right w:val="none" w:sz="0" w:space="0" w:color="auto"/>
      </w:divBdr>
      <w:divsChild>
        <w:div w:id="543636982">
          <w:marLeft w:val="0"/>
          <w:marRight w:val="0"/>
          <w:marTop w:val="0"/>
          <w:marBottom w:val="0"/>
          <w:divBdr>
            <w:top w:val="none" w:sz="0" w:space="0" w:color="auto"/>
            <w:left w:val="none" w:sz="0" w:space="0" w:color="auto"/>
            <w:bottom w:val="none" w:sz="0" w:space="0" w:color="auto"/>
            <w:right w:val="none" w:sz="0" w:space="0" w:color="auto"/>
          </w:divBdr>
          <w:divsChild>
            <w:div w:id="1807696898">
              <w:marLeft w:val="0"/>
              <w:marRight w:val="0"/>
              <w:marTop w:val="0"/>
              <w:marBottom w:val="0"/>
              <w:divBdr>
                <w:top w:val="none" w:sz="0" w:space="0" w:color="auto"/>
                <w:left w:val="none" w:sz="0" w:space="0" w:color="auto"/>
                <w:bottom w:val="none" w:sz="0" w:space="0" w:color="auto"/>
                <w:right w:val="none" w:sz="0" w:space="0" w:color="auto"/>
              </w:divBdr>
              <w:divsChild>
                <w:div w:id="14244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72016">
      <w:bodyDiv w:val="1"/>
      <w:marLeft w:val="0"/>
      <w:marRight w:val="0"/>
      <w:marTop w:val="0"/>
      <w:marBottom w:val="0"/>
      <w:divBdr>
        <w:top w:val="none" w:sz="0" w:space="0" w:color="auto"/>
        <w:left w:val="none" w:sz="0" w:space="0" w:color="auto"/>
        <w:bottom w:val="none" w:sz="0" w:space="0" w:color="auto"/>
        <w:right w:val="none" w:sz="0" w:space="0" w:color="auto"/>
      </w:divBdr>
    </w:div>
    <w:div w:id="1110784872">
      <w:bodyDiv w:val="1"/>
      <w:marLeft w:val="0"/>
      <w:marRight w:val="0"/>
      <w:marTop w:val="0"/>
      <w:marBottom w:val="0"/>
      <w:divBdr>
        <w:top w:val="none" w:sz="0" w:space="0" w:color="auto"/>
        <w:left w:val="none" w:sz="0" w:space="0" w:color="auto"/>
        <w:bottom w:val="none" w:sz="0" w:space="0" w:color="auto"/>
        <w:right w:val="none" w:sz="0" w:space="0" w:color="auto"/>
      </w:divBdr>
      <w:divsChild>
        <w:div w:id="444933381">
          <w:marLeft w:val="0"/>
          <w:marRight w:val="0"/>
          <w:marTop w:val="0"/>
          <w:marBottom w:val="0"/>
          <w:divBdr>
            <w:top w:val="none" w:sz="0" w:space="0" w:color="auto"/>
            <w:left w:val="none" w:sz="0" w:space="0" w:color="auto"/>
            <w:bottom w:val="none" w:sz="0" w:space="0" w:color="auto"/>
            <w:right w:val="none" w:sz="0" w:space="0" w:color="auto"/>
          </w:divBdr>
          <w:divsChild>
            <w:div w:id="635910474">
              <w:marLeft w:val="0"/>
              <w:marRight w:val="0"/>
              <w:marTop w:val="0"/>
              <w:marBottom w:val="0"/>
              <w:divBdr>
                <w:top w:val="none" w:sz="0" w:space="0" w:color="auto"/>
                <w:left w:val="none" w:sz="0" w:space="0" w:color="auto"/>
                <w:bottom w:val="none" w:sz="0" w:space="0" w:color="auto"/>
                <w:right w:val="none" w:sz="0" w:space="0" w:color="auto"/>
              </w:divBdr>
            </w:div>
            <w:div w:id="15287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8086">
      <w:bodyDiv w:val="1"/>
      <w:marLeft w:val="0"/>
      <w:marRight w:val="0"/>
      <w:marTop w:val="0"/>
      <w:marBottom w:val="0"/>
      <w:divBdr>
        <w:top w:val="none" w:sz="0" w:space="0" w:color="auto"/>
        <w:left w:val="none" w:sz="0" w:space="0" w:color="auto"/>
        <w:bottom w:val="none" w:sz="0" w:space="0" w:color="auto"/>
        <w:right w:val="none" w:sz="0" w:space="0" w:color="auto"/>
      </w:divBdr>
      <w:divsChild>
        <w:div w:id="2107187288">
          <w:marLeft w:val="0"/>
          <w:marRight w:val="0"/>
          <w:marTop w:val="0"/>
          <w:marBottom w:val="0"/>
          <w:divBdr>
            <w:top w:val="none" w:sz="0" w:space="0" w:color="auto"/>
            <w:left w:val="none" w:sz="0" w:space="0" w:color="auto"/>
            <w:bottom w:val="none" w:sz="0" w:space="0" w:color="auto"/>
            <w:right w:val="none" w:sz="0" w:space="0" w:color="auto"/>
          </w:divBdr>
          <w:divsChild>
            <w:div w:id="70302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70666">
      <w:bodyDiv w:val="1"/>
      <w:marLeft w:val="0"/>
      <w:marRight w:val="0"/>
      <w:marTop w:val="0"/>
      <w:marBottom w:val="0"/>
      <w:divBdr>
        <w:top w:val="none" w:sz="0" w:space="0" w:color="auto"/>
        <w:left w:val="none" w:sz="0" w:space="0" w:color="auto"/>
        <w:bottom w:val="none" w:sz="0" w:space="0" w:color="auto"/>
        <w:right w:val="none" w:sz="0" w:space="0" w:color="auto"/>
      </w:divBdr>
      <w:divsChild>
        <w:div w:id="1323510489">
          <w:marLeft w:val="0"/>
          <w:marRight w:val="0"/>
          <w:marTop w:val="0"/>
          <w:marBottom w:val="0"/>
          <w:divBdr>
            <w:top w:val="none" w:sz="0" w:space="0" w:color="auto"/>
            <w:left w:val="none" w:sz="0" w:space="0" w:color="auto"/>
            <w:bottom w:val="none" w:sz="0" w:space="0" w:color="auto"/>
            <w:right w:val="none" w:sz="0" w:space="0" w:color="auto"/>
          </w:divBdr>
          <w:divsChild>
            <w:div w:id="1887377985">
              <w:marLeft w:val="0"/>
              <w:marRight w:val="0"/>
              <w:marTop w:val="0"/>
              <w:marBottom w:val="0"/>
              <w:divBdr>
                <w:top w:val="none" w:sz="0" w:space="0" w:color="auto"/>
                <w:left w:val="none" w:sz="0" w:space="0" w:color="auto"/>
                <w:bottom w:val="none" w:sz="0" w:space="0" w:color="auto"/>
                <w:right w:val="none" w:sz="0" w:space="0" w:color="auto"/>
              </w:divBdr>
              <w:divsChild>
                <w:div w:id="91960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2106">
      <w:bodyDiv w:val="1"/>
      <w:marLeft w:val="0"/>
      <w:marRight w:val="0"/>
      <w:marTop w:val="0"/>
      <w:marBottom w:val="0"/>
      <w:divBdr>
        <w:top w:val="none" w:sz="0" w:space="0" w:color="auto"/>
        <w:left w:val="none" w:sz="0" w:space="0" w:color="auto"/>
        <w:bottom w:val="none" w:sz="0" w:space="0" w:color="auto"/>
        <w:right w:val="none" w:sz="0" w:space="0" w:color="auto"/>
      </w:divBdr>
    </w:div>
    <w:div w:id="1780298070">
      <w:bodyDiv w:val="1"/>
      <w:marLeft w:val="0"/>
      <w:marRight w:val="0"/>
      <w:marTop w:val="0"/>
      <w:marBottom w:val="0"/>
      <w:divBdr>
        <w:top w:val="none" w:sz="0" w:space="0" w:color="auto"/>
        <w:left w:val="none" w:sz="0" w:space="0" w:color="auto"/>
        <w:bottom w:val="none" w:sz="0" w:space="0" w:color="auto"/>
        <w:right w:val="none" w:sz="0" w:space="0" w:color="auto"/>
      </w:divBdr>
    </w:div>
    <w:div w:id="196260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footer" Target="footer7.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1.xml"/><Relationship Id="rId42" Type="http://schemas.openxmlformats.org/officeDocument/2006/relationships/footer" Target="footer1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3.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header" Target="header15.xml"/><Relationship Id="rId40" Type="http://schemas.openxmlformats.org/officeDocument/2006/relationships/footer" Target="footer14.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image" Target="media/image2.jpeg"/><Relationship Id="rId19" Type="http://schemas.openxmlformats.org/officeDocument/2006/relationships/footer" Target="footer3.xml"/><Relationship Id="rId31" Type="http://schemas.openxmlformats.org/officeDocument/2006/relationships/header" Target="header12.xml"/><Relationship Id="rId44" Type="http://schemas.openxmlformats.org/officeDocument/2006/relationships/footer" Target="footer1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10.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header" Target="header18.xml"/></Relationships>
</file>

<file path=word/_rels/footnotes.xml.rels><?xml version="1.0" encoding="UTF-8" standalone="yes"?>
<Relationships xmlns="http://schemas.openxmlformats.org/package/2006/relationships"><Relationship Id="rId26" Type="http://schemas.openxmlformats.org/officeDocument/2006/relationships/hyperlink" Target="http://www.justice.gov/opa/documents/memo-re-det-auth.pdf" TargetMode="External"/><Relationship Id="rId117" Type="http://schemas.openxmlformats.org/officeDocument/2006/relationships/hyperlink" Target="http://projects.nytimes.com/guantanamo/transfer-countries" TargetMode="External"/><Relationship Id="rId21" Type="http://schemas.openxmlformats.org/officeDocument/2006/relationships/hyperlink" Target="http://www.gpo.gov/fdsys/pkg/PLAW-107publ40/pdf/PLAW-107publ40.pdf" TargetMode="External"/><Relationship Id="rId42" Type="http://schemas.openxmlformats.org/officeDocument/2006/relationships/hyperlink" Target="http://www.plosmedicine.org/article/info:doi/10.1371/journal.pmed.1001027" TargetMode="External"/><Relationship Id="rId47" Type="http://schemas.openxmlformats.org/officeDocument/2006/relationships/hyperlink" Target="http://www.whitehouse.gov/the-press-office/ensuring-lawful-interrogations" TargetMode="External"/><Relationship Id="rId63" Type="http://schemas.openxmlformats.org/officeDocument/2006/relationships/hyperlink" Target="http://humanrights.ucdavis.edu/projects/the-guantanamo-testimonials-project/testimonies/testimonies-of-standard-operating-procedures/hungerstrike_sop_2013.pdf" TargetMode="External"/><Relationship Id="rId68" Type="http://schemas.openxmlformats.org/officeDocument/2006/relationships/hyperlink" Target="http://www.theguardian.com/world/2014/jul/16/guantanamo-nurse-refuses-force-feed-prisoners" TargetMode="External"/><Relationship Id="rId84" Type="http://schemas.openxmlformats.org/officeDocument/2006/relationships/hyperlink" Target="http://www.andyworthington.co.uk/2008/11/22/the-pentagon-cant-count-22-juveniles-held-at-guantanamo/" TargetMode="External"/><Relationship Id="rId89" Type="http://schemas.openxmlformats.org/officeDocument/2006/relationships/hyperlink" Target="http://www.reuters.com/article/2013/02/14/us-usa-guantanamo-idUSBRE91D1LP20130214" TargetMode="External"/><Relationship Id="rId112" Type="http://schemas.openxmlformats.org/officeDocument/2006/relationships/hyperlink" Target="http://www.judiciary.senate.gov/meetings/location-change-closing-guantanamo-the-national-security-fiscal-and-human-rights-implications" TargetMode="External"/><Relationship Id="rId133" Type="http://schemas.openxmlformats.org/officeDocument/2006/relationships/hyperlink" Target="http://www.lawfareblog.com/2011/09/another-cert-petition-to-get-munaf-and-kiyemba-ii-before-the-justices/" TargetMode="External"/><Relationship Id="rId138" Type="http://schemas.openxmlformats.org/officeDocument/2006/relationships/hyperlink" Target="http://ccrjustice.org/ourcases/current-cases/khan-v.-obama-/-khan-v.-gates" TargetMode="External"/><Relationship Id="rId154" Type="http://schemas.openxmlformats.org/officeDocument/2006/relationships/hyperlink" Target="http://articles.latimes.com/2010/jan/07/nation/la-na-guantanamo-repeaters7-2010jan07" TargetMode="External"/><Relationship Id="rId159" Type="http://schemas.openxmlformats.org/officeDocument/2006/relationships/hyperlink" Target="http://www.whitehouse.gov/the-press-office/2013/05/23/remarks-president-national-defense-university" TargetMode="External"/><Relationship Id="rId16" Type="http://schemas.openxmlformats.org/officeDocument/2006/relationships/hyperlink" Target="http://www.oas.org/es/cidh/prensa/comunicados/2013/103.asp" TargetMode="External"/><Relationship Id="rId107" Type="http://schemas.openxmlformats.org/officeDocument/2006/relationships/hyperlink" Target="http://www.judiciary.senate.gov/imo/media/doc/7-24-13MassiminoTestimony.pdf" TargetMode="External"/><Relationship Id="rId11" Type="http://schemas.openxmlformats.org/officeDocument/2006/relationships/hyperlink" Target="http://www.oas.org/es/cidh/ppl/decisiones/Guantanamo.asp" TargetMode="External"/><Relationship Id="rId32" Type="http://schemas.openxmlformats.org/officeDocument/2006/relationships/hyperlink" Target="http://humanrights.ucdavis.edu/projects/the-guantanamo-testimonials-project/testimonies/testimonies-of-standard-operating-procedures/camp_delta_sop.pdf" TargetMode="External"/><Relationship Id="rId37" Type="http://schemas.openxmlformats.org/officeDocument/2006/relationships/hyperlink" Target="http://dspace.wrlc.org/doc/bitstream/2041/70967/00355_020801_004display.pdfl" TargetMode="External"/><Relationship Id="rId53" Type="http://schemas.openxmlformats.org/officeDocument/2006/relationships/hyperlink" Target="https://www.aclu.org/national-security/mohamed-et-al-v-jeppesen-dataplan-inc" TargetMode="External"/><Relationship Id="rId58" Type="http://schemas.openxmlformats.org/officeDocument/2006/relationships/hyperlink" Target="http://www.amnesty.org/en/library/asset/AMR51/037/2010/en/a2f4f943-40c9-45ab-a344-a5741f4f3f03/amr510372010en.pdf" TargetMode="External"/><Relationship Id="rId74" Type="http://schemas.openxmlformats.org/officeDocument/2006/relationships/hyperlink" Target="http://law.shu.edu/ProgramsCenters/PublicIntGovServ/policyresearch/upload/hearing-habeas.pdf" TargetMode="External"/><Relationship Id="rId79" Type="http://schemas.openxmlformats.org/officeDocument/2006/relationships/hyperlink" Target="http://www.defense.gov/advisories/advisory.aspx?advisoryid=3656" TargetMode="External"/><Relationship Id="rId102" Type="http://schemas.openxmlformats.org/officeDocument/2006/relationships/hyperlink" Target="http://lawprofessors.typepad.com/conlaw/2014/02/gitmo-detainees-may-assert-mistreatment-claims.html" TargetMode="External"/><Relationship Id="rId123" Type="http://schemas.openxmlformats.org/officeDocument/2006/relationships/hyperlink" Target="http://www.slate.com/articles/news_and_politics/jurisprudence/2014/03/salim_hamdan_and_the_yemeni_prisoners_who_can_t_leave_the_prison_at_guant.html" TargetMode="External"/><Relationship Id="rId128" Type="http://schemas.openxmlformats.org/officeDocument/2006/relationships/hyperlink" Target="http://www.truth-out.org/news/item/6386:former-guant%C3%A1namo-prisoner-who-alleged-us-torture-drugging-sentenced-by-algerian-authorities" TargetMode="External"/><Relationship Id="rId144" Type="http://schemas.openxmlformats.org/officeDocument/2006/relationships/hyperlink" Target="http://www.lawfareblog.com/2014/08/814-session-2-on-severing-al-hawsawi/" TargetMode="External"/><Relationship Id="rId149" Type="http://schemas.openxmlformats.org/officeDocument/2006/relationships/hyperlink" Target="http://www.prs.mil/" TargetMode="External"/><Relationship Id="rId5" Type="http://schemas.openxmlformats.org/officeDocument/2006/relationships/hyperlink" Target="http://www.oas.org/es/cidh/ppl/decisiones/GuantanamoMC.asp" TargetMode="External"/><Relationship Id="rId90" Type="http://schemas.openxmlformats.org/officeDocument/2006/relationships/hyperlink" Target="https://ecf.dcd.uscourts.gov/cgi-bin/show_public_doc?2012mc0398-47" TargetMode="External"/><Relationship Id="rId95" Type="http://schemas.openxmlformats.org/officeDocument/2006/relationships/hyperlink" Target="http://www.justice.gov/sites/default/files/ag/legacy/2010/06/02/guantanamo-review-final-report.pdf" TargetMode="External"/><Relationship Id="rId160" Type="http://schemas.openxmlformats.org/officeDocument/2006/relationships/hyperlink" Target="http://law.shu.edu/publications/guantanamoReports/guantanamo_report_final_2_08_06.pdf" TargetMode="External"/><Relationship Id="rId22" Type="http://schemas.openxmlformats.org/officeDocument/2006/relationships/hyperlink" Target="http://fas.org/irp/offdocs/eo/mo-111301.htm" TargetMode="External"/><Relationship Id="rId27" Type="http://schemas.openxmlformats.org/officeDocument/2006/relationships/hyperlink" Target="http://www.justice.gov/opa/pr/2009/March/09-ag-232.html" TargetMode="External"/><Relationship Id="rId43" Type="http://schemas.openxmlformats.org/officeDocument/2006/relationships/hyperlink" Target="http://humanrights.ucdavis.edu/projects/the-guantanamo-testimonials-project/testimonies/testimonies-of-the-red-cross/icrc_20070214.pdf" TargetMode="External"/><Relationship Id="rId48" Type="http://schemas.openxmlformats.org/officeDocument/2006/relationships/hyperlink" Target="https://www.aclu.org/files/pdfs/natsec/opr20100219/20090729_OPR_Final_Report_with_20100719_declassifications.pdf" TargetMode="External"/><Relationship Id="rId64" Type="http://schemas.openxmlformats.org/officeDocument/2006/relationships/hyperlink" Target="http://humanrights.ucdavis.edu/projects/the-guantanamo-testimonials-project/testimonies/prisoner-testimonies/poems-from-guantanamo" TargetMode="External"/><Relationship Id="rId69" Type="http://schemas.openxmlformats.org/officeDocument/2006/relationships/hyperlink" Target="http://www.nytimes.com/2013/09/24/us/guantanamo-hunger-strike-largely-over-us-says.html?_r=0" TargetMode="External"/><Relationship Id="rId113" Type="http://schemas.openxmlformats.org/officeDocument/2006/relationships/hyperlink" Target="http://www.judiciary.senate.gov/imo/media/doc/7-24-13PompeoTestimony.pdf" TargetMode="External"/><Relationship Id="rId118" Type="http://schemas.openxmlformats.org/officeDocument/2006/relationships/hyperlink" Target="http://www.prs.mil/ReviewInformation/FullReviewpage.aspx" TargetMode="External"/><Relationship Id="rId134" Type="http://schemas.openxmlformats.org/officeDocument/2006/relationships/hyperlink" Target="http://www.humanrightsfirst.org/uploads/pdfs/close-GTMO-july-2013.pdf" TargetMode="External"/><Relationship Id="rId139" Type="http://schemas.openxmlformats.org/officeDocument/2006/relationships/hyperlink" Target="http://www.mc.mil/Cases.aspx?caseType=omc&amp;status=4&amp;id=23" TargetMode="External"/><Relationship Id="rId80" Type="http://schemas.openxmlformats.org/officeDocument/2006/relationships/hyperlink" Target="http://opiniojuris.org/2014/07/22/guest-post-d-c-circuits-en-banc-ruling-al-bahlul-legal-innovation-tradition-americas-domestic-common-law-war/" TargetMode="External"/><Relationship Id="rId85" Type="http://schemas.openxmlformats.org/officeDocument/2006/relationships/hyperlink" Target="http://www.cbc.ca/news/canada/omar-khadr-returns-to-canada-1.937754" TargetMode="External"/><Relationship Id="rId150" Type="http://schemas.openxmlformats.org/officeDocument/2006/relationships/hyperlink" Target="http://www.gpo.gov/fdsys/pkg/FR-2011-03-10/pdf/2011-5728.pdf" TargetMode="External"/><Relationship Id="rId155" Type="http://schemas.openxmlformats.org/officeDocument/2006/relationships/hyperlink" Target="http://law.shu.edu/ProgramsCenters/PublicIntGovServ/policyresearch/upload/National-Security-Deserves-Better-Odd-Recidivism-Numbers-Undermine-the-Guantanamo-Policy-Debate.pdf" TargetMode="External"/><Relationship Id="rId12" Type="http://schemas.openxmlformats.org/officeDocument/2006/relationships/hyperlink" Target="http://www.oas.org/es/cidh/ppl/decisiones/Guantanamo.asp" TargetMode="External"/><Relationship Id="rId17" Type="http://schemas.openxmlformats.org/officeDocument/2006/relationships/hyperlink" Target="http://www.oas.org/es/cidh/ppl/decisiones/Guantanamo.asp" TargetMode="External"/><Relationship Id="rId33" Type="http://schemas.openxmlformats.org/officeDocument/2006/relationships/hyperlink" Target="http://humanrights.ucdavis.edu/projects/the-guantanamo-testimonials-project/testimonies/testimonies-of-military-guards/testimony-of-brandon-neely" TargetMode="External"/><Relationship Id="rId38" Type="http://schemas.openxmlformats.org/officeDocument/2006/relationships/hyperlink" Target="http://www.detaineetaskforce.org/read/" TargetMode="External"/><Relationship Id="rId59" Type="http://schemas.openxmlformats.org/officeDocument/2006/relationships/hyperlink" Target="http://www.judiciary.senate.gov/imo/media/doc/7-24-13XenakisTestimony.pdf" TargetMode="External"/><Relationship Id="rId103" Type="http://schemas.openxmlformats.org/officeDocument/2006/relationships/hyperlink" Target="http://www.reprieve.org/judge-orders-us-government-to-halt-force-feeding-of-guantaacutenamo-prisoner-and-preserve-video-evidence-of-abuse.html" TargetMode="External"/><Relationship Id="rId108" Type="http://schemas.openxmlformats.org/officeDocument/2006/relationships/hyperlink" Target="http://www.gpo.gov/fdsys/pkg/FR-2009-01-27/pdf/E9-1893.pdf" TargetMode="External"/><Relationship Id="rId124" Type="http://schemas.openxmlformats.org/officeDocument/2006/relationships/hyperlink" Target="http://www.nytimes.com/2014/01/10/us/panel-recommends-transferring-yemeni-from-guantanamo.html" TargetMode="External"/><Relationship Id="rId129" Type="http://schemas.openxmlformats.org/officeDocument/2006/relationships/hyperlink" Target="http://www.andyworthington.co.uk/2013/09/18/algerias-ongoing-persecution-of-former-guantanamo-prisoner-abdul-aziz-naji/" TargetMode="External"/><Relationship Id="rId20" Type="http://schemas.openxmlformats.org/officeDocument/2006/relationships/hyperlink" Target="http://daccess-dds-ny.un.org/doc/UNDOC/GEN/G06/112/79/PDF/G0611279.pdf?OpenElement" TargetMode="External"/><Relationship Id="rId41" Type="http://schemas.openxmlformats.org/officeDocument/2006/relationships/hyperlink" Target="http://www.nytimes.com/2004/11/30/politics/30gitmo.html?ex=1259470800&amp;en=825f1aa04c65241f&amp;ei=5088&amp;partner=rssnyt" TargetMode="External"/><Relationship Id="rId54" Type="http://schemas.openxmlformats.org/officeDocument/2006/relationships/hyperlink" Target="http://www.defense.gov/news/newsarticle.aspx?id=52940" TargetMode="External"/><Relationship Id="rId62" Type="http://schemas.openxmlformats.org/officeDocument/2006/relationships/hyperlink" Target="http://ccrjustice.org/BaOdah" TargetMode="External"/><Relationship Id="rId70" Type="http://schemas.openxmlformats.org/officeDocument/2006/relationships/hyperlink" Target="http://www.nytimes.com/2014/02/12/us/appeals-court-clears-way-for-guantanamo-challenges.html" TargetMode="External"/><Relationship Id="rId75" Type="http://schemas.openxmlformats.org/officeDocument/2006/relationships/hyperlink" Target="http://www.lawfareblog.com/2011/06/an-additional-thought-on-al-hajj/" TargetMode="External"/><Relationship Id="rId83" Type="http://schemas.openxmlformats.org/officeDocument/2006/relationships/hyperlink" Target="http://www.humanrightsfirst.org/wp-content/uploads/pdf/USLS-Fact-Sheet-Federal_Court_Myth_vs_Fact.pdf" TargetMode="External"/><Relationship Id="rId88" Type="http://schemas.openxmlformats.org/officeDocument/2006/relationships/hyperlink" Target="http://bigstory.ap.org/article/secrecy-fears-prompt-sound-changes-guantanamo" TargetMode="External"/><Relationship Id="rId91" Type="http://schemas.openxmlformats.org/officeDocument/2006/relationships/hyperlink" Target="http://lawprofessors.typepad.com/conlaw/2013/07/judge-strikes-restrictions-on-guantanamo-detainees-access-to-counsel.html" TargetMode="External"/><Relationship Id="rId96" Type="http://schemas.openxmlformats.org/officeDocument/2006/relationships/hyperlink" Target="http://www.prs.mil/" TargetMode="External"/><Relationship Id="rId111" Type="http://schemas.openxmlformats.org/officeDocument/2006/relationships/hyperlink" Target="http://www.whitehouse.gov/the-press-office/2014/01/28/president-barack-obamas-state-union-address" TargetMode="External"/><Relationship Id="rId132" Type="http://schemas.openxmlformats.org/officeDocument/2006/relationships/hyperlink" Target="http://www.scotusblog.com/2010/08/new-challenge-to-kiyemba-ii/" TargetMode="External"/><Relationship Id="rId140" Type="http://schemas.openxmlformats.org/officeDocument/2006/relationships/hyperlink" Target="http://www.hrw.org/news/2014/04/21/ahmed-mohammed-ahmed-haza-al-darbi" TargetMode="External"/><Relationship Id="rId145" Type="http://schemas.openxmlformats.org/officeDocument/2006/relationships/hyperlink" Target="http://justsecurity.org/17968/al-nashiri-mandamus-petition-government-response-oral-argument-date/" TargetMode="External"/><Relationship Id="rId153" Type="http://schemas.openxmlformats.org/officeDocument/2006/relationships/hyperlink" Target="http://www.prs.mil/Portals/60/Documents/ISN552/140714_U_ISN552_FINAL_DETERMINATION_PUBLIC.pdf" TargetMode="External"/><Relationship Id="rId1" Type="http://schemas.openxmlformats.org/officeDocument/2006/relationships/hyperlink" Target="http://www.cidh.org/Terrorism/Span/t.htm" TargetMode="External"/><Relationship Id="rId6" Type="http://schemas.openxmlformats.org/officeDocument/2006/relationships/hyperlink" Target="http://www.cbc.ca/news/canada/omar-khadr-returns-to-canada-1.937754" TargetMode="External"/><Relationship Id="rId15" Type="http://schemas.openxmlformats.org/officeDocument/2006/relationships/hyperlink" Target="http://www.oas.org/en/iachr/pdl/decisions/Guantanamo.asp" TargetMode="External"/><Relationship Id="rId23" Type="http://schemas.openxmlformats.org/officeDocument/2006/relationships/hyperlink" Target="http://www.torturingdemocracy.org/documents/20011228.pdf" TargetMode="External"/><Relationship Id="rId28" Type="http://schemas.openxmlformats.org/officeDocument/2006/relationships/hyperlink" Target="http://www.justice.gov/ag/guantanamo-review-final-report.pdf" TargetMode="External"/><Relationship Id="rId36" Type="http://schemas.openxmlformats.org/officeDocument/2006/relationships/hyperlink" Target="http://dspace.wrlc.org/doc/bitstream/2041/70964/00355_020801_001display.pdf" TargetMode="External"/><Relationship Id="rId49" Type="http://schemas.openxmlformats.org/officeDocument/2006/relationships/hyperlink" Target="http://www.cidh.oas.org/demandas/12.519Eng.pdf" TargetMode="External"/><Relationship Id="rId57" Type="http://schemas.openxmlformats.org/officeDocument/2006/relationships/hyperlink" Target="http://www.nytimes.com/2012/09/12/us/politics/detainee-who-died-at-guantanamo-had-release-blocked-by-court.html?_r=0" TargetMode="External"/><Relationship Id="rId106" Type="http://schemas.openxmlformats.org/officeDocument/2006/relationships/hyperlink" Target="http://www.feinstein.senate.gov/public/index.cfm/press-releases?ID=cf92f5a0-4b2a-4c86-92c1-58f7dc612b67" TargetMode="External"/><Relationship Id="rId114" Type="http://schemas.openxmlformats.org/officeDocument/2006/relationships/hyperlink" Target="http://www.judiciary.senate.gov/imo/media/doc/7-24-13GaffneyTestimony.pdf" TargetMode="External"/><Relationship Id="rId119" Type="http://schemas.openxmlformats.org/officeDocument/2006/relationships/hyperlink" Target="https://news.vice.com/article/life-after-guantanamo-the-rehabilitation-program-for-kuwaits-released-inmate" TargetMode="External"/><Relationship Id="rId127" Type="http://schemas.openxmlformats.org/officeDocument/2006/relationships/hyperlink" Target="http://www.nytimes.com/2010/07/25/opinion/25sun1.html" TargetMode="External"/><Relationship Id="rId10" Type="http://schemas.openxmlformats.org/officeDocument/2006/relationships/hyperlink" Target="http://www.cidh.oas.org/pdf%20files/Resoluci%C3%B3n%202-11%20Guant%C3%A1namo.pdf" TargetMode="External"/><Relationship Id="rId31" Type="http://schemas.openxmlformats.org/officeDocument/2006/relationships/hyperlink" Target="http://www.refworld.org/docid/45377b0b0.html" TargetMode="External"/><Relationship Id="rId44" Type="http://schemas.openxmlformats.org/officeDocument/2006/relationships/hyperlink" Target="http://www.npr.org/2014/08/31/344576895/guantanamo-defense-lawyer-resigns-says-u-s-case-is-stacked" TargetMode="External"/><Relationship Id="rId52" Type="http://schemas.openxmlformats.org/officeDocument/2006/relationships/hyperlink" Target="http://ccrjustice.org/ourcases/current-cases/hamad-v.-gates-amicus" TargetMode="External"/><Relationship Id="rId60" Type="http://schemas.openxmlformats.org/officeDocument/2006/relationships/hyperlink" Target="http://tribune.com.pk/story/343989/us-commander-denies-non-halal-food-given-to-gitmo-detainees/" TargetMode="External"/><Relationship Id="rId65" Type="http://schemas.openxmlformats.org/officeDocument/2006/relationships/hyperlink" Target="http://legaltimes.typepad.com/files/gitmo-order.pdf" TargetMode="External"/><Relationship Id="rId73" Type="http://schemas.openxmlformats.org/officeDocument/2006/relationships/hyperlink" Target="http://dx.doi.org/10.2139/ssrn.1972542" TargetMode="External"/><Relationship Id="rId78" Type="http://schemas.openxmlformats.org/officeDocument/2006/relationships/hyperlink" Target="http://www.mc.mil/" TargetMode="External"/><Relationship Id="rId81" Type="http://schemas.openxmlformats.org/officeDocument/2006/relationships/hyperlink" Target="http://blog.constitutioncenter.org/2014/07/constitution-check-are-the-guantanamo-war-crimes-courts-now-doomed/" TargetMode="External"/><Relationship Id="rId86" Type="http://schemas.openxmlformats.org/officeDocument/2006/relationships/hyperlink" Target="http://www.cbc.ca/news/canada/toronto/omar-khadr-moves-to-medium-security-prison-1.2532793" TargetMode="External"/><Relationship Id="rId94" Type="http://schemas.openxmlformats.org/officeDocument/2006/relationships/hyperlink" Target="http://www.defense.gov/news/aug2006/d20060809csrtprocedures.pdf" TargetMode="External"/><Relationship Id="rId99" Type="http://schemas.openxmlformats.org/officeDocument/2006/relationships/hyperlink" Target="http://www.prs.mil/ReviewInformation/FullReviewpage.aspx" TargetMode="External"/><Relationship Id="rId101" Type="http://schemas.openxmlformats.org/officeDocument/2006/relationships/hyperlink" Target="http://www.cadc.uscourts.gov/internet/opinions.nsf/FFE0A48DE60BF3B985257C7C0053997D/$file/13-5223-1479439.pdf" TargetMode="External"/><Relationship Id="rId122" Type="http://schemas.openxmlformats.org/officeDocument/2006/relationships/hyperlink" Target="http://www.whitehouse.gov/the-press-office/2013/08/01/joint-statement-united-states-and-yemen" TargetMode="External"/><Relationship Id="rId130" Type="http://schemas.openxmlformats.org/officeDocument/2006/relationships/hyperlink" Target="http://www.nytimes.com/2013/12/06/us/politics/two-guantanamo-detainees-are-involuntarily-repatriated-to-algeria.html" TargetMode="External"/><Relationship Id="rId135" Type="http://schemas.openxmlformats.org/officeDocument/2006/relationships/hyperlink" Target="http://www.mc.mil/Cases.aspx?caseType=omc&amp;status=4&amp;id=23" TargetMode="External"/><Relationship Id="rId143" Type="http://schemas.openxmlformats.org/officeDocument/2006/relationships/hyperlink" Target="http://www.lawfareblog.com/2014/08/813-session-severance-re-reconsidered/" TargetMode="External"/><Relationship Id="rId148" Type="http://schemas.openxmlformats.org/officeDocument/2006/relationships/hyperlink" Target="http://www.thestar.com/news/canada/2013/12/13/omar_khadr_no_memory_of_firefight_in_afghanistan.html" TargetMode="External"/><Relationship Id="rId151" Type="http://schemas.openxmlformats.org/officeDocument/2006/relationships/hyperlink" Target="http://www.prs.mil/ReviewInformation/FullReviewpage.aspx" TargetMode="External"/><Relationship Id="rId156" Type="http://schemas.openxmlformats.org/officeDocument/2006/relationships/hyperlink" Target="http://www.humanrightsfirst.org/uploads/pdfs/close-GTMO-july-2013.pdf" TargetMode="External"/><Relationship Id="rId4" Type="http://schemas.openxmlformats.org/officeDocument/2006/relationships/hyperlink" Target="http://www.oas.org/es/cidh/ppl/decisiones/Guantanamo.asp" TargetMode="External"/><Relationship Id="rId9" Type="http://schemas.openxmlformats.org/officeDocument/2006/relationships/hyperlink" Target="http://www.cidh.oas.org/Resoluciones/reso.2.06.sp.htm" TargetMode="External"/><Relationship Id="rId13" Type="http://schemas.openxmlformats.org/officeDocument/2006/relationships/hyperlink" Target="http://www.oas.org/es/cidh/ppl/decisiones/Guantanamo.asp" TargetMode="External"/><Relationship Id="rId18" Type="http://schemas.openxmlformats.org/officeDocument/2006/relationships/hyperlink" Target="http://www.oas.org/es/cidh/ppl/decisiones/Guantanamo.asp" TargetMode="External"/><Relationship Id="rId39" Type="http://schemas.openxmlformats.org/officeDocument/2006/relationships/hyperlink" Target="http://www.globalresearch.ca/torture-as-official-us-policy/9610" TargetMode="External"/><Relationship Id="rId109" Type="http://schemas.openxmlformats.org/officeDocument/2006/relationships/hyperlink" Target="http://www.cidh.org/Comunicados/Spanish/2009/02-09sp.htm" TargetMode="External"/><Relationship Id="rId34" Type="http://schemas.openxmlformats.org/officeDocument/2006/relationships/hyperlink" Target="http://www.armed-services.senate.gov/imo/media/doc/Detainee-Report-Final_April-22-2009.pdf" TargetMode="External"/><Relationship Id="rId50" Type="http://schemas.openxmlformats.org/officeDocument/2006/relationships/hyperlink" Target="https://www.icrc.org/customary-ihl/eng/docs/v1_rul_rule150" TargetMode="External"/><Relationship Id="rId55" Type="http://schemas.openxmlformats.org/officeDocument/2006/relationships/hyperlink" Target="http://www.defense.gov/pubs/pdfs/REVIEW_OF_DEPARTMENT_COMPLIANCE_WITH_PRESIDENTS_EXECUTIVE_ORDER_ON_DETAINEE_CONDITIONS_OF_CONFINEMENTa.pdf" TargetMode="External"/><Relationship Id="rId76" Type="http://schemas.openxmlformats.org/officeDocument/2006/relationships/hyperlink" Target="http://fas.org/irp/offdocs/eo/mo-111301.htm" TargetMode="External"/><Relationship Id="rId97" Type="http://schemas.openxmlformats.org/officeDocument/2006/relationships/hyperlink" Target="http://www.whitehouse.gov/the-press-office/2011/03/07/executive-order-periodic-review-individuals-detained-guant-namo-bay-nava" TargetMode="External"/><Relationship Id="rId104" Type="http://schemas.openxmlformats.org/officeDocument/2006/relationships/hyperlink" Target="http://www.cbsnews.com/news/bush-says-he-wants-to-close-guantanamo/" TargetMode="External"/><Relationship Id="rId120" Type="http://schemas.openxmlformats.org/officeDocument/2006/relationships/hyperlink" Target="http://www.republica.com.uy/reclusos-en-uruguay/493003/" TargetMode="External"/><Relationship Id="rId125" Type="http://schemas.openxmlformats.org/officeDocument/2006/relationships/hyperlink" Target="http://www.defense.gov/releases/release.aspx?releaseid=16473" TargetMode="External"/><Relationship Id="rId141" Type="http://schemas.openxmlformats.org/officeDocument/2006/relationships/hyperlink" Target="http://www.dailytimes.com.pk/foreign/17-Dec-2014/guantanamo-9-11-hearing-cancelled-after-us-torture-report" TargetMode="External"/><Relationship Id="rId146" Type="http://schemas.openxmlformats.org/officeDocument/2006/relationships/hyperlink" Target="http://justsecurity.org/16395/al-nashiri-cmcr-limburg-charges/" TargetMode="External"/><Relationship Id="rId7" Type="http://schemas.openxmlformats.org/officeDocument/2006/relationships/hyperlink" Target="http://www.cbc.ca/news/canada/toronto/omar-khadr-moves-to-medium-security-prison-1.2532793" TargetMode="External"/><Relationship Id="rId71" Type="http://schemas.openxmlformats.org/officeDocument/2006/relationships/hyperlink" Target="http://fas.org/sgp/crs/natsec/RL33180.pdf" TargetMode="External"/><Relationship Id="rId92" Type="http://schemas.openxmlformats.org/officeDocument/2006/relationships/hyperlink" Target="http://www.huffingtonpost.com/daphne-eviatar/fbi-infiltration-of-911-d_b_5679432.html" TargetMode="External"/><Relationship Id="rId2" Type="http://schemas.openxmlformats.org/officeDocument/2006/relationships/hyperlink" Target="http://www.cidh.org/Terrorism/Span/indice.htm" TargetMode="External"/><Relationship Id="rId29" Type="http://schemas.openxmlformats.org/officeDocument/2006/relationships/hyperlink" Target="http://www.gpo.gov/fdsys/pkg/BILLS-112hr1540enr/pdf/BILLS-112hr1540enr.pdf" TargetMode="External"/><Relationship Id="rId24" Type="http://schemas.openxmlformats.org/officeDocument/2006/relationships/hyperlink" Target="http://www2.gwu.edu/~nsarchiv/NSAEBB/NSAEBB127/02.01.09.pdf" TargetMode="External"/><Relationship Id="rId40" Type="http://schemas.openxmlformats.org/officeDocument/2006/relationships/hyperlink" Target="http://www.washingtonpost.com/wp-dyn/content/article/2008/08/07/AR2008080703004.html" TargetMode="External"/><Relationship Id="rId45" Type="http://schemas.openxmlformats.org/officeDocument/2006/relationships/hyperlink" Target="http://www.intelligence.senate.gov/study2014/sscistudy1.pdf" TargetMode="External"/><Relationship Id="rId66" Type="http://schemas.openxmlformats.org/officeDocument/2006/relationships/hyperlink" Target="http://www.reprieve.org/judge-orders-us-government-to-halt-force-feeding-of-guantaacutenamo-prisoner-and-preserve-video-evidence-of-abuse.html" TargetMode="External"/><Relationship Id="rId87" Type="http://schemas.openxmlformats.org/officeDocument/2006/relationships/hyperlink" Target="http://law.shu.edu/ProgramsCenters/PublicIntGovServ/policyresearch/upload/Spying_on_Attorneys_at_GTMO.pdf" TargetMode="External"/><Relationship Id="rId110" Type="http://schemas.openxmlformats.org/officeDocument/2006/relationships/hyperlink" Target="http://www.whitehouse.gov/the-press-office/2013/05/23/remarks-president-national-defense-university" TargetMode="External"/><Relationship Id="rId115" Type="http://schemas.openxmlformats.org/officeDocument/2006/relationships/hyperlink" Target="http://www.andyworthington.co.uk/guantanamo-habeas-results-the-definitive-list/" TargetMode="External"/><Relationship Id="rId131" Type="http://schemas.openxmlformats.org/officeDocument/2006/relationships/hyperlink" Target="http://www.acslaw.org/acsblog/node/15653" TargetMode="External"/><Relationship Id="rId136" Type="http://schemas.openxmlformats.org/officeDocument/2006/relationships/hyperlink" Target="http://www.mc.mil/Portals/0/pdfs/Khan/Khan%20(AE013)%20-%20Appendix%20A.pdf" TargetMode="External"/><Relationship Id="rId157" Type="http://schemas.openxmlformats.org/officeDocument/2006/relationships/hyperlink" Target="http://www.dni.gov/files/documents/September_2014_GTMO%20Unclass%20Release.pdf" TargetMode="External"/><Relationship Id="rId61" Type="http://schemas.openxmlformats.org/officeDocument/2006/relationships/hyperlink" Target="https://www.icrc.org/eng/resources/documents/misc/terrorism-ihl-210705.htm" TargetMode="External"/><Relationship Id="rId82" Type="http://schemas.openxmlformats.org/officeDocument/2006/relationships/hyperlink" Target="https://www.aclu.org/national-security/house-passes-changes-guantanamo-military-commissions" TargetMode="External"/><Relationship Id="rId152" Type="http://schemas.openxmlformats.org/officeDocument/2006/relationships/hyperlink" Target="http://www.prs.mil/Portals/60/Documents/ISN232/140714_U_ISN232_FINAL_DETERMINATION_PUBLIC.pdf" TargetMode="External"/><Relationship Id="rId19" Type="http://schemas.openxmlformats.org/officeDocument/2006/relationships/hyperlink" Target="http://www.oas.org/es/cidh/prensa/comunicados/2013/029.asp" TargetMode="External"/><Relationship Id="rId14" Type="http://schemas.openxmlformats.org/officeDocument/2006/relationships/hyperlink" Target="http://www.oas.org/en/iachr/pdl/decisions/Guantanamo.asp" TargetMode="External"/><Relationship Id="rId30" Type="http://schemas.openxmlformats.org/officeDocument/2006/relationships/hyperlink" Target="http://www.icrc.org/eng/assets/files/other/irrc-876-expert-meeting.pdf" TargetMode="External"/><Relationship Id="rId35" Type="http://schemas.openxmlformats.org/officeDocument/2006/relationships/hyperlink" Target="http://www2.gwu.edu/~nsarchiv/NSAEBB/NSAEBB127/020801.pdf" TargetMode="External"/><Relationship Id="rId56" Type="http://schemas.openxmlformats.org/officeDocument/2006/relationships/hyperlink" Target="http://query.nytimes.com/gst/fullpage.html?res=9507E3DC1F38F936A15752C0A9639C8B63&amp;sec=health" TargetMode="External"/><Relationship Id="rId77" Type="http://schemas.openxmlformats.org/officeDocument/2006/relationships/hyperlink" Target="http://www.defense.gov/news/Mar2002/d20020321ord.pdf" TargetMode="External"/><Relationship Id="rId100" Type="http://schemas.openxmlformats.org/officeDocument/2006/relationships/hyperlink" Target="http://www.prs.mil/ReviewInformation/FullReviewpage.aspx" TargetMode="External"/><Relationship Id="rId105" Type="http://schemas.openxmlformats.org/officeDocument/2006/relationships/hyperlink" Target="http://www.humanrightsfirst.org/uploads/pdfs/close-GTMO-july-2013.pdf" TargetMode="External"/><Relationship Id="rId126" Type="http://schemas.openxmlformats.org/officeDocument/2006/relationships/hyperlink" Target="http://www.nogitmos.org/exguant%C3%A1namoprisonerlakhdarboumedienetalksaboutrebuildinghislifefrance" TargetMode="External"/><Relationship Id="rId147" Type="http://schemas.openxmlformats.org/officeDocument/2006/relationships/hyperlink" Target="http://www.mc.mil/Portals/0/pdfs/alIraqi/al%20Iraqi%20(TRANS15Sep2014-PM).pdf" TargetMode="External"/><Relationship Id="rId8" Type="http://schemas.openxmlformats.org/officeDocument/2006/relationships/hyperlink" Target="http://www.oas.org/es/cidh/prensa/comunicados/2013/103.asp" TargetMode="External"/><Relationship Id="rId51" Type="http://schemas.openxmlformats.org/officeDocument/2006/relationships/hyperlink" Target="http://www.irct.org/what-is-torture/effects-of-torture.aspx" TargetMode="External"/><Relationship Id="rId72" Type="http://schemas.openxmlformats.org/officeDocument/2006/relationships/hyperlink" Target="http://ssrn.com/abstract=1972542" TargetMode="External"/><Relationship Id="rId93" Type="http://schemas.openxmlformats.org/officeDocument/2006/relationships/hyperlink" Target="http://daccess-dds-ny.un.org/doc/UNDOC/GEN/G13/133/71/PDF/G1313371.pdf?OpenElement" TargetMode="External"/><Relationship Id="rId98" Type="http://schemas.openxmlformats.org/officeDocument/2006/relationships/hyperlink" Target="http://www.defense.gov/releases/release.aspx?releaseid=16473" TargetMode="External"/><Relationship Id="rId121" Type="http://schemas.openxmlformats.org/officeDocument/2006/relationships/hyperlink" Target="https://ecf.dcd.uscourts.gov/cgi-bin/show_public_doc?2004cv1254-873" TargetMode="External"/><Relationship Id="rId142" Type="http://schemas.openxmlformats.org/officeDocument/2006/relationships/hyperlink" Target="http://www.thedailybeast.com/articles/2014/12/17/prosecutors-have-no-idea-when-9-11-mastermind-s-trial-will-start.html" TargetMode="External"/><Relationship Id="rId3" Type="http://schemas.openxmlformats.org/officeDocument/2006/relationships/hyperlink" Target="http://www.oas.org/dil/esp/tratados_A-41_Carta_de_la_Organizacion_de_los_Estados_Americanos_firmas.htm" TargetMode="External"/><Relationship Id="rId25" Type="http://schemas.openxmlformats.org/officeDocument/2006/relationships/hyperlink" Target="http://www2.gwu.edu/~nsarchiv/NSAEBB/NSAEBB127/02.01.25.pdf" TargetMode="External"/><Relationship Id="rId46" Type="http://schemas.openxmlformats.org/officeDocument/2006/relationships/hyperlink" Target="http://www.ohchr.org/Documents/Publications/training8Rev1en.pdf" TargetMode="External"/><Relationship Id="rId67" Type="http://schemas.openxmlformats.org/officeDocument/2006/relationships/hyperlink" Target="http://www.cnn.com/2014/05/23/justice/guantanamo-detainee-forced-feeding/index.html" TargetMode="External"/><Relationship Id="rId116" Type="http://schemas.openxmlformats.org/officeDocument/2006/relationships/hyperlink" Target="http://www.justice.gov/sites/default/files/ag/legacy/2010/06/02/guantanamo-review-final-report.pdf" TargetMode="External"/><Relationship Id="rId137" Type="http://schemas.openxmlformats.org/officeDocument/2006/relationships/hyperlink" Target="http://www.nytimes.com/2012/03/01/us/majid-khan-pleads-guilty-to-terrorism-plots-in-military-court.html?_r=0" TargetMode="External"/><Relationship Id="rId158" Type="http://schemas.openxmlformats.org/officeDocument/2006/relationships/hyperlink" Target="http://newamerica.net/publications/resources/2014/how_many_guantanamo_detainees_return_to_the_battlefie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71198-1005-4EB8-A13C-B9F08AA63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142</Pages>
  <Words>49594</Words>
  <Characters>264836</Characters>
  <Application>Microsoft Office Word</Application>
  <DocSecurity>0</DocSecurity>
  <Lines>4815</Lines>
  <Paragraphs>626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313804</CharactersWithSpaces>
  <SharedDoc>false</SharedDoc>
  <HLinks>
    <vt:vector size="120" baseType="variant">
      <vt:variant>
        <vt:i4>1114161</vt:i4>
      </vt:variant>
      <vt:variant>
        <vt:i4>50</vt:i4>
      </vt:variant>
      <vt:variant>
        <vt:i4>0</vt:i4>
      </vt:variant>
      <vt:variant>
        <vt:i4>5</vt:i4>
      </vt:variant>
      <vt:variant>
        <vt:lpwstr/>
      </vt:variant>
      <vt:variant>
        <vt:lpwstr>_Toc392951578</vt:lpwstr>
      </vt:variant>
      <vt:variant>
        <vt:i4>1114161</vt:i4>
      </vt:variant>
      <vt:variant>
        <vt:i4>44</vt:i4>
      </vt:variant>
      <vt:variant>
        <vt:i4>0</vt:i4>
      </vt:variant>
      <vt:variant>
        <vt:i4>5</vt:i4>
      </vt:variant>
      <vt:variant>
        <vt:lpwstr/>
      </vt:variant>
      <vt:variant>
        <vt:lpwstr>_Toc392951577</vt:lpwstr>
      </vt:variant>
      <vt:variant>
        <vt:i4>1114161</vt:i4>
      </vt:variant>
      <vt:variant>
        <vt:i4>38</vt:i4>
      </vt:variant>
      <vt:variant>
        <vt:i4>0</vt:i4>
      </vt:variant>
      <vt:variant>
        <vt:i4>5</vt:i4>
      </vt:variant>
      <vt:variant>
        <vt:lpwstr/>
      </vt:variant>
      <vt:variant>
        <vt:lpwstr>_Toc392951576</vt:lpwstr>
      </vt:variant>
      <vt:variant>
        <vt:i4>1114161</vt:i4>
      </vt:variant>
      <vt:variant>
        <vt:i4>32</vt:i4>
      </vt:variant>
      <vt:variant>
        <vt:i4>0</vt:i4>
      </vt:variant>
      <vt:variant>
        <vt:i4>5</vt:i4>
      </vt:variant>
      <vt:variant>
        <vt:lpwstr/>
      </vt:variant>
      <vt:variant>
        <vt:lpwstr>_Toc392951575</vt:lpwstr>
      </vt:variant>
      <vt:variant>
        <vt:i4>1114161</vt:i4>
      </vt:variant>
      <vt:variant>
        <vt:i4>26</vt:i4>
      </vt:variant>
      <vt:variant>
        <vt:i4>0</vt:i4>
      </vt:variant>
      <vt:variant>
        <vt:i4>5</vt:i4>
      </vt:variant>
      <vt:variant>
        <vt:lpwstr/>
      </vt:variant>
      <vt:variant>
        <vt:lpwstr>_Toc392951574</vt:lpwstr>
      </vt:variant>
      <vt:variant>
        <vt:i4>1114161</vt:i4>
      </vt:variant>
      <vt:variant>
        <vt:i4>20</vt:i4>
      </vt:variant>
      <vt:variant>
        <vt:i4>0</vt:i4>
      </vt:variant>
      <vt:variant>
        <vt:i4>5</vt:i4>
      </vt:variant>
      <vt:variant>
        <vt:lpwstr/>
      </vt:variant>
      <vt:variant>
        <vt:lpwstr>_Toc392951573</vt:lpwstr>
      </vt:variant>
      <vt:variant>
        <vt:i4>1114161</vt:i4>
      </vt:variant>
      <vt:variant>
        <vt:i4>14</vt:i4>
      </vt:variant>
      <vt:variant>
        <vt:i4>0</vt:i4>
      </vt:variant>
      <vt:variant>
        <vt:i4>5</vt:i4>
      </vt:variant>
      <vt:variant>
        <vt:lpwstr/>
      </vt:variant>
      <vt:variant>
        <vt:lpwstr>_Toc392951572</vt:lpwstr>
      </vt:variant>
      <vt:variant>
        <vt:i4>1114161</vt:i4>
      </vt:variant>
      <vt:variant>
        <vt:i4>8</vt:i4>
      </vt:variant>
      <vt:variant>
        <vt:i4>0</vt:i4>
      </vt:variant>
      <vt:variant>
        <vt:i4>5</vt:i4>
      </vt:variant>
      <vt:variant>
        <vt:lpwstr/>
      </vt:variant>
      <vt:variant>
        <vt:lpwstr>_Toc392951571</vt:lpwstr>
      </vt:variant>
      <vt:variant>
        <vt:i4>1114161</vt:i4>
      </vt:variant>
      <vt:variant>
        <vt:i4>2</vt:i4>
      </vt:variant>
      <vt:variant>
        <vt:i4>0</vt:i4>
      </vt:variant>
      <vt:variant>
        <vt:i4>5</vt:i4>
      </vt:variant>
      <vt:variant>
        <vt:lpwstr/>
      </vt:variant>
      <vt:variant>
        <vt:lpwstr>_Toc392951570</vt:lpwstr>
      </vt:variant>
      <vt:variant>
        <vt:i4>80</vt:i4>
      </vt:variant>
      <vt:variant>
        <vt:i4>30</vt:i4>
      </vt:variant>
      <vt:variant>
        <vt:i4>0</vt:i4>
      </vt:variant>
      <vt:variant>
        <vt:i4>5</vt:i4>
      </vt:variant>
      <vt:variant>
        <vt:lpwstr>http://www.ohchr.org/EN/HRBodies/UPR/Pages/Documentation.aspx</vt:lpwstr>
      </vt:variant>
      <vt:variant>
        <vt:lpwstr/>
      </vt:variant>
      <vt:variant>
        <vt:i4>80</vt:i4>
      </vt:variant>
      <vt:variant>
        <vt:i4>27</vt:i4>
      </vt:variant>
      <vt:variant>
        <vt:i4>0</vt:i4>
      </vt:variant>
      <vt:variant>
        <vt:i4>5</vt:i4>
      </vt:variant>
      <vt:variant>
        <vt:lpwstr>http://www.ohchr.org/EN/HRBodies/UPR/Pages/Documentation.aspx</vt:lpwstr>
      </vt:variant>
      <vt:variant>
        <vt:lpwstr/>
      </vt:variant>
      <vt:variant>
        <vt:i4>80</vt:i4>
      </vt:variant>
      <vt:variant>
        <vt:i4>24</vt:i4>
      </vt:variant>
      <vt:variant>
        <vt:i4>0</vt:i4>
      </vt:variant>
      <vt:variant>
        <vt:i4>5</vt:i4>
      </vt:variant>
      <vt:variant>
        <vt:lpwstr>http://www.ohchr.org/EN/HRBodies/UPR/Pages/Documentation.aspx</vt:lpwstr>
      </vt:variant>
      <vt:variant>
        <vt:lpwstr/>
      </vt:variant>
      <vt:variant>
        <vt:i4>80</vt:i4>
      </vt:variant>
      <vt:variant>
        <vt:i4>21</vt:i4>
      </vt:variant>
      <vt:variant>
        <vt:i4>0</vt:i4>
      </vt:variant>
      <vt:variant>
        <vt:i4>5</vt:i4>
      </vt:variant>
      <vt:variant>
        <vt:lpwstr>http://www.ohchr.org/EN/HRBodies/UPR/Pages/Documentation.aspx</vt:lpwstr>
      </vt:variant>
      <vt:variant>
        <vt:lpwstr/>
      </vt:variant>
      <vt:variant>
        <vt:i4>80</vt:i4>
      </vt:variant>
      <vt:variant>
        <vt:i4>18</vt:i4>
      </vt:variant>
      <vt:variant>
        <vt:i4>0</vt:i4>
      </vt:variant>
      <vt:variant>
        <vt:i4>5</vt:i4>
      </vt:variant>
      <vt:variant>
        <vt:lpwstr>http://www.ohchr.org/EN/HRBodies/UPR/Pages/Documentation.aspx</vt:lpwstr>
      </vt:variant>
      <vt:variant>
        <vt:lpwstr/>
      </vt:variant>
      <vt:variant>
        <vt:i4>8126588</vt:i4>
      </vt:variant>
      <vt:variant>
        <vt:i4>15</vt:i4>
      </vt:variant>
      <vt:variant>
        <vt:i4>0</vt:i4>
      </vt:variant>
      <vt:variant>
        <vt:i4>5</vt:i4>
      </vt:variant>
      <vt:variant>
        <vt:lpwstr>http://www.cidh.oas.org/annualrep/2008sp/cap2.sp.htm</vt:lpwstr>
      </vt:variant>
      <vt:variant>
        <vt:lpwstr>Visitas</vt:lpwstr>
      </vt:variant>
      <vt:variant>
        <vt:i4>4980821</vt:i4>
      </vt:variant>
      <vt:variant>
        <vt:i4>12</vt:i4>
      </vt:variant>
      <vt:variant>
        <vt:i4>0</vt:i4>
      </vt:variant>
      <vt:variant>
        <vt:i4>5</vt:i4>
      </vt:variant>
      <vt:variant>
        <vt:lpwstr>http://www.wcl.american.edu/humright/center/dvresolutions.cfm</vt:lpwstr>
      </vt:variant>
      <vt:variant>
        <vt:lpwstr/>
      </vt:variant>
      <vt:variant>
        <vt:i4>7602284</vt:i4>
      </vt:variant>
      <vt:variant>
        <vt:i4>9</vt:i4>
      </vt:variant>
      <vt:variant>
        <vt:i4>0</vt:i4>
      </vt:variant>
      <vt:variant>
        <vt:i4>5</vt:i4>
      </vt:variant>
      <vt:variant>
        <vt:lpwstr>http://www.oas.org/es/cidh/informes/anuales.asp</vt:lpwstr>
      </vt:variant>
      <vt:variant>
        <vt:lpwstr/>
      </vt:variant>
      <vt:variant>
        <vt:i4>7798893</vt:i4>
      </vt:variant>
      <vt:variant>
        <vt:i4>6</vt:i4>
      </vt:variant>
      <vt:variant>
        <vt:i4>0</vt:i4>
      </vt:variant>
      <vt:variant>
        <vt:i4>5</vt:i4>
      </vt:variant>
      <vt:variant>
        <vt:lpwstr>http://www.oas.org/es/cidh/actividades/visitas.asp</vt:lpwstr>
      </vt:variant>
      <vt:variant>
        <vt:lpwstr/>
      </vt:variant>
      <vt:variant>
        <vt:i4>7929911</vt:i4>
      </vt:variant>
      <vt:variant>
        <vt:i4>3</vt:i4>
      </vt:variant>
      <vt:variant>
        <vt:i4>0</vt:i4>
      </vt:variant>
      <vt:variant>
        <vt:i4>5</vt:i4>
      </vt:variant>
      <vt:variant>
        <vt:lpwstr>http://www.oas.org/es/cidh/prensa/comunicados/2013/064.asp</vt:lpwstr>
      </vt:variant>
      <vt:variant>
        <vt:lpwstr/>
      </vt:variant>
      <vt:variant>
        <vt:i4>7798897</vt:i4>
      </vt:variant>
      <vt:variant>
        <vt:i4>0</vt:i4>
      </vt:variant>
      <vt:variant>
        <vt:i4>0</vt:i4>
      </vt:variant>
      <vt:variant>
        <vt:i4>5</vt:i4>
      </vt:variant>
      <vt:variant>
        <vt:lpwstr>http://www.cidh.org/Comunicados/Spanish/1998/Comunicados.10-14.htm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2015-06-04T14:17:00Z</dcterms:created>
  <dcterms:modified xsi:type="dcterms:W3CDTF">2015-06-30T18:47:00Z</dcterms:modified>
</cp:coreProperties>
</file>