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F9ACC" w14:textId="77777777" w:rsidR="00C66795" w:rsidRPr="00F12123" w:rsidRDefault="00C66795" w:rsidP="00D51F89">
      <w:pPr>
        <w:spacing w:after="0" w:line="240" w:lineRule="auto"/>
        <w:jc w:val="center"/>
        <w:rPr>
          <w:rFonts w:ascii="Cambria" w:eastAsia="Batang" w:hAnsi="Cambria" w:cs="Times New Roman"/>
          <w:b/>
          <w:color w:val="000000"/>
          <w:szCs w:val="21"/>
          <w:lang w:val="pt-BR"/>
        </w:rPr>
      </w:pPr>
      <w:r w:rsidRPr="00F12123">
        <w:rPr>
          <w:rFonts w:ascii="Cambria" w:eastAsia="Batang" w:hAnsi="Cambria" w:cs="Times New Roman"/>
          <w:b/>
          <w:color w:val="000000"/>
          <w:szCs w:val="21"/>
          <w:lang w:val="pt-BR"/>
        </w:rPr>
        <w:t>COMIS</w:t>
      </w:r>
      <w:r w:rsidR="00485A87" w:rsidRPr="00F12123">
        <w:rPr>
          <w:rFonts w:ascii="Cambria" w:eastAsia="Batang" w:hAnsi="Cambria" w:cs="Times New Roman"/>
          <w:b/>
          <w:color w:val="000000"/>
          <w:szCs w:val="21"/>
          <w:lang w:val="pt-BR"/>
        </w:rPr>
        <w:t>SÃO INTERAMERICANA DE DI</w:t>
      </w:r>
      <w:r w:rsidRPr="00F12123">
        <w:rPr>
          <w:rFonts w:ascii="Cambria" w:eastAsia="Batang" w:hAnsi="Cambria" w:cs="Times New Roman"/>
          <w:b/>
          <w:color w:val="000000"/>
          <w:szCs w:val="21"/>
          <w:lang w:val="pt-BR"/>
        </w:rPr>
        <w:t>RE</w:t>
      </w:r>
      <w:r w:rsidR="00485A87" w:rsidRPr="00F12123">
        <w:rPr>
          <w:rFonts w:ascii="Cambria" w:eastAsia="Batang" w:hAnsi="Cambria" w:cs="Times New Roman"/>
          <w:b/>
          <w:color w:val="000000"/>
          <w:szCs w:val="21"/>
          <w:lang w:val="pt-BR"/>
        </w:rPr>
        <w:t>ITOS</w:t>
      </w:r>
      <w:r w:rsidRPr="00F12123">
        <w:rPr>
          <w:rFonts w:ascii="Cambria" w:eastAsia="Batang" w:hAnsi="Cambria" w:cs="Times New Roman"/>
          <w:b/>
          <w:color w:val="000000"/>
          <w:szCs w:val="21"/>
          <w:lang w:val="pt-BR"/>
        </w:rPr>
        <w:t xml:space="preserve"> HUMANOS</w:t>
      </w:r>
    </w:p>
    <w:p w14:paraId="56C244B2" w14:textId="0FA8A83A" w:rsidR="00C66795" w:rsidRPr="00F12123" w:rsidRDefault="00C66795" w:rsidP="00D51F89">
      <w:pPr>
        <w:spacing w:after="0" w:line="240" w:lineRule="auto"/>
        <w:jc w:val="center"/>
        <w:rPr>
          <w:rFonts w:ascii="Cambria" w:eastAsia="Batang" w:hAnsi="Cambria" w:cs="Times New Roman"/>
          <w:b/>
          <w:color w:val="000000"/>
          <w:szCs w:val="21"/>
          <w:lang w:val="pt-BR"/>
        </w:rPr>
      </w:pPr>
      <w:r w:rsidRPr="00F12123">
        <w:rPr>
          <w:rFonts w:ascii="Cambria" w:eastAsia="Batang" w:hAnsi="Cambria" w:cs="Times New Roman"/>
          <w:b/>
          <w:color w:val="000000"/>
          <w:szCs w:val="21"/>
          <w:lang w:val="pt-BR"/>
        </w:rPr>
        <w:t>RESOLU</w:t>
      </w:r>
      <w:r w:rsidR="00485A87" w:rsidRPr="00F12123">
        <w:rPr>
          <w:rFonts w:ascii="Cambria" w:eastAsia="Batang" w:hAnsi="Cambria" w:cs="Times New Roman"/>
          <w:b/>
          <w:color w:val="000000"/>
          <w:szCs w:val="21"/>
          <w:lang w:val="pt-BR"/>
        </w:rPr>
        <w:t>ÇÃO</w:t>
      </w:r>
      <w:r w:rsidRPr="00F12123">
        <w:rPr>
          <w:rFonts w:ascii="Cambria" w:eastAsia="Batang" w:hAnsi="Cambria" w:cs="Times New Roman"/>
          <w:b/>
          <w:color w:val="000000"/>
          <w:szCs w:val="21"/>
          <w:lang w:val="pt-BR"/>
        </w:rPr>
        <w:t xml:space="preserve"> </w:t>
      </w:r>
      <w:r w:rsidR="00CA319C">
        <w:rPr>
          <w:rFonts w:ascii="Cambria" w:eastAsia="Batang" w:hAnsi="Cambria" w:cs="Times New Roman"/>
          <w:b/>
          <w:color w:val="000000"/>
          <w:szCs w:val="21"/>
          <w:lang w:val="pt-BR"/>
        </w:rPr>
        <w:t>44</w:t>
      </w:r>
      <w:bookmarkStart w:id="0" w:name="_GoBack"/>
      <w:bookmarkEnd w:id="0"/>
      <w:r w:rsidRPr="00F12123">
        <w:rPr>
          <w:rFonts w:ascii="Cambria" w:eastAsia="Batang" w:hAnsi="Cambria" w:cs="Times New Roman"/>
          <w:b/>
          <w:color w:val="000000"/>
          <w:szCs w:val="21"/>
          <w:lang w:val="pt-BR"/>
        </w:rPr>
        <w:t>/2020</w:t>
      </w:r>
    </w:p>
    <w:p w14:paraId="75D25087" w14:textId="77777777" w:rsidR="00C66795" w:rsidRPr="00F12123" w:rsidRDefault="00C66795" w:rsidP="00D51F89">
      <w:pPr>
        <w:spacing w:after="0" w:line="240" w:lineRule="auto"/>
        <w:jc w:val="center"/>
        <w:rPr>
          <w:rFonts w:ascii="Cambria" w:eastAsia="Batang" w:hAnsi="Cambria" w:cs="Times New Roman"/>
          <w:color w:val="000000"/>
          <w:szCs w:val="21"/>
          <w:lang w:val="pt-BR"/>
        </w:rPr>
      </w:pPr>
      <w:r w:rsidRPr="00F12123">
        <w:rPr>
          <w:rFonts w:ascii="Cambria" w:eastAsia="Batang" w:hAnsi="Cambria" w:cs="Times New Roman"/>
          <w:color w:val="000000"/>
          <w:szCs w:val="21"/>
          <w:lang w:val="pt-BR"/>
        </w:rPr>
        <w:t>Medida Cautelar No. 1211-19</w:t>
      </w:r>
    </w:p>
    <w:p w14:paraId="20685284" w14:textId="77777777" w:rsidR="00C66795" w:rsidRPr="00F12123" w:rsidRDefault="00C66795" w:rsidP="00D51F89">
      <w:pPr>
        <w:spacing w:after="0" w:line="240" w:lineRule="auto"/>
        <w:jc w:val="center"/>
        <w:rPr>
          <w:rFonts w:ascii="Cambria" w:eastAsia="Batang" w:hAnsi="Cambria" w:cs="Times New Roman"/>
          <w:color w:val="000000"/>
          <w:sz w:val="21"/>
          <w:szCs w:val="21"/>
          <w:lang w:val="pt-BR"/>
        </w:rPr>
      </w:pPr>
    </w:p>
    <w:p w14:paraId="5D325503" w14:textId="77777777" w:rsidR="00C66795" w:rsidRPr="00F12123" w:rsidRDefault="00C66795" w:rsidP="00D51F89">
      <w:pPr>
        <w:spacing w:after="0" w:line="240" w:lineRule="auto"/>
        <w:jc w:val="center"/>
        <w:rPr>
          <w:rFonts w:ascii="Cambria" w:eastAsia="Batang" w:hAnsi="Cambria" w:cs="Times New Roman"/>
          <w:color w:val="000000"/>
          <w:sz w:val="26"/>
          <w:szCs w:val="26"/>
          <w:lang w:val="pt-BR"/>
        </w:rPr>
      </w:pPr>
      <w:r w:rsidRPr="00F12123">
        <w:rPr>
          <w:rFonts w:ascii="Cambria" w:eastAsia="Batang" w:hAnsi="Cambria" w:cs="Times New Roman"/>
          <w:color w:val="000000"/>
          <w:sz w:val="26"/>
          <w:szCs w:val="26"/>
          <w:lang w:val="pt-BR"/>
        </w:rPr>
        <w:t>Comunidad</w:t>
      </w:r>
      <w:r w:rsidR="009409D4" w:rsidRPr="00F12123">
        <w:rPr>
          <w:rFonts w:ascii="Cambria" w:eastAsia="Batang" w:hAnsi="Cambria" w:cs="Times New Roman"/>
          <w:color w:val="000000"/>
          <w:sz w:val="26"/>
          <w:szCs w:val="26"/>
          <w:lang w:val="pt-BR"/>
        </w:rPr>
        <w:t>e</w:t>
      </w:r>
      <w:r w:rsidRPr="00F12123">
        <w:rPr>
          <w:rFonts w:ascii="Cambria" w:eastAsia="Batang" w:hAnsi="Cambria" w:cs="Times New Roman"/>
          <w:color w:val="000000"/>
          <w:sz w:val="26"/>
          <w:szCs w:val="26"/>
          <w:lang w:val="pt-BR"/>
        </w:rPr>
        <w:t xml:space="preserve"> </w:t>
      </w:r>
      <w:r w:rsidR="009409D4" w:rsidRPr="00F12123">
        <w:rPr>
          <w:rFonts w:ascii="Cambria" w:eastAsia="Batang" w:hAnsi="Cambria" w:cs="Times New Roman"/>
          <w:color w:val="000000"/>
          <w:sz w:val="26"/>
          <w:szCs w:val="26"/>
          <w:lang w:val="pt-BR"/>
        </w:rPr>
        <w:t>Remanescentes do</w:t>
      </w:r>
      <w:r w:rsidRPr="00F12123">
        <w:rPr>
          <w:rFonts w:ascii="Cambria" w:eastAsia="Batang" w:hAnsi="Cambria" w:cs="Times New Roman"/>
          <w:color w:val="000000"/>
          <w:sz w:val="26"/>
          <w:szCs w:val="26"/>
          <w:lang w:val="pt-BR"/>
        </w:rPr>
        <w:t xml:space="preserve"> Quilombo Rio dos Macacos </w:t>
      </w:r>
      <w:r w:rsidR="008937C5" w:rsidRPr="00F12123">
        <w:rPr>
          <w:rFonts w:ascii="Cambria" w:eastAsia="Batang" w:hAnsi="Cambria" w:cs="Times New Roman"/>
          <w:color w:val="000000"/>
          <w:sz w:val="26"/>
          <w:szCs w:val="26"/>
          <w:lang w:val="pt-BR"/>
        </w:rPr>
        <w:t>em relação ao</w:t>
      </w:r>
      <w:r w:rsidR="009409D4" w:rsidRPr="00F12123">
        <w:rPr>
          <w:rFonts w:ascii="Cambria" w:eastAsia="Batang" w:hAnsi="Cambria" w:cs="Times New Roman"/>
          <w:color w:val="000000"/>
          <w:sz w:val="26"/>
          <w:szCs w:val="26"/>
          <w:lang w:val="pt-BR"/>
        </w:rPr>
        <w:t xml:space="preserve"> </w:t>
      </w:r>
      <w:r w:rsidRPr="00F12123">
        <w:rPr>
          <w:rFonts w:ascii="Cambria" w:eastAsia="Batang" w:hAnsi="Cambria" w:cs="Times New Roman"/>
          <w:color w:val="000000"/>
          <w:sz w:val="26"/>
          <w:szCs w:val="26"/>
          <w:lang w:val="pt-BR"/>
        </w:rPr>
        <w:t>Brasil</w:t>
      </w:r>
      <w:r w:rsidRPr="00F12123">
        <w:rPr>
          <w:rFonts w:ascii="Cambria" w:eastAsia="Batang" w:hAnsi="Cambria" w:cs="Times New Roman"/>
          <w:color w:val="000000"/>
          <w:sz w:val="26"/>
          <w:szCs w:val="26"/>
          <w:vertAlign w:val="superscript"/>
          <w:lang w:val="pt-BR"/>
        </w:rPr>
        <w:footnoteReference w:id="1"/>
      </w:r>
    </w:p>
    <w:p w14:paraId="6EF443BB" w14:textId="64B67501" w:rsidR="00C66795" w:rsidRPr="00F12123" w:rsidRDefault="0016662C" w:rsidP="00D51F89">
      <w:pPr>
        <w:spacing w:after="0" w:line="240" w:lineRule="auto"/>
        <w:jc w:val="center"/>
        <w:rPr>
          <w:rFonts w:ascii="Cambria" w:eastAsia="Batang" w:hAnsi="Cambria" w:cs="Times New Roman"/>
          <w:color w:val="000000"/>
          <w:sz w:val="20"/>
          <w:szCs w:val="21"/>
          <w:lang w:val="pt-BR"/>
        </w:rPr>
      </w:pPr>
      <w:r>
        <w:rPr>
          <w:rFonts w:ascii="Cambria" w:eastAsia="Batang" w:hAnsi="Cambria" w:cs="Times New Roman"/>
          <w:color w:val="000000"/>
          <w:sz w:val="20"/>
          <w:szCs w:val="20"/>
          <w:lang w:val="pt-BR"/>
        </w:rPr>
        <w:t>6 de agosto</w:t>
      </w:r>
      <w:r w:rsidR="00C66795" w:rsidRPr="00F12123">
        <w:rPr>
          <w:rFonts w:ascii="Cambria" w:eastAsia="Batang" w:hAnsi="Cambria" w:cs="Times New Roman"/>
          <w:color w:val="000000"/>
          <w:sz w:val="20"/>
          <w:szCs w:val="21"/>
          <w:lang w:val="pt-BR"/>
        </w:rPr>
        <w:t xml:space="preserve"> de 2020</w:t>
      </w:r>
    </w:p>
    <w:p w14:paraId="2BD74F80" w14:textId="77777777" w:rsidR="00C66795" w:rsidRPr="00F12123" w:rsidRDefault="00C66795" w:rsidP="00D51F89">
      <w:pPr>
        <w:spacing w:after="0" w:line="240" w:lineRule="auto"/>
        <w:jc w:val="both"/>
        <w:rPr>
          <w:rFonts w:ascii="Cambria" w:eastAsia="Batang" w:hAnsi="Cambria" w:cs="Times New Roman"/>
          <w:color w:val="000000"/>
          <w:sz w:val="21"/>
          <w:szCs w:val="21"/>
          <w:lang w:val="pt-BR"/>
        </w:rPr>
      </w:pPr>
    </w:p>
    <w:p w14:paraId="7E11B0FF" w14:textId="77777777" w:rsidR="00C66795" w:rsidRPr="00F12123" w:rsidRDefault="00C66795" w:rsidP="00D51F89">
      <w:pPr>
        <w:numPr>
          <w:ilvl w:val="0"/>
          <w:numId w:val="2"/>
        </w:numPr>
        <w:spacing w:after="0" w:line="240" w:lineRule="auto"/>
        <w:ind w:hanging="294"/>
        <w:jc w:val="both"/>
        <w:rPr>
          <w:rFonts w:ascii="Cambria" w:eastAsia="Batang" w:hAnsi="Cambria" w:cs="Times New Roman"/>
          <w:b/>
          <w:color w:val="000000"/>
          <w:sz w:val="21"/>
          <w:szCs w:val="21"/>
          <w:lang w:val="pt-BR"/>
        </w:rPr>
      </w:pPr>
      <w:r w:rsidRPr="00F12123">
        <w:rPr>
          <w:rFonts w:ascii="Cambria" w:eastAsia="Batang" w:hAnsi="Cambria" w:cs="Times New Roman"/>
          <w:b/>
          <w:color w:val="000000"/>
          <w:sz w:val="21"/>
          <w:szCs w:val="21"/>
          <w:lang w:val="pt-BR"/>
        </w:rPr>
        <w:t>INTRODU</w:t>
      </w:r>
      <w:r w:rsidR="008937C5" w:rsidRPr="00F12123">
        <w:rPr>
          <w:rFonts w:ascii="Cambria" w:eastAsia="Batang" w:hAnsi="Cambria" w:cs="Times New Roman"/>
          <w:b/>
          <w:color w:val="000000"/>
          <w:sz w:val="21"/>
          <w:szCs w:val="21"/>
          <w:lang w:val="pt-BR"/>
        </w:rPr>
        <w:t>ÇÃO</w:t>
      </w:r>
    </w:p>
    <w:p w14:paraId="07C01C21" w14:textId="77777777" w:rsidR="00C66795" w:rsidRPr="00F12123" w:rsidRDefault="00C66795" w:rsidP="00D51F89">
      <w:pPr>
        <w:spacing w:after="0" w:line="240" w:lineRule="auto"/>
        <w:jc w:val="both"/>
        <w:rPr>
          <w:rFonts w:ascii="Cambria" w:eastAsia="Batang" w:hAnsi="Cambria" w:cs="Times New Roman"/>
          <w:b/>
          <w:color w:val="000000"/>
          <w:sz w:val="21"/>
          <w:szCs w:val="21"/>
          <w:lang w:val="pt-BR"/>
        </w:rPr>
      </w:pPr>
    </w:p>
    <w:p w14:paraId="7003CA45" w14:textId="44DF84FE" w:rsidR="008937C5" w:rsidRPr="00F12123" w:rsidRDefault="008937C5" w:rsidP="00D51F89">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Em 19 de dezembro de 2019, a Comissão Interamericana de Direitos Humanos (“a Comissão Interamericana”, “a Comissão” ou “a CIDH”) recebeu solicitação de medidas cautelares apresentada pela Associação de Remanescentes do Quilombo</w:t>
      </w:r>
      <w:r w:rsidR="002A55BD">
        <w:rPr>
          <w:rStyle w:val="FootnoteReference"/>
          <w:rFonts w:ascii="Cambria" w:eastAsia="Batang" w:hAnsi="Cambria" w:cs="Times New Roman"/>
          <w:color w:val="000000"/>
          <w:sz w:val="21"/>
          <w:szCs w:val="21"/>
          <w:lang w:val="pt-BR"/>
        </w:rPr>
        <w:footnoteReference w:id="2"/>
      </w:r>
      <w:r w:rsidRPr="00F12123">
        <w:rPr>
          <w:rFonts w:ascii="Cambria" w:eastAsia="Batang" w:hAnsi="Cambria" w:cs="Times New Roman"/>
          <w:color w:val="000000"/>
          <w:sz w:val="21"/>
          <w:szCs w:val="21"/>
          <w:lang w:val="pt-BR"/>
        </w:rPr>
        <w:t xml:space="preserve"> Rio dos Macacos (“os solicitantes”) a favor dos membros da Comunidade Remanescente do Quilombo Rio dos Macacos (“as pessoas propostas como beneficiárias”), instando à CIDH</w:t>
      </w:r>
      <w:r w:rsidR="00EF5460" w:rsidRPr="00F12123">
        <w:rPr>
          <w:rFonts w:ascii="Cambria" w:eastAsia="Batang" w:hAnsi="Cambria" w:cs="Times New Roman"/>
          <w:color w:val="000000"/>
          <w:sz w:val="21"/>
          <w:szCs w:val="21"/>
          <w:lang w:val="pt-BR"/>
        </w:rPr>
        <w:t xml:space="preserve"> a requerer que a República Federativa do Brasil (“Brasil”</w:t>
      </w:r>
      <w:r w:rsidR="008D242C" w:rsidRPr="00F12123">
        <w:rPr>
          <w:rFonts w:ascii="Cambria" w:eastAsia="Batang" w:hAnsi="Cambria" w:cs="Times New Roman"/>
          <w:color w:val="000000"/>
          <w:sz w:val="21"/>
          <w:szCs w:val="21"/>
          <w:lang w:val="pt-BR"/>
        </w:rPr>
        <w:t xml:space="preserve"> </w:t>
      </w:r>
      <w:r w:rsidR="00EF5460" w:rsidRPr="00F12123">
        <w:rPr>
          <w:rFonts w:ascii="Cambria" w:eastAsia="Batang" w:hAnsi="Cambria" w:cs="Times New Roman"/>
          <w:color w:val="000000"/>
          <w:sz w:val="21"/>
          <w:szCs w:val="21"/>
          <w:lang w:val="pt-BR"/>
        </w:rPr>
        <w:t xml:space="preserve">ou “o Estado”) adote as medidas necessárias para proteger seus direitos </w:t>
      </w:r>
      <w:r w:rsidR="007C27B0" w:rsidRPr="00F12123">
        <w:rPr>
          <w:rFonts w:ascii="Cambria" w:eastAsia="Batang" w:hAnsi="Cambria" w:cs="Times New Roman"/>
          <w:color w:val="000000"/>
          <w:sz w:val="21"/>
          <w:szCs w:val="21"/>
          <w:lang w:val="pt-BR"/>
        </w:rPr>
        <w:t xml:space="preserve">à </w:t>
      </w:r>
      <w:r w:rsidR="00EF5460" w:rsidRPr="00F12123">
        <w:rPr>
          <w:rFonts w:ascii="Cambria" w:eastAsia="Batang" w:hAnsi="Cambria" w:cs="Times New Roman"/>
          <w:color w:val="000000"/>
          <w:sz w:val="21"/>
          <w:szCs w:val="21"/>
          <w:lang w:val="pt-BR"/>
        </w:rPr>
        <w:t xml:space="preserve">vida e à integridade pessoal. Segundo a solicitação, as pessoas propostas como beneficiárias se encontram em uma situação de risco devido a ameaças, </w:t>
      </w:r>
      <w:r w:rsidR="008A02F5" w:rsidRPr="00F12123">
        <w:rPr>
          <w:rFonts w:ascii="Cambria" w:eastAsia="Batang" w:hAnsi="Cambria" w:cs="Times New Roman"/>
          <w:color w:val="000000"/>
          <w:sz w:val="21"/>
          <w:szCs w:val="21"/>
          <w:lang w:val="pt-BR"/>
        </w:rPr>
        <w:t>assédio</w:t>
      </w:r>
      <w:r w:rsidR="008D242C" w:rsidRPr="00F12123">
        <w:rPr>
          <w:rFonts w:ascii="Cambria" w:eastAsia="Batang" w:hAnsi="Cambria" w:cs="Times New Roman"/>
          <w:color w:val="000000"/>
          <w:sz w:val="21"/>
          <w:szCs w:val="21"/>
          <w:lang w:val="pt-BR"/>
        </w:rPr>
        <w:t xml:space="preserve"> e atos de violência cometidos </w:t>
      </w:r>
      <w:r w:rsidR="00852E3A" w:rsidRPr="00F12123">
        <w:rPr>
          <w:rFonts w:ascii="Cambria" w:eastAsia="Batang" w:hAnsi="Cambria" w:cs="Times New Roman"/>
          <w:color w:val="000000"/>
          <w:sz w:val="21"/>
          <w:szCs w:val="21"/>
          <w:lang w:val="pt-BR"/>
        </w:rPr>
        <w:t>no contexto de sua disputa pelo reconhecimento do território</w:t>
      </w:r>
      <w:r w:rsidR="0073535B" w:rsidRPr="00F12123">
        <w:rPr>
          <w:rFonts w:ascii="Cambria" w:eastAsia="Batang" w:hAnsi="Cambria" w:cs="Times New Roman"/>
          <w:color w:val="000000"/>
          <w:sz w:val="21"/>
          <w:szCs w:val="21"/>
          <w:lang w:val="pt-BR"/>
        </w:rPr>
        <w:t>,</w:t>
      </w:r>
      <w:r w:rsidR="00852E3A" w:rsidRPr="00F12123">
        <w:rPr>
          <w:rFonts w:ascii="Cambria" w:eastAsia="Batang" w:hAnsi="Cambria" w:cs="Times New Roman"/>
          <w:color w:val="000000"/>
          <w:sz w:val="21"/>
          <w:szCs w:val="21"/>
          <w:lang w:val="pt-BR"/>
        </w:rPr>
        <w:t xml:space="preserve"> </w:t>
      </w:r>
      <w:r w:rsidR="00035C43" w:rsidRPr="00F12123">
        <w:rPr>
          <w:rFonts w:ascii="Cambria" w:eastAsia="Batang" w:hAnsi="Cambria" w:cs="Times New Roman"/>
          <w:color w:val="000000"/>
          <w:sz w:val="21"/>
          <w:szCs w:val="21"/>
          <w:lang w:val="pt-BR"/>
        </w:rPr>
        <w:t xml:space="preserve">além </w:t>
      </w:r>
      <w:r w:rsidR="00852E3A" w:rsidRPr="00F12123">
        <w:rPr>
          <w:rFonts w:ascii="Cambria" w:eastAsia="Batang" w:hAnsi="Cambria" w:cs="Times New Roman"/>
          <w:color w:val="000000"/>
          <w:sz w:val="21"/>
          <w:szCs w:val="21"/>
          <w:lang w:val="pt-BR"/>
        </w:rPr>
        <w:t>da possibilidade d</w:t>
      </w:r>
      <w:r w:rsidR="00F12123" w:rsidRPr="00F12123">
        <w:rPr>
          <w:rFonts w:ascii="Cambria" w:eastAsia="Batang" w:hAnsi="Cambria" w:cs="Times New Roman"/>
          <w:color w:val="000000"/>
          <w:sz w:val="21"/>
          <w:szCs w:val="21"/>
          <w:lang w:val="pt-BR"/>
        </w:rPr>
        <w:t>e</w:t>
      </w:r>
      <w:r w:rsidR="00852E3A" w:rsidRPr="00F12123">
        <w:rPr>
          <w:rFonts w:ascii="Cambria" w:eastAsia="Batang" w:hAnsi="Cambria" w:cs="Times New Roman"/>
          <w:color w:val="000000"/>
          <w:sz w:val="21"/>
          <w:szCs w:val="21"/>
          <w:lang w:val="pt-BR"/>
        </w:rPr>
        <w:t xml:space="preserve"> ruptura da </w:t>
      </w:r>
      <w:r w:rsidR="00035C43" w:rsidRPr="00F12123">
        <w:rPr>
          <w:rFonts w:ascii="Cambria" w:eastAsia="Batang" w:hAnsi="Cambria" w:cs="Times New Roman"/>
          <w:color w:val="000000"/>
          <w:sz w:val="21"/>
          <w:szCs w:val="21"/>
          <w:lang w:val="pt-BR"/>
        </w:rPr>
        <w:t xml:space="preserve">Barragem </w:t>
      </w:r>
      <w:r w:rsidR="00852E3A" w:rsidRPr="00F12123">
        <w:rPr>
          <w:rFonts w:ascii="Cambria" w:eastAsia="Batang" w:hAnsi="Cambria" w:cs="Times New Roman"/>
          <w:color w:val="000000"/>
          <w:sz w:val="21"/>
          <w:szCs w:val="21"/>
          <w:lang w:val="pt-BR"/>
        </w:rPr>
        <w:t>Rio dos Macacos nas proximidades.</w:t>
      </w:r>
    </w:p>
    <w:p w14:paraId="5C73A051" w14:textId="77777777" w:rsidR="00C66795" w:rsidRPr="00F12123" w:rsidRDefault="00C66795" w:rsidP="00D51F89">
      <w:pPr>
        <w:spacing w:after="0" w:line="240" w:lineRule="auto"/>
        <w:jc w:val="both"/>
        <w:rPr>
          <w:rFonts w:ascii="Cambria" w:eastAsia="Batang" w:hAnsi="Cambria" w:cs="Times New Roman"/>
          <w:color w:val="000000"/>
          <w:sz w:val="21"/>
          <w:szCs w:val="21"/>
          <w:lang w:val="pt-BR"/>
        </w:rPr>
      </w:pPr>
    </w:p>
    <w:p w14:paraId="5ADA28F4" w14:textId="0450E61D" w:rsidR="0073535B" w:rsidRPr="00F12123" w:rsidRDefault="001C0708" w:rsidP="00D51F89">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 Comissão solicitou informação ao E</w:t>
      </w:r>
      <w:r w:rsidR="007A6CE9" w:rsidRPr="00F12123">
        <w:rPr>
          <w:rFonts w:ascii="Cambria" w:eastAsia="Batang" w:hAnsi="Cambria" w:cs="Times New Roman"/>
          <w:color w:val="000000"/>
          <w:sz w:val="21"/>
          <w:szCs w:val="21"/>
          <w:lang w:val="pt-BR"/>
        </w:rPr>
        <w:t xml:space="preserve">stado, conforme o artigo 25 do seu Regulamento, em 14 de janeiro de 2020. Os solicitantes enviaram </w:t>
      </w:r>
      <w:r w:rsidR="00636F40" w:rsidRPr="00F12123">
        <w:rPr>
          <w:rFonts w:ascii="Cambria" w:eastAsia="Batang" w:hAnsi="Cambria" w:cs="Times New Roman"/>
          <w:color w:val="000000"/>
          <w:sz w:val="21"/>
          <w:szCs w:val="21"/>
          <w:lang w:val="pt-BR"/>
        </w:rPr>
        <w:t>informes adicionais em 21 de janeiro, recebendo-se em 30 de janeiro e 12 de fevereiro a resposta do Estado. Em 26 de maio os representantes enviaram suas observações ao respeito. Em 15 de junho o Estado, e em 10 e 16 os solicitantes, remitiram suas respostas respectivamente.</w:t>
      </w:r>
    </w:p>
    <w:p w14:paraId="7E61F732" w14:textId="77777777" w:rsidR="00C66795" w:rsidRPr="00F12123" w:rsidRDefault="00C66795" w:rsidP="00D51F89">
      <w:pPr>
        <w:spacing w:after="0" w:line="240" w:lineRule="auto"/>
        <w:jc w:val="both"/>
        <w:rPr>
          <w:rFonts w:ascii="Cambria" w:eastAsia="Batang" w:hAnsi="Cambria" w:cs="Times New Roman"/>
          <w:color w:val="000000"/>
          <w:sz w:val="21"/>
          <w:szCs w:val="21"/>
          <w:lang w:val="pt-BR"/>
        </w:rPr>
      </w:pPr>
    </w:p>
    <w:p w14:paraId="0F554236" w14:textId="1229120C" w:rsidR="000C1BCE" w:rsidRPr="003E282C" w:rsidRDefault="000C1BCE" w:rsidP="00D51F89">
      <w:pPr>
        <w:numPr>
          <w:ilvl w:val="0"/>
          <w:numId w:val="3"/>
        </w:numPr>
        <w:spacing w:after="0" w:line="240" w:lineRule="auto"/>
        <w:ind w:left="0" w:firstLine="360"/>
        <w:contextualSpacing/>
        <w:jc w:val="both"/>
        <w:rPr>
          <w:rFonts w:ascii="Cambria" w:eastAsia="Calibri" w:hAnsi="Cambria" w:cs="Times New Roman"/>
          <w:sz w:val="21"/>
          <w:szCs w:val="21"/>
          <w:lang w:val="pt-BR"/>
        </w:rPr>
      </w:pPr>
      <w:r w:rsidRPr="00F12123">
        <w:rPr>
          <w:rFonts w:ascii="Cambria" w:eastAsia="Calibri" w:hAnsi="Cambria" w:cs="Times New Roman"/>
          <w:sz w:val="21"/>
          <w:szCs w:val="21"/>
          <w:lang w:val="pt-BR"/>
        </w:rPr>
        <w:t xml:space="preserve">Após analisar as alegações de fato e de direito apresentadas pelas partes, a Comissão considera que a informação apresentada demonstra </w:t>
      </w:r>
      <w:r w:rsidRPr="00F12123">
        <w:rPr>
          <w:rFonts w:ascii="Cambria" w:eastAsia="Calibri" w:hAnsi="Cambria" w:cs="Times New Roman"/>
          <w:i/>
          <w:sz w:val="21"/>
          <w:szCs w:val="21"/>
          <w:lang w:val="pt-BR"/>
        </w:rPr>
        <w:t xml:space="preserve">prima facie </w:t>
      </w:r>
      <w:r w:rsidRPr="00F12123">
        <w:rPr>
          <w:rFonts w:ascii="Cambria" w:eastAsia="Calibri" w:hAnsi="Cambria" w:cs="Times New Roman"/>
          <w:sz w:val="21"/>
          <w:szCs w:val="21"/>
          <w:lang w:val="pt-BR"/>
        </w:rPr>
        <w:t>que os membros da Comunidade Remanescentes do Quilombo Rio dos Macacos se encontram em uma situaç</w:t>
      </w:r>
      <w:r w:rsidR="008A02F5" w:rsidRPr="003E282C">
        <w:rPr>
          <w:rFonts w:ascii="Cambria" w:eastAsia="Calibri" w:hAnsi="Cambria" w:cs="Times New Roman"/>
          <w:sz w:val="21"/>
          <w:szCs w:val="21"/>
          <w:lang w:val="pt-BR"/>
        </w:rPr>
        <w:t>ã</w:t>
      </w:r>
      <w:r w:rsidRPr="003E282C">
        <w:rPr>
          <w:rFonts w:ascii="Cambria" w:eastAsia="Calibri" w:hAnsi="Cambria" w:cs="Times New Roman"/>
          <w:sz w:val="21"/>
          <w:szCs w:val="21"/>
          <w:lang w:val="pt-BR"/>
        </w:rPr>
        <w:t xml:space="preserve">o de gravidade e urgência, posto que seus direitos à vida e à integridade pessoal estão em grave risco. Em consequência, de acordo com o artigo 25 do seu Regulamento, a CIDH solicita ao Brasil que: a) adote as medidas necessárias, integrando um enfoque intercultural adequado, para proteger os direitos à vida e </w:t>
      </w:r>
      <w:r w:rsidR="008A02F5" w:rsidRPr="003E282C">
        <w:rPr>
          <w:rFonts w:ascii="Cambria" w:eastAsia="Calibri" w:hAnsi="Cambria" w:cs="Times New Roman"/>
          <w:sz w:val="21"/>
          <w:szCs w:val="21"/>
          <w:lang w:val="pt-BR"/>
        </w:rPr>
        <w:t xml:space="preserve">à </w:t>
      </w:r>
      <w:r w:rsidRPr="003E282C">
        <w:rPr>
          <w:rFonts w:ascii="Cambria" w:eastAsia="Calibri" w:hAnsi="Cambria" w:cs="Times New Roman"/>
          <w:sz w:val="21"/>
          <w:szCs w:val="21"/>
          <w:lang w:val="pt-BR"/>
        </w:rPr>
        <w:t>integridade pessoal dos membros da Comunidade Remanescentes do Quilombo Rio dos Macacos</w:t>
      </w:r>
      <w:r w:rsidR="008A02F5" w:rsidRPr="003E282C">
        <w:rPr>
          <w:rFonts w:ascii="Cambria" w:eastAsia="Calibri" w:hAnsi="Cambria" w:cs="Times New Roman"/>
          <w:sz w:val="21"/>
          <w:szCs w:val="21"/>
          <w:lang w:val="pt-BR"/>
        </w:rPr>
        <w:t>. Em particular, o Estado deverá proteg</w:t>
      </w:r>
      <w:r w:rsidR="003E282C">
        <w:rPr>
          <w:rFonts w:ascii="Cambria" w:eastAsia="Calibri" w:hAnsi="Cambria" w:cs="Times New Roman"/>
          <w:sz w:val="21"/>
          <w:szCs w:val="21"/>
          <w:lang w:val="pt-BR"/>
        </w:rPr>
        <w:t xml:space="preserve">ê-los </w:t>
      </w:r>
      <w:r w:rsidR="008A02F5" w:rsidRPr="003E282C">
        <w:rPr>
          <w:rFonts w:ascii="Cambria" w:eastAsia="Calibri" w:hAnsi="Cambria" w:cs="Times New Roman"/>
          <w:sz w:val="21"/>
          <w:szCs w:val="21"/>
          <w:lang w:val="pt-BR"/>
        </w:rPr>
        <w:t xml:space="preserve">de ameaças, assédio e atos de violência cometidos tanto por </w:t>
      </w:r>
      <w:r w:rsidR="003E282C">
        <w:rPr>
          <w:rFonts w:ascii="Cambria" w:eastAsia="Calibri" w:hAnsi="Cambria" w:cs="Times New Roman"/>
          <w:sz w:val="21"/>
          <w:szCs w:val="21"/>
          <w:lang w:val="pt-BR"/>
        </w:rPr>
        <w:t>agentes</w:t>
      </w:r>
      <w:r w:rsidR="003E282C" w:rsidRPr="003E282C">
        <w:rPr>
          <w:rFonts w:ascii="Cambria" w:eastAsia="Calibri" w:hAnsi="Cambria" w:cs="Times New Roman"/>
          <w:sz w:val="21"/>
          <w:szCs w:val="21"/>
          <w:lang w:val="pt-BR"/>
        </w:rPr>
        <w:t xml:space="preserve"> </w:t>
      </w:r>
      <w:r w:rsidR="008A02F5" w:rsidRPr="003E282C">
        <w:rPr>
          <w:rFonts w:ascii="Cambria" w:eastAsia="Calibri" w:hAnsi="Cambria" w:cs="Times New Roman"/>
          <w:sz w:val="21"/>
          <w:szCs w:val="21"/>
          <w:lang w:val="pt-BR"/>
        </w:rPr>
        <w:t xml:space="preserve">estatais como por terceiros, conforme o direito internacional dos direitos humanos; b) acorde as medidas a serem adotadas com as pessoas beneficiárias e seus representantes; e c) informe sobre as ações </w:t>
      </w:r>
      <w:r w:rsidR="009D609D">
        <w:rPr>
          <w:rFonts w:ascii="Cambria" w:eastAsia="Calibri" w:hAnsi="Cambria" w:cs="Times New Roman"/>
          <w:sz w:val="21"/>
          <w:szCs w:val="21"/>
          <w:lang w:val="pt-BR"/>
        </w:rPr>
        <w:t>realizadas</w:t>
      </w:r>
      <w:r w:rsidR="008A02F5" w:rsidRPr="003E282C">
        <w:rPr>
          <w:rFonts w:ascii="Cambria" w:eastAsia="Calibri" w:hAnsi="Cambria" w:cs="Times New Roman"/>
          <w:sz w:val="21"/>
          <w:szCs w:val="21"/>
          <w:lang w:val="pt-BR"/>
        </w:rPr>
        <w:t xml:space="preserve"> a fim de investigar os atos que deram lugar a adoção da presente medida cautelar e assim evitar a sua repetição.</w:t>
      </w:r>
    </w:p>
    <w:p w14:paraId="54D9CDA2" w14:textId="77777777" w:rsidR="00C66795" w:rsidRPr="00F12123" w:rsidRDefault="00C66795" w:rsidP="00D51F89">
      <w:pPr>
        <w:spacing w:after="0" w:line="240" w:lineRule="auto"/>
        <w:ind w:left="720"/>
        <w:jc w:val="both"/>
        <w:rPr>
          <w:rFonts w:ascii="Cambria" w:eastAsia="Calibri" w:hAnsi="Cambria" w:cs="Times New Roman"/>
          <w:sz w:val="21"/>
          <w:szCs w:val="21"/>
          <w:lang w:val="pt-BR"/>
        </w:rPr>
      </w:pPr>
    </w:p>
    <w:p w14:paraId="42B2ACA6" w14:textId="77777777" w:rsidR="00C66795" w:rsidRPr="00F12123" w:rsidRDefault="00C66795" w:rsidP="00D51F89">
      <w:pPr>
        <w:spacing w:after="0" w:line="240" w:lineRule="auto"/>
        <w:ind w:left="720"/>
        <w:jc w:val="both"/>
        <w:rPr>
          <w:rFonts w:ascii="Cambria" w:eastAsia="Batang" w:hAnsi="Cambria" w:cs="Times New Roman"/>
          <w:b/>
          <w:color w:val="000000"/>
          <w:sz w:val="21"/>
          <w:szCs w:val="21"/>
          <w:lang w:val="pt-BR"/>
        </w:rPr>
      </w:pPr>
      <w:r w:rsidRPr="00F12123">
        <w:rPr>
          <w:rFonts w:ascii="Cambria" w:eastAsia="Batang" w:hAnsi="Cambria" w:cs="Times New Roman"/>
          <w:b/>
          <w:color w:val="000000"/>
          <w:sz w:val="21"/>
          <w:szCs w:val="21"/>
          <w:lang w:val="pt-BR"/>
        </w:rPr>
        <w:t>RESUM</w:t>
      </w:r>
      <w:r w:rsidR="008D0209" w:rsidRPr="00F12123">
        <w:rPr>
          <w:rFonts w:ascii="Cambria" w:eastAsia="Batang" w:hAnsi="Cambria" w:cs="Times New Roman"/>
          <w:b/>
          <w:color w:val="000000"/>
          <w:sz w:val="21"/>
          <w:szCs w:val="21"/>
          <w:lang w:val="pt-BR"/>
        </w:rPr>
        <w:t>O DOS FATOS E</w:t>
      </w:r>
      <w:r w:rsidRPr="00F12123">
        <w:rPr>
          <w:rFonts w:ascii="Cambria" w:eastAsia="Batang" w:hAnsi="Cambria" w:cs="Times New Roman"/>
          <w:b/>
          <w:color w:val="000000"/>
          <w:sz w:val="21"/>
          <w:szCs w:val="21"/>
          <w:lang w:val="pt-BR"/>
        </w:rPr>
        <w:t xml:space="preserve"> ARGUMENTOS </w:t>
      </w:r>
    </w:p>
    <w:p w14:paraId="5B962C40" w14:textId="77777777" w:rsidR="00C66795" w:rsidRPr="00F12123" w:rsidRDefault="00C66795" w:rsidP="00D51F89">
      <w:pPr>
        <w:spacing w:after="0" w:line="240" w:lineRule="auto"/>
        <w:jc w:val="both"/>
        <w:rPr>
          <w:rFonts w:ascii="Cambria" w:eastAsia="Batang" w:hAnsi="Cambria" w:cs="Times New Roman"/>
          <w:color w:val="000000"/>
          <w:sz w:val="21"/>
          <w:szCs w:val="21"/>
          <w:lang w:val="pt-BR"/>
        </w:rPr>
      </w:pPr>
    </w:p>
    <w:p w14:paraId="2B2C8C30" w14:textId="77777777" w:rsidR="00C66795" w:rsidRPr="00F12123" w:rsidRDefault="00C66795" w:rsidP="00D51F89">
      <w:pPr>
        <w:numPr>
          <w:ilvl w:val="0"/>
          <w:numId w:val="4"/>
        </w:numPr>
        <w:spacing w:after="0" w:line="240" w:lineRule="auto"/>
        <w:jc w:val="both"/>
        <w:rPr>
          <w:rFonts w:ascii="Cambria" w:eastAsia="Batang" w:hAnsi="Cambria" w:cs="Times New Roman"/>
          <w:b/>
          <w:color w:val="000000"/>
          <w:sz w:val="21"/>
          <w:szCs w:val="21"/>
          <w:lang w:val="pt-BR"/>
        </w:rPr>
      </w:pPr>
      <w:r w:rsidRPr="00F12123">
        <w:rPr>
          <w:rFonts w:ascii="Cambria" w:eastAsia="Batang" w:hAnsi="Cambria" w:cs="Times New Roman"/>
          <w:b/>
          <w:color w:val="000000"/>
          <w:sz w:val="21"/>
          <w:szCs w:val="21"/>
          <w:lang w:val="pt-BR"/>
        </w:rPr>
        <w:t>Informa</w:t>
      </w:r>
      <w:r w:rsidR="008D0209" w:rsidRPr="00F12123">
        <w:rPr>
          <w:rFonts w:ascii="Cambria" w:eastAsia="Batang" w:hAnsi="Cambria" w:cs="Times New Roman"/>
          <w:b/>
          <w:color w:val="000000"/>
          <w:sz w:val="21"/>
          <w:szCs w:val="21"/>
          <w:lang w:val="pt-BR"/>
        </w:rPr>
        <w:t>ção alegada pe</w:t>
      </w:r>
      <w:r w:rsidRPr="00F12123">
        <w:rPr>
          <w:rFonts w:ascii="Cambria" w:eastAsia="Batang" w:hAnsi="Cambria" w:cs="Times New Roman"/>
          <w:b/>
          <w:color w:val="000000"/>
          <w:sz w:val="21"/>
          <w:szCs w:val="21"/>
          <w:lang w:val="pt-BR"/>
        </w:rPr>
        <w:t>los solicitantes</w:t>
      </w:r>
    </w:p>
    <w:p w14:paraId="670AC75B" w14:textId="77777777" w:rsidR="00C66795" w:rsidRPr="00F12123" w:rsidRDefault="00C66795" w:rsidP="00D51F89">
      <w:pPr>
        <w:spacing w:after="0" w:line="240" w:lineRule="auto"/>
        <w:ind w:left="720"/>
        <w:jc w:val="both"/>
        <w:rPr>
          <w:rFonts w:ascii="Cambria" w:eastAsia="Batang" w:hAnsi="Cambria" w:cs="Times New Roman"/>
          <w:b/>
          <w:color w:val="000000"/>
          <w:sz w:val="21"/>
          <w:szCs w:val="21"/>
          <w:lang w:val="pt-BR"/>
        </w:rPr>
      </w:pPr>
    </w:p>
    <w:p w14:paraId="238ED78F" w14:textId="4EB706BA" w:rsidR="008D0209" w:rsidRPr="003E282C" w:rsidRDefault="008D0209" w:rsidP="00EA10E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Os solicitantes explicaram, a modo de contexto, que a Comunidade Remanescente do Quilombo Rio dos Macacos (“Comunidade”) existe há mais de 200 anos, cuja formação histórica está vinculada ao processo de resistência negra durante o período da escravidão. Atualmente, </w:t>
      </w:r>
      <w:r w:rsidR="00A765BC">
        <w:rPr>
          <w:rFonts w:ascii="Cambria" w:eastAsia="Batang" w:hAnsi="Cambria" w:cs="Times New Roman"/>
          <w:color w:val="000000"/>
          <w:sz w:val="21"/>
          <w:szCs w:val="21"/>
          <w:lang w:val="pt-BR"/>
        </w:rPr>
        <w:t>a Comunidade</w:t>
      </w:r>
      <w:r w:rsidR="00A765BC" w:rsidRPr="00F12123">
        <w:rPr>
          <w:rFonts w:ascii="Cambria" w:eastAsia="Batang" w:hAnsi="Cambria" w:cs="Times New Roman"/>
          <w:color w:val="000000"/>
          <w:sz w:val="21"/>
          <w:szCs w:val="21"/>
          <w:lang w:val="pt-BR"/>
        </w:rPr>
        <w:t xml:space="preserve"> </w:t>
      </w:r>
      <w:r w:rsidRPr="00F12123">
        <w:rPr>
          <w:rFonts w:ascii="Cambria" w:eastAsia="Batang" w:hAnsi="Cambria" w:cs="Times New Roman"/>
          <w:color w:val="000000"/>
          <w:sz w:val="21"/>
          <w:szCs w:val="21"/>
          <w:lang w:val="pt-BR"/>
        </w:rPr>
        <w:t xml:space="preserve">estaria formada por cerca de 87 famílias, com aproximadamente 400 pessoas, que não </w:t>
      </w:r>
      <w:r w:rsidRPr="00F12123">
        <w:rPr>
          <w:rFonts w:ascii="Cambria" w:eastAsia="Batang" w:hAnsi="Cambria" w:cs="Times New Roman"/>
          <w:color w:val="000000"/>
          <w:sz w:val="21"/>
          <w:szCs w:val="21"/>
          <w:lang w:val="pt-BR"/>
        </w:rPr>
        <w:lastRenderedPageBreak/>
        <w:t xml:space="preserve">teriam deixado o </w:t>
      </w:r>
      <w:r w:rsidR="00326532" w:rsidRPr="003E282C">
        <w:rPr>
          <w:rFonts w:ascii="Cambria" w:eastAsia="Batang" w:hAnsi="Cambria" w:cs="Times New Roman"/>
          <w:color w:val="000000"/>
          <w:sz w:val="21"/>
          <w:szCs w:val="21"/>
          <w:lang w:val="pt-BR"/>
        </w:rPr>
        <w:t xml:space="preserve">território </w:t>
      </w:r>
      <w:r w:rsidR="00A765BC">
        <w:rPr>
          <w:rFonts w:ascii="Cambria" w:eastAsia="Batang" w:hAnsi="Cambria" w:cs="Times New Roman"/>
          <w:color w:val="000000"/>
          <w:sz w:val="21"/>
          <w:szCs w:val="21"/>
          <w:lang w:val="pt-BR"/>
        </w:rPr>
        <w:t xml:space="preserve">apesar </w:t>
      </w:r>
      <w:r w:rsidR="00326532" w:rsidRPr="003E282C">
        <w:rPr>
          <w:rFonts w:ascii="Cambria" w:eastAsia="Batang" w:hAnsi="Cambria" w:cs="Times New Roman"/>
          <w:color w:val="000000"/>
          <w:sz w:val="21"/>
          <w:szCs w:val="21"/>
          <w:lang w:val="pt-BR"/>
        </w:rPr>
        <w:t>“do terror e violência instalada pela Marinha de Guerra do Brasil, desde 1950”. Segundo a solicitação,</w:t>
      </w:r>
      <w:r w:rsidR="00EA10E6" w:rsidRPr="003E282C">
        <w:rPr>
          <w:rFonts w:ascii="Cambria" w:eastAsia="Batang" w:hAnsi="Cambria" w:cs="Times New Roman"/>
          <w:color w:val="000000"/>
          <w:sz w:val="21"/>
          <w:szCs w:val="21"/>
          <w:lang w:val="pt-BR"/>
        </w:rPr>
        <w:t xml:space="preserve"> desde essa data a Marinha do Brasil “iniciou o processo de invasão do território tradicional pertencente à Comunidade Quilombola de Rio dos Macacos para construção da Barragem do Rio dos Macacos, e, em seguida, com a instalação da Vila Naval de Aratu, condomínio residencial onde moram militares [...]”. </w:t>
      </w:r>
      <w:r w:rsidR="00A765BC">
        <w:rPr>
          <w:rFonts w:ascii="Cambria" w:eastAsia="Batang" w:hAnsi="Cambria" w:cs="Times New Roman"/>
          <w:color w:val="000000"/>
          <w:sz w:val="21"/>
          <w:szCs w:val="21"/>
          <w:lang w:val="pt-BR"/>
        </w:rPr>
        <w:t>Esse contexto</w:t>
      </w:r>
      <w:r w:rsidR="00EA10E6" w:rsidRPr="003E282C">
        <w:rPr>
          <w:rFonts w:ascii="Cambria" w:eastAsia="Batang" w:hAnsi="Cambria" w:cs="Times New Roman"/>
          <w:color w:val="000000"/>
          <w:sz w:val="21"/>
          <w:szCs w:val="21"/>
          <w:lang w:val="pt-BR"/>
        </w:rPr>
        <w:t xml:space="preserve"> t</w:t>
      </w:r>
      <w:r w:rsidR="00FA41BF" w:rsidRPr="003E282C">
        <w:rPr>
          <w:rFonts w:ascii="Cambria" w:eastAsia="Batang" w:hAnsi="Cambria" w:cs="Times New Roman"/>
          <w:color w:val="000000"/>
          <w:sz w:val="21"/>
          <w:szCs w:val="21"/>
          <w:lang w:val="pt-BR"/>
        </w:rPr>
        <w:t>eria</w:t>
      </w:r>
      <w:r w:rsidR="00EA10E6" w:rsidRPr="003E282C">
        <w:rPr>
          <w:rFonts w:ascii="Cambria" w:eastAsia="Batang" w:hAnsi="Cambria" w:cs="Times New Roman"/>
          <w:color w:val="000000"/>
          <w:sz w:val="21"/>
          <w:szCs w:val="21"/>
          <w:lang w:val="pt-BR"/>
        </w:rPr>
        <w:t xml:space="preserve"> gerado uma situação de conflito com graves eventos de risco, mencionando não apenas episódios de expulsões, danos </w:t>
      </w:r>
      <w:r w:rsidR="00A765BC">
        <w:rPr>
          <w:rFonts w:ascii="Cambria" w:eastAsia="Batang" w:hAnsi="Cambria" w:cs="Times New Roman"/>
          <w:color w:val="000000"/>
          <w:sz w:val="21"/>
          <w:szCs w:val="21"/>
          <w:lang w:val="pt-BR"/>
        </w:rPr>
        <w:t>à</w:t>
      </w:r>
      <w:r w:rsidR="00EA10E6" w:rsidRPr="003E282C">
        <w:rPr>
          <w:rFonts w:ascii="Cambria" w:eastAsia="Batang" w:hAnsi="Cambria" w:cs="Times New Roman"/>
          <w:color w:val="000000"/>
          <w:sz w:val="21"/>
          <w:szCs w:val="21"/>
          <w:lang w:val="pt-BR"/>
        </w:rPr>
        <w:t xml:space="preserve"> propriedade e violência física e sexual, mas também uma carência contínua de acesso a serviços públicos essenciais. Como forma de exemplo, </w:t>
      </w:r>
      <w:r w:rsidR="00FA41BF" w:rsidRPr="003E282C">
        <w:rPr>
          <w:rFonts w:ascii="Cambria" w:eastAsia="Batang" w:hAnsi="Cambria" w:cs="Times New Roman"/>
          <w:color w:val="000000"/>
          <w:sz w:val="21"/>
          <w:szCs w:val="21"/>
          <w:lang w:val="pt-BR"/>
        </w:rPr>
        <w:t>os solicitantes enviaram informação sobre atos de violência concretizados ao longo dos anos, como alegados disparos com armas de fogo por um militar contra um membro da Comunidade em 2012; as agressões sofridas por dois irmãos quilombolas por oficiais n</w:t>
      </w:r>
      <w:r w:rsidR="000A0FD9">
        <w:rPr>
          <w:rFonts w:ascii="Cambria" w:eastAsia="Batang" w:hAnsi="Cambria" w:cs="Times New Roman"/>
          <w:color w:val="000000"/>
          <w:sz w:val="21"/>
          <w:szCs w:val="21"/>
          <w:lang w:val="pt-BR"/>
        </w:rPr>
        <w:t>a entrada da Vila Naval (que foram</w:t>
      </w:r>
      <w:r w:rsidR="00FA41BF" w:rsidRPr="003E282C">
        <w:rPr>
          <w:rFonts w:ascii="Cambria" w:eastAsia="Batang" w:hAnsi="Cambria" w:cs="Times New Roman"/>
          <w:color w:val="000000"/>
          <w:sz w:val="21"/>
          <w:szCs w:val="21"/>
          <w:lang w:val="pt-BR"/>
        </w:rPr>
        <w:t xml:space="preserve"> </w:t>
      </w:r>
      <w:r w:rsidR="002255B1" w:rsidRPr="003E282C">
        <w:rPr>
          <w:rFonts w:ascii="Cambria" w:eastAsia="Batang" w:hAnsi="Cambria" w:cs="Times New Roman"/>
          <w:color w:val="000000"/>
          <w:sz w:val="21"/>
          <w:szCs w:val="21"/>
          <w:lang w:val="pt-BR"/>
        </w:rPr>
        <w:t>g</w:t>
      </w:r>
      <w:r w:rsidR="00FA41BF" w:rsidRPr="003E282C">
        <w:rPr>
          <w:rFonts w:ascii="Cambria" w:eastAsia="Batang" w:hAnsi="Cambria" w:cs="Times New Roman"/>
          <w:color w:val="000000"/>
          <w:sz w:val="21"/>
          <w:szCs w:val="21"/>
          <w:lang w:val="pt-BR"/>
        </w:rPr>
        <w:t>ravad</w:t>
      </w:r>
      <w:r w:rsidR="000A0FD9">
        <w:rPr>
          <w:rFonts w:ascii="Cambria" w:eastAsia="Batang" w:hAnsi="Cambria" w:cs="Times New Roman"/>
          <w:color w:val="000000"/>
          <w:sz w:val="21"/>
          <w:szCs w:val="21"/>
          <w:lang w:val="pt-BR"/>
        </w:rPr>
        <w:t>as</w:t>
      </w:r>
      <w:r w:rsidR="00FA41BF" w:rsidRPr="003E282C">
        <w:rPr>
          <w:rFonts w:ascii="Cambria" w:eastAsia="Batang" w:hAnsi="Cambria" w:cs="Times New Roman"/>
          <w:color w:val="000000"/>
          <w:sz w:val="21"/>
          <w:szCs w:val="21"/>
          <w:lang w:val="pt-BR"/>
        </w:rPr>
        <w:t xml:space="preserve"> pelas câmaras de segurança e disseminadas na imprensa em 2014), além de vários atos de ameaças, assédio e inclusive </w:t>
      </w:r>
      <w:r w:rsidR="002255B1" w:rsidRPr="003E282C">
        <w:rPr>
          <w:rFonts w:ascii="Cambria" w:eastAsia="Batang" w:hAnsi="Cambria" w:cs="Times New Roman"/>
          <w:color w:val="000000"/>
          <w:sz w:val="21"/>
          <w:szCs w:val="21"/>
          <w:lang w:val="pt-BR"/>
        </w:rPr>
        <w:t>outros assassinatos de membros da Comunidade</w:t>
      </w:r>
      <w:r w:rsidR="00A765BC">
        <w:rPr>
          <w:rFonts w:ascii="Cambria" w:eastAsia="Batang" w:hAnsi="Cambria" w:cs="Times New Roman"/>
          <w:color w:val="000000"/>
          <w:sz w:val="21"/>
          <w:szCs w:val="21"/>
          <w:lang w:val="pt-BR"/>
        </w:rPr>
        <w:t>,</w:t>
      </w:r>
      <w:r w:rsidR="002255B1" w:rsidRPr="003E282C">
        <w:rPr>
          <w:rFonts w:ascii="Cambria" w:eastAsia="Batang" w:hAnsi="Cambria" w:cs="Times New Roman"/>
          <w:color w:val="000000"/>
          <w:sz w:val="21"/>
          <w:szCs w:val="21"/>
          <w:lang w:val="pt-BR"/>
        </w:rPr>
        <w:t xml:space="preserve"> de alegada autoria ou conexão com os militares da Marinha.</w:t>
      </w:r>
    </w:p>
    <w:p w14:paraId="39F05933" w14:textId="77777777" w:rsidR="002255B1" w:rsidRPr="003E282C" w:rsidRDefault="002255B1" w:rsidP="002255B1">
      <w:pPr>
        <w:spacing w:after="0"/>
        <w:ind w:left="360"/>
        <w:contextualSpacing/>
        <w:jc w:val="both"/>
        <w:rPr>
          <w:rFonts w:ascii="Cambria" w:eastAsia="Batang" w:hAnsi="Cambria" w:cs="Times New Roman"/>
          <w:color w:val="000000"/>
          <w:sz w:val="21"/>
          <w:szCs w:val="21"/>
          <w:lang w:val="pt-BR"/>
        </w:rPr>
      </w:pPr>
    </w:p>
    <w:p w14:paraId="549AC19C" w14:textId="77777777" w:rsidR="002255B1" w:rsidRPr="003E282C" w:rsidRDefault="002255B1" w:rsidP="00EA10E6">
      <w:pPr>
        <w:numPr>
          <w:ilvl w:val="0"/>
          <w:numId w:val="3"/>
        </w:numPr>
        <w:spacing w:after="0"/>
        <w:ind w:left="0" w:firstLine="360"/>
        <w:contextualSpacing/>
        <w:jc w:val="both"/>
        <w:rPr>
          <w:rFonts w:ascii="Cambria" w:eastAsia="Batang" w:hAnsi="Cambria" w:cs="Times New Roman"/>
          <w:color w:val="000000"/>
          <w:sz w:val="21"/>
          <w:szCs w:val="21"/>
          <w:lang w:val="pt-BR"/>
        </w:rPr>
      </w:pPr>
      <w:r w:rsidRPr="003E282C">
        <w:rPr>
          <w:rFonts w:ascii="Cambria" w:eastAsia="Batang" w:hAnsi="Cambria" w:cs="Times New Roman"/>
          <w:color w:val="000000"/>
          <w:sz w:val="21"/>
          <w:szCs w:val="21"/>
          <w:lang w:val="pt-BR"/>
        </w:rPr>
        <w:t xml:space="preserve">Com relação à definição da titulação do território, em 2012 o Instituto Nacional de Colonização e Reforma Agrária (INCRA) </w:t>
      </w:r>
      <w:r w:rsidR="00A575C1" w:rsidRPr="003E282C">
        <w:rPr>
          <w:rFonts w:ascii="Cambria" w:eastAsia="Batang" w:hAnsi="Cambria" w:cs="Times New Roman"/>
          <w:color w:val="000000"/>
          <w:sz w:val="21"/>
          <w:szCs w:val="21"/>
          <w:lang w:val="pt-BR"/>
        </w:rPr>
        <w:t>expediu um informe antropológico no qual se teria reconhecido o território tradicional da Comunidade. Em 21 de outubro de 2019, o INCRA foi condenado judicialmente pela demora na fase final para a expedição do título de propriedade coletiva da Comunidade Remanescentes do Quilombo Rio dos Macacos.</w:t>
      </w:r>
    </w:p>
    <w:p w14:paraId="50024D78" w14:textId="77777777" w:rsidR="00A575C1" w:rsidRPr="003E282C" w:rsidRDefault="00A575C1" w:rsidP="00A575C1">
      <w:pPr>
        <w:spacing w:after="0"/>
        <w:contextualSpacing/>
        <w:jc w:val="both"/>
        <w:rPr>
          <w:rFonts w:ascii="Cambria" w:eastAsia="Batang" w:hAnsi="Cambria" w:cs="Times New Roman"/>
          <w:color w:val="000000"/>
          <w:sz w:val="21"/>
          <w:szCs w:val="21"/>
          <w:lang w:val="pt-BR"/>
        </w:rPr>
      </w:pPr>
    </w:p>
    <w:p w14:paraId="0362DF98" w14:textId="205E5451" w:rsidR="00A575C1" w:rsidRPr="003E282C" w:rsidRDefault="00A575C1" w:rsidP="00F2531D">
      <w:pPr>
        <w:numPr>
          <w:ilvl w:val="0"/>
          <w:numId w:val="3"/>
        </w:numPr>
        <w:spacing w:after="0"/>
        <w:ind w:left="0" w:firstLine="360"/>
        <w:contextualSpacing/>
        <w:jc w:val="both"/>
        <w:rPr>
          <w:rFonts w:ascii="Cambria" w:eastAsia="Batang" w:hAnsi="Cambria" w:cs="Times New Roman"/>
          <w:color w:val="000000"/>
          <w:sz w:val="21"/>
          <w:szCs w:val="21"/>
          <w:lang w:val="pt-BR"/>
        </w:rPr>
      </w:pPr>
      <w:r w:rsidRPr="003E282C">
        <w:rPr>
          <w:rFonts w:ascii="Cambria" w:eastAsia="Batang" w:hAnsi="Cambria" w:cs="Times New Roman"/>
          <w:color w:val="000000"/>
          <w:sz w:val="21"/>
          <w:szCs w:val="21"/>
          <w:lang w:val="pt-BR"/>
        </w:rPr>
        <w:t>Segundo a solicitação, “</w:t>
      </w:r>
      <w:r w:rsidR="00F2531D" w:rsidRPr="003E282C">
        <w:rPr>
          <w:rFonts w:ascii="Cambria" w:eastAsia="Batang" w:hAnsi="Cambria" w:cs="Times New Roman"/>
          <w:color w:val="000000"/>
          <w:sz w:val="21"/>
          <w:szCs w:val="21"/>
          <w:lang w:val="pt-BR"/>
        </w:rPr>
        <w:t>em um cenário de avanço do procedimento de titulação rumo à fase final [...], os processos de intimidação e violência direta contra membros da comunidade agravaram o quadro de medo e terror dos quilombolas [...]”. Nesse contexto, em 25 de novembro de 2019, o senhor José Isídio Dias, ancião da Comunidade e conhecido pela sua participação nos processos de reconhecimento do território, foi assassinado supostamente a golpes de machado dentro do território. O</w:t>
      </w:r>
      <w:r w:rsidR="00B71462" w:rsidRPr="003E282C">
        <w:rPr>
          <w:rFonts w:ascii="Cambria" w:eastAsia="Batang" w:hAnsi="Cambria" w:cs="Times New Roman"/>
          <w:color w:val="000000"/>
          <w:sz w:val="21"/>
          <w:szCs w:val="21"/>
          <w:lang w:val="pt-BR"/>
        </w:rPr>
        <w:t xml:space="preserve"> delito ocorreu duas s</w:t>
      </w:r>
      <w:r w:rsidR="00F2531D" w:rsidRPr="003E282C">
        <w:rPr>
          <w:rFonts w:ascii="Cambria" w:eastAsia="Batang" w:hAnsi="Cambria" w:cs="Times New Roman"/>
          <w:color w:val="000000"/>
          <w:sz w:val="21"/>
          <w:szCs w:val="21"/>
          <w:lang w:val="pt-BR"/>
        </w:rPr>
        <w:t>emana</w:t>
      </w:r>
      <w:r w:rsidR="00B71462" w:rsidRPr="003E282C">
        <w:rPr>
          <w:rFonts w:ascii="Cambria" w:eastAsia="Batang" w:hAnsi="Cambria" w:cs="Times New Roman"/>
          <w:color w:val="000000"/>
          <w:sz w:val="21"/>
          <w:szCs w:val="21"/>
          <w:lang w:val="pt-BR"/>
        </w:rPr>
        <w:t>s</w:t>
      </w:r>
      <w:r w:rsidR="00F2531D" w:rsidRPr="003E282C">
        <w:rPr>
          <w:rFonts w:ascii="Cambria" w:eastAsia="Batang" w:hAnsi="Cambria" w:cs="Times New Roman"/>
          <w:color w:val="000000"/>
          <w:sz w:val="21"/>
          <w:szCs w:val="21"/>
          <w:lang w:val="pt-BR"/>
        </w:rPr>
        <w:t xml:space="preserve"> depois de que a representação dos solicitantes particip</w:t>
      </w:r>
      <w:r w:rsidR="001F472C">
        <w:rPr>
          <w:rFonts w:ascii="Cambria" w:eastAsia="Batang" w:hAnsi="Cambria" w:cs="Times New Roman"/>
          <w:color w:val="000000"/>
          <w:sz w:val="21"/>
          <w:szCs w:val="21"/>
          <w:lang w:val="pt-BR"/>
        </w:rPr>
        <w:t>ou</w:t>
      </w:r>
      <w:r w:rsidR="00F2531D" w:rsidRPr="003E282C">
        <w:rPr>
          <w:rFonts w:ascii="Cambria" w:eastAsia="Batang" w:hAnsi="Cambria" w:cs="Times New Roman"/>
          <w:color w:val="000000"/>
          <w:sz w:val="21"/>
          <w:szCs w:val="21"/>
          <w:lang w:val="pt-BR"/>
        </w:rPr>
        <w:t xml:space="preserve"> do 174º Período de Sessões da CIDH</w:t>
      </w:r>
      <w:r w:rsidR="001F472C">
        <w:rPr>
          <w:rFonts w:ascii="Cambria" w:eastAsia="Batang" w:hAnsi="Cambria" w:cs="Times New Roman"/>
          <w:color w:val="000000"/>
          <w:sz w:val="21"/>
          <w:szCs w:val="21"/>
          <w:lang w:val="pt-BR"/>
        </w:rPr>
        <w:t>. D</w:t>
      </w:r>
      <w:r w:rsidR="00B71462" w:rsidRPr="003E282C">
        <w:rPr>
          <w:rFonts w:ascii="Cambria" w:eastAsia="Batang" w:hAnsi="Cambria" w:cs="Times New Roman"/>
          <w:color w:val="000000"/>
          <w:sz w:val="21"/>
          <w:szCs w:val="21"/>
          <w:lang w:val="pt-BR"/>
        </w:rPr>
        <w:t xml:space="preserve">e acordo </w:t>
      </w:r>
      <w:r w:rsidR="00A354B5">
        <w:rPr>
          <w:rFonts w:ascii="Cambria" w:eastAsia="Batang" w:hAnsi="Cambria" w:cs="Times New Roman"/>
          <w:color w:val="000000"/>
          <w:sz w:val="21"/>
          <w:szCs w:val="21"/>
          <w:lang w:val="pt-BR"/>
        </w:rPr>
        <w:t>à</w:t>
      </w:r>
      <w:r w:rsidR="00B71462" w:rsidRPr="003E282C">
        <w:rPr>
          <w:rFonts w:ascii="Cambria" w:eastAsia="Batang" w:hAnsi="Cambria" w:cs="Times New Roman"/>
          <w:color w:val="000000"/>
          <w:sz w:val="21"/>
          <w:szCs w:val="21"/>
          <w:lang w:val="pt-BR"/>
        </w:rPr>
        <w:t xml:space="preserve"> solicitação, isso demonstra que, com o avanço da titulação do território e </w:t>
      </w:r>
      <w:r w:rsidR="00A354B5">
        <w:rPr>
          <w:rFonts w:ascii="Cambria" w:eastAsia="Batang" w:hAnsi="Cambria" w:cs="Times New Roman"/>
          <w:color w:val="000000"/>
          <w:sz w:val="21"/>
          <w:szCs w:val="21"/>
          <w:lang w:val="pt-BR"/>
        </w:rPr>
        <w:t>à</w:t>
      </w:r>
      <w:r w:rsidR="00B71462" w:rsidRPr="003E282C">
        <w:rPr>
          <w:rFonts w:ascii="Cambria" w:eastAsia="Batang" w:hAnsi="Cambria" w:cs="Times New Roman"/>
          <w:color w:val="000000"/>
          <w:sz w:val="21"/>
          <w:szCs w:val="21"/>
          <w:lang w:val="pt-BR"/>
        </w:rPr>
        <w:t xml:space="preserve">s ações de incidência da Comunidade, estar-se-ia incrementando o risco à vida e à integridade física dos </w:t>
      </w:r>
      <w:r w:rsidR="00A354B5">
        <w:rPr>
          <w:rFonts w:ascii="Cambria" w:eastAsia="Batang" w:hAnsi="Cambria" w:cs="Times New Roman"/>
          <w:color w:val="000000"/>
          <w:sz w:val="21"/>
          <w:szCs w:val="21"/>
          <w:lang w:val="pt-BR"/>
        </w:rPr>
        <w:t xml:space="preserve">seus </w:t>
      </w:r>
      <w:r w:rsidR="00B71462" w:rsidRPr="003E282C">
        <w:rPr>
          <w:rFonts w:ascii="Cambria" w:eastAsia="Batang" w:hAnsi="Cambria" w:cs="Times New Roman"/>
          <w:color w:val="000000"/>
          <w:sz w:val="21"/>
          <w:szCs w:val="21"/>
          <w:lang w:val="pt-BR"/>
        </w:rPr>
        <w:t>membros.</w:t>
      </w:r>
    </w:p>
    <w:p w14:paraId="03288C62" w14:textId="77777777" w:rsidR="004A4B9F" w:rsidRPr="003E282C" w:rsidRDefault="004A4B9F" w:rsidP="004A4B9F">
      <w:pPr>
        <w:spacing w:after="0"/>
        <w:ind w:left="360"/>
        <w:contextualSpacing/>
        <w:jc w:val="both"/>
        <w:rPr>
          <w:rFonts w:ascii="Cambria" w:eastAsia="Batang" w:hAnsi="Cambria" w:cs="Times New Roman"/>
          <w:color w:val="000000"/>
          <w:sz w:val="21"/>
          <w:szCs w:val="21"/>
          <w:lang w:val="pt-BR"/>
        </w:rPr>
      </w:pPr>
    </w:p>
    <w:p w14:paraId="459E4DFD" w14:textId="3643BD49" w:rsidR="004A4B9F" w:rsidRPr="00F12123" w:rsidRDefault="004A4B9F" w:rsidP="002B3B45">
      <w:pPr>
        <w:numPr>
          <w:ilvl w:val="0"/>
          <w:numId w:val="3"/>
        </w:numPr>
        <w:spacing w:after="0"/>
        <w:ind w:left="0" w:firstLine="360"/>
        <w:contextualSpacing/>
        <w:jc w:val="both"/>
        <w:rPr>
          <w:rFonts w:ascii="Cambria" w:eastAsia="Batang" w:hAnsi="Cambria" w:cs="Times New Roman"/>
          <w:color w:val="000000"/>
          <w:sz w:val="21"/>
          <w:szCs w:val="21"/>
          <w:lang w:val="pt-BR"/>
        </w:rPr>
      </w:pPr>
      <w:r w:rsidRPr="003E282C">
        <w:rPr>
          <w:rFonts w:ascii="Cambria" w:eastAsia="Batang" w:hAnsi="Cambria" w:cs="Times New Roman"/>
          <w:color w:val="000000"/>
          <w:sz w:val="21"/>
          <w:szCs w:val="21"/>
          <w:lang w:val="pt-BR"/>
        </w:rPr>
        <w:t>Após o assassinato do senhor José Isídio Dias, “todas as noites homens armados rondam, intimidam e tentam irromper nas casas dos moradores durante a noite, causando terror e pânico nas famílias quilombolas”.</w:t>
      </w:r>
      <w:r w:rsidR="00EC609B" w:rsidRPr="003E282C">
        <w:rPr>
          <w:rFonts w:ascii="Cambria" w:eastAsia="Batang" w:hAnsi="Cambria" w:cs="Times New Roman"/>
          <w:color w:val="000000"/>
          <w:sz w:val="21"/>
          <w:szCs w:val="21"/>
          <w:lang w:val="pt-BR"/>
        </w:rPr>
        <w:t xml:space="preserve"> Tais pessoas </w:t>
      </w:r>
      <w:r w:rsidR="008B0CAF">
        <w:rPr>
          <w:rFonts w:ascii="Cambria" w:eastAsia="Batang" w:hAnsi="Cambria" w:cs="Times New Roman"/>
          <w:color w:val="000000"/>
          <w:sz w:val="21"/>
          <w:szCs w:val="21"/>
          <w:lang w:val="pt-BR"/>
        </w:rPr>
        <w:t>teriam lançado</w:t>
      </w:r>
      <w:r w:rsidR="008B0CAF" w:rsidRPr="003E282C">
        <w:rPr>
          <w:rFonts w:ascii="Cambria" w:eastAsia="Batang" w:hAnsi="Cambria" w:cs="Times New Roman"/>
          <w:color w:val="000000"/>
          <w:sz w:val="21"/>
          <w:szCs w:val="21"/>
          <w:lang w:val="pt-BR"/>
        </w:rPr>
        <w:t xml:space="preserve"> </w:t>
      </w:r>
      <w:r w:rsidR="00EC609B" w:rsidRPr="003E282C">
        <w:rPr>
          <w:rFonts w:ascii="Cambria" w:eastAsia="Batang" w:hAnsi="Cambria" w:cs="Times New Roman"/>
          <w:color w:val="000000"/>
          <w:sz w:val="21"/>
          <w:szCs w:val="21"/>
          <w:lang w:val="pt-BR"/>
        </w:rPr>
        <w:t>pedras nos residentes que sa</w:t>
      </w:r>
      <w:r w:rsidR="008B0CAF">
        <w:rPr>
          <w:rFonts w:ascii="Cambria" w:eastAsia="Batang" w:hAnsi="Cambria" w:cs="Times New Roman"/>
          <w:color w:val="000000"/>
          <w:sz w:val="21"/>
          <w:szCs w:val="21"/>
          <w:lang w:val="pt-BR"/>
        </w:rPr>
        <w:t>ía</w:t>
      </w:r>
      <w:r w:rsidR="00EC609B" w:rsidRPr="003E282C">
        <w:rPr>
          <w:rFonts w:ascii="Cambria" w:eastAsia="Batang" w:hAnsi="Cambria" w:cs="Times New Roman"/>
          <w:color w:val="000000"/>
          <w:sz w:val="21"/>
          <w:szCs w:val="21"/>
          <w:lang w:val="pt-BR"/>
        </w:rPr>
        <w:t xml:space="preserve">m para olhar o que </w:t>
      </w:r>
      <w:r w:rsidR="008B0CAF">
        <w:rPr>
          <w:rFonts w:ascii="Cambria" w:eastAsia="Batang" w:hAnsi="Cambria" w:cs="Times New Roman"/>
          <w:color w:val="000000"/>
          <w:sz w:val="21"/>
          <w:szCs w:val="21"/>
          <w:lang w:val="pt-BR"/>
        </w:rPr>
        <w:t>acontecia</w:t>
      </w:r>
      <w:r w:rsidR="00EC609B" w:rsidRPr="003E282C">
        <w:rPr>
          <w:rFonts w:ascii="Cambria" w:eastAsia="Batang" w:hAnsi="Cambria" w:cs="Times New Roman"/>
          <w:color w:val="000000"/>
          <w:sz w:val="21"/>
          <w:szCs w:val="21"/>
          <w:lang w:val="pt-BR"/>
        </w:rPr>
        <w:t xml:space="preserve">, registrando-se, além disso, episódios de intimidação </w:t>
      </w:r>
      <w:r w:rsidR="008B0CAF">
        <w:rPr>
          <w:rFonts w:ascii="Cambria" w:eastAsia="Batang" w:hAnsi="Cambria" w:cs="Times New Roman"/>
          <w:color w:val="000000"/>
          <w:sz w:val="21"/>
          <w:szCs w:val="21"/>
          <w:lang w:val="pt-BR"/>
        </w:rPr>
        <w:t xml:space="preserve">por </w:t>
      </w:r>
      <w:r w:rsidR="00EC609B" w:rsidRPr="003E282C">
        <w:rPr>
          <w:rFonts w:ascii="Cambria" w:eastAsia="Batang" w:hAnsi="Cambria" w:cs="Times New Roman"/>
          <w:color w:val="000000"/>
          <w:sz w:val="21"/>
          <w:szCs w:val="21"/>
          <w:lang w:val="pt-BR"/>
        </w:rPr>
        <w:t>pelo menos 11 noites</w:t>
      </w:r>
      <w:r w:rsidR="00EC609B" w:rsidRPr="00F12123">
        <w:rPr>
          <w:rStyle w:val="FootnoteReference"/>
          <w:rFonts w:ascii="Cambria" w:eastAsia="Batang" w:hAnsi="Cambria" w:cs="Times New Roman"/>
          <w:color w:val="000000"/>
          <w:sz w:val="21"/>
          <w:szCs w:val="21"/>
          <w:lang w:val="pt-BR"/>
        </w:rPr>
        <w:footnoteReference w:id="3"/>
      </w:r>
      <w:r w:rsidR="00F05445" w:rsidRPr="00F12123">
        <w:rPr>
          <w:rFonts w:ascii="Cambria" w:eastAsia="Batang" w:hAnsi="Cambria" w:cs="Times New Roman"/>
          <w:color w:val="000000"/>
          <w:sz w:val="21"/>
          <w:szCs w:val="21"/>
          <w:lang w:val="pt-BR"/>
        </w:rPr>
        <w:t>. Segundo os solicitantes, as casas são de “frágil construção” e a área não tem iluminação, o que “for</w:t>
      </w:r>
      <w:r w:rsidR="002B3B45" w:rsidRPr="00F12123">
        <w:rPr>
          <w:rFonts w:ascii="Cambria" w:eastAsia="Batang" w:hAnsi="Cambria" w:cs="Times New Roman"/>
          <w:color w:val="000000"/>
          <w:sz w:val="21"/>
          <w:szCs w:val="21"/>
          <w:lang w:val="pt-BR"/>
        </w:rPr>
        <w:t>talece</w:t>
      </w:r>
      <w:r w:rsidR="00F05445" w:rsidRPr="00F12123">
        <w:rPr>
          <w:rFonts w:ascii="Cambria" w:eastAsia="Batang" w:hAnsi="Cambria" w:cs="Times New Roman"/>
          <w:color w:val="000000"/>
          <w:sz w:val="21"/>
          <w:szCs w:val="21"/>
          <w:lang w:val="pt-BR"/>
        </w:rPr>
        <w:t xml:space="preserve"> ainda mais a situação de risco e insegurança” das pessoas propostas como beneficiárias, os impedindo também reconhecer aos perpetradores. Os solicitantes alegaram que esses fatos foram denunciados ante as autoridades; </w:t>
      </w:r>
      <w:r w:rsidR="002C65AC" w:rsidRPr="003E282C">
        <w:rPr>
          <w:rFonts w:ascii="Cambria" w:eastAsia="Batang" w:hAnsi="Cambria" w:cs="Times New Roman"/>
          <w:color w:val="000000"/>
          <w:sz w:val="21"/>
          <w:szCs w:val="21"/>
          <w:lang w:val="pt-BR"/>
        </w:rPr>
        <w:t xml:space="preserve">no entanto, a Comunidade não teria obtido uma resposta efetiva. Por exemplo, </w:t>
      </w:r>
      <w:r w:rsidR="00E2670F">
        <w:rPr>
          <w:rFonts w:ascii="Cambria" w:eastAsia="Batang" w:hAnsi="Cambria" w:cs="Times New Roman"/>
          <w:color w:val="000000"/>
          <w:sz w:val="21"/>
          <w:szCs w:val="21"/>
          <w:lang w:val="pt-BR"/>
        </w:rPr>
        <w:t xml:space="preserve">teriam recebido como resposta </w:t>
      </w:r>
      <w:r w:rsidR="002C65AC" w:rsidRPr="003E282C">
        <w:rPr>
          <w:rFonts w:ascii="Cambria" w:eastAsia="Batang" w:hAnsi="Cambria" w:cs="Times New Roman"/>
          <w:color w:val="000000"/>
          <w:sz w:val="21"/>
          <w:szCs w:val="21"/>
          <w:lang w:val="pt-BR"/>
        </w:rPr>
        <w:t>ao requerimento de contar com rondas policiais, que a Marinha</w:t>
      </w:r>
      <w:r w:rsidR="00F05445" w:rsidRPr="003E282C">
        <w:rPr>
          <w:rFonts w:ascii="Cambria" w:eastAsia="Batang" w:hAnsi="Cambria" w:cs="Times New Roman"/>
          <w:color w:val="000000"/>
          <w:sz w:val="21"/>
          <w:szCs w:val="21"/>
          <w:lang w:val="pt-BR"/>
        </w:rPr>
        <w:t xml:space="preserve"> </w:t>
      </w:r>
      <w:r w:rsidR="004203CA" w:rsidRPr="003E282C">
        <w:rPr>
          <w:rFonts w:ascii="Cambria" w:eastAsia="Batang" w:hAnsi="Cambria" w:cs="Times New Roman"/>
          <w:color w:val="000000"/>
          <w:sz w:val="21"/>
          <w:szCs w:val="21"/>
          <w:lang w:val="pt-BR"/>
        </w:rPr>
        <w:t>não lhes autoriza</w:t>
      </w:r>
      <w:r w:rsidR="00E2670F">
        <w:rPr>
          <w:rFonts w:ascii="Cambria" w:eastAsia="Batang" w:hAnsi="Cambria" w:cs="Times New Roman"/>
          <w:color w:val="000000"/>
          <w:sz w:val="21"/>
          <w:szCs w:val="21"/>
          <w:lang w:val="pt-BR"/>
        </w:rPr>
        <w:t>ria</w:t>
      </w:r>
      <w:r w:rsidR="004203CA" w:rsidRPr="003E282C">
        <w:rPr>
          <w:rFonts w:ascii="Cambria" w:eastAsia="Batang" w:hAnsi="Cambria" w:cs="Times New Roman"/>
          <w:color w:val="000000"/>
          <w:sz w:val="21"/>
          <w:szCs w:val="21"/>
          <w:lang w:val="pt-BR"/>
        </w:rPr>
        <w:t xml:space="preserve"> o ingresso</w:t>
      </w:r>
      <w:r w:rsidR="00E2670F">
        <w:rPr>
          <w:rFonts w:ascii="Cambria" w:eastAsia="Batang" w:hAnsi="Cambria" w:cs="Times New Roman"/>
          <w:color w:val="000000"/>
          <w:sz w:val="21"/>
          <w:szCs w:val="21"/>
          <w:lang w:val="pt-BR"/>
        </w:rPr>
        <w:t xml:space="preserve"> ao território</w:t>
      </w:r>
      <w:r w:rsidR="004203CA" w:rsidRPr="003E282C">
        <w:rPr>
          <w:rFonts w:ascii="Cambria" w:eastAsia="Batang" w:hAnsi="Cambria" w:cs="Times New Roman"/>
          <w:color w:val="000000"/>
          <w:sz w:val="21"/>
          <w:szCs w:val="21"/>
          <w:lang w:val="pt-BR"/>
        </w:rPr>
        <w:t xml:space="preserve">. Segundo explica a solicitação, a única entrada viável à Comunidade é por cima da </w:t>
      </w:r>
      <w:r w:rsidR="00035C43" w:rsidRPr="003E282C">
        <w:rPr>
          <w:rFonts w:ascii="Cambria" w:eastAsia="Batang" w:hAnsi="Cambria" w:cs="Times New Roman"/>
          <w:color w:val="000000"/>
          <w:sz w:val="21"/>
          <w:szCs w:val="21"/>
          <w:lang w:val="pt-BR"/>
        </w:rPr>
        <w:t xml:space="preserve">Barragem </w:t>
      </w:r>
      <w:r w:rsidR="004203CA" w:rsidRPr="003E282C">
        <w:rPr>
          <w:rFonts w:ascii="Cambria" w:eastAsia="Batang" w:hAnsi="Cambria" w:cs="Times New Roman"/>
          <w:color w:val="000000"/>
          <w:sz w:val="21"/>
          <w:szCs w:val="21"/>
          <w:lang w:val="pt-BR"/>
        </w:rPr>
        <w:t xml:space="preserve">Rio dos Macacos, pela Vila Naval, ou seja, a Marinha </w:t>
      </w:r>
      <w:r w:rsidR="00E2670F">
        <w:rPr>
          <w:rFonts w:ascii="Cambria" w:eastAsia="Batang" w:hAnsi="Cambria" w:cs="Times New Roman"/>
          <w:color w:val="000000"/>
          <w:sz w:val="21"/>
          <w:szCs w:val="21"/>
          <w:lang w:val="pt-BR"/>
        </w:rPr>
        <w:t xml:space="preserve">teria </w:t>
      </w:r>
      <w:r w:rsidR="004A7D92">
        <w:rPr>
          <w:rFonts w:ascii="Cambria" w:eastAsia="Batang" w:hAnsi="Cambria" w:cs="Times New Roman"/>
          <w:color w:val="000000"/>
          <w:sz w:val="21"/>
          <w:szCs w:val="21"/>
          <w:lang w:val="pt-BR"/>
        </w:rPr>
        <w:t>o</w:t>
      </w:r>
      <w:r w:rsidR="00E2670F">
        <w:rPr>
          <w:rFonts w:ascii="Cambria" w:eastAsia="Batang" w:hAnsi="Cambria" w:cs="Times New Roman"/>
          <w:color w:val="000000"/>
          <w:sz w:val="21"/>
          <w:szCs w:val="21"/>
          <w:lang w:val="pt-BR"/>
        </w:rPr>
        <w:t xml:space="preserve"> </w:t>
      </w:r>
      <w:r w:rsidR="004203CA" w:rsidRPr="003E282C">
        <w:rPr>
          <w:rFonts w:ascii="Cambria" w:eastAsia="Batang" w:hAnsi="Cambria" w:cs="Times New Roman"/>
          <w:color w:val="000000"/>
          <w:sz w:val="21"/>
          <w:szCs w:val="21"/>
          <w:lang w:val="pt-BR"/>
        </w:rPr>
        <w:t>control</w:t>
      </w:r>
      <w:r w:rsidR="00E2670F">
        <w:rPr>
          <w:rFonts w:ascii="Cambria" w:eastAsia="Batang" w:hAnsi="Cambria" w:cs="Times New Roman"/>
          <w:color w:val="000000"/>
          <w:sz w:val="21"/>
          <w:szCs w:val="21"/>
          <w:lang w:val="pt-BR"/>
        </w:rPr>
        <w:t>e de</w:t>
      </w:r>
      <w:r w:rsidR="004203CA" w:rsidRPr="003E282C">
        <w:rPr>
          <w:rFonts w:ascii="Cambria" w:eastAsia="Batang" w:hAnsi="Cambria" w:cs="Times New Roman"/>
          <w:color w:val="000000"/>
          <w:sz w:val="21"/>
          <w:szCs w:val="21"/>
          <w:lang w:val="pt-BR"/>
        </w:rPr>
        <w:t xml:space="preserve"> quem entra e sa</w:t>
      </w:r>
      <w:r w:rsidR="00E2670F">
        <w:rPr>
          <w:rFonts w:ascii="Cambria" w:eastAsia="Batang" w:hAnsi="Cambria" w:cs="Times New Roman"/>
          <w:color w:val="000000"/>
          <w:sz w:val="21"/>
          <w:szCs w:val="21"/>
          <w:lang w:val="pt-BR"/>
        </w:rPr>
        <w:t>i</w:t>
      </w:r>
      <w:r w:rsidR="004203CA" w:rsidRPr="003E282C">
        <w:rPr>
          <w:rFonts w:ascii="Cambria" w:eastAsia="Batang" w:hAnsi="Cambria" w:cs="Times New Roman"/>
          <w:color w:val="000000"/>
          <w:sz w:val="21"/>
          <w:szCs w:val="21"/>
          <w:lang w:val="pt-BR"/>
        </w:rPr>
        <w:t xml:space="preserve"> do território. Nesse sentido, denunciou-se que a polícia não compareceu no lugar</w:t>
      </w:r>
      <w:r w:rsidR="002B3B45" w:rsidRPr="00F12123">
        <w:rPr>
          <w:rFonts w:ascii="Cambria" w:eastAsia="Batang" w:hAnsi="Cambria" w:cs="Times New Roman"/>
          <w:color w:val="000000"/>
          <w:sz w:val="21"/>
          <w:szCs w:val="21"/>
          <w:lang w:val="pt-BR"/>
        </w:rPr>
        <w:t xml:space="preserve"> “nos momentos mais agudos do risco </w:t>
      </w:r>
      <w:r w:rsidR="004A7D92">
        <w:rPr>
          <w:rFonts w:ascii="Cambria" w:eastAsia="Batang" w:hAnsi="Cambria" w:cs="Times New Roman"/>
          <w:color w:val="000000"/>
          <w:sz w:val="21"/>
          <w:szCs w:val="21"/>
          <w:lang w:val="pt-BR"/>
        </w:rPr>
        <w:t>à</w:t>
      </w:r>
      <w:r w:rsidR="002B3B45" w:rsidRPr="00F12123">
        <w:rPr>
          <w:rFonts w:ascii="Cambria" w:eastAsia="Batang" w:hAnsi="Cambria" w:cs="Times New Roman"/>
          <w:color w:val="000000"/>
          <w:sz w:val="21"/>
          <w:szCs w:val="21"/>
          <w:lang w:val="pt-BR"/>
        </w:rPr>
        <w:t xml:space="preserve"> vida das famílias do Quilombo de Rio dos Macacos”.</w:t>
      </w:r>
    </w:p>
    <w:p w14:paraId="6522BA34" w14:textId="77777777" w:rsidR="002B3B45" w:rsidRPr="00F12123" w:rsidRDefault="002B3B45" w:rsidP="002B3B45">
      <w:pPr>
        <w:spacing w:after="0"/>
        <w:ind w:left="360"/>
        <w:contextualSpacing/>
        <w:jc w:val="both"/>
        <w:rPr>
          <w:rFonts w:ascii="Cambria" w:eastAsia="Batang" w:hAnsi="Cambria" w:cs="Times New Roman"/>
          <w:color w:val="000000"/>
          <w:sz w:val="21"/>
          <w:szCs w:val="21"/>
          <w:lang w:val="pt-BR"/>
        </w:rPr>
      </w:pPr>
    </w:p>
    <w:p w14:paraId="004E3ED3" w14:textId="33E339E8" w:rsidR="000A517E" w:rsidRPr="00F12123" w:rsidRDefault="002B3B45" w:rsidP="002B3B45">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Somado ao anterior, os solicitantes alegaram que a proposta beneficiária Rose Meire Santos e seu núcleo familiar são reconhecidos como os principais líderes da Comunidade, devido ao que estariam recebendo ameaças de autoria desconhecida.</w:t>
      </w:r>
      <w:r w:rsidR="00C21821" w:rsidRPr="00F12123">
        <w:rPr>
          <w:rFonts w:ascii="Cambria" w:eastAsia="Batang" w:hAnsi="Cambria" w:cs="Times New Roman"/>
          <w:color w:val="000000"/>
          <w:sz w:val="21"/>
          <w:szCs w:val="21"/>
          <w:lang w:val="pt-BR"/>
        </w:rPr>
        <w:t xml:space="preserve"> Segundo o que foi </w:t>
      </w:r>
      <w:r w:rsidR="004A7D92">
        <w:rPr>
          <w:rFonts w:ascii="Cambria" w:eastAsia="Batang" w:hAnsi="Cambria" w:cs="Times New Roman"/>
          <w:color w:val="000000"/>
          <w:sz w:val="21"/>
          <w:szCs w:val="21"/>
          <w:lang w:val="pt-BR"/>
        </w:rPr>
        <w:t>informado</w:t>
      </w:r>
      <w:r w:rsidR="00C21821" w:rsidRPr="00F12123">
        <w:rPr>
          <w:rFonts w:ascii="Cambria" w:eastAsia="Batang" w:hAnsi="Cambria" w:cs="Times New Roman"/>
          <w:color w:val="000000"/>
          <w:sz w:val="21"/>
          <w:szCs w:val="21"/>
          <w:lang w:val="pt-BR"/>
        </w:rPr>
        <w:t xml:space="preserve">, antes de ser assassinado, o senhor José Isídio Dias alertou a proposta beneficiárias que ele estava ameaçado de </w:t>
      </w:r>
      <w:r w:rsidR="00C21821" w:rsidRPr="00F12123">
        <w:rPr>
          <w:rFonts w:ascii="Cambria" w:eastAsia="Batang" w:hAnsi="Cambria" w:cs="Times New Roman"/>
          <w:color w:val="000000"/>
          <w:sz w:val="21"/>
          <w:szCs w:val="21"/>
          <w:lang w:val="pt-BR"/>
        </w:rPr>
        <w:lastRenderedPageBreak/>
        <w:t xml:space="preserve">morte, supostamente afirmando: “o mesmo que passar comigo acontecerá com você e seus dois irmãos”. A solicitação indicou que a situação exposta </w:t>
      </w:r>
      <w:r w:rsidR="005B0E04" w:rsidRPr="00F12123">
        <w:rPr>
          <w:rFonts w:ascii="Cambria" w:eastAsia="Batang" w:hAnsi="Cambria" w:cs="Times New Roman"/>
          <w:color w:val="000000"/>
          <w:sz w:val="21"/>
          <w:szCs w:val="21"/>
          <w:lang w:val="pt-BR"/>
        </w:rPr>
        <w:t>foi denunciada ante várias autoridades</w:t>
      </w:r>
      <w:r w:rsidR="005B0E04" w:rsidRPr="00F12123">
        <w:rPr>
          <w:rStyle w:val="FootnoteReference"/>
          <w:rFonts w:ascii="Cambria" w:eastAsia="Batang" w:hAnsi="Cambria" w:cs="Times New Roman"/>
          <w:color w:val="000000"/>
          <w:sz w:val="21"/>
          <w:szCs w:val="21"/>
          <w:lang w:val="pt-BR"/>
        </w:rPr>
        <w:footnoteReference w:id="4"/>
      </w:r>
      <w:r w:rsidR="005B0E04" w:rsidRPr="00F12123">
        <w:rPr>
          <w:rFonts w:ascii="Cambria" w:eastAsia="Batang" w:hAnsi="Cambria" w:cs="Times New Roman"/>
          <w:color w:val="000000"/>
          <w:sz w:val="21"/>
          <w:szCs w:val="21"/>
          <w:lang w:val="pt-BR"/>
        </w:rPr>
        <w:t xml:space="preserve">. Inclusive, os integrantes da coordenação da associação civil que representa a Comunidade Quilombola Rio dos Macacos integrariam o Programa de Proteção de Defensores de Direitos Humanos, o qual celebrou uma reunião em 6 de dezembro de 2019, com a participação das pessoas propostas como beneficiarias. </w:t>
      </w:r>
      <w:r w:rsidR="00B67802" w:rsidRPr="00F12123">
        <w:rPr>
          <w:rFonts w:ascii="Cambria" w:eastAsia="Batang" w:hAnsi="Cambria" w:cs="Times New Roman"/>
          <w:color w:val="000000"/>
          <w:sz w:val="21"/>
          <w:szCs w:val="21"/>
          <w:lang w:val="pt-BR"/>
        </w:rPr>
        <w:t>No entanto, a única medida de proteção assignada teria sido a conformação de rondas policiais durante o dia, o que resultaria ineficiente</w:t>
      </w:r>
      <w:r w:rsidR="004A7D92">
        <w:rPr>
          <w:rFonts w:ascii="Cambria" w:eastAsia="Batang" w:hAnsi="Cambria" w:cs="Times New Roman"/>
          <w:color w:val="000000"/>
          <w:sz w:val="21"/>
          <w:szCs w:val="21"/>
          <w:lang w:val="pt-BR"/>
        </w:rPr>
        <w:t xml:space="preserve">, considerando </w:t>
      </w:r>
      <w:r w:rsidR="00B67802" w:rsidRPr="00F12123">
        <w:rPr>
          <w:rFonts w:ascii="Cambria" w:eastAsia="Batang" w:hAnsi="Cambria" w:cs="Times New Roman"/>
          <w:color w:val="000000"/>
          <w:sz w:val="21"/>
          <w:szCs w:val="21"/>
          <w:lang w:val="pt-BR"/>
        </w:rPr>
        <w:t>que a situação denunciada “continua a ocorrer no período noturno”. A Secretaria de Promoção da Igualdade Racial da Bahia, estado federado onde está o Quilombo, também conduziu uma reunião interinstitucional para tratar da questão. Entretanto, “nenhum encaminhamento foi implementado”.</w:t>
      </w:r>
    </w:p>
    <w:p w14:paraId="54CCE7A3" w14:textId="77777777" w:rsidR="00B67802" w:rsidRPr="00F12123" w:rsidRDefault="00B67802" w:rsidP="00AB37B4">
      <w:pPr>
        <w:spacing w:after="0"/>
        <w:ind w:left="360"/>
        <w:contextualSpacing/>
        <w:jc w:val="both"/>
        <w:rPr>
          <w:rFonts w:ascii="Cambria" w:eastAsia="Batang" w:hAnsi="Cambria" w:cs="Times New Roman"/>
          <w:color w:val="000000"/>
          <w:sz w:val="21"/>
          <w:szCs w:val="21"/>
          <w:lang w:val="pt-BR"/>
        </w:rPr>
      </w:pPr>
    </w:p>
    <w:p w14:paraId="53DF40E4" w14:textId="2175C634" w:rsidR="00B67802" w:rsidRPr="00F12123" w:rsidRDefault="00B67802" w:rsidP="000A3FAC">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As pessoas propostas como beneficiárias conseguiram obter recursos do “Fundo Brasil de Direitos Humanos” e </w:t>
      </w:r>
      <w:r w:rsidR="004A7D92">
        <w:rPr>
          <w:rFonts w:ascii="Cambria" w:eastAsia="Batang" w:hAnsi="Cambria" w:cs="Times New Roman"/>
          <w:color w:val="000000"/>
          <w:sz w:val="21"/>
          <w:szCs w:val="21"/>
          <w:lang w:val="pt-BR"/>
        </w:rPr>
        <w:t>junto à</w:t>
      </w:r>
      <w:r w:rsidRPr="00F12123">
        <w:rPr>
          <w:rFonts w:ascii="Cambria" w:eastAsia="Batang" w:hAnsi="Cambria" w:cs="Times New Roman"/>
          <w:color w:val="000000"/>
          <w:sz w:val="21"/>
          <w:szCs w:val="21"/>
          <w:lang w:val="pt-BR"/>
        </w:rPr>
        <w:t xml:space="preserve"> organização da sociedade civil “Front Line Defenders”</w:t>
      </w:r>
      <w:r w:rsidR="004A7D92">
        <w:rPr>
          <w:rFonts w:ascii="Cambria" w:eastAsia="Batang" w:hAnsi="Cambria" w:cs="Times New Roman"/>
          <w:color w:val="000000"/>
          <w:sz w:val="21"/>
          <w:szCs w:val="21"/>
          <w:lang w:val="pt-BR"/>
        </w:rPr>
        <w:t>,</w:t>
      </w:r>
      <w:r w:rsidRPr="00F12123">
        <w:rPr>
          <w:rFonts w:ascii="Cambria" w:eastAsia="Batang" w:hAnsi="Cambria" w:cs="Times New Roman"/>
          <w:color w:val="000000"/>
          <w:sz w:val="21"/>
          <w:szCs w:val="21"/>
          <w:lang w:val="pt-BR"/>
        </w:rPr>
        <w:t xml:space="preserve"> pa</w:t>
      </w:r>
      <w:r w:rsidR="004A7D92">
        <w:rPr>
          <w:rFonts w:ascii="Cambria" w:eastAsia="Batang" w:hAnsi="Cambria" w:cs="Times New Roman"/>
          <w:color w:val="000000"/>
          <w:sz w:val="21"/>
          <w:szCs w:val="21"/>
          <w:lang w:val="pt-BR"/>
        </w:rPr>
        <w:t>r</w:t>
      </w:r>
      <w:r w:rsidRPr="00F12123">
        <w:rPr>
          <w:rFonts w:ascii="Cambria" w:eastAsia="Batang" w:hAnsi="Cambria" w:cs="Times New Roman"/>
          <w:color w:val="000000"/>
          <w:sz w:val="21"/>
          <w:szCs w:val="21"/>
          <w:lang w:val="pt-BR"/>
        </w:rPr>
        <w:t>a a construção de cercas e a instalação de grades, refletores de luz e câm</w:t>
      </w:r>
      <w:r w:rsidR="004A7D92">
        <w:rPr>
          <w:rFonts w:ascii="Cambria" w:eastAsia="Batang" w:hAnsi="Cambria" w:cs="Times New Roman"/>
          <w:color w:val="000000"/>
          <w:sz w:val="21"/>
          <w:szCs w:val="21"/>
          <w:lang w:val="pt-BR"/>
        </w:rPr>
        <w:t>e</w:t>
      </w:r>
      <w:r w:rsidRPr="00F12123">
        <w:rPr>
          <w:rFonts w:ascii="Cambria" w:eastAsia="Batang" w:hAnsi="Cambria" w:cs="Times New Roman"/>
          <w:color w:val="000000"/>
          <w:sz w:val="21"/>
          <w:szCs w:val="21"/>
          <w:lang w:val="pt-BR"/>
        </w:rPr>
        <w:t>ras em algumas casas.</w:t>
      </w:r>
      <w:r w:rsidR="000A3FAC" w:rsidRPr="00F12123">
        <w:rPr>
          <w:rFonts w:ascii="Cambria" w:eastAsia="Batang" w:hAnsi="Cambria" w:cs="Times New Roman"/>
          <w:color w:val="000000"/>
          <w:sz w:val="21"/>
          <w:szCs w:val="21"/>
          <w:lang w:val="pt-BR"/>
        </w:rPr>
        <w:t xml:space="preserve"> Os solicitantes afirmaram que “estas medidas foram importantes para diminuir a ação violenta imediata contra os moradores, mas são insuficientes</w:t>
      </w:r>
      <w:r w:rsidR="004A7D92">
        <w:rPr>
          <w:rFonts w:ascii="Cambria" w:eastAsia="Batang" w:hAnsi="Cambria" w:cs="Times New Roman"/>
          <w:color w:val="000000"/>
          <w:sz w:val="21"/>
          <w:szCs w:val="21"/>
          <w:lang w:val="pt-BR"/>
        </w:rPr>
        <w:t>,</w:t>
      </w:r>
      <w:r w:rsidR="000A3FAC" w:rsidRPr="00F12123">
        <w:rPr>
          <w:rFonts w:ascii="Cambria" w:eastAsia="Batang" w:hAnsi="Cambria" w:cs="Times New Roman"/>
          <w:color w:val="000000"/>
          <w:sz w:val="21"/>
          <w:szCs w:val="21"/>
          <w:lang w:val="pt-BR"/>
        </w:rPr>
        <w:t xml:space="preserve"> já que ainda permanece a circulação de pessoas armadas e estranhas no território e também estão presentes as ameaças de morte aos moradores que ainda permanecem no território”.</w:t>
      </w:r>
    </w:p>
    <w:p w14:paraId="36C9498A" w14:textId="77777777" w:rsidR="00C66795" w:rsidRPr="00F12123" w:rsidRDefault="00C66795" w:rsidP="00D51F89">
      <w:pPr>
        <w:spacing w:after="0" w:line="240" w:lineRule="auto"/>
        <w:contextualSpacing/>
        <w:jc w:val="both"/>
        <w:rPr>
          <w:rFonts w:ascii="Cambria" w:eastAsia="Batang" w:hAnsi="Cambria" w:cs="Times New Roman"/>
          <w:color w:val="000000"/>
          <w:sz w:val="21"/>
          <w:szCs w:val="21"/>
          <w:lang w:val="pt-BR"/>
        </w:rPr>
      </w:pPr>
    </w:p>
    <w:p w14:paraId="6316FD63" w14:textId="77777777" w:rsidR="00C66795" w:rsidRPr="00A354B5" w:rsidRDefault="000A3FAC" w:rsidP="00D51F89">
      <w:pPr>
        <w:numPr>
          <w:ilvl w:val="0"/>
          <w:numId w:val="4"/>
        </w:numPr>
        <w:spacing w:after="0" w:line="240" w:lineRule="auto"/>
        <w:jc w:val="both"/>
        <w:rPr>
          <w:rFonts w:ascii="Cambria" w:eastAsia="Times New Roman" w:hAnsi="Cambria" w:cs="Times New Roman"/>
          <w:b/>
          <w:color w:val="000000"/>
          <w:sz w:val="21"/>
          <w:szCs w:val="21"/>
          <w:lang w:val="pt-BR"/>
        </w:rPr>
      </w:pPr>
      <w:r w:rsidRPr="00A354B5">
        <w:rPr>
          <w:rFonts w:ascii="Cambria" w:eastAsia="Times New Roman" w:hAnsi="Cambria" w:cs="Times New Roman"/>
          <w:b/>
          <w:color w:val="000000"/>
          <w:sz w:val="21"/>
          <w:szCs w:val="21"/>
          <w:lang w:val="pt-BR"/>
        </w:rPr>
        <w:t>Resposta do</w:t>
      </w:r>
      <w:r w:rsidR="00C66795" w:rsidRPr="00A354B5">
        <w:rPr>
          <w:rFonts w:ascii="Cambria" w:eastAsia="Times New Roman" w:hAnsi="Cambria" w:cs="Times New Roman"/>
          <w:b/>
          <w:color w:val="000000"/>
          <w:sz w:val="21"/>
          <w:szCs w:val="21"/>
          <w:lang w:val="pt-BR"/>
        </w:rPr>
        <w:t xml:space="preserve"> Estado</w:t>
      </w:r>
    </w:p>
    <w:p w14:paraId="04039908" w14:textId="77777777" w:rsidR="00C66795" w:rsidRPr="00A354B5" w:rsidRDefault="00C66795" w:rsidP="00D51F89">
      <w:pPr>
        <w:spacing w:after="0" w:line="240" w:lineRule="auto"/>
        <w:ind w:left="720"/>
        <w:jc w:val="both"/>
        <w:rPr>
          <w:rFonts w:ascii="Cambria" w:eastAsia="Times New Roman" w:hAnsi="Cambria" w:cs="Times New Roman"/>
          <w:b/>
          <w:color w:val="000000"/>
          <w:sz w:val="21"/>
          <w:szCs w:val="21"/>
          <w:lang w:val="pt-BR"/>
        </w:rPr>
      </w:pPr>
    </w:p>
    <w:p w14:paraId="1912881F" w14:textId="77777777" w:rsidR="00737DA4" w:rsidRPr="00F12123" w:rsidRDefault="00737DA4" w:rsidP="00737DA4">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O Estado inicialmente alegou que a área que ocupa a Comunidade Remanescente do Quilombo Rio dos Macacos foi doada legalmente à Marinha em 1954. Segundo a informação fornecida, em 2009 se iniciaram processos judiciais de </w:t>
      </w:r>
      <w:r w:rsidR="003255E2" w:rsidRPr="00F12123">
        <w:rPr>
          <w:rFonts w:ascii="Cambria" w:eastAsia="Batang" w:hAnsi="Cambria" w:cs="Times New Roman"/>
          <w:color w:val="000000"/>
          <w:sz w:val="21"/>
          <w:szCs w:val="21"/>
          <w:lang w:val="pt-BR"/>
        </w:rPr>
        <w:t>restituição</w:t>
      </w:r>
      <w:r w:rsidRPr="003E282C">
        <w:rPr>
          <w:rFonts w:ascii="Cambria" w:eastAsia="Batang" w:hAnsi="Cambria" w:cs="Times New Roman"/>
          <w:color w:val="000000"/>
          <w:sz w:val="21"/>
          <w:szCs w:val="21"/>
          <w:lang w:val="pt-BR"/>
        </w:rPr>
        <w:t xml:space="preserve"> de posse em favor da Marinha. Paralelamente aos trâmites judiciais, em 2015, o INCRA reconheceu e declarou como terras da Comunidade uma área de 301,</w:t>
      </w:r>
      <w:r w:rsidR="00AF0BC9" w:rsidRPr="00F12123">
        <w:rPr>
          <w:rFonts w:ascii="Cambria" w:eastAsia="Batang" w:hAnsi="Cambria" w:cs="Times New Roman"/>
          <w:color w:val="000000"/>
          <w:sz w:val="21"/>
          <w:szCs w:val="21"/>
          <w:lang w:val="pt-BR"/>
        </w:rPr>
        <w:t>3696 hectares, iniciando o processo de regularização de duas áreas descontinuas que somam o total de 104,8787 hectares. Por sua parte, em outubro de 2019, o INCRA foi condenado judicialmente pela demora</w:t>
      </w:r>
      <w:r w:rsidR="003255E2" w:rsidRPr="00F12123">
        <w:rPr>
          <w:rFonts w:ascii="Cambria" w:eastAsia="Batang" w:hAnsi="Cambria" w:cs="Times New Roman"/>
          <w:color w:val="000000"/>
          <w:sz w:val="21"/>
          <w:szCs w:val="21"/>
          <w:lang w:val="pt-BR"/>
        </w:rPr>
        <w:t xml:space="preserve"> na conclusão do referido processo de reconhecimento, havendo o impulsado em dezembro de 2019. Devido ao anterior o Estado alegou que não existe omissão com relação à questão da propriedade da terra.</w:t>
      </w:r>
    </w:p>
    <w:p w14:paraId="76FCDA49" w14:textId="77777777" w:rsidR="003255E2" w:rsidRPr="00F12123" w:rsidRDefault="003255E2" w:rsidP="003255E2">
      <w:pPr>
        <w:spacing w:after="0"/>
        <w:ind w:left="360"/>
        <w:contextualSpacing/>
        <w:jc w:val="both"/>
        <w:rPr>
          <w:rFonts w:ascii="Cambria" w:eastAsia="Batang" w:hAnsi="Cambria" w:cs="Times New Roman"/>
          <w:color w:val="000000"/>
          <w:sz w:val="21"/>
          <w:szCs w:val="21"/>
          <w:lang w:val="pt-BR"/>
        </w:rPr>
      </w:pPr>
    </w:p>
    <w:p w14:paraId="5D4F183B" w14:textId="3828966A" w:rsidR="003255E2" w:rsidRPr="00F12123" w:rsidRDefault="003255E2" w:rsidP="00737DA4">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O Estado agregou que, desde o ano 2011, recebeu-se denúncias sobre ações supostamente arbitrárias e violentas atribuídas a militares da Marinha.</w:t>
      </w:r>
      <w:r w:rsidR="00F47712" w:rsidRPr="00F12123">
        <w:rPr>
          <w:rFonts w:ascii="Cambria" w:eastAsia="Batang" w:hAnsi="Cambria" w:cs="Times New Roman"/>
          <w:color w:val="000000"/>
          <w:sz w:val="21"/>
          <w:szCs w:val="21"/>
          <w:lang w:val="pt-BR"/>
        </w:rPr>
        <w:t xml:space="preserve"> Essas acusações “foram apuradas por meio de sindicância e Inquérito Policial Militar (IPM)</w:t>
      </w:r>
      <w:r w:rsidR="00F47712" w:rsidRPr="00F12123">
        <w:rPr>
          <w:rStyle w:val="FootnoteReference"/>
          <w:rFonts w:ascii="Cambria" w:eastAsia="Batang" w:hAnsi="Cambria" w:cs="Times New Roman"/>
          <w:color w:val="000000"/>
          <w:sz w:val="21"/>
          <w:szCs w:val="21"/>
          <w:lang w:val="pt-BR"/>
        </w:rPr>
        <w:footnoteReference w:id="5"/>
      </w:r>
      <w:r w:rsidR="00F47712" w:rsidRPr="00F12123">
        <w:rPr>
          <w:rFonts w:ascii="Cambria" w:eastAsia="Batang" w:hAnsi="Cambria" w:cs="Times New Roman"/>
          <w:color w:val="000000"/>
          <w:sz w:val="21"/>
          <w:szCs w:val="21"/>
          <w:lang w:val="pt-BR"/>
        </w:rPr>
        <w:t xml:space="preserve">. Os respectivos procedimentos investigatórios foram encaminhados à Procuradoria de Justiça Militar na Bahia (Ministério Público Militar - </w:t>
      </w:r>
      <w:r w:rsidR="006212FC" w:rsidRPr="00F12123">
        <w:rPr>
          <w:rFonts w:ascii="Cambria" w:eastAsia="Batang" w:hAnsi="Cambria" w:cs="Times New Roman"/>
          <w:color w:val="000000"/>
          <w:sz w:val="21"/>
          <w:szCs w:val="21"/>
          <w:lang w:val="pt-BR"/>
        </w:rPr>
        <w:t>MPM)”.</w:t>
      </w:r>
      <w:r w:rsidR="00F47712" w:rsidRPr="003E282C">
        <w:rPr>
          <w:rFonts w:ascii="Cambria" w:eastAsia="Batang" w:hAnsi="Cambria" w:cs="Times New Roman"/>
          <w:color w:val="000000"/>
          <w:sz w:val="21"/>
          <w:szCs w:val="21"/>
          <w:lang w:val="pt-BR"/>
        </w:rPr>
        <w:t xml:space="preserve"> </w:t>
      </w:r>
      <w:r w:rsidR="004F2CDD" w:rsidRPr="003E282C">
        <w:rPr>
          <w:rFonts w:ascii="Cambria" w:eastAsia="Batang" w:hAnsi="Cambria" w:cs="Times New Roman"/>
          <w:color w:val="000000"/>
          <w:sz w:val="21"/>
          <w:szCs w:val="21"/>
          <w:lang w:val="pt-BR"/>
        </w:rPr>
        <w:t xml:space="preserve">O Estado negou que se causou danos à propriedade </w:t>
      </w:r>
      <w:r w:rsidR="00486C8D">
        <w:rPr>
          <w:rFonts w:ascii="Cambria" w:eastAsia="Batang" w:hAnsi="Cambria" w:cs="Times New Roman"/>
          <w:color w:val="000000"/>
          <w:sz w:val="21"/>
          <w:szCs w:val="21"/>
          <w:lang w:val="pt-BR"/>
        </w:rPr>
        <w:t>ou</w:t>
      </w:r>
      <w:r w:rsidR="004F2CDD" w:rsidRPr="003E282C">
        <w:rPr>
          <w:rFonts w:ascii="Cambria" w:eastAsia="Batang" w:hAnsi="Cambria" w:cs="Times New Roman"/>
          <w:color w:val="000000"/>
          <w:sz w:val="21"/>
          <w:szCs w:val="21"/>
          <w:lang w:val="pt-BR"/>
        </w:rPr>
        <w:t xml:space="preserve"> violência física e sexual, alegando </w:t>
      </w:r>
      <w:r w:rsidR="004F2CDD" w:rsidRPr="00F12123">
        <w:rPr>
          <w:rFonts w:ascii="Cambria" w:eastAsia="Batang" w:hAnsi="Cambria" w:cs="Times New Roman"/>
          <w:color w:val="000000"/>
          <w:sz w:val="21"/>
          <w:szCs w:val="21"/>
          <w:lang w:val="pt-BR"/>
        </w:rPr>
        <w:t xml:space="preserve">que “trata-se de declarações vagas e imprecisas, destituídas de dados concretos que permitam aferir a materialidade ou a autoria das supostas ofensas”. Adicionalmente, manifestou que não se registrou que as alegadas vítimas </w:t>
      </w:r>
      <w:r w:rsidR="006212FC" w:rsidRPr="00F12123">
        <w:rPr>
          <w:rFonts w:ascii="Cambria" w:eastAsia="Batang" w:hAnsi="Cambria" w:cs="Times New Roman"/>
          <w:color w:val="000000"/>
          <w:sz w:val="21"/>
          <w:szCs w:val="21"/>
          <w:lang w:val="pt-BR"/>
        </w:rPr>
        <w:t>tenham buscado as instâncias estatais para investigar os fatos alegados.</w:t>
      </w:r>
    </w:p>
    <w:p w14:paraId="3E61770F" w14:textId="77777777" w:rsidR="006212FC" w:rsidRPr="00F12123" w:rsidRDefault="006212FC" w:rsidP="006212FC">
      <w:pPr>
        <w:spacing w:after="0"/>
        <w:ind w:left="360"/>
        <w:contextualSpacing/>
        <w:jc w:val="both"/>
        <w:rPr>
          <w:rFonts w:ascii="Cambria" w:eastAsia="Batang" w:hAnsi="Cambria" w:cs="Times New Roman"/>
          <w:color w:val="000000"/>
          <w:sz w:val="21"/>
          <w:szCs w:val="21"/>
          <w:lang w:val="pt-BR"/>
        </w:rPr>
      </w:pPr>
    </w:p>
    <w:p w14:paraId="3C215C4E" w14:textId="0AF1ECE1" w:rsidR="006212FC" w:rsidRPr="00F12123" w:rsidRDefault="00486C8D" w:rsidP="00737DA4">
      <w:pPr>
        <w:numPr>
          <w:ilvl w:val="0"/>
          <w:numId w:val="3"/>
        </w:numPr>
        <w:spacing w:after="0"/>
        <w:ind w:left="0" w:firstLine="360"/>
        <w:contextualSpacing/>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Não obstante, a</w:t>
      </w:r>
      <w:r w:rsidR="006212FC" w:rsidRPr="00F12123">
        <w:rPr>
          <w:rFonts w:ascii="Cambria" w:eastAsia="Batang" w:hAnsi="Cambria" w:cs="Times New Roman"/>
          <w:color w:val="000000"/>
          <w:sz w:val="21"/>
          <w:szCs w:val="21"/>
          <w:lang w:val="pt-BR"/>
        </w:rPr>
        <w:t xml:space="preserve"> documentação fornecida pelo Estado indica o seguimento que os órgãos estatais fizeram da situação exposta. Em 2011, em uma nota técnica do estado da Bahia, observa-se o registro de queixas sobre uma situação de conflito, tendo o Estado promovido uma audiência e uma </w:t>
      </w:r>
      <w:r w:rsidR="001633AF" w:rsidRPr="00F12123">
        <w:rPr>
          <w:rFonts w:ascii="Cambria" w:eastAsia="Batang" w:hAnsi="Cambria" w:cs="Times New Roman"/>
          <w:color w:val="000000"/>
          <w:sz w:val="21"/>
          <w:szCs w:val="21"/>
          <w:lang w:val="pt-BR"/>
        </w:rPr>
        <w:t>reunião</w:t>
      </w:r>
      <w:r w:rsidR="006212FC" w:rsidRPr="00F12123">
        <w:rPr>
          <w:rFonts w:ascii="Cambria" w:eastAsia="Batang" w:hAnsi="Cambria" w:cs="Times New Roman"/>
          <w:color w:val="000000"/>
          <w:sz w:val="21"/>
          <w:szCs w:val="21"/>
          <w:lang w:val="pt-BR"/>
        </w:rPr>
        <w:t xml:space="preserve"> sobre o assunto</w:t>
      </w:r>
      <w:r w:rsidR="0004204E" w:rsidRPr="00F12123">
        <w:rPr>
          <w:rFonts w:ascii="Cambria" w:eastAsia="Batang" w:hAnsi="Cambria" w:cs="Times New Roman"/>
          <w:color w:val="000000"/>
          <w:sz w:val="21"/>
          <w:szCs w:val="21"/>
          <w:lang w:val="pt-BR"/>
        </w:rPr>
        <w:t xml:space="preserve">, incluindo esse tema também em </w:t>
      </w:r>
      <w:r w:rsidR="001633AF" w:rsidRPr="00F12123">
        <w:rPr>
          <w:rFonts w:ascii="Cambria" w:eastAsia="Batang" w:hAnsi="Cambria" w:cs="Times New Roman"/>
          <w:color w:val="000000"/>
          <w:sz w:val="21"/>
          <w:szCs w:val="21"/>
          <w:lang w:val="pt-BR"/>
        </w:rPr>
        <w:t>um “Mapa parcial de situações de conflito”. Além disso, enviou-se cópia de uma ata de uma reunião, com</w:t>
      </w:r>
      <w:r w:rsidR="00842B36" w:rsidRPr="00F12123">
        <w:rPr>
          <w:rFonts w:ascii="Cambria" w:eastAsia="Batang" w:hAnsi="Cambria" w:cs="Times New Roman"/>
          <w:color w:val="000000"/>
          <w:sz w:val="21"/>
          <w:szCs w:val="21"/>
          <w:lang w:val="pt-BR"/>
        </w:rPr>
        <w:t xml:space="preserve"> data de 23 de agosto de 2011, na qual os </w:t>
      </w:r>
      <w:r w:rsidR="00842B36" w:rsidRPr="00F12123">
        <w:rPr>
          <w:rFonts w:ascii="Cambria" w:eastAsia="Batang" w:hAnsi="Cambria" w:cs="Times New Roman"/>
          <w:color w:val="000000"/>
          <w:sz w:val="21"/>
          <w:szCs w:val="21"/>
          <w:lang w:val="pt-BR"/>
        </w:rPr>
        <w:lastRenderedPageBreak/>
        <w:t>membros da Comunidade Remanescentes do Quilombo Rio dos Macacos relataram “situações de agressão e violência”. A modo de exemplo, aleg</w:t>
      </w:r>
      <w:r>
        <w:rPr>
          <w:rFonts w:ascii="Cambria" w:eastAsia="Batang" w:hAnsi="Cambria" w:cs="Times New Roman"/>
          <w:color w:val="000000"/>
          <w:sz w:val="21"/>
          <w:szCs w:val="21"/>
          <w:lang w:val="pt-BR"/>
        </w:rPr>
        <w:t>ou-se</w:t>
      </w:r>
      <w:r w:rsidR="00842B36" w:rsidRPr="00F12123">
        <w:rPr>
          <w:rFonts w:ascii="Cambria" w:eastAsia="Batang" w:hAnsi="Cambria" w:cs="Times New Roman"/>
          <w:color w:val="000000"/>
          <w:sz w:val="21"/>
          <w:szCs w:val="21"/>
          <w:lang w:val="pt-BR"/>
        </w:rPr>
        <w:t xml:space="preserve"> que “pessoas da </w:t>
      </w:r>
      <w:r w:rsidR="003F74AA" w:rsidRPr="00F12123">
        <w:rPr>
          <w:rFonts w:ascii="Cambria" w:eastAsia="Batang" w:hAnsi="Cambria" w:cs="Times New Roman"/>
          <w:color w:val="000000"/>
          <w:sz w:val="21"/>
          <w:szCs w:val="21"/>
          <w:lang w:val="pt-BR"/>
        </w:rPr>
        <w:t>Comunidade</w:t>
      </w:r>
      <w:r w:rsidR="00842B36" w:rsidRPr="00F12123">
        <w:rPr>
          <w:rFonts w:ascii="Cambria" w:eastAsia="Batang" w:hAnsi="Cambria" w:cs="Times New Roman"/>
          <w:color w:val="000000"/>
          <w:sz w:val="21"/>
          <w:szCs w:val="21"/>
          <w:lang w:val="pt-BR"/>
        </w:rPr>
        <w:t xml:space="preserve"> foram presas sem justifica</w:t>
      </w:r>
      <w:r w:rsidR="003F74AA" w:rsidRPr="00F12123">
        <w:rPr>
          <w:rFonts w:ascii="Cambria" w:eastAsia="Batang" w:hAnsi="Cambria" w:cs="Times New Roman"/>
          <w:color w:val="000000"/>
          <w:sz w:val="21"/>
          <w:szCs w:val="21"/>
          <w:lang w:val="pt-BR"/>
        </w:rPr>
        <w:t>tiva</w:t>
      </w:r>
      <w:r w:rsidR="00842B36" w:rsidRPr="00F12123">
        <w:rPr>
          <w:rFonts w:ascii="Cambria" w:eastAsia="Batang" w:hAnsi="Cambria" w:cs="Times New Roman"/>
          <w:color w:val="000000"/>
          <w:sz w:val="21"/>
          <w:szCs w:val="21"/>
          <w:lang w:val="pt-BR"/>
        </w:rPr>
        <w:t xml:space="preserve"> e agredidas, seus direitos de ir e vir foram ce</w:t>
      </w:r>
      <w:r w:rsidR="003F74AA" w:rsidRPr="00F12123">
        <w:rPr>
          <w:rFonts w:ascii="Cambria" w:eastAsia="Batang" w:hAnsi="Cambria" w:cs="Times New Roman"/>
          <w:color w:val="000000"/>
          <w:sz w:val="21"/>
          <w:szCs w:val="21"/>
          <w:lang w:val="pt-BR"/>
        </w:rPr>
        <w:t>rceados, por terem sido impedida</w:t>
      </w:r>
      <w:r w:rsidR="00842B36" w:rsidRPr="00F12123">
        <w:rPr>
          <w:rFonts w:ascii="Cambria" w:eastAsia="Batang" w:hAnsi="Cambria" w:cs="Times New Roman"/>
          <w:color w:val="000000"/>
          <w:sz w:val="21"/>
          <w:szCs w:val="21"/>
          <w:lang w:val="pt-BR"/>
        </w:rPr>
        <w:t>s de entrar e de sair</w:t>
      </w:r>
      <w:r w:rsidR="003F74AA" w:rsidRPr="00F12123">
        <w:rPr>
          <w:rFonts w:ascii="Cambria" w:eastAsia="Batang" w:hAnsi="Cambria" w:cs="Times New Roman"/>
          <w:color w:val="000000"/>
          <w:sz w:val="21"/>
          <w:szCs w:val="21"/>
          <w:lang w:val="pt-BR"/>
        </w:rPr>
        <w:t>. Crianças tiveram armas apontadas para suas cabeças e têm sintomas de depressão. Mulheres grávidas foram impedidas de sair da comunidade para dar à luz. Um bebê nasceu no barro, [...] outra mãe perdeu um bebê ao bater a cabeça no chão ao nascer. O acesso de veículos foi impedido, incluso das ambul</w:t>
      </w:r>
      <w:r w:rsidR="006E7093" w:rsidRPr="00F12123">
        <w:rPr>
          <w:rFonts w:ascii="Cambria" w:eastAsia="Batang" w:hAnsi="Cambria" w:cs="Times New Roman"/>
          <w:color w:val="000000"/>
          <w:sz w:val="21"/>
          <w:szCs w:val="21"/>
          <w:lang w:val="pt-BR"/>
        </w:rPr>
        <w:t>â</w:t>
      </w:r>
      <w:r w:rsidR="003F74AA" w:rsidRPr="00F12123">
        <w:rPr>
          <w:rFonts w:ascii="Cambria" w:eastAsia="Batang" w:hAnsi="Cambria" w:cs="Times New Roman"/>
          <w:color w:val="000000"/>
          <w:sz w:val="21"/>
          <w:szCs w:val="21"/>
          <w:lang w:val="pt-BR"/>
        </w:rPr>
        <w:t>ncias. Uma casa de Candomblé</w:t>
      </w:r>
      <w:r w:rsidR="003F74AA" w:rsidRPr="00F12123">
        <w:rPr>
          <w:rStyle w:val="FootnoteReference"/>
          <w:rFonts w:ascii="Cambria" w:eastAsia="Batang" w:hAnsi="Cambria" w:cs="Times New Roman"/>
          <w:color w:val="000000"/>
          <w:sz w:val="21"/>
          <w:szCs w:val="21"/>
          <w:lang w:val="pt-BR"/>
        </w:rPr>
        <w:footnoteReference w:id="6"/>
      </w:r>
      <w:r w:rsidR="006E7093" w:rsidRPr="00F12123">
        <w:rPr>
          <w:rFonts w:ascii="Cambria" w:eastAsia="Batang" w:hAnsi="Cambria" w:cs="Times New Roman"/>
          <w:color w:val="000000"/>
          <w:sz w:val="21"/>
          <w:szCs w:val="21"/>
          <w:lang w:val="pt-BR"/>
        </w:rPr>
        <w:t xml:space="preserve"> teve que ser fechada porque entravam no Terreiro e agrediam as pessoas [...]. Houve disparos contra a bacia de roupa de uma quilombola, como forma de intimidação”.</w:t>
      </w:r>
    </w:p>
    <w:p w14:paraId="66DEFEB7" w14:textId="77777777" w:rsidR="006E7093" w:rsidRPr="00F12123" w:rsidRDefault="006E7093" w:rsidP="0046284C">
      <w:pPr>
        <w:spacing w:after="0"/>
        <w:ind w:left="360"/>
        <w:contextualSpacing/>
        <w:jc w:val="both"/>
        <w:rPr>
          <w:rFonts w:ascii="Cambria" w:eastAsia="Batang" w:hAnsi="Cambria" w:cs="Times New Roman"/>
          <w:color w:val="000000"/>
          <w:sz w:val="21"/>
          <w:szCs w:val="21"/>
          <w:lang w:val="pt-BR"/>
        </w:rPr>
      </w:pPr>
    </w:p>
    <w:p w14:paraId="13DE9F48" w14:textId="38871D17" w:rsidR="006E7093" w:rsidRPr="00F12123" w:rsidRDefault="00486C8D" w:rsidP="00737DA4">
      <w:pPr>
        <w:numPr>
          <w:ilvl w:val="0"/>
          <w:numId w:val="3"/>
        </w:numPr>
        <w:spacing w:after="0"/>
        <w:ind w:left="0" w:firstLine="360"/>
        <w:contextualSpacing/>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O</w:t>
      </w:r>
      <w:r w:rsidR="006E7093" w:rsidRPr="00F12123">
        <w:rPr>
          <w:rFonts w:ascii="Cambria" w:eastAsia="Batang" w:hAnsi="Cambria" w:cs="Times New Roman"/>
          <w:color w:val="000000"/>
          <w:sz w:val="21"/>
          <w:szCs w:val="21"/>
          <w:lang w:val="pt-BR"/>
        </w:rPr>
        <w:t xml:space="preserve"> Estado </w:t>
      </w:r>
      <w:r w:rsidR="0046284C" w:rsidRPr="00F12123">
        <w:rPr>
          <w:rFonts w:ascii="Cambria" w:eastAsia="Batang" w:hAnsi="Cambria" w:cs="Times New Roman"/>
          <w:color w:val="000000"/>
          <w:sz w:val="21"/>
          <w:szCs w:val="21"/>
          <w:lang w:val="pt-BR"/>
        </w:rPr>
        <w:t>adicionou</w:t>
      </w:r>
      <w:r w:rsidR="006E7093" w:rsidRPr="00F12123">
        <w:rPr>
          <w:rFonts w:ascii="Cambria" w:eastAsia="Batang" w:hAnsi="Cambria" w:cs="Times New Roman"/>
          <w:color w:val="000000"/>
          <w:sz w:val="21"/>
          <w:szCs w:val="21"/>
          <w:lang w:val="pt-BR"/>
        </w:rPr>
        <w:t xml:space="preserve"> que, de fato, </w:t>
      </w:r>
      <w:r w:rsidR="0046284C" w:rsidRPr="00F12123">
        <w:rPr>
          <w:rFonts w:ascii="Cambria" w:eastAsia="Batang" w:hAnsi="Cambria" w:cs="Times New Roman"/>
          <w:color w:val="000000"/>
          <w:sz w:val="21"/>
          <w:szCs w:val="21"/>
          <w:lang w:val="pt-BR"/>
        </w:rPr>
        <w:t xml:space="preserve">efetua-se controle das vias de acesso à Comunidade, pois é necessário passar pelo portão da Vila Naval, uma área militar a qual, “por sua própria natureza”, tem acesso restrito. No entanto, </w:t>
      </w:r>
      <w:r w:rsidR="00F70E4B" w:rsidRPr="00F12123">
        <w:rPr>
          <w:rFonts w:ascii="Cambria" w:eastAsia="Batang" w:hAnsi="Cambria" w:cs="Times New Roman"/>
          <w:color w:val="000000"/>
          <w:sz w:val="21"/>
          <w:szCs w:val="21"/>
          <w:lang w:val="pt-BR"/>
        </w:rPr>
        <w:t>manter-se-ia</w:t>
      </w:r>
      <w:r w:rsidR="0046284C" w:rsidRPr="00F12123">
        <w:rPr>
          <w:rFonts w:ascii="Cambria" w:eastAsia="Batang" w:hAnsi="Cambria" w:cs="Times New Roman"/>
          <w:color w:val="000000"/>
          <w:sz w:val="21"/>
          <w:szCs w:val="21"/>
          <w:lang w:val="pt-BR"/>
        </w:rPr>
        <w:t xml:space="preserve"> um registro de todos os membros das famílias moradoras da Comunidade, assim como de seus parentes e eventuais convidados, quem são previamente </w:t>
      </w:r>
      <w:r w:rsidR="00F70E4B" w:rsidRPr="00F12123">
        <w:rPr>
          <w:rFonts w:ascii="Cambria" w:eastAsia="Batang" w:hAnsi="Cambria" w:cs="Times New Roman"/>
          <w:color w:val="000000"/>
          <w:sz w:val="21"/>
          <w:szCs w:val="21"/>
          <w:lang w:val="pt-BR"/>
        </w:rPr>
        <w:t>declarados</w:t>
      </w:r>
      <w:r w:rsidR="0046284C" w:rsidRPr="00F12123">
        <w:rPr>
          <w:rFonts w:ascii="Cambria" w:eastAsia="Batang" w:hAnsi="Cambria" w:cs="Times New Roman"/>
          <w:color w:val="000000"/>
          <w:sz w:val="21"/>
          <w:szCs w:val="21"/>
          <w:lang w:val="pt-BR"/>
        </w:rPr>
        <w:t xml:space="preserve"> como visitantes, para lhes garantir a entrada no lugar. Para </w:t>
      </w:r>
      <w:r w:rsidR="00F70E4B" w:rsidRPr="00F12123">
        <w:rPr>
          <w:rFonts w:ascii="Cambria" w:eastAsia="Batang" w:hAnsi="Cambria" w:cs="Times New Roman"/>
          <w:color w:val="000000"/>
          <w:sz w:val="21"/>
          <w:szCs w:val="21"/>
          <w:lang w:val="pt-BR"/>
        </w:rPr>
        <w:t>autorizar</w:t>
      </w:r>
      <w:r w:rsidR="0046284C" w:rsidRPr="00F12123">
        <w:rPr>
          <w:rFonts w:ascii="Cambria" w:eastAsia="Batang" w:hAnsi="Cambria" w:cs="Times New Roman"/>
          <w:color w:val="000000"/>
          <w:sz w:val="21"/>
          <w:szCs w:val="21"/>
          <w:lang w:val="pt-BR"/>
        </w:rPr>
        <w:t xml:space="preserve"> a entrada de </w:t>
      </w:r>
      <w:r w:rsidR="00F70E4B" w:rsidRPr="00F12123">
        <w:rPr>
          <w:rFonts w:ascii="Cambria" w:eastAsia="Batang" w:hAnsi="Cambria" w:cs="Times New Roman"/>
          <w:color w:val="000000"/>
          <w:sz w:val="21"/>
          <w:szCs w:val="21"/>
          <w:lang w:val="pt-BR"/>
        </w:rPr>
        <w:t>visitantes</w:t>
      </w:r>
      <w:r w:rsidR="0046284C" w:rsidRPr="00F12123">
        <w:rPr>
          <w:rFonts w:ascii="Cambria" w:eastAsia="Batang" w:hAnsi="Cambria" w:cs="Times New Roman"/>
          <w:color w:val="000000"/>
          <w:sz w:val="21"/>
          <w:szCs w:val="21"/>
          <w:lang w:val="pt-BR"/>
        </w:rPr>
        <w:t>, cabe solicitar autorização ao comandante responsável, mas em situações de emergência “a entrada de ambulância e profissionais de saúde do Sistema Único de Saúde (SUS) é prontamente autorizada”.</w:t>
      </w:r>
    </w:p>
    <w:p w14:paraId="5E9136BD" w14:textId="77777777" w:rsidR="00F70E4B" w:rsidRPr="00F12123" w:rsidRDefault="00F70E4B" w:rsidP="00F70E4B">
      <w:pPr>
        <w:spacing w:after="0"/>
        <w:ind w:left="360"/>
        <w:contextualSpacing/>
        <w:jc w:val="both"/>
        <w:rPr>
          <w:rFonts w:ascii="Cambria" w:eastAsia="Batang" w:hAnsi="Cambria" w:cs="Times New Roman"/>
          <w:color w:val="000000"/>
          <w:sz w:val="21"/>
          <w:szCs w:val="21"/>
          <w:lang w:val="pt-BR"/>
        </w:rPr>
      </w:pPr>
    </w:p>
    <w:p w14:paraId="03EDE999" w14:textId="04132FD2" w:rsidR="00F70E4B" w:rsidRPr="00F12123" w:rsidRDefault="00F70E4B" w:rsidP="00D41FDF">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O Estado também agregou que o primeiro passo depois da identificação da área pelo INCRA é a construção de acessos independentes à comunidade. Sem embargo, alegou que, para fazê-</w:t>
      </w:r>
      <w:r w:rsidR="00D41FDF" w:rsidRPr="00F12123">
        <w:rPr>
          <w:rFonts w:ascii="Cambria" w:eastAsia="Batang" w:hAnsi="Cambria" w:cs="Times New Roman"/>
          <w:color w:val="000000"/>
          <w:sz w:val="21"/>
          <w:szCs w:val="21"/>
          <w:lang w:val="pt-BR"/>
        </w:rPr>
        <w:t>la</w:t>
      </w:r>
      <w:r w:rsidR="00F779B8">
        <w:rPr>
          <w:rFonts w:ascii="Cambria" w:eastAsia="Batang" w:hAnsi="Cambria" w:cs="Times New Roman"/>
          <w:color w:val="000000"/>
          <w:sz w:val="21"/>
          <w:szCs w:val="21"/>
          <w:lang w:val="pt-BR"/>
        </w:rPr>
        <w:t>s</w:t>
      </w:r>
      <w:r w:rsidRPr="00F12123">
        <w:rPr>
          <w:rFonts w:ascii="Cambria" w:eastAsia="Batang" w:hAnsi="Cambria" w:cs="Times New Roman"/>
          <w:color w:val="000000"/>
          <w:sz w:val="21"/>
          <w:szCs w:val="21"/>
          <w:lang w:val="pt-BR"/>
        </w:rPr>
        <w:t xml:space="preserve"> viável, é necessária a construção de um muro entre a Comunidade e a área </w:t>
      </w:r>
      <w:r w:rsidR="00486C8D">
        <w:rPr>
          <w:rFonts w:ascii="Cambria" w:eastAsia="Batang" w:hAnsi="Cambria" w:cs="Times New Roman"/>
          <w:color w:val="000000"/>
          <w:sz w:val="21"/>
          <w:szCs w:val="21"/>
          <w:lang w:val="pt-BR"/>
        </w:rPr>
        <w:t>pública</w:t>
      </w:r>
      <w:r w:rsidRPr="00F12123">
        <w:rPr>
          <w:rFonts w:ascii="Cambria" w:eastAsia="Batang" w:hAnsi="Cambria" w:cs="Times New Roman"/>
          <w:color w:val="000000"/>
          <w:sz w:val="21"/>
          <w:szCs w:val="21"/>
          <w:lang w:val="pt-BR"/>
        </w:rPr>
        <w:t xml:space="preserve">, afirmando “não </w:t>
      </w:r>
      <w:r w:rsidR="00D41FDF" w:rsidRPr="00F12123">
        <w:rPr>
          <w:rFonts w:ascii="Cambria" w:eastAsia="Batang" w:hAnsi="Cambria" w:cs="Times New Roman"/>
          <w:color w:val="000000"/>
          <w:sz w:val="21"/>
          <w:szCs w:val="21"/>
          <w:lang w:val="pt-BR"/>
        </w:rPr>
        <w:t>[ser]</w:t>
      </w:r>
      <w:r w:rsidRPr="00F12123">
        <w:rPr>
          <w:rFonts w:ascii="Cambria" w:eastAsia="Batang" w:hAnsi="Cambria" w:cs="Times New Roman"/>
          <w:color w:val="000000"/>
          <w:sz w:val="21"/>
          <w:szCs w:val="21"/>
          <w:lang w:val="pt-BR"/>
        </w:rPr>
        <w:t xml:space="preserve"> possível construir as estradas sem o muro</w:t>
      </w:r>
      <w:r w:rsidR="00D41FDF" w:rsidRPr="00F12123">
        <w:rPr>
          <w:rFonts w:ascii="Cambria" w:eastAsia="Batang" w:hAnsi="Cambria" w:cs="Times New Roman"/>
          <w:color w:val="000000"/>
          <w:sz w:val="21"/>
          <w:szCs w:val="21"/>
          <w:lang w:val="pt-BR"/>
        </w:rPr>
        <w:t>”. Por outro lado, sobre o acesso à políticas públicas (educação, saúde, saneamento básico), salientou que “a Comunidade rejeitou toda e qualquer implementação de política pública que buscasse solucionar, por exemplo, a questão do abastecimento, como a construção de açudes ou poços artesianos”. Com relação às solicitações de vigilância policial, proteção aos defensores de direitos humanos e instalação de iluminação pública, o Estado afirmou que “os pedidos nem sequer foram efetuados aos órgãos competentes”.</w:t>
      </w:r>
    </w:p>
    <w:p w14:paraId="59274C80" w14:textId="77777777" w:rsidR="00975A70" w:rsidRPr="00F12123" w:rsidRDefault="00975A70" w:rsidP="00975A70">
      <w:pPr>
        <w:spacing w:after="0"/>
        <w:ind w:left="360"/>
        <w:contextualSpacing/>
        <w:jc w:val="both"/>
        <w:rPr>
          <w:rFonts w:ascii="Cambria" w:eastAsia="Batang" w:hAnsi="Cambria" w:cs="Times New Roman"/>
          <w:color w:val="000000"/>
          <w:sz w:val="21"/>
          <w:szCs w:val="21"/>
          <w:lang w:val="pt-BR"/>
        </w:rPr>
      </w:pPr>
    </w:p>
    <w:p w14:paraId="53AEB400" w14:textId="77777777" w:rsidR="00975A70" w:rsidRPr="00F12123" w:rsidRDefault="00975A70" w:rsidP="00975A70">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Sobre o assassinato do senhor José Isídio Dias, alegou-se que a autoria do crime teria sido identificada como responsabilidade de um adolescente da Comunidade Quilombola, quem anteriormente teria sido supostamente acusado de um furto pela vítima. Nesse sentido, o Estado alegou que o assassinato foi um fato desconectado do conflito de terra.</w:t>
      </w:r>
    </w:p>
    <w:p w14:paraId="703C343F" w14:textId="77777777" w:rsidR="00975A70" w:rsidRPr="00F12123" w:rsidRDefault="00975A70" w:rsidP="005C7E60">
      <w:pPr>
        <w:spacing w:after="0"/>
        <w:ind w:left="360"/>
        <w:contextualSpacing/>
        <w:jc w:val="both"/>
        <w:rPr>
          <w:rFonts w:ascii="Cambria" w:eastAsia="Batang" w:hAnsi="Cambria" w:cs="Times New Roman"/>
          <w:color w:val="000000"/>
          <w:sz w:val="21"/>
          <w:szCs w:val="21"/>
          <w:lang w:val="pt-BR"/>
        </w:rPr>
      </w:pPr>
    </w:p>
    <w:p w14:paraId="50AD4355" w14:textId="00023096" w:rsidR="00975A70" w:rsidRPr="00F12123" w:rsidRDefault="00975A70" w:rsidP="00975A70">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Além disso, o Estado alegou que sua legislação doméstica prevê a proteção dos</w:t>
      </w:r>
      <w:r w:rsidR="00577AB3">
        <w:rPr>
          <w:rFonts w:ascii="Cambria" w:eastAsia="Batang" w:hAnsi="Cambria" w:cs="Times New Roman"/>
          <w:color w:val="000000"/>
          <w:sz w:val="21"/>
          <w:szCs w:val="21"/>
          <w:lang w:val="pt-BR"/>
        </w:rPr>
        <w:t xml:space="preserve"> povos</w:t>
      </w:r>
      <w:r w:rsidRPr="00F12123">
        <w:rPr>
          <w:rFonts w:ascii="Cambria" w:eastAsia="Batang" w:hAnsi="Cambria" w:cs="Times New Roman"/>
          <w:color w:val="000000"/>
          <w:sz w:val="21"/>
          <w:szCs w:val="21"/>
          <w:lang w:val="pt-BR"/>
        </w:rPr>
        <w:t xml:space="preserve"> quilombolas, </w:t>
      </w:r>
      <w:r w:rsidR="005C7E60" w:rsidRPr="00F12123">
        <w:rPr>
          <w:rFonts w:ascii="Cambria" w:eastAsia="Batang" w:hAnsi="Cambria" w:cs="Times New Roman"/>
          <w:color w:val="000000"/>
          <w:sz w:val="21"/>
          <w:szCs w:val="21"/>
          <w:lang w:val="pt-BR"/>
        </w:rPr>
        <w:t>dispondo</w:t>
      </w:r>
      <w:r w:rsidRPr="00F12123">
        <w:rPr>
          <w:rFonts w:ascii="Cambria" w:eastAsia="Batang" w:hAnsi="Cambria" w:cs="Times New Roman"/>
          <w:color w:val="000000"/>
          <w:sz w:val="21"/>
          <w:szCs w:val="21"/>
          <w:lang w:val="pt-BR"/>
        </w:rPr>
        <w:t xml:space="preserve"> para tal fim órgãos especializados na promoção da igualdade racial. Também se indicou que os membros da referida Comunidade estão contemplados no </w:t>
      </w:r>
      <w:r w:rsidR="005C7E60" w:rsidRPr="00F12123">
        <w:rPr>
          <w:rFonts w:ascii="Cambria" w:eastAsia="Batang" w:hAnsi="Cambria" w:cs="Times New Roman"/>
          <w:color w:val="000000"/>
          <w:sz w:val="21"/>
          <w:szCs w:val="21"/>
          <w:lang w:val="pt-BR"/>
        </w:rPr>
        <w:t>programa</w:t>
      </w:r>
      <w:r w:rsidRPr="00F12123">
        <w:rPr>
          <w:rFonts w:ascii="Cambria" w:eastAsia="Batang" w:hAnsi="Cambria" w:cs="Times New Roman"/>
          <w:color w:val="000000"/>
          <w:sz w:val="21"/>
          <w:szCs w:val="21"/>
          <w:lang w:val="pt-BR"/>
        </w:rPr>
        <w:t xml:space="preserve"> de proteção aos defensores de direitos humanos do estado da Bahia. </w:t>
      </w:r>
      <w:r w:rsidR="005C7E60" w:rsidRPr="00F12123">
        <w:rPr>
          <w:rFonts w:ascii="Cambria" w:eastAsia="Batang" w:hAnsi="Cambria" w:cs="Times New Roman"/>
          <w:color w:val="000000"/>
          <w:sz w:val="21"/>
          <w:szCs w:val="21"/>
          <w:lang w:val="pt-BR"/>
        </w:rPr>
        <w:t>Particularmente</w:t>
      </w:r>
      <w:r w:rsidRPr="00F12123">
        <w:rPr>
          <w:rFonts w:ascii="Cambria" w:eastAsia="Batang" w:hAnsi="Cambria" w:cs="Times New Roman"/>
          <w:color w:val="000000"/>
          <w:sz w:val="21"/>
          <w:szCs w:val="21"/>
          <w:lang w:val="pt-BR"/>
        </w:rPr>
        <w:t xml:space="preserve"> com relação aos eventos de </w:t>
      </w:r>
      <w:r w:rsidR="005C7E60" w:rsidRPr="00F12123">
        <w:rPr>
          <w:rFonts w:ascii="Cambria" w:eastAsia="Batang" w:hAnsi="Cambria" w:cs="Times New Roman"/>
          <w:color w:val="000000"/>
          <w:sz w:val="21"/>
          <w:szCs w:val="21"/>
          <w:lang w:val="pt-BR"/>
        </w:rPr>
        <w:t>tentativa</w:t>
      </w:r>
      <w:r w:rsidRPr="00F12123">
        <w:rPr>
          <w:rFonts w:ascii="Cambria" w:eastAsia="Batang" w:hAnsi="Cambria" w:cs="Times New Roman"/>
          <w:color w:val="000000"/>
          <w:sz w:val="21"/>
          <w:szCs w:val="21"/>
          <w:lang w:val="pt-BR"/>
        </w:rPr>
        <w:t xml:space="preserve"> de </w:t>
      </w:r>
      <w:r w:rsidR="005C7E60" w:rsidRPr="00F12123">
        <w:rPr>
          <w:rFonts w:ascii="Cambria" w:eastAsia="Batang" w:hAnsi="Cambria" w:cs="Times New Roman"/>
          <w:color w:val="000000"/>
          <w:sz w:val="21"/>
          <w:szCs w:val="21"/>
          <w:lang w:val="pt-BR"/>
        </w:rPr>
        <w:t xml:space="preserve">invasão e intimidação das pessoas propostas como beneficiárias no período noturno, o Estado informou que se teria registrado denúncias e que “as diligências ainda se encontram em andamento”. Segundo a informação enviada, dentro do possível, ter-se-ia implementado rondas policiais e </w:t>
      </w:r>
      <w:r w:rsidR="00731366" w:rsidRPr="00F12123">
        <w:rPr>
          <w:rFonts w:ascii="Cambria" w:eastAsia="Batang" w:hAnsi="Cambria" w:cs="Times New Roman"/>
          <w:color w:val="000000"/>
          <w:sz w:val="21"/>
          <w:szCs w:val="21"/>
          <w:lang w:val="pt-BR"/>
        </w:rPr>
        <w:t>fornecido um contato telefônico com a polícia para facilitar a assistência a possíveis eventos. Tais rondas não poderiam ser realizadas no período noturno, “[...] por não haver pavimentação, e sim muitos aclives e declives com muitas ‘valas’, que dificultam e muito o tráfego das viaturas; aliado à inexistência de iluminação na via de acesso ao sobredito quilombo, que pode propiciar possíveis acidentes naquele acesso improvisado”.</w:t>
      </w:r>
    </w:p>
    <w:p w14:paraId="21FCE3D4" w14:textId="77777777" w:rsidR="00AD6220" w:rsidRPr="00A354B5" w:rsidRDefault="00AD6220" w:rsidP="00D51F89">
      <w:pPr>
        <w:spacing w:after="0" w:line="240" w:lineRule="auto"/>
        <w:contextualSpacing/>
        <w:jc w:val="both"/>
        <w:rPr>
          <w:rFonts w:ascii="Cambria" w:eastAsia="Batang" w:hAnsi="Cambria" w:cs="Times New Roman"/>
          <w:color w:val="000000"/>
          <w:sz w:val="21"/>
          <w:szCs w:val="21"/>
          <w:lang w:val="pt-BR"/>
        </w:rPr>
      </w:pPr>
    </w:p>
    <w:p w14:paraId="7DBD0E95" w14:textId="77777777" w:rsidR="00AD6220" w:rsidRPr="00A354B5" w:rsidRDefault="00AD6220" w:rsidP="00D51F89">
      <w:pPr>
        <w:pStyle w:val="ListParagraph"/>
        <w:numPr>
          <w:ilvl w:val="0"/>
          <w:numId w:val="4"/>
        </w:numPr>
        <w:spacing w:after="0" w:line="240" w:lineRule="auto"/>
        <w:jc w:val="both"/>
        <w:rPr>
          <w:rFonts w:ascii="Cambria" w:eastAsia="Batang" w:hAnsi="Cambria" w:cs="Times New Roman"/>
          <w:b/>
          <w:color w:val="000000"/>
          <w:sz w:val="21"/>
          <w:szCs w:val="21"/>
          <w:lang w:val="pt-BR"/>
        </w:rPr>
      </w:pPr>
      <w:r w:rsidRPr="00A354B5">
        <w:rPr>
          <w:rFonts w:ascii="Cambria" w:eastAsia="Batang" w:hAnsi="Cambria" w:cs="Times New Roman"/>
          <w:b/>
          <w:color w:val="000000"/>
          <w:sz w:val="21"/>
          <w:szCs w:val="21"/>
          <w:lang w:val="pt-BR"/>
        </w:rPr>
        <w:t>Informa</w:t>
      </w:r>
      <w:r w:rsidR="00731366" w:rsidRPr="00A354B5">
        <w:rPr>
          <w:rFonts w:ascii="Cambria" w:eastAsia="Batang" w:hAnsi="Cambria" w:cs="Times New Roman"/>
          <w:b/>
          <w:color w:val="000000"/>
          <w:sz w:val="21"/>
          <w:szCs w:val="21"/>
          <w:lang w:val="pt-BR"/>
        </w:rPr>
        <w:t>ção</w:t>
      </w:r>
      <w:r w:rsidRPr="00A354B5">
        <w:rPr>
          <w:rFonts w:ascii="Cambria" w:eastAsia="Batang" w:hAnsi="Cambria" w:cs="Times New Roman"/>
          <w:b/>
          <w:color w:val="000000"/>
          <w:sz w:val="21"/>
          <w:szCs w:val="21"/>
          <w:lang w:val="pt-BR"/>
        </w:rPr>
        <w:t xml:space="preserve"> </w:t>
      </w:r>
      <w:r w:rsidR="005A24AA" w:rsidRPr="00A354B5">
        <w:rPr>
          <w:rFonts w:ascii="Cambria" w:eastAsia="Batang" w:hAnsi="Cambria" w:cs="Times New Roman"/>
          <w:b/>
          <w:color w:val="000000"/>
          <w:sz w:val="21"/>
          <w:szCs w:val="21"/>
          <w:lang w:val="pt-BR"/>
        </w:rPr>
        <w:t xml:space="preserve">posterior </w:t>
      </w:r>
      <w:r w:rsidRPr="00A354B5">
        <w:rPr>
          <w:rFonts w:ascii="Cambria" w:eastAsia="Batang" w:hAnsi="Cambria" w:cs="Times New Roman"/>
          <w:b/>
          <w:color w:val="000000"/>
          <w:sz w:val="21"/>
          <w:szCs w:val="21"/>
          <w:lang w:val="pt-BR"/>
        </w:rPr>
        <w:t>enviada p</w:t>
      </w:r>
      <w:r w:rsidR="00731366" w:rsidRPr="00A354B5">
        <w:rPr>
          <w:rFonts w:ascii="Cambria" w:eastAsia="Batang" w:hAnsi="Cambria" w:cs="Times New Roman"/>
          <w:b/>
          <w:color w:val="000000"/>
          <w:sz w:val="21"/>
          <w:szCs w:val="21"/>
          <w:lang w:val="pt-BR"/>
        </w:rPr>
        <w:t>elas</w:t>
      </w:r>
      <w:r w:rsidRPr="00A354B5">
        <w:rPr>
          <w:rFonts w:ascii="Cambria" w:eastAsia="Batang" w:hAnsi="Cambria" w:cs="Times New Roman"/>
          <w:b/>
          <w:color w:val="000000"/>
          <w:sz w:val="21"/>
          <w:szCs w:val="21"/>
          <w:lang w:val="pt-BR"/>
        </w:rPr>
        <w:t xml:space="preserve"> partes</w:t>
      </w:r>
    </w:p>
    <w:p w14:paraId="58E570C6" w14:textId="77777777" w:rsidR="00AD6220" w:rsidRPr="00A354B5" w:rsidRDefault="00AD6220" w:rsidP="00D51F89">
      <w:pPr>
        <w:spacing w:after="0" w:line="240" w:lineRule="auto"/>
        <w:contextualSpacing/>
        <w:jc w:val="both"/>
        <w:rPr>
          <w:rFonts w:ascii="Cambria" w:eastAsia="Batang" w:hAnsi="Cambria" w:cs="Times New Roman"/>
          <w:b/>
          <w:color w:val="000000"/>
          <w:sz w:val="21"/>
          <w:szCs w:val="21"/>
          <w:lang w:val="pt-BR"/>
        </w:rPr>
      </w:pPr>
    </w:p>
    <w:p w14:paraId="75244580" w14:textId="77777777" w:rsidR="00AD6220" w:rsidRPr="00A354B5" w:rsidRDefault="005A24AA" w:rsidP="00D51F89">
      <w:pPr>
        <w:pStyle w:val="ListParagraph"/>
        <w:numPr>
          <w:ilvl w:val="1"/>
          <w:numId w:val="4"/>
        </w:numPr>
        <w:spacing w:after="0" w:line="240" w:lineRule="auto"/>
        <w:jc w:val="both"/>
        <w:rPr>
          <w:rFonts w:ascii="Cambria" w:eastAsia="Batang" w:hAnsi="Cambria" w:cs="Times New Roman"/>
          <w:b/>
          <w:color w:val="000000"/>
          <w:sz w:val="21"/>
          <w:szCs w:val="21"/>
          <w:lang w:val="pt-BR"/>
        </w:rPr>
      </w:pPr>
      <w:r w:rsidRPr="00A354B5">
        <w:rPr>
          <w:rFonts w:ascii="Cambria" w:eastAsia="Batang" w:hAnsi="Cambria" w:cs="Times New Roman"/>
          <w:b/>
          <w:color w:val="000000"/>
          <w:sz w:val="21"/>
          <w:szCs w:val="21"/>
          <w:lang w:val="pt-BR"/>
        </w:rPr>
        <w:lastRenderedPageBreak/>
        <w:t>S</w:t>
      </w:r>
      <w:r w:rsidR="00AD6220" w:rsidRPr="00A354B5">
        <w:rPr>
          <w:rFonts w:ascii="Cambria" w:eastAsia="Batang" w:hAnsi="Cambria" w:cs="Times New Roman"/>
          <w:b/>
          <w:color w:val="000000"/>
          <w:sz w:val="21"/>
          <w:szCs w:val="21"/>
          <w:lang w:val="pt-BR"/>
        </w:rPr>
        <w:t>olicitantes</w:t>
      </w:r>
    </w:p>
    <w:p w14:paraId="0B8B3D15" w14:textId="77777777" w:rsidR="00AD6220" w:rsidRPr="00A354B5" w:rsidRDefault="00AD6220" w:rsidP="00D51F89">
      <w:pPr>
        <w:spacing w:after="0" w:line="240" w:lineRule="auto"/>
        <w:contextualSpacing/>
        <w:jc w:val="both"/>
        <w:rPr>
          <w:rFonts w:ascii="Cambria" w:eastAsia="Batang" w:hAnsi="Cambria" w:cs="Times New Roman"/>
          <w:color w:val="000000"/>
          <w:sz w:val="21"/>
          <w:szCs w:val="21"/>
          <w:lang w:val="pt-BR"/>
        </w:rPr>
      </w:pPr>
    </w:p>
    <w:p w14:paraId="77B31296" w14:textId="5B9244A8" w:rsidR="00731366" w:rsidRPr="00F12123" w:rsidRDefault="00731366"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Em 26 de maio de 2020, os solicitantes enviaram informação atualizada, relatando que, com relação à situação de ameaças – principalmente depois do assassinato do senhor José Isídio Dias – nenhuma medida </w:t>
      </w:r>
      <w:r w:rsidR="00851B2B" w:rsidRPr="00F12123">
        <w:rPr>
          <w:rFonts w:ascii="Cambria" w:eastAsia="Batang" w:hAnsi="Cambria" w:cs="Times New Roman"/>
          <w:color w:val="000000"/>
          <w:sz w:val="21"/>
          <w:szCs w:val="21"/>
          <w:lang w:val="pt-BR"/>
        </w:rPr>
        <w:t>efetiva</w:t>
      </w:r>
      <w:r w:rsidRPr="00F12123">
        <w:rPr>
          <w:rFonts w:ascii="Cambria" w:eastAsia="Batang" w:hAnsi="Cambria" w:cs="Times New Roman"/>
          <w:color w:val="000000"/>
          <w:sz w:val="21"/>
          <w:szCs w:val="21"/>
          <w:lang w:val="pt-BR"/>
        </w:rPr>
        <w:t xml:space="preserve"> foi implementada </w:t>
      </w:r>
      <w:r w:rsidR="00851B2B" w:rsidRPr="003E282C">
        <w:rPr>
          <w:rFonts w:ascii="Cambria" w:eastAsia="Batang" w:hAnsi="Cambria" w:cs="Times New Roman"/>
          <w:color w:val="000000"/>
          <w:sz w:val="21"/>
          <w:szCs w:val="21"/>
          <w:lang w:val="pt-BR"/>
        </w:rPr>
        <w:t>até a</w:t>
      </w:r>
      <w:r w:rsidR="00EF6B1E">
        <w:rPr>
          <w:rFonts w:ascii="Cambria" w:eastAsia="Batang" w:hAnsi="Cambria" w:cs="Times New Roman"/>
          <w:color w:val="000000"/>
          <w:sz w:val="21"/>
          <w:szCs w:val="21"/>
          <w:lang w:val="pt-BR"/>
        </w:rPr>
        <w:t>quele momento</w:t>
      </w:r>
      <w:r w:rsidR="00851B2B" w:rsidRPr="003E282C">
        <w:rPr>
          <w:rFonts w:ascii="Cambria" w:eastAsia="Batang" w:hAnsi="Cambria" w:cs="Times New Roman"/>
          <w:color w:val="000000"/>
          <w:sz w:val="21"/>
          <w:szCs w:val="21"/>
          <w:lang w:val="pt-BR"/>
        </w:rPr>
        <w:t>, apesar dos representantes da Comunidade estarem inscritos no programa de proteção a defensores de direitos humanos. A principal solicitação inicialmente manifestada às autoridades por parte das pessoas propostas como ben</w:t>
      </w:r>
      <w:r w:rsidR="00851B2B" w:rsidRPr="00F12123">
        <w:rPr>
          <w:rFonts w:ascii="Cambria" w:eastAsia="Batang" w:hAnsi="Cambria" w:cs="Times New Roman"/>
          <w:color w:val="000000"/>
          <w:sz w:val="21"/>
          <w:szCs w:val="21"/>
          <w:lang w:val="pt-BR"/>
        </w:rPr>
        <w:t>eficiaras com relação ao Programa de Proteção foi a necessidade de contar com rondas policiais no período noturno. No entanto, essa medida não chegou a se concretizar</w:t>
      </w:r>
      <w:r w:rsidR="00523C1B" w:rsidRPr="00F12123">
        <w:rPr>
          <w:rFonts w:ascii="Cambria" w:eastAsia="Batang" w:hAnsi="Cambria" w:cs="Times New Roman"/>
          <w:color w:val="000000"/>
          <w:sz w:val="21"/>
          <w:szCs w:val="21"/>
          <w:lang w:val="pt-BR"/>
        </w:rPr>
        <w:t xml:space="preserve">, limitando-se assim </w:t>
      </w:r>
      <w:r w:rsidR="004E3C89">
        <w:rPr>
          <w:rFonts w:ascii="Cambria" w:eastAsia="Batang" w:hAnsi="Cambria" w:cs="Times New Roman"/>
          <w:color w:val="000000"/>
          <w:sz w:val="21"/>
          <w:szCs w:val="21"/>
          <w:lang w:val="pt-BR"/>
        </w:rPr>
        <w:t>à</w:t>
      </w:r>
      <w:r w:rsidR="00523C1B" w:rsidRPr="00F12123">
        <w:rPr>
          <w:rFonts w:ascii="Cambria" w:eastAsia="Batang" w:hAnsi="Cambria" w:cs="Times New Roman"/>
          <w:color w:val="000000"/>
          <w:sz w:val="21"/>
          <w:szCs w:val="21"/>
          <w:lang w:val="pt-BR"/>
        </w:rPr>
        <w:t xml:space="preserve"> implementação de rondas no período diurno. </w:t>
      </w:r>
      <w:r w:rsidR="00851B2B" w:rsidRPr="00F12123">
        <w:rPr>
          <w:rFonts w:ascii="Cambria" w:eastAsia="Batang" w:hAnsi="Cambria" w:cs="Times New Roman"/>
          <w:color w:val="000000"/>
          <w:sz w:val="21"/>
          <w:szCs w:val="21"/>
          <w:lang w:val="pt-BR"/>
        </w:rPr>
        <w:t xml:space="preserve">Os solicitantes alegaram que </w:t>
      </w:r>
      <w:r w:rsidR="00523C1B" w:rsidRPr="00F12123">
        <w:rPr>
          <w:rFonts w:ascii="Cambria" w:eastAsia="Batang" w:hAnsi="Cambria" w:cs="Times New Roman"/>
          <w:color w:val="000000"/>
          <w:sz w:val="21"/>
          <w:szCs w:val="21"/>
          <w:lang w:val="pt-BR"/>
        </w:rPr>
        <w:t>“consistem basicamente em passar rapidamente na frente de algumas casas do território, as quais são fotografadas, mas que não há circulação de policiais em todo o território, particularmente nas áreas de mata, lugares onde circulam pessoas desconhecidas e armadas. Indica-se, então, que as rondas policiais não constituem medidas efetivas de segurança”.</w:t>
      </w:r>
    </w:p>
    <w:p w14:paraId="2BDCFB08" w14:textId="77777777" w:rsidR="00833F0D" w:rsidRPr="00F12123" w:rsidRDefault="00833F0D" w:rsidP="00833F0D">
      <w:pPr>
        <w:spacing w:after="0"/>
        <w:ind w:left="360"/>
        <w:contextualSpacing/>
        <w:jc w:val="both"/>
        <w:rPr>
          <w:rFonts w:ascii="Cambria" w:eastAsia="Batang" w:hAnsi="Cambria" w:cs="Times New Roman"/>
          <w:color w:val="000000"/>
          <w:sz w:val="21"/>
          <w:szCs w:val="21"/>
          <w:lang w:val="pt-BR"/>
        </w:rPr>
      </w:pPr>
    </w:p>
    <w:p w14:paraId="5797232B" w14:textId="1379ED08" w:rsidR="00833F0D" w:rsidRPr="00F12123" w:rsidRDefault="00833F0D"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Somado ao anterior, os solicitantes alegaram que a polícia, </w:t>
      </w:r>
      <w:r w:rsidR="004E3C89">
        <w:rPr>
          <w:rFonts w:ascii="Cambria" w:eastAsia="Batang" w:hAnsi="Cambria" w:cs="Times New Roman"/>
          <w:color w:val="000000"/>
          <w:sz w:val="21"/>
          <w:szCs w:val="21"/>
          <w:lang w:val="pt-BR"/>
        </w:rPr>
        <w:t>ao invés de</w:t>
      </w:r>
      <w:r w:rsidRPr="00F12123">
        <w:rPr>
          <w:rFonts w:ascii="Cambria" w:eastAsia="Batang" w:hAnsi="Cambria" w:cs="Times New Roman"/>
          <w:color w:val="000000"/>
          <w:sz w:val="21"/>
          <w:szCs w:val="21"/>
          <w:lang w:val="pt-BR"/>
        </w:rPr>
        <w:t xml:space="preserve"> garantir a segurança da Comunidade Quilombola, </w:t>
      </w:r>
      <w:r w:rsidR="004E3C89">
        <w:rPr>
          <w:rFonts w:ascii="Cambria" w:eastAsia="Batang" w:hAnsi="Cambria" w:cs="Times New Roman"/>
          <w:color w:val="000000"/>
          <w:sz w:val="21"/>
          <w:szCs w:val="21"/>
          <w:lang w:val="pt-BR"/>
        </w:rPr>
        <w:t>realizou</w:t>
      </w:r>
      <w:r w:rsidRPr="00F12123">
        <w:rPr>
          <w:rFonts w:ascii="Cambria" w:eastAsia="Batang" w:hAnsi="Cambria" w:cs="Times New Roman"/>
          <w:color w:val="000000"/>
          <w:sz w:val="21"/>
          <w:szCs w:val="21"/>
          <w:lang w:val="pt-BR"/>
        </w:rPr>
        <w:t xml:space="preserve"> “aç</w:t>
      </w:r>
      <w:r w:rsidR="00267D5C" w:rsidRPr="00F12123">
        <w:rPr>
          <w:rFonts w:ascii="Cambria" w:eastAsia="Batang" w:hAnsi="Cambria" w:cs="Times New Roman"/>
          <w:color w:val="000000"/>
          <w:sz w:val="21"/>
          <w:szCs w:val="21"/>
          <w:lang w:val="pt-BR"/>
        </w:rPr>
        <w:t>ões violentas e criminalizadora</w:t>
      </w:r>
      <w:r w:rsidRPr="00F12123">
        <w:rPr>
          <w:rFonts w:ascii="Cambria" w:eastAsia="Batang" w:hAnsi="Cambria" w:cs="Times New Roman"/>
          <w:color w:val="000000"/>
          <w:sz w:val="21"/>
          <w:szCs w:val="21"/>
          <w:lang w:val="pt-BR"/>
        </w:rPr>
        <w:t xml:space="preserve">s” contra os membros da Comunidade. Em 22 de dezembro de 2019, três adolescentes, sendo um deles </w:t>
      </w:r>
      <w:r w:rsidR="004E3C89">
        <w:rPr>
          <w:rFonts w:ascii="Cambria" w:eastAsia="Batang" w:hAnsi="Cambria" w:cs="Times New Roman"/>
          <w:color w:val="000000"/>
          <w:sz w:val="21"/>
          <w:szCs w:val="21"/>
          <w:lang w:val="pt-BR"/>
        </w:rPr>
        <w:t>parente</w:t>
      </w:r>
      <w:r w:rsidR="004E3C89" w:rsidRPr="00F12123">
        <w:rPr>
          <w:rFonts w:ascii="Cambria" w:eastAsia="Batang" w:hAnsi="Cambria" w:cs="Times New Roman"/>
          <w:color w:val="000000"/>
          <w:sz w:val="21"/>
          <w:szCs w:val="21"/>
          <w:lang w:val="pt-BR"/>
        </w:rPr>
        <w:t xml:space="preserve"> </w:t>
      </w:r>
      <w:r w:rsidRPr="00F12123">
        <w:rPr>
          <w:rFonts w:ascii="Cambria" w:eastAsia="Batang" w:hAnsi="Cambria" w:cs="Times New Roman"/>
          <w:color w:val="000000"/>
          <w:sz w:val="21"/>
          <w:szCs w:val="21"/>
          <w:lang w:val="pt-BR"/>
        </w:rPr>
        <w:t xml:space="preserve">da líder Rose Meire Santos Silva, teriam sido agredidos pela polícia durante uma detenção por suposto porte de substâncias ilícitas. Em particular, indicou-se que os agentes fizeram uso das suas armas de fogo e que os </w:t>
      </w:r>
      <w:r w:rsidR="00267D5C" w:rsidRPr="00F12123">
        <w:rPr>
          <w:rFonts w:ascii="Cambria" w:eastAsia="Batang" w:hAnsi="Cambria" w:cs="Times New Roman"/>
          <w:color w:val="000000"/>
          <w:sz w:val="21"/>
          <w:szCs w:val="21"/>
          <w:lang w:val="pt-BR"/>
        </w:rPr>
        <w:t>levaram</w:t>
      </w:r>
      <w:r w:rsidR="00053922" w:rsidRPr="00F12123">
        <w:rPr>
          <w:rFonts w:ascii="Cambria" w:eastAsia="Batang" w:hAnsi="Cambria" w:cs="Times New Roman"/>
          <w:color w:val="000000"/>
          <w:sz w:val="21"/>
          <w:szCs w:val="21"/>
          <w:lang w:val="pt-BR"/>
        </w:rPr>
        <w:t xml:space="preserve"> de maneira violenta à</w:t>
      </w:r>
      <w:r w:rsidRPr="00F12123">
        <w:rPr>
          <w:rFonts w:ascii="Cambria" w:eastAsia="Batang" w:hAnsi="Cambria" w:cs="Times New Roman"/>
          <w:color w:val="000000"/>
          <w:sz w:val="21"/>
          <w:szCs w:val="21"/>
          <w:lang w:val="pt-BR"/>
        </w:rPr>
        <w:t xml:space="preserve"> delegacia, sendo posteriormente postos em liberdade</w:t>
      </w:r>
      <w:r w:rsidR="00267D5C" w:rsidRPr="00F12123">
        <w:rPr>
          <w:rFonts w:ascii="Cambria" w:eastAsia="Batang" w:hAnsi="Cambria" w:cs="Times New Roman"/>
          <w:color w:val="000000"/>
          <w:sz w:val="21"/>
          <w:szCs w:val="21"/>
          <w:lang w:val="pt-BR"/>
        </w:rPr>
        <w:t xml:space="preserve"> após </w:t>
      </w:r>
      <w:r w:rsidR="006B5049" w:rsidRPr="00F12123">
        <w:rPr>
          <w:rFonts w:ascii="Cambria" w:eastAsia="Batang" w:hAnsi="Cambria" w:cs="Times New Roman"/>
          <w:color w:val="000000"/>
          <w:sz w:val="21"/>
          <w:szCs w:val="21"/>
          <w:lang w:val="pt-BR"/>
        </w:rPr>
        <w:t xml:space="preserve">descartarem as acusações. Em 15 de abril de 2020, outro proposto beneficiário, também </w:t>
      </w:r>
      <w:r w:rsidR="004E3C89">
        <w:rPr>
          <w:rFonts w:ascii="Cambria" w:eastAsia="Batang" w:hAnsi="Cambria" w:cs="Times New Roman"/>
          <w:color w:val="000000"/>
          <w:sz w:val="21"/>
          <w:szCs w:val="21"/>
          <w:lang w:val="pt-BR"/>
        </w:rPr>
        <w:t>parente</w:t>
      </w:r>
      <w:r w:rsidR="004E3C89" w:rsidRPr="00F12123">
        <w:rPr>
          <w:rFonts w:ascii="Cambria" w:eastAsia="Batang" w:hAnsi="Cambria" w:cs="Times New Roman"/>
          <w:color w:val="000000"/>
          <w:sz w:val="21"/>
          <w:szCs w:val="21"/>
          <w:lang w:val="pt-BR"/>
        </w:rPr>
        <w:t xml:space="preserve"> </w:t>
      </w:r>
      <w:r w:rsidR="006B5049" w:rsidRPr="00F12123">
        <w:rPr>
          <w:rFonts w:ascii="Cambria" w:eastAsia="Batang" w:hAnsi="Cambria" w:cs="Times New Roman"/>
          <w:color w:val="000000"/>
          <w:sz w:val="21"/>
          <w:szCs w:val="21"/>
          <w:lang w:val="pt-BR"/>
        </w:rPr>
        <w:t xml:space="preserve">da senhora Rose Meire Santos Silva, foi inicialmente detido e levado à delegacia, apesar de que também não se lhe </w:t>
      </w:r>
      <w:r w:rsidR="00053922" w:rsidRPr="00F12123">
        <w:rPr>
          <w:rFonts w:ascii="Cambria" w:eastAsia="Batang" w:hAnsi="Cambria" w:cs="Times New Roman"/>
          <w:color w:val="000000"/>
          <w:sz w:val="21"/>
          <w:szCs w:val="21"/>
          <w:lang w:val="pt-BR"/>
        </w:rPr>
        <w:t>formalizou acusações</w:t>
      </w:r>
      <w:r w:rsidR="006B5049" w:rsidRPr="00F12123">
        <w:rPr>
          <w:rFonts w:ascii="Cambria" w:eastAsia="Batang" w:hAnsi="Cambria" w:cs="Times New Roman"/>
          <w:color w:val="000000"/>
          <w:sz w:val="21"/>
          <w:szCs w:val="21"/>
          <w:lang w:val="pt-BR"/>
        </w:rPr>
        <w:t xml:space="preserve"> em razão de “aclarações realizadas”</w:t>
      </w:r>
      <w:r w:rsidR="00053922" w:rsidRPr="00F12123">
        <w:rPr>
          <w:rFonts w:ascii="Cambria" w:eastAsia="Batang" w:hAnsi="Cambria" w:cs="Times New Roman"/>
          <w:color w:val="000000"/>
          <w:sz w:val="21"/>
          <w:szCs w:val="21"/>
          <w:lang w:val="pt-BR"/>
        </w:rPr>
        <w:t>. Devido a esses incidentes, os solicitantes afirmaram que as rondas policiais já não são uma medida de segurança desejada pela Comunidade.</w:t>
      </w:r>
    </w:p>
    <w:p w14:paraId="5C2D0A7A" w14:textId="77777777" w:rsidR="00053922" w:rsidRPr="00F12123" w:rsidRDefault="00053922" w:rsidP="001B6DC9">
      <w:pPr>
        <w:spacing w:after="0"/>
        <w:ind w:left="360"/>
        <w:contextualSpacing/>
        <w:jc w:val="both"/>
        <w:rPr>
          <w:rFonts w:ascii="Cambria" w:eastAsia="Batang" w:hAnsi="Cambria" w:cs="Times New Roman"/>
          <w:color w:val="000000"/>
          <w:sz w:val="21"/>
          <w:szCs w:val="21"/>
          <w:lang w:val="pt-BR"/>
        </w:rPr>
      </w:pPr>
    </w:p>
    <w:p w14:paraId="46F7CCB3" w14:textId="558B03FC" w:rsidR="00053922" w:rsidRPr="00F12123" w:rsidRDefault="00053922"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Com relação à investigação e suposta definição da autoria do assassinato </w:t>
      </w:r>
      <w:r w:rsidR="001B6DC9" w:rsidRPr="00F12123">
        <w:rPr>
          <w:rFonts w:ascii="Cambria" w:eastAsia="Batang" w:hAnsi="Cambria" w:cs="Times New Roman"/>
          <w:color w:val="000000"/>
          <w:sz w:val="21"/>
          <w:szCs w:val="21"/>
          <w:lang w:val="pt-BR"/>
        </w:rPr>
        <w:t>do senhor José Isídio Dias, os solicitantes ressaltam que “os elementos fáticos do homicídio, sobretudo as condições de como ocorreram os golpes [...], indicam que um adolescente, sozinho, não poderia ter realizado todos os atos e, por tanto, as investigações sobre a possibilidade de coautoria deveriam continuar”. N</w:t>
      </w:r>
      <w:r w:rsidR="00CC712A" w:rsidRPr="00F12123">
        <w:rPr>
          <w:rFonts w:ascii="Cambria" w:eastAsia="Batang" w:hAnsi="Cambria" w:cs="Times New Roman"/>
          <w:color w:val="000000"/>
          <w:sz w:val="21"/>
          <w:szCs w:val="21"/>
          <w:lang w:val="pt-BR"/>
        </w:rPr>
        <w:t>esse contex</w:t>
      </w:r>
      <w:r w:rsidR="001B6DC9" w:rsidRPr="00F12123">
        <w:rPr>
          <w:rFonts w:ascii="Cambria" w:eastAsia="Batang" w:hAnsi="Cambria" w:cs="Times New Roman"/>
          <w:color w:val="000000"/>
          <w:sz w:val="21"/>
          <w:szCs w:val="21"/>
          <w:lang w:val="pt-BR"/>
        </w:rPr>
        <w:t xml:space="preserve">to, os solicitantes recordam que o processo de ameaças e intimidação nas noites, por pessoas desconhecidas e supostamente armadas dentro do território da Comunidade, </w:t>
      </w:r>
      <w:r w:rsidR="004E3C89">
        <w:rPr>
          <w:rFonts w:ascii="Cambria" w:eastAsia="Batang" w:hAnsi="Cambria" w:cs="Times New Roman"/>
          <w:color w:val="000000"/>
          <w:sz w:val="21"/>
          <w:szCs w:val="21"/>
          <w:lang w:val="pt-BR"/>
        </w:rPr>
        <w:t>começou</w:t>
      </w:r>
      <w:r w:rsidR="004E3C89" w:rsidRPr="00F12123">
        <w:rPr>
          <w:rFonts w:ascii="Cambria" w:eastAsia="Batang" w:hAnsi="Cambria" w:cs="Times New Roman"/>
          <w:color w:val="000000"/>
          <w:sz w:val="21"/>
          <w:szCs w:val="21"/>
          <w:lang w:val="pt-BR"/>
        </w:rPr>
        <w:t xml:space="preserve"> </w:t>
      </w:r>
      <w:r w:rsidR="001B6DC9" w:rsidRPr="00F12123">
        <w:rPr>
          <w:rFonts w:ascii="Cambria" w:eastAsia="Batang" w:hAnsi="Cambria" w:cs="Times New Roman"/>
          <w:color w:val="000000"/>
          <w:sz w:val="21"/>
          <w:szCs w:val="21"/>
          <w:lang w:val="pt-BR"/>
        </w:rPr>
        <w:t xml:space="preserve">depois do assassinato do senhor José Isídio Dias. A investigação desses fatos não </w:t>
      </w:r>
      <w:r w:rsidR="00CC712A" w:rsidRPr="00F12123">
        <w:rPr>
          <w:rFonts w:ascii="Cambria" w:eastAsia="Batang" w:hAnsi="Cambria" w:cs="Times New Roman"/>
          <w:color w:val="000000"/>
          <w:sz w:val="21"/>
          <w:szCs w:val="21"/>
          <w:lang w:val="pt-BR"/>
        </w:rPr>
        <w:t>teria identificado as pessoas responsáveis nem impedido sua continuidade.</w:t>
      </w:r>
    </w:p>
    <w:p w14:paraId="2B74DBD3" w14:textId="77777777" w:rsidR="003360CD" w:rsidRPr="00F12123" w:rsidRDefault="003360CD" w:rsidP="003360CD">
      <w:pPr>
        <w:spacing w:after="0"/>
        <w:ind w:left="360"/>
        <w:contextualSpacing/>
        <w:jc w:val="both"/>
        <w:rPr>
          <w:rFonts w:ascii="Cambria" w:eastAsia="Batang" w:hAnsi="Cambria" w:cs="Times New Roman"/>
          <w:color w:val="000000"/>
          <w:sz w:val="21"/>
          <w:szCs w:val="21"/>
          <w:lang w:val="pt-BR"/>
        </w:rPr>
      </w:pPr>
    </w:p>
    <w:p w14:paraId="3D21FD9A" w14:textId="0037E23B" w:rsidR="003360CD" w:rsidRPr="00F12123" w:rsidRDefault="003360CD"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Segundo a solicitação, em 21 de abril de 2020, </w:t>
      </w:r>
      <w:r w:rsidR="0095748A" w:rsidRPr="00F12123">
        <w:rPr>
          <w:rFonts w:ascii="Cambria" w:eastAsia="Batang" w:hAnsi="Cambria" w:cs="Times New Roman"/>
          <w:color w:val="000000"/>
          <w:sz w:val="21"/>
          <w:szCs w:val="21"/>
          <w:lang w:val="pt-BR"/>
        </w:rPr>
        <w:t>“a casa da senhora Maria Madalena dos Santos Silva, [...] mãe da senhora Rose Meire Santos Silva [...], foi invadida por homens</w:t>
      </w:r>
      <w:r w:rsidR="004B2310" w:rsidRPr="00F12123">
        <w:rPr>
          <w:rFonts w:ascii="Cambria" w:eastAsia="Batang" w:hAnsi="Cambria" w:cs="Times New Roman"/>
          <w:color w:val="000000"/>
          <w:sz w:val="21"/>
          <w:szCs w:val="21"/>
          <w:lang w:val="pt-BR"/>
        </w:rPr>
        <w:t xml:space="preserve"> armados durante o dia. Inicialmente, segundo relatos, o grupo se direcionava à casa da senhora Rose Meire Santos Silva [...]” quem teria se refugiado ao ver a che</w:t>
      </w:r>
      <w:r w:rsidR="008F21DD" w:rsidRPr="00F12123">
        <w:rPr>
          <w:rFonts w:ascii="Cambria" w:eastAsia="Batang" w:hAnsi="Cambria" w:cs="Times New Roman"/>
          <w:color w:val="000000"/>
          <w:sz w:val="21"/>
          <w:szCs w:val="21"/>
          <w:lang w:val="pt-BR"/>
        </w:rPr>
        <w:t>gada das pessoas arma</w:t>
      </w:r>
      <w:r w:rsidR="004B2310" w:rsidRPr="00F12123">
        <w:rPr>
          <w:rFonts w:ascii="Cambria" w:eastAsia="Batang" w:hAnsi="Cambria" w:cs="Times New Roman"/>
          <w:color w:val="000000"/>
          <w:sz w:val="21"/>
          <w:szCs w:val="21"/>
          <w:lang w:val="pt-BR"/>
        </w:rPr>
        <w:t>das. E</w:t>
      </w:r>
      <w:r w:rsidR="008F21DD" w:rsidRPr="00F12123">
        <w:rPr>
          <w:rFonts w:ascii="Cambria" w:eastAsia="Batang" w:hAnsi="Cambria" w:cs="Times New Roman"/>
          <w:color w:val="000000"/>
          <w:sz w:val="21"/>
          <w:szCs w:val="21"/>
          <w:lang w:val="pt-BR"/>
        </w:rPr>
        <w:t>m 23 de maio, pessoas d</w:t>
      </w:r>
      <w:r w:rsidR="004B2310" w:rsidRPr="00F12123">
        <w:rPr>
          <w:rFonts w:ascii="Cambria" w:eastAsia="Batang" w:hAnsi="Cambria" w:cs="Times New Roman"/>
          <w:color w:val="000000"/>
          <w:sz w:val="21"/>
          <w:szCs w:val="21"/>
          <w:lang w:val="pt-BR"/>
        </w:rPr>
        <w:t xml:space="preserve">esconhecidas e armadas, algumas montadas a cavalo, circularam ao redor das casas, tendo supostamente verbalizado a uma </w:t>
      </w:r>
      <w:r w:rsidR="00170A51">
        <w:rPr>
          <w:rFonts w:ascii="Cambria" w:eastAsia="Batang" w:hAnsi="Cambria" w:cs="Times New Roman"/>
          <w:color w:val="000000"/>
          <w:sz w:val="21"/>
          <w:szCs w:val="21"/>
          <w:lang w:val="pt-BR"/>
        </w:rPr>
        <w:t>comunitária</w:t>
      </w:r>
      <w:r w:rsidR="004B2310" w:rsidRPr="00F12123">
        <w:rPr>
          <w:rFonts w:ascii="Cambria" w:eastAsia="Batang" w:hAnsi="Cambria" w:cs="Times New Roman"/>
          <w:color w:val="000000"/>
          <w:sz w:val="21"/>
          <w:szCs w:val="21"/>
          <w:lang w:val="pt-BR"/>
        </w:rPr>
        <w:t xml:space="preserve"> que “</w:t>
      </w:r>
      <w:r w:rsidR="008F21DD" w:rsidRPr="00F12123">
        <w:rPr>
          <w:rFonts w:ascii="Cambria" w:eastAsia="Batang" w:hAnsi="Cambria" w:cs="Times New Roman"/>
          <w:color w:val="000000"/>
          <w:sz w:val="21"/>
          <w:szCs w:val="21"/>
          <w:lang w:val="pt-BR"/>
        </w:rPr>
        <w:t>[eles] poderiam avançar com seus interesses</w:t>
      </w:r>
      <w:r w:rsidR="00170A51">
        <w:rPr>
          <w:rFonts w:ascii="Cambria" w:eastAsia="Batang" w:hAnsi="Cambria" w:cs="Times New Roman"/>
          <w:color w:val="000000"/>
          <w:sz w:val="21"/>
          <w:szCs w:val="21"/>
          <w:lang w:val="pt-BR"/>
        </w:rPr>
        <w:t>”</w:t>
      </w:r>
      <w:r w:rsidR="008F21DD" w:rsidRPr="00F12123">
        <w:rPr>
          <w:rFonts w:ascii="Cambria" w:eastAsia="Batang" w:hAnsi="Cambria" w:cs="Times New Roman"/>
          <w:color w:val="000000"/>
          <w:sz w:val="21"/>
          <w:szCs w:val="21"/>
          <w:lang w:val="pt-BR"/>
        </w:rPr>
        <w:t xml:space="preserve"> (sem dizer quais), pois o território não teria medidas de segurança. O </w:t>
      </w:r>
      <w:r w:rsidR="00170A51">
        <w:rPr>
          <w:rFonts w:ascii="Cambria" w:eastAsia="Batang" w:hAnsi="Cambria" w:cs="Times New Roman"/>
          <w:color w:val="000000"/>
          <w:sz w:val="21"/>
          <w:szCs w:val="21"/>
          <w:lang w:val="pt-BR"/>
        </w:rPr>
        <w:t>episódio</w:t>
      </w:r>
      <w:r w:rsidR="00170A51" w:rsidRPr="00F12123">
        <w:rPr>
          <w:rFonts w:ascii="Cambria" w:eastAsia="Batang" w:hAnsi="Cambria" w:cs="Times New Roman"/>
          <w:color w:val="000000"/>
          <w:sz w:val="21"/>
          <w:szCs w:val="21"/>
          <w:lang w:val="pt-BR"/>
        </w:rPr>
        <w:t xml:space="preserve"> </w:t>
      </w:r>
      <w:r w:rsidR="008F21DD" w:rsidRPr="00F12123">
        <w:rPr>
          <w:rFonts w:ascii="Cambria" w:eastAsia="Batang" w:hAnsi="Cambria" w:cs="Times New Roman"/>
          <w:color w:val="000000"/>
          <w:sz w:val="21"/>
          <w:szCs w:val="21"/>
          <w:lang w:val="pt-BR"/>
        </w:rPr>
        <w:t>teria gerado pânico entre as pessoas propostas como beneficiárias. Os solicitantes alegaram que esses fatos não foram denunciados devido à falta de resposta às denúncias anteriores</w:t>
      </w:r>
      <w:r w:rsidR="00170A51">
        <w:rPr>
          <w:rFonts w:ascii="Cambria" w:eastAsia="Batang" w:hAnsi="Cambria" w:cs="Times New Roman"/>
          <w:color w:val="000000"/>
          <w:sz w:val="21"/>
          <w:szCs w:val="21"/>
          <w:lang w:val="pt-BR"/>
        </w:rPr>
        <w:t>,</w:t>
      </w:r>
      <w:r w:rsidR="008F21DD" w:rsidRPr="00F12123">
        <w:rPr>
          <w:rFonts w:ascii="Cambria" w:eastAsia="Batang" w:hAnsi="Cambria" w:cs="Times New Roman"/>
          <w:color w:val="000000"/>
          <w:sz w:val="21"/>
          <w:szCs w:val="21"/>
          <w:lang w:val="pt-BR"/>
        </w:rPr>
        <w:t xml:space="preserve"> somado ao contexto da pandemia de COVID-19, </w:t>
      </w:r>
      <w:r w:rsidR="00170A51">
        <w:rPr>
          <w:rFonts w:ascii="Cambria" w:eastAsia="Batang" w:hAnsi="Cambria" w:cs="Times New Roman"/>
          <w:color w:val="000000"/>
          <w:sz w:val="21"/>
          <w:szCs w:val="21"/>
          <w:lang w:val="pt-BR"/>
        </w:rPr>
        <w:t>pelo</w:t>
      </w:r>
      <w:r w:rsidR="00170A51" w:rsidRPr="00F12123">
        <w:rPr>
          <w:rFonts w:ascii="Cambria" w:eastAsia="Batang" w:hAnsi="Cambria" w:cs="Times New Roman"/>
          <w:color w:val="000000"/>
          <w:sz w:val="21"/>
          <w:szCs w:val="21"/>
          <w:lang w:val="pt-BR"/>
        </w:rPr>
        <w:t xml:space="preserve"> </w:t>
      </w:r>
      <w:r w:rsidR="008F21DD" w:rsidRPr="00F12123">
        <w:rPr>
          <w:rFonts w:ascii="Cambria" w:eastAsia="Batang" w:hAnsi="Cambria" w:cs="Times New Roman"/>
          <w:color w:val="000000"/>
          <w:sz w:val="21"/>
          <w:szCs w:val="21"/>
          <w:lang w:val="pt-BR"/>
        </w:rPr>
        <w:t>qual a Comunidade evita sair do território.</w:t>
      </w:r>
    </w:p>
    <w:p w14:paraId="5C0ACF84" w14:textId="77777777" w:rsidR="00694B2E" w:rsidRPr="00F12123" w:rsidRDefault="00694B2E" w:rsidP="00694B2E">
      <w:pPr>
        <w:spacing w:after="0"/>
        <w:ind w:left="360"/>
        <w:contextualSpacing/>
        <w:jc w:val="both"/>
        <w:rPr>
          <w:rFonts w:ascii="Cambria" w:eastAsia="Batang" w:hAnsi="Cambria" w:cs="Times New Roman"/>
          <w:color w:val="000000"/>
          <w:sz w:val="21"/>
          <w:szCs w:val="21"/>
          <w:lang w:val="pt-BR"/>
        </w:rPr>
      </w:pPr>
    </w:p>
    <w:p w14:paraId="25C7DB3D" w14:textId="49950CB3" w:rsidR="00694B2E" w:rsidRPr="00F12123" w:rsidRDefault="00694B2E"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Considerando o contexto da pandemia de COVID-19, os solicitantes indicaram que as pessoas propostas como beneficiárias se veriam particularmente afetadas, pois seu negócio de venda de plantio – de cujos ingressos depende sua subsistência – tem enfrentado sérios obstáculos.</w:t>
      </w:r>
      <w:r w:rsidR="0086042E" w:rsidRPr="00F12123">
        <w:rPr>
          <w:rFonts w:ascii="Cambria" w:eastAsia="Batang" w:hAnsi="Cambria" w:cs="Times New Roman"/>
          <w:color w:val="000000"/>
          <w:sz w:val="21"/>
          <w:szCs w:val="21"/>
          <w:lang w:val="pt-BR"/>
        </w:rPr>
        <w:t xml:space="preserve"> Como </w:t>
      </w:r>
      <w:r w:rsidR="0086042E" w:rsidRPr="00F12123">
        <w:rPr>
          <w:rFonts w:ascii="Cambria" w:eastAsia="Batang" w:hAnsi="Cambria" w:cs="Times New Roman"/>
          <w:color w:val="000000"/>
          <w:sz w:val="21"/>
          <w:szCs w:val="21"/>
          <w:lang w:val="pt-BR"/>
        </w:rPr>
        <w:lastRenderedPageBreak/>
        <w:t xml:space="preserve">consequência, necessitariam receber doações de alimentos e produtos de higiene. No entanto, os solicitantes </w:t>
      </w:r>
      <w:r w:rsidR="009B5275">
        <w:rPr>
          <w:rFonts w:ascii="Cambria" w:eastAsia="Batang" w:hAnsi="Cambria" w:cs="Times New Roman"/>
          <w:color w:val="000000"/>
          <w:sz w:val="21"/>
          <w:szCs w:val="21"/>
          <w:lang w:val="pt-BR"/>
        </w:rPr>
        <w:t>indic</w:t>
      </w:r>
      <w:r w:rsidR="009B5275" w:rsidRPr="00F12123">
        <w:rPr>
          <w:rFonts w:ascii="Cambria" w:eastAsia="Batang" w:hAnsi="Cambria" w:cs="Times New Roman"/>
          <w:color w:val="000000"/>
          <w:sz w:val="21"/>
          <w:szCs w:val="21"/>
          <w:lang w:val="pt-BR"/>
        </w:rPr>
        <w:t xml:space="preserve">aram </w:t>
      </w:r>
      <w:r w:rsidR="0086042E" w:rsidRPr="00F12123">
        <w:rPr>
          <w:rFonts w:ascii="Cambria" w:eastAsia="Batang" w:hAnsi="Cambria" w:cs="Times New Roman"/>
          <w:color w:val="000000"/>
          <w:sz w:val="21"/>
          <w:szCs w:val="21"/>
          <w:lang w:val="pt-BR"/>
        </w:rPr>
        <w:t>que em 9 de maio de 2020 a Marinha supostamente impediu o acesso a esses mantimentos, tendo também cortado e</w:t>
      </w:r>
      <w:r w:rsidR="004E556E">
        <w:rPr>
          <w:rFonts w:ascii="Cambria" w:eastAsia="Batang" w:hAnsi="Cambria" w:cs="Times New Roman"/>
          <w:color w:val="000000"/>
          <w:sz w:val="21"/>
          <w:szCs w:val="21"/>
          <w:lang w:val="pt-BR"/>
        </w:rPr>
        <w:t>m</w:t>
      </w:r>
      <w:r w:rsidR="0086042E" w:rsidRPr="00F12123">
        <w:rPr>
          <w:rFonts w:ascii="Cambria" w:eastAsia="Batang" w:hAnsi="Cambria" w:cs="Times New Roman"/>
          <w:color w:val="000000"/>
          <w:sz w:val="21"/>
          <w:szCs w:val="21"/>
          <w:lang w:val="pt-BR"/>
        </w:rPr>
        <w:t xml:space="preserve"> poucos dias a “única fonte de água potável” da Comunidade, até seu reestabelecimento a princípios de junho. </w:t>
      </w:r>
      <w:r w:rsidR="002D6999" w:rsidRPr="00F12123">
        <w:rPr>
          <w:rFonts w:ascii="Cambria" w:eastAsia="Batang" w:hAnsi="Cambria" w:cs="Times New Roman"/>
          <w:color w:val="000000"/>
          <w:sz w:val="21"/>
          <w:szCs w:val="21"/>
          <w:lang w:val="pt-BR"/>
        </w:rPr>
        <w:t xml:space="preserve">Nesse contexto, os solicitantes reportaram que, até 8 de junho, 38 pessoas propostas </w:t>
      </w:r>
      <w:r w:rsidR="00EE0D8F">
        <w:rPr>
          <w:rFonts w:ascii="Cambria" w:eastAsia="Batang" w:hAnsi="Cambria" w:cs="Times New Roman"/>
          <w:color w:val="000000"/>
          <w:sz w:val="21"/>
          <w:szCs w:val="21"/>
          <w:lang w:val="pt-BR"/>
        </w:rPr>
        <w:t xml:space="preserve">como </w:t>
      </w:r>
      <w:r w:rsidR="002D6999" w:rsidRPr="00F12123">
        <w:rPr>
          <w:rFonts w:ascii="Cambria" w:eastAsia="Batang" w:hAnsi="Cambria" w:cs="Times New Roman"/>
          <w:color w:val="000000"/>
          <w:sz w:val="21"/>
          <w:szCs w:val="21"/>
          <w:lang w:val="pt-BR"/>
        </w:rPr>
        <w:t>beneficiárias teriam suspeita de COVID-19, fato que foi colocado em conhecimento das autoridades.</w:t>
      </w:r>
    </w:p>
    <w:p w14:paraId="7F32764B" w14:textId="77777777" w:rsidR="00844059" w:rsidRPr="00F12123" w:rsidRDefault="00844059" w:rsidP="0035131D">
      <w:pPr>
        <w:spacing w:after="0"/>
        <w:ind w:left="360"/>
        <w:contextualSpacing/>
        <w:jc w:val="both"/>
        <w:rPr>
          <w:rFonts w:ascii="Cambria" w:eastAsia="Batang" w:hAnsi="Cambria" w:cs="Times New Roman"/>
          <w:color w:val="000000"/>
          <w:sz w:val="21"/>
          <w:szCs w:val="21"/>
          <w:lang w:val="pt-BR"/>
        </w:rPr>
      </w:pPr>
    </w:p>
    <w:p w14:paraId="4DF111DB" w14:textId="13441A43" w:rsidR="00844059" w:rsidRPr="00F12123" w:rsidRDefault="00844059"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Os solicitantes também adicionaram informaç</w:t>
      </w:r>
      <w:r w:rsidR="0035131D" w:rsidRPr="00F12123">
        <w:rPr>
          <w:rFonts w:ascii="Cambria" w:eastAsia="Batang" w:hAnsi="Cambria" w:cs="Times New Roman"/>
          <w:color w:val="000000"/>
          <w:sz w:val="21"/>
          <w:szCs w:val="21"/>
          <w:lang w:val="pt-BR"/>
        </w:rPr>
        <w:t>ão sobre o risco derivado d</w:t>
      </w:r>
      <w:r w:rsidRPr="00F12123">
        <w:rPr>
          <w:rFonts w:ascii="Cambria" w:eastAsia="Batang" w:hAnsi="Cambria" w:cs="Times New Roman"/>
          <w:color w:val="000000"/>
          <w:sz w:val="21"/>
          <w:szCs w:val="21"/>
          <w:lang w:val="pt-BR"/>
        </w:rPr>
        <w:t xml:space="preserve">o </w:t>
      </w:r>
      <w:r w:rsidR="00EF290F">
        <w:rPr>
          <w:rFonts w:ascii="Cambria" w:eastAsia="Batang" w:hAnsi="Cambria" w:cs="Times New Roman"/>
          <w:color w:val="000000"/>
          <w:sz w:val="21"/>
          <w:szCs w:val="21"/>
          <w:lang w:val="pt-BR"/>
        </w:rPr>
        <w:t xml:space="preserve">possível </w:t>
      </w:r>
      <w:r w:rsidRPr="00F12123">
        <w:rPr>
          <w:rFonts w:ascii="Cambria" w:eastAsia="Batang" w:hAnsi="Cambria" w:cs="Times New Roman"/>
          <w:color w:val="000000"/>
          <w:sz w:val="21"/>
          <w:szCs w:val="21"/>
          <w:lang w:val="pt-BR"/>
        </w:rPr>
        <w:t xml:space="preserve">rompimento da </w:t>
      </w:r>
      <w:r w:rsidR="00035C43" w:rsidRPr="00F12123">
        <w:rPr>
          <w:rFonts w:ascii="Cambria" w:eastAsia="Batang" w:hAnsi="Cambria" w:cs="Times New Roman"/>
          <w:color w:val="000000"/>
          <w:sz w:val="21"/>
          <w:szCs w:val="21"/>
          <w:lang w:val="pt-BR"/>
        </w:rPr>
        <w:t xml:space="preserve">Barragem </w:t>
      </w:r>
      <w:r w:rsidRPr="00F12123">
        <w:rPr>
          <w:rFonts w:ascii="Cambria" w:eastAsia="Batang" w:hAnsi="Cambria" w:cs="Times New Roman"/>
          <w:color w:val="000000"/>
          <w:sz w:val="21"/>
          <w:szCs w:val="21"/>
          <w:lang w:val="pt-BR"/>
        </w:rPr>
        <w:t xml:space="preserve">Rio dos Macacos. De acordo com o expediente, em 7 de maio de 2020 a </w:t>
      </w:r>
      <w:r w:rsidR="0035131D" w:rsidRPr="00F12123">
        <w:rPr>
          <w:rFonts w:ascii="Cambria" w:eastAsia="Batang" w:hAnsi="Cambria" w:cs="Times New Roman"/>
          <w:color w:val="000000"/>
          <w:sz w:val="21"/>
          <w:szCs w:val="21"/>
          <w:lang w:val="pt-BR"/>
        </w:rPr>
        <w:t>Superintendência</w:t>
      </w:r>
      <w:r w:rsidRPr="00F12123">
        <w:rPr>
          <w:rFonts w:ascii="Cambria" w:eastAsia="Batang" w:hAnsi="Cambria" w:cs="Times New Roman"/>
          <w:color w:val="000000"/>
          <w:sz w:val="21"/>
          <w:szCs w:val="21"/>
          <w:lang w:val="pt-BR"/>
        </w:rPr>
        <w:t xml:space="preserve"> de Proteção e Defesa Civil do Estado da Bahia realizou uma visita técnica à </w:t>
      </w:r>
      <w:r w:rsidR="00035C43" w:rsidRPr="00F12123">
        <w:rPr>
          <w:rFonts w:ascii="Cambria" w:eastAsia="Batang" w:hAnsi="Cambria" w:cs="Times New Roman"/>
          <w:color w:val="000000"/>
          <w:sz w:val="21"/>
          <w:szCs w:val="21"/>
          <w:lang w:val="pt-BR"/>
        </w:rPr>
        <w:t>barragem</w:t>
      </w:r>
      <w:r w:rsidR="00EF290F">
        <w:rPr>
          <w:rFonts w:ascii="Cambria" w:eastAsia="Batang" w:hAnsi="Cambria" w:cs="Times New Roman"/>
          <w:color w:val="000000"/>
          <w:sz w:val="21"/>
          <w:szCs w:val="21"/>
          <w:lang w:val="pt-BR"/>
        </w:rPr>
        <w:t>,</w:t>
      </w:r>
      <w:r w:rsidR="00035C43" w:rsidRPr="00F12123">
        <w:rPr>
          <w:rFonts w:ascii="Cambria" w:eastAsia="Batang" w:hAnsi="Cambria" w:cs="Times New Roman"/>
          <w:color w:val="000000"/>
          <w:sz w:val="21"/>
          <w:szCs w:val="21"/>
          <w:lang w:val="pt-BR"/>
        </w:rPr>
        <w:t xml:space="preserve"> </w:t>
      </w:r>
      <w:r w:rsidRPr="00F12123">
        <w:rPr>
          <w:rFonts w:ascii="Cambria" w:eastAsia="Batang" w:hAnsi="Cambria" w:cs="Times New Roman"/>
          <w:color w:val="000000"/>
          <w:sz w:val="21"/>
          <w:szCs w:val="21"/>
          <w:lang w:val="pt-BR"/>
        </w:rPr>
        <w:t xml:space="preserve">na qual se confirmou um risco potencial de rompimento devido a uma rachadura de 14 metros, </w:t>
      </w:r>
      <w:r w:rsidR="00EF290F">
        <w:rPr>
          <w:rFonts w:ascii="Cambria" w:eastAsia="Batang" w:hAnsi="Cambria" w:cs="Times New Roman"/>
          <w:color w:val="000000"/>
          <w:sz w:val="21"/>
          <w:szCs w:val="21"/>
          <w:lang w:val="pt-BR"/>
        </w:rPr>
        <w:t>que</w:t>
      </w:r>
      <w:r w:rsidRPr="00F12123">
        <w:rPr>
          <w:rFonts w:ascii="Cambria" w:eastAsia="Batang" w:hAnsi="Cambria" w:cs="Times New Roman"/>
          <w:color w:val="000000"/>
          <w:sz w:val="21"/>
          <w:szCs w:val="21"/>
          <w:lang w:val="pt-BR"/>
        </w:rPr>
        <w:t xml:space="preserve"> poderia aumentar com a pressão da água no embalse da </w:t>
      </w:r>
      <w:r w:rsidR="00035C43" w:rsidRPr="00F12123">
        <w:rPr>
          <w:rFonts w:ascii="Cambria" w:eastAsia="Batang" w:hAnsi="Cambria" w:cs="Times New Roman"/>
          <w:color w:val="000000"/>
          <w:sz w:val="21"/>
          <w:szCs w:val="21"/>
          <w:lang w:val="pt-BR"/>
        </w:rPr>
        <w:t>barragem</w:t>
      </w:r>
      <w:r w:rsidRPr="00F12123">
        <w:rPr>
          <w:rFonts w:ascii="Cambria" w:eastAsia="Batang" w:hAnsi="Cambria" w:cs="Times New Roman"/>
          <w:color w:val="000000"/>
          <w:sz w:val="21"/>
          <w:szCs w:val="21"/>
          <w:lang w:val="pt-BR"/>
        </w:rPr>
        <w:t xml:space="preserve">. Destacou-se que </w:t>
      </w:r>
      <w:r w:rsidR="00EF290F">
        <w:rPr>
          <w:rFonts w:ascii="Cambria" w:eastAsia="Batang" w:hAnsi="Cambria" w:cs="Times New Roman"/>
          <w:color w:val="000000"/>
          <w:sz w:val="21"/>
          <w:szCs w:val="21"/>
          <w:lang w:val="pt-BR"/>
        </w:rPr>
        <w:t>há</w:t>
      </w:r>
      <w:r w:rsidR="00EF290F" w:rsidRPr="00F12123">
        <w:rPr>
          <w:rFonts w:ascii="Cambria" w:eastAsia="Batang" w:hAnsi="Cambria" w:cs="Times New Roman"/>
          <w:color w:val="000000"/>
          <w:sz w:val="21"/>
          <w:szCs w:val="21"/>
          <w:lang w:val="pt-BR"/>
        </w:rPr>
        <w:t xml:space="preserve"> </w:t>
      </w:r>
      <w:r w:rsidRPr="00F12123">
        <w:rPr>
          <w:rFonts w:ascii="Cambria" w:eastAsia="Batang" w:hAnsi="Cambria" w:cs="Times New Roman"/>
          <w:color w:val="000000"/>
          <w:sz w:val="21"/>
          <w:szCs w:val="21"/>
          <w:lang w:val="pt-BR"/>
        </w:rPr>
        <w:t>família</w:t>
      </w:r>
      <w:r w:rsidR="0035131D" w:rsidRPr="00F12123">
        <w:rPr>
          <w:rFonts w:ascii="Cambria" w:eastAsia="Batang" w:hAnsi="Cambria" w:cs="Times New Roman"/>
          <w:color w:val="000000"/>
          <w:sz w:val="21"/>
          <w:szCs w:val="21"/>
          <w:lang w:val="pt-BR"/>
        </w:rPr>
        <w:t>s</w:t>
      </w:r>
      <w:r w:rsidRPr="00F12123">
        <w:rPr>
          <w:rFonts w:ascii="Cambria" w:eastAsia="Batang" w:hAnsi="Cambria" w:cs="Times New Roman"/>
          <w:color w:val="000000"/>
          <w:sz w:val="21"/>
          <w:szCs w:val="21"/>
          <w:lang w:val="pt-BR"/>
        </w:rPr>
        <w:t xml:space="preserve"> que moram perto da </w:t>
      </w:r>
      <w:r w:rsidR="00035C43" w:rsidRPr="00F12123">
        <w:rPr>
          <w:rFonts w:ascii="Cambria" w:eastAsia="Batang" w:hAnsi="Cambria" w:cs="Times New Roman"/>
          <w:color w:val="000000"/>
          <w:sz w:val="21"/>
          <w:szCs w:val="21"/>
          <w:lang w:val="pt-BR"/>
        </w:rPr>
        <w:t xml:space="preserve">barragem </w:t>
      </w:r>
      <w:r w:rsidRPr="00F12123">
        <w:rPr>
          <w:rFonts w:ascii="Cambria" w:eastAsia="Batang" w:hAnsi="Cambria" w:cs="Times New Roman"/>
          <w:color w:val="000000"/>
          <w:sz w:val="21"/>
          <w:szCs w:val="21"/>
          <w:lang w:val="pt-BR"/>
        </w:rPr>
        <w:t xml:space="preserve">e que a Marinha do Brasil não apresentou até o momento um “Plano de Ação Emergencial” em caso de rompimento. </w:t>
      </w:r>
      <w:r w:rsidR="0035131D" w:rsidRPr="00F12123">
        <w:rPr>
          <w:rFonts w:ascii="Cambria" w:eastAsia="Batang" w:hAnsi="Cambria" w:cs="Times New Roman"/>
          <w:color w:val="000000"/>
          <w:sz w:val="21"/>
          <w:szCs w:val="21"/>
          <w:lang w:val="pt-BR"/>
        </w:rPr>
        <w:t xml:space="preserve">O informe, cuja cópia foi enviada </w:t>
      </w:r>
      <w:r w:rsidR="00285581">
        <w:rPr>
          <w:rFonts w:ascii="Cambria" w:eastAsia="Batang" w:hAnsi="Cambria" w:cs="Times New Roman"/>
          <w:color w:val="000000"/>
          <w:sz w:val="21"/>
          <w:szCs w:val="21"/>
          <w:lang w:val="pt-BR"/>
        </w:rPr>
        <w:t>à</w:t>
      </w:r>
      <w:r w:rsidR="0035131D" w:rsidRPr="00F12123">
        <w:rPr>
          <w:rFonts w:ascii="Cambria" w:eastAsia="Batang" w:hAnsi="Cambria" w:cs="Times New Roman"/>
          <w:color w:val="000000"/>
          <w:sz w:val="21"/>
          <w:szCs w:val="21"/>
          <w:lang w:val="pt-BR"/>
        </w:rPr>
        <w:t xml:space="preserve"> CIDH, afirma que </w:t>
      </w:r>
      <w:r w:rsidR="00CA4605" w:rsidRPr="00F12123">
        <w:rPr>
          <w:rFonts w:ascii="Cambria" w:eastAsia="Batang" w:hAnsi="Cambria" w:cs="Times New Roman"/>
          <w:color w:val="000000"/>
          <w:sz w:val="21"/>
          <w:szCs w:val="21"/>
          <w:lang w:val="pt-BR"/>
        </w:rPr>
        <w:t>“</w:t>
      </w:r>
      <w:r w:rsidR="0035131D" w:rsidRPr="00F12123">
        <w:rPr>
          <w:rFonts w:ascii="Cambria" w:eastAsia="Batang" w:hAnsi="Cambria" w:cs="Times New Roman"/>
          <w:color w:val="000000"/>
          <w:sz w:val="21"/>
          <w:szCs w:val="21"/>
          <w:lang w:val="pt-BR"/>
        </w:rPr>
        <w:t xml:space="preserve">essa rachadura aumentou seu comprimento e largura significativamente” </w:t>
      </w:r>
      <w:r w:rsidR="00B64381" w:rsidRPr="00F12123">
        <w:rPr>
          <w:rFonts w:ascii="Cambria" w:eastAsia="Batang" w:hAnsi="Cambria" w:cs="Times New Roman"/>
          <w:color w:val="000000"/>
          <w:sz w:val="21"/>
          <w:szCs w:val="21"/>
          <w:lang w:val="pt-BR"/>
        </w:rPr>
        <w:t xml:space="preserve">e recomenda “que seja realizada a evacuação da comunidade localizada nas proximidades, até que haja redução no nível do embalse da </w:t>
      </w:r>
      <w:r w:rsidR="00035C43" w:rsidRPr="00F12123">
        <w:rPr>
          <w:rFonts w:ascii="Cambria" w:eastAsia="Batang" w:hAnsi="Cambria" w:cs="Times New Roman"/>
          <w:color w:val="000000"/>
          <w:sz w:val="21"/>
          <w:szCs w:val="21"/>
          <w:lang w:val="pt-BR"/>
        </w:rPr>
        <w:t xml:space="preserve">Barragem </w:t>
      </w:r>
      <w:r w:rsidR="00B64381" w:rsidRPr="00F12123">
        <w:rPr>
          <w:rFonts w:ascii="Cambria" w:eastAsia="Batang" w:hAnsi="Cambria" w:cs="Times New Roman"/>
          <w:color w:val="000000"/>
          <w:sz w:val="21"/>
          <w:szCs w:val="21"/>
          <w:lang w:val="pt-BR"/>
        </w:rPr>
        <w:t>Rio dos Macacos”. A Defesa Civil recomendou a implementação do “Plano de Ação Emergencial”, categorizando a situação como “risco alto” e “dano potencial associado alto”</w:t>
      </w:r>
      <w:r w:rsidR="00CA4605" w:rsidRPr="00F12123">
        <w:rPr>
          <w:rFonts w:ascii="Cambria" w:eastAsia="Batang" w:hAnsi="Cambria" w:cs="Times New Roman"/>
          <w:color w:val="000000"/>
          <w:sz w:val="21"/>
          <w:szCs w:val="21"/>
          <w:lang w:val="pt-BR"/>
        </w:rPr>
        <w:t xml:space="preserve">, “considerando que a onda de inundação rapidamente chegaria à comunidade [próxima da </w:t>
      </w:r>
      <w:r w:rsidR="00035C43" w:rsidRPr="00F12123">
        <w:rPr>
          <w:rFonts w:ascii="Cambria" w:eastAsia="Batang" w:hAnsi="Cambria" w:cs="Times New Roman"/>
          <w:color w:val="000000"/>
          <w:sz w:val="21"/>
          <w:szCs w:val="21"/>
          <w:lang w:val="pt-BR"/>
        </w:rPr>
        <w:t>barragem</w:t>
      </w:r>
      <w:r w:rsidR="00CA4605" w:rsidRPr="00F12123">
        <w:rPr>
          <w:rFonts w:ascii="Cambria" w:eastAsia="Batang" w:hAnsi="Cambria" w:cs="Times New Roman"/>
          <w:color w:val="000000"/>
          <w:sz w:val="21"/>
          <w:szCs w:val="21"/>
          <w:lang w:val="pt-BR"/>
        </w:rPr>
        <w:t xml:space="preserve">] em uma eventual ruptura”. </w:t>
      </w:r>
      <w:r w:rsidR="00285581">
        <w:rPr>
          <w:rFonts w:ascii="Cambria" w:eastAsia="Batang" w:hAnsi="Cambria" w:cs="Times New Roman"/>
          <w:color w:val="000000"/>
          <w:sz w:val="21"/>
          <w:szCs w:val="21"/>
          <w:lang w:val="pt-BR"/>
        </w:rPr>
        <w:t>I</w:t>
      </w:r>
      <w:r w:rsidR="00CA4605" w:rsidRPr="00F12123">
        <w:rPr>
          <w:rFonts w:ascii="Cambria" w:eastAsia="Batang" w:hAnsi="Cambria" w:cs="Times New Roman"/>
          <w:color w:val="000000"/>
          <w:sz w:val="21"/>
          <w:szCs w:val="21"/>
          <w:lang w:val="pt-BR"/>
        </w:rPr>
        <w:t xml:space="preserve">ndicam </w:t>
      </w:r>
      <w:r w:rsidR="00285581">
        <w:rPr>
          <w:rFonts w:ascii="Cambria" w:eastAsia="Batang" w:hAnsi="Cambria" w:cs="Times New Roman"/>
          <w:color w:val="000000"/>
          <w:sz w:val="21"/>
          <w:szCs w:val="21"/>
          <w:lang w:val="pt-BR"/>
        </w:rPr>
        <w:t xml:space="preserve">ainda </w:t>
      </w:r>
      <w:r w:rsidR="00CA4605" w:rsidRPr="00F12123">
        <w:rPr>
          <w:rFonts w:ascii="Cambria" w:eastAsia="Batang" w:hAnsi="Cambria" w:cs="Times New Roman"/>
          <w:color w:val="000000"/>
          <w:sz w:val="21"/>
          <w:szCs w:val="21"/>
          <w:lang w:val="pt-BR"/>
        </w:rPr>
        <w:t xml:space="preserve">que se denunciou às autoridades a situação da </w:t>
      </w:r>
      <w:r w:rsidR="00035C43" w:rsidRPr="00F12123">
        <w:rPr>
          <w:rFonts w:ascii="Cambria" w:eastAsia="Batang" w:hAnsi="Cambria" w:cs="Times New Roman"/>
          <w:color w:val="000000"/>
          <w:sz w:val="21"/>
          <w:szCs w:val="21"/>
          <w:lang w:val="pt-BR"/>
        </w:rPr>
        <w:t xml:space="preserve">Barragem </w:t>
      </w:r>
      <w:r w:rsidR="00CA4605" w:rsidRPr="00F12123">
        <w:rPr>
          <w:rFonts w:ascii="Cambria" w:eastAsia="Batang" w:hAnsi="Cambria" w:cs="Times New Roman"/>
          <w:color w:val="000000"/>
          <w:sz w:val="21"/>
          <w:szCs w:val="21"/>
          <w:lang w:val="pt-BR"/>
        </w:rPr>
        <w:t>Rio dos Macacos, tendo o Ministério Público Federal emitido recomendação para a adoção de medidas urgentes em 15 de maio de 2020.</w:t>
      </w:r>
    </w:p>
    <w:p w14:paraId="3446ED14" w14:textId="77777777" w:rsidR="00B50CC7" w:rsidRPr="00F12123" w:rsidRDefault="00B50CC7" w:rsidP="00B50CC7">
      <w:pPr>
        <w:spacing w:after="0"/>
        <w:ind w:left="360"/>
        <w:contextualSpacing/>
        <w:jc w:val="both"/>
        <w:rPr>
          <w:rFonts w:ascii="Cambria" w:eastAsia="Batang" w:hAnsi="Cambria" w:cs="Times New Roman"/>
          <w:color w:val="000000"/>
          <w:sz w:val="21"/>
          <w:szCs w:val="21"/>
          <w:lang w:val="pt-BR"/>
        </w:rPr>
      </w:pPr>
    </w:p>
    <w:p w14:paraId="2001EF09" w14:textId="77777777" w:rsidR="00B50CC7" w:rsidRPr="00F12123" w:rsidRDefault="00B50CC7"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Adicionalmente, os solicitantes indicaram que não foram informados diretamente pela Marinha de ações de mitigação implementadas. Nesse sentido, por meio da Procuradoria da República na Bahia, a Marinha teria indicado que, depois da avaliação da Superintendência de Proteção e Defesa Civil do Estado da Bahia, novas inspeções foram realizadas. Devido ao anterior, as autoridades consideraram que a iminência do risco teria sido afastada, apesar de reconhecerem que seguiria sendo urgente a adoção de medidas de proteção.</w:t>
      </w:r>
      <w:r w:rsidR="00BB4401" w:rsidRPr="00F12123">
        <w:rPr>
          <w:rFonts w:ascii="Cambria" w:eastAsia="Batang" w:hAnsi="Cambria" w:cs="Times New Roman"/>
          <w:color w:val="000000"/>
          <w:sz w:val="21"/>
          <w:szCs w:val="21"/>
          <w:lang w:val="pt-BR"/>
        </w:rPr>
        <w:t xml:space="preserve"> Os solicitantes destacam que nenhuma medida adotada se refere à proteção da Comunidade em caso de ruptura, e que não teriam sido informados do Plano de Ação Emergencial ou medidas futuras a ser implementadas.</w:t>
      </w:r>
    </w:p>
    <w:p w14:paraId="053BECC9" w14:textId="77777777" w:rsidR="00BB4401" w:rsidRPr="00F12123" w:rsidRDefault="00BB4401" w:rsidP="00854DDC">
      <w:pPr>
        <w:spacing w:after="0"/>
        <w:ind w:left="360"/>
        <w:contextualSpacing/>
        <w:jc w:val="both"/>
        <w:rPr>
          <w:rFonts w:ascii="Cambria" w:eastAsia="Batang" w:hAnsi="Cambria" w:cs="Times New Roman"/>
          <w:color w:val="000000"/>
          <w:sz w:val="21"/>
          <w:szCs w:val="21"/>
          <w:lang w:val="pt-BR"/>
        </w:rPr>
      </w:pPr>
    </w:p>
    <w:p w14:paraId="66F79D8E" w14:textId="2368DD76" w:rsidR="00BB4401" w:rsidRPr="00F12123" w:rsidRDefault="00BB4401"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Somado ao anterior, a preocupação da Comunidade com os </w:t>
      </w:r>
      <w:r w:rsidR="00854DDC" w:rsidRPr="00F12123">
        <w:rPr>
          <w:rFonts w:ascii="Cambria" w:eastAsia="Batang" w:hAnsi="Cambria" w:cs="Times New Roman"/>
          <w:color w:val="000000"/>
          <w:sz w:val="21"/>
          <w:szCs w:val="21"/>
          <w:lang w:val="pt-BR"/>
        </w:rPr>
        <w:t>“graves problemas na estrutura”</w:t>
      </w:r>
      <w:r w:rsidR="00285581">
        <w:rPr>
          <w:rFonts w:ascii="Cambria" w:eastAsia="Batang" w:hAnsi="Cambria" w:cs="Times New Roman"/>
          <w:color w:val="000000"/>
          <w:sz w:val="21"/>
          <w:szCs w:val="21"/>
          <w:lang w:val="pt-BR"/>
        </w:rPr>
        <w:t xml:space="preserve"> </w:t>
      </w:r>
      <w:r w:rsidR="00854DDC" w:rsidRPr="00F12123">
        <w:rPr>
          <w:rFonts w:ascii="Cambria" w:eastAsia="Batang" w:hAnsi="Cambria" w:cs="Times New Roman"/>
          <w:color w:val="000000"/>
          <w:sz w:val="21"/>
          <w:szCs w:val="21"/>
          <w:lang w:val="pt-BR"/>
        </w:rPr>
        <w:t xml:space="preserve">se </w:t>
      </w:r>
      <w:r w:rsidR="00285581">
        <w:rPr>
          <w:rFonts w:ascii="Cambria" w:eastAsia="Batang" w:hAnsi="Cambria" w:cs="Times New Roman"/>
          <w:color w:val="000000"/>
          <w:sz w:val="21"/>
          <w:szCs w:val="21"/>
          <w:lang w:val="pt-BR"/>
        </w:rPr>
        <w:t>intensifica porque a</w:t>
      </w:r>
      <w:r w:rsidR="00854DDC" w:rsidRPr="00F12123">
        <w:rPr>
          <w:rFonts w:ascii="Cambria" w:eastAsia="Batang" w:hAnsi="Cambria" w:cs="Times New Roman"/>
          <w:color w:val="000000"/>
          <w:sz w:val="21"/>
          <w:szCs w:val="21"/>
          <w:lang w:val="pt-BR"/>
        </w:rPr>
        <w:t xml:space="preserve"> única </w:t>
      </w:r>
      <w:r w:rsidR="00285581">
        <w:rPr>
          <w:rFonts w:ascii="Cambria" w:eastAsia="Batang" w:hAnsi="Cambria" w:cs="Times New Roman"/>
          <w:color w:val="000000"/>
          <w:sz w:val="21"/>
          <w:szCs w:val="21"/>
          <w:lang w:val="pt-BR"/>
        </w:rPr>
        <w:t xml:space="preserve">via </w:t>
      </w:r>
      <w:r w:rsidR="00854DDC" w:rsidRPr="00F12123">
        <w:rPr>
          <w:rFonts w:ascii="Cambria" w:eastAsia="Batang" w:hAnsi="Cambria" w:cs="Times New Roman"/>
          <w:color w:val="000000"/>
          <w:sz w:val="21"/>
          <w:szCs w:val="21"/>
          <w:lang w:val="pt-BR"/>
        </w:rPr>
        <w:t xml:space="preserve">adequada à Comunidade </w:t>
      </w:r>
      <w:r w:rsidR="00285581">
        <w:rPr>
          <w:rFonts w:ascii="Cambria" w:eastAsia="Batang" w:hAnsi="Cambria" w:cs="Times New Roman"/>
          <w:color w:val="000000"/>
          <w:sz w:val="21"/>
          <w:szCs w:val="21"/>
          <w:lang w:val="pt-BR"/>
        </w:rPr>
        <w:t xml:space="preserve">passa por cima da barragem </w:t>
      </w:r>
      <w:r w:rsidR="00854DDC" w:rsidRPr="00F12123">
        <w:rPr>
          <w:rFonts w:ascii="Cambria" w:eastAsia="Batang" w:hAnsi="Cambria" w:cs="Times New Roman"/>
          <w:color w:val="000000"/>
          <w:sz w:val="21"/>
          <w:szCs w:val="21"/>
          <w:lang w:val="pt-BR"/>
        </w:rPr>
        <w:t>e uma potencial ruptura os deixaria isolados. Os solicitantes aclararam que a suspen</w:t>
      </w:r>
      <w:r w:rsidR="00285581">
        <w:rPr>
          <w:rFonts w:ascii="Cambria" w:eastAsia="Batang" w:hAnsi="Cambria" w:cs="Times New Roman"/>
          <w:color w:val="000000"/>
          <w:sz w:val="21"/>
          <w:szCs w:val="21"/>
          <w:lang w:val="pt-BR"/>
        </w:rPr>
        <w:t>s</w:t>
      </w:r>
      <w:r w:rsidR="00854DDC" w:rsidRPr="00F12123">
        <w:rPr>
          <w:rFonts w:ascii="Cambria" w:eastAsia="Batang" w:hAnsi="Cambria" w:cs="Times New Roman"/>
          <w:color w:val="000000"/>
          <w:sz w:val="21"/>
          <w:szCs w:val="21"/>
          <w:lang w:val="pt-BR"/>
        </w:rPr>
        <w:t>ão da construção de uma estrada de acesso independente ao quilombo derivaria da oposição da Comunidade à construção de um muro, pois esse “violaria direitos territoriais”</w:t>
      </w:r>
      <w:r w:rsidR="00AF76BF" w:rsidRPr="00F12123">
        <w:rPr>
          <w:rFonts w:ascii="Cambria" w:eastAsia="Batang" w:hAnsi="Cambria" w:cs="Times New Roman"/>
          <w:color w:val="000000"/>
          <w:sz w:val="21"/>
          <w:szCs w:val="21"/>
          <w:lang w:val="pt-BR"/>
        </w:rPr>
        <w:t xml:space="preserve"> e impediria o acesso à</w:t>
      </w:r>
      <w:r w:rsidR="00854DDC" w:rsidRPr="00F12123">
        <w:rPr>
          <w:rFonts w:ascii="Cambria" w:eastAsia="Batang" w:hAnsi="Cambria" w:cs="Times New Roman"/>
          <w:color w:val="000000"/>
          <w:sz w:val="21"/>
          <w:szCs w:val="21"/>
          <w:lang w:val="pt-BR"/>
        </w:rPr>
        <w:t xml:space="preserve"> água </w:t>
      </w:r>
      <w:r w:rsidR="00AF76BF" w:rsidRPr="00F12123">
        <w:rPr>
          <w:rFonts w:ascii="Cambria" w:eastAsia="Batang" w:hAnsi="Cambria" w:cs="Times New Roman"/>
          <w:color w:val="000000"/>
          <w:sz w:val="21"/>
          <w:szCs w:val="21"/>
          <w:lang w:val="pt-BR"/>
        </w:rPr>
        <w:t>à 87 famiílias propostas beneficiárias.</w:t>
      </w:r>
    </w:p>
    <w:p w14:paraId="446435D0" w14:textId="77777777" w:rsidR="00AF76BF" w:rsidRPr="00F12123" w:rsidRDefault="00AF76BF" w:rsidP="00AF76BF">
      <w:pPr>
        <w:spacing w:after="0"/>
        <w:contextualSpacing/>
        <w:jc w:val="both"/>
        <w:rPr>
          <w:rFonts w:ascii="Cambria" w:eastAsia="Batang" w:hAnsi="Cambria" w:cs="Times New Roman"/>
          <w:color w:val="000000"/>
          <w:sz w:val="21"/>
          <w:szCs w:val="21"/>
          <w:lang w:val="pt-BR"/>
        </w:rPr>
      </w:pPr>
    </w:p>
    <w:p w14:paraId="5371559C" w14:textId="77777777" w:rsidR="00AF76BF" w:rsidRPr="00F12123" w:rsidRDefault="00AF76BF" w:rsidP="00731366">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Finalmente, os solicitantes também indicaram que em 30 de maio de 2020 a presidência do INCRA assinou o termo de reconhecimento de 97.83 hectares em nome da Associação Quilombola.</w:t>
      </w:r>
    </w:p>
    <w:p w14:paraId="3DEE34D6" w14:textId="77777777" w:rsidR="00AD6220" w:rsidRPr="00A354B5" w:rsidRDefault="00AD6220" w:rsidP="00D51F89">
      <w:pPr>
        <w:spacing w:after="0" w:line="240" w:lineRule="auto"/>
        <w:contextualSpacing/>
        <w:jc w:val="both"/>
        <w:rPr>
          <w:rFonts w:ascii="Cambria" w:eastAsia="Batang" w:hAnsi="Cambria" w:cs="Times New Roman"/>
          <w:b/>
          <w:color w:val="000000"/>
          <w:sz w:val="21"/>
          <w:szCs w:val="21"/>
          <w:lang w:val="pt-BR"/>
        </w:rPr>
      </w:pPr>
    </w:p>
    <w:p w14:paraId="766DD68C" w14:textId="77777777" w:rsidR="004F730A" w:rsidRPr="00A354B5" w:rsidRDefault="00064CED" w:rsidP="00D51F89">
      <w:pPr>
        <w:pStyle w:val="ListParagraph"/>
        <w:numPr>
          <w:ilvl w:val="1"/>
          <w:numId w:val="4"/>
        </w:numPr>
        <w:spacing w:after="0" w:line="240" w:lineRule="auto"/>
        <w:jc w:val="both"/>
        <w:rPr>
          <w:rFonts w:ascii="Cambria" w:eastAsia="Batang" w:hAnsi="Cambria" w:cs="Times New Roman"/>
          <w:b/>
          <w:color w:val="000000"/>
          <w:sz w:val="21"/>
          <w:szCs w:val="21"/>
          <w:lang w:val="pt-BR"/>
        </w:rPr>
      </w:pPr>
      <w:r w:rsidRPr="00A354B5">
        <w:rPr>
          <w:rFonts w:ascii="Cambria" w:eastAsia="Batang" w:hAnsi="Cambria" w:cs="Times New Roman"/>
          <w:b/>
          <w:color w:val="000000"/>
          <w:sz w:val="21"/>
          <w:szCs w:val="21"/>
          <w:lang w:val="pt-BR"/>
        </w:rPr>
        <w:t>Estado</w:t>
      </w:r>
    </w:p>
    <w:p w14:paraId="6ECCACC5" w14:textId="77777777" w:rsidR="00064CED" w:rsidRPr="00A354B5" w:rsidRDefault="00064CED" w:rsidP="00D51F89">
      <w:pPr>
        <w:spacing w:after="0" w:line="240" w:lineRule="auto"/>
        <w:contextualSpacing/>
        <w:jc w:val="both"/>
        <w:rPr>
          <w:rFonts w:ascii="Cambria" w:eastAsia="Batang" w:hAnsi="Cambria" w:cs="Times New Roman"/>
          <w:b/>
          <w:color w:val="000000"/>
          <w:sz w:val="21"/>
          <w:szCs w:val="21"/>
          <w:lang w:val="pt-BR"/>
        </w:rPr>
      </w:pPr>
    </w:p>
    <w:p w14:paraId="3D0D01C5" w14:textId="093BD869" w:rsidR="00AF76BF" w:rsidRPr="00F12123" w:rsidRDefault="00AF76BF" w:rsidP="00AF76BF">
      <w:pPr>
        <w:numPr>
          <w:ilvl w:val="0"/>
          <w:numId w:val="3"/>
        </w:numPr>
        <w:spacing w:after="0"/>
        <w:ind w:left="0" w:firstLine="360"/>
        <w:contextualSpacing/>
        <w:jc w:val="both"/>
        <w:rPr>
          <w:rFonts w:ascii="Cambria" w:eastAsia="Batang" w:hAnsi="Cambria" w:cs="Times New Roman"/>
          <w:b/>
          <w:color w:val="000000"/>
          <w:sz w:val="21"/>
          <w:szCs w:val="21"/>
          <w:lang w:val="pt-BR"/>
        </w:rPr>
      </w:pPr>
      <w:r w:rsidRPr="00F12123">
        <w:rPr>
          <w:rFonts w:ascii="Cambria" w:eastAsia="Batang" w:hAnsi="Cambria" w:cs="Times New Roman"/>
          <w:color w:val="000000"/>
          <w:sz w:val="21"/>
          <w:szCs w:val="21"/>
          <w:lang w:val="pt-BR"/>
        </w:rPr>
        <w:t>Em 15 de junho de 2020, o Estado enviou informação adicional indicando que, no contexto da COVID-19, não se teria impedido a entrada de doações de alimentos e produtos de higiene, mas que se teria solicitado às pessoas responsáveis pela doação pedir autorização de entrada ao comando responsável, toda vez que se trata de área militar. Especificamente em 9 de maio, data em que os solicitantes alegaram</w:t>
      </w:r>
      <w:r w:rsidR="00363444" w:rsidRPr="00F12123">
        <w:rPr>
          <w:rFonts w:ascii="Cambria" w:eastAsia="Batang" w:hAnsi="Cambria" w:cs="Times New Roman"/>
          <w:color w:val="000000"/>
          <w:sz w:val="21"/>
          <w:szCs w:val="21"/>
          <w:lang w:val="pt-BR"/>
        </w:rPr>
        <w:t xml:space="preserve"> que se proibiu a entrada de doações, o próprio doador teria preferido voltar em 11 de maio a esperar a formalização da autorização de entrada, a qual supostamente lhe foi adiantada </w:t>
      </w:r>
      <w:r w:rsidR="00363444" w:rsidRPr="00F12123">
        <w:rPr>
          <w:rFonts w:ascii="Cambria" w:eastAsia="Batang" w:hAnsi="Cambria" w:cs="Times New Roman"/>
          <w:color w:val="000000"/>
          <w:sz w:val="21"/>
          <w:szCs w:val="21"/>
          <w:lang w:val="pt-BR"/>
        </w:rPr>
        <w:lastRenderedPageBreak/>
        <w:t>de forma verbal que se seria concedida.</w:t>
      </w:r>
      <w:r w:rsidR="00C72BB6" w:rsidRPr="00F12123">
        <w:rPr>
          <w:rFonts w:ascii="Cambria" w:eastAsia="Batang" w:hAnsi="Cambria" w:cs="Times New Roman"/>
          <w:color w:val="000000"/>
          <w:sz w:val="21"/>
          <w:szCs w:val="21"/>
          <w:lang w:val="pt-BR"/>
        </w:rPr>
        <w:t xml:space="preserve"> Segundo o Estado, em 11 de maio as doações foram distribuídas, inclusive se teria posto em disponibilidade um e-mail pa</w:t>
      </w:r>
      <w:r w:rsidR="00F80B76">
        <w:rPr>
          <w:rFonts w:ascii="Cambria" w:eastAsia="Batang" w:hAnsi="Cambria" w:cs="Times New Roman"/>
          <w:color w:val="000000"/>
          <w:sz w:val="21"/>
          <w:szCs w:val="21"/>
          <w:lang w:val="pt-BR"/>
        </w:rPr>
        <w:t>r</w:t>
      </w:r>
      <w:r w:rsidR="00C72BB6" w:rsidRPr="00F12123">
        <w:rPr>
          <w:rFonts w:ascii="Cambria" w:eastAsia="Batang" w:hAnsi="Cambria" w:cs="Times New Roman"/>
          <w:color w:val="000000"/>
          <w:sz w:val="21"/>
          <w:szCs w:val="21"/>
          <w:lang w:val="pt-BR"/>
        </w:rPr>
        <w:t>a facilitar o processo de solicitação de entregas em casos de doações à Comunidade Quilombola</w:t>
      </w:r>
      <w:r w:rsidR="00C72BB6" w:rsidRPr="00F12123">
        <w:rPr>
          <w:rStyle w:val="FootnoteReference"/>
          <w:rFonts w:ascii="Cambria" w:eastAsia="Batang" w:hAnsi="Cambria" w:cs="Times New Roman"/>
          <w:color w:val="000000"/>
          <w:sz w:val="21"/>
          <w:szCs w:val="21"/>
          <w:lang w:val="pt-BR"/>
        </w:rPr>
        <w:footnoteReference w:id="7"/>
      </w:r>
      <w:r w:rsidR="008E5CE0" w:rsidRPr="00F12123">
        <w:rPr>
          <w:rFonts w:ascii="Cambria" w:eastAsia="Batang" w:hAnsi="Cambria" w:cs="Times New Roman"/>
          <w:color w:val="000000"/>
          <w:sz w:val="21"/>
          <w:szCs w:val="21"/>
          <w:lang w:val="pt-BR"/>
        </w:rPr>
        <w:t>.</w:t>
      </w:r>
    </w:p>
    <w:p w14:paraId="3709B450" w14:textId="77777777" w:rsidR="008E5CE0" w:rsidRPr="00F12123" w:rsidRDefault="008E5CE0" w:rsidP="008E5CE0">
      <w:pPr>
        <w:spacing w:after="0"/>
        <w:ind w:left="360"/>
        <w:contextualSpacing/>
        <w:jc w:val="both"/>
        <w:rPr>
          <w:rFonts w:ascii="Cambria" w:eastAsia="Batang" w:hAnsi="Cambria" w:cs="Times New Roman"/>
          <w:b/>
          <w:color w:val="000000"/>
          <w:sz w:val="21"/>
          <w:szCs w:val="21"/>
          <w:lang w:val="pt-BR"/>
        </w:rPr>
      </w:pPr>
    </w:p>
    <w:p w14:paraId="0A57416D" w14:textId="77777777" w:rsidR="008E5CE0" w:rsidRPr="00F12123" w:rsidRDefault="008E5CE0" w:rsidP="00AF76BF">
      <w:pPr>
        <w:numPr>
          <w:ilvl w:val="0"/>
          <w:numId w:val="3"/>
        </w:numPr>
        <w:spacing w:after="0"/>
        <w:ind w:left="0" w:firstLine="360"/>
        <w:contextualSpacing/>
        <w:jc w:val="both"/>
        <w:rPr>
          <w:rFonts w:ascii="Cambria" w:eastAsia="Batang" w:hAnsi="Cambria" w:cs="Times New Roman"/>
          <w:b/>
          <w:color w:val="000000"/>
          <w:sz w:val="21"/>
          <w:szCs w:val="21"/>
          <w:lang w:val="pt-BR"/>
        </w:rPr>
      </w:pPr>
      <w:r w:rsidRPr="00F12123">
        <w:rPr>
          <w:rFonts w:ascii="Cambria" w:eastAsia="Batang" w:hAnsi="Cambria" w:cs="Times New Roman"/>
          <w:color w:val="000000"/>
          <w:sz w:val="21"/>
          <w:szCs w:val="21"/>
          <w:lang w:val="pt-BR"/>
        </w:rPr>
        <w:t>Com relação ao acesso à água potável, o Estado alegou que não teria sido a Marinha que cortou seu fornecimento, mas que houve problemas na rede de distribuição. Assim que se tomou conhecimento da situação se teria implementado medidas adequadas. Em 16 de maio se teria confirmado a regularização do abastecimento de água. Nesse intervalo, a Marinha teria concedido outro ponto de água à Comunidade, o qual foi negado por ser considerado distante.</w:t>
      </w:r>
    </w:p>
    <w:p w14:paraId="50759656" w14:textId="77777777" w:rsidR="000C24BA" w:rsidRPr="00F12123" w:rsidRDefault="000C24BA" w:rsidP="000C24BA">
      <w:pPr>
        <w:spacing w:after="0"/>
        <w:ind w:left="360"/>
        <w:contextualSpacing/>
        <w:jc w:val="both"/>
        <w:rPr>
          <w:rFonts w:ascii="Cambria" w:eastAsia="Batang" w:hAnsi="Cambria" w:cs="Times New Roman"/>
          <w:b/>
          <w:color w:val="000000"/>
          <w:sz w:val="21"/>
          <w:szCs w:val="21"/>
          <w:lang w:val="pt-BR"/>
        </w:rPr>
      </w:pPr>
    </w:p>
    <w:p w14:paraId="4A1553BB" w14:textId="0F252A88" w:rsidR="000C24BA" w:rsidRPr="00F12123" w:rsidRDefault="000C24BA" w:rsidP="001C25F7">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O Estado também enviou informação atualizada sobre a situação da </w:t>
      </w:r>
      <w:r w:rsidR="00035C43" w:rsidRPr="00F12123">
        <w:rPr>
          <w:rFonts w:ascii="Cambria" w:eastAsia="Batang" w:hAnsi="Cambria" w:cs="Times New Roman"/>
          <w:color w:val="000000"/>
          <w:sz w:val="21"/>
          <w:szCs w:val="21"/>
          <w:lang w:val="pt-BR"/>
        </w:rPr>
        <w:t xml:space="preserve">Barragem </w:t>
      </w:r>
      <w:r w:rsidRPr="00F12123">
        <w:rPr>
          <w:rFonts w:ascii="Cambria" w:eastAsia="Batang" w:hAnsi="Cambria" w:cs="Times New Roman"/>
          <w:color w:val="000000"/>
          <w:sz w:val="21"/>
          <w:szCs w:val="21"/>
          <w:lang w:val="pt-BR"/>
        </w:rPr>
        <w:t xml:space="preserve">Rio dos Macacos, indicando que não há risco iminente de ruptura. A </w:t>
      </w:r>
      <w:r w:rsidR="00035C43" w:rsidRPr="00F12123">
        <w:rPr>
          <w:rFonts w:ascii="Cambria" w:eastAsia="Batang" w:hAnsi="Cambria" w:cs="Times New Roman"/>
          <w:color w:val="000000"/>
          <w:sz w:val="21"/>
          <w:szCs w:val="21"/>
          <w:lang w:val="pt-BR"/>
        </w:rPr>
        <w:t xml:space="preserve">barragem </w:t>
      </w:r>
      <w:r w:rsidRPr="00F12123">
        <w:rPr>
          <w:rFonts w:ascii="Cambria" w:eastAsia="Batang" w:hAnsi="Cambria" w:cs="Times New Roman"/>
          <w:color w:val="000000"/>
          <w:sz w:val="21"/>
          <w:szCs w:val="21"/>
          <w:lang w:val="pt-BR"/>
        </w:rPr>
        <w:t>se localiza em terras do Estado, fora do território quilombola e seria inspecionada diariamente pela Marinha, além de ter recebido verificações de órgãos estata</w:t>
      </w:r>
      <w:r w:rsidR="003C3CD9" w:rsidRPr="00F12123">
        <w:rPr>
          <w:rFonts w:ascii="Cambria" w:eastAsia="Batang" w:hAnsi="Cambria" w:cs="Times New Roman"/>
          <w:color w:val="000000"/>
          <w:sz w:val="21"/>
          <w:szCs w:val="21"/>
          <w:lang w:val="pt-BR"/>
        </w:rPr>
        <w:t>is externos em 7, 11 e 12 de mai</w:t>
      </w:r>
      <w:r w:rsidRPr="00F12123">
        <w:rPr>
          <w:rFonts w:ascii="Cambria" w:eastAsia="Batang" w:hAnsi="Cambria" w:cs="Times New Roman"/>
          <w:color w:val="000000"/>
          <w:sz w:val="21"/>
          <w:szCs w:val="21"/>
          <w:lang w:val="pt-BR"/>
        </w:rPr>
        <w:t xml:space="preserve">o de 2020. Em 22 de maio de 2020 a Marinha celebrou </w:t>
      </w:r>
      <w:r w:rsidR="003C3CD9" w:rsidRPr="00F12123">
        <w:rPr>
          <w:rFonts w:ascii="Cambria" w:eastAsia="Batang" w:hAnsi="Cambria" w:cs="Times New Roman"/>
          <w:color w:val="000000"/>
          <w:sz w:val="21"/>
          <w:szCs w:val="21"/>
          <w:lang w:val="pt-BR"/>
        </w:rPr>
        <w:t>uma reunião com outros órgãos estatais, entre eles a Defensoria Pública, supostamente confirmando “que não há risco de rompimento iminente da Barragem Rio dos Macacos e afastou-se a necessidade de evacuação da comunidade a jusante da barragem, que não está instalada em área pertencente à União ou demarcada para comunidade quilombola”.</w:t>
      </w:r>
      <w:r w:rsidR="001C25F7" w:rsidRPr="00F12123">
        <w:rPr>
          <w:rFonts w:ascii="Cambria" w:eastAsia="Batang" w:hAnsi="Cambria" w:cs="Times New Roman"/>
          <w:color w:val="000000"/>
          <w:sz w:val="21"/>
          <w:szCs w:val="21"/>
          <w:lang w:val="pt-BR"/>
        </w:rPr>
        <w:t xml:space="preserve"> Segundo o informado, a Superintendência de Proteção e Defesa Civil do Estado da Bahia, que inicialmente teria avaliado a situação da </w:t>
      </w:r>
      <w:r w:rsidR="00035C43" w:rsidRPr="00F12123">
        <w:rPr>
          <w:rFonts w:ascii="Cambria" w:eastAsia="Batang" w:hAnsi="Cambria" w:cs="Times New Roman"/>
          <w:color w:val="000000"/>
          <w:sz w:val="21"/>
          <w:szCs w:val="21"/>
          <w:lang w:val="pt-BR"/>
        </w:rPr>
        <w:t>barr</w:t>
      </w:r>
      <w:r w:rsidR="009D609D">
        <w:rPr>
          <w:rFonts w:ascii="Cambria" w:eastAsia="Batang" w:hAnsi="Cambria" w:cs="Times New Roman"/>
          <w:color w:val="000000"/>
          <w:sz w:val="21"/>
          <w:szCs w:val="21"/>
          <w:lang w:val="pt-BR"/>
        </w:rPr>
        <w:t>a</w:t>
      </w:r>
      <w:r w:rsidR="00035C43" w:rsidRPr="00F12123">
        <w:rPr>
          <w:rFonts w:ascii="Cambria" w:eastAsia="Batang" w:hAnsi="Cambria" w:cs="Times New Roman"/>
          <w:color w:val="000000"/>
          <w:sz w:val="21"/>
          <w:szCs w:val="21"/>
          <w:lang w:val="pt-BR"/>
        </w:rPr>
        <w:t xml:space="preserve">gem </w:t>
      </w:r>
      <w:r w:rsidR="001C25F7" w:rsidRPr="00F12123">
        <w:rPr>
          <w:rFonts w:ascii="Cambria" w:eastAsia="Batang" w:hAnsi="Cambria" w:cs="Times New Roman"/>
          <w:color w:val="000000"/>
          <w:sz w:val="21"/>
          <w:szCs w:val="21"/>
          <w:lang w:val="pt-BR"/>
        </w:rPr>
        <w:t xml:space="preserve">como “emergência”, reavaliou a situação, reclassificando-a para nível de “alerta”. Isso significaria que, apesar de haver necessidade de intervir na </w:t>
      </w:r>
      <w:r w:rsidR="00035C43" w:rsidRPr="00F12123">
        <w:rPr>
          <w:rFonts w:ascii="Cambria" w:eastAsia="Batang" w:hAnsi="Cambria" w:cs="Times New Roman"/>
          <w:color w:val="000000"/>
          <w:sz w:val="21"/>
          <w:szCs w:val="21"/>
          <w:lang w:val="pt-BR"/>
        </w:rPr>
        <w:t>barragem</w:t>
      </w:r>
      <w:r w:rsidR="001C25F7" w:rsidRPr="00F12123">
        <w:rPr>
          <w:rFonts w:ascii="Cambria" w:eastAsia="Batang" w:hAnsi="Cambria" w:cs="Times New Roman"/>
          <w:color w:val="000000"/>
          <w:sz w:val="21"/>
          <w:szCs w:val="21"/>
          <w:lang w:val="pt-BR"/>
        </w:rPr>
        <w:t xml:space="preserve">, não há iminência de ruptura. Além disso, a Marinha já teria implementado medidas para a manutenção da estabilidade e segurança da </w:t>
      </w:r>
      <w:r w:rsidR="00035C43" w:rsidRPr="00F12123">
        <w:rPr>
          <w:rFonts w:ascii="Cambria" w:eastAsia="Batang" w:hAnsi="Cambria" w:cs="Times New Roman"/>
          <w:color w:val="000000"/>
          <w:sz w:val="21"/>
          <w:szCs w:val="21"/>
          <w:lang w:val="pt-BR"/>
        </w:rPr>
        <w:t xml:space="preserve">barragem </w:t>
      </w:r>
      <w:r w:rsidR="001C25F7" w:rsidRPr="00F12123">
        <w:rPr>
          <w:rFonts w:ascii="Cambria" w:eastAsia="Batang" w:hAnsi="Cambria" w:cs="Times New Roman"/>
          <w:color w:val="000000"/>
          <w:sz w:val="21"/>
          <w:szCs w:val="21"/>
          <w:lang w:val="pt-BR"/>
        </w:rPr>
        <w:t>“como a redução do nível de água; instalação de sifões; realização de inspeções que monitoram as condições do talude; e contratação de empresa para instalação de piezômetros e marcos superficiais, já instalados. Assumiu, também, o compromisso de adotar todas as medidas que efetivamente lhe competem e que foram apontadas pelos órgãos fiscalizadores”.</w:t>
      </w:r>
    </w:p>
    <w:p w14:paraId="2F3A1BC1" w14:textId="77777777" w:rsidR="00642D14" w:rsidRPr="00F12123" w:rsidRDefault="00642D14" w:rsidP="00642D14">
      <w:pPr>
        <w:spacing w:after="0"/>
        <w:ind w:left="360"/>
        <w:contextualSpacing/>
        <w:jc w:val="both"/>
        <w:rPr>
          <w:rFonts w:ascii="Cambria" w:eastAsia="Batang" w:hAnsi="Cambria" w:cs="Times New Roman"/>
          <w:color w:val="000000"/>
          <w:sz w:val="21"/>
          <w:szCs w:val="21"/>
          <w:lang w:val="pt-BR"/>
        </w:rPr>
      </w:pPr>
    </w:p>
    <w:p w14:paraId="63478763" w14:textId="6E50258F" w:rsidR="00642D14" w:rsidRPr="00F12123" w:rsidRDefault="00642D14" w:rsidP="00A00BD0">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O Estado também destacou que, além do acesso à Comunidade Quilombola pela Vila Naval, </w:t>
      </w:r>
      <w:r w:rsidR="00BF094F">
        <w:rPr>
          <w:rFonts w:ascii="Cambria" w:eastAsia="Batang" w:hAnsi="Cambria" w:cs="Times New Roman"/>
          <w:color w:val="000000"/>
          <w:sz w:val="21"/>
          <w:szCs w:val="21"/>
          <w:lang w:val="pt-BR"/>
        </w:rPr>
        <w:t>existem outras</w:t>
      </w:r>
      <w:r w:rsidRPr="00F12123">
        <w:rPr>
          <w:rFonts w:ascii="Cambria" w:eastAsia="Batang" w:hAnsi="Cambria" w:cs="Times New Roman"/>
          <w:color w:val="000000"/>
          <w:sz w:val="21"/>
          <w:szCs w:val="21"/>
          <w:lang w:val="pt-BR"/>
        </w:rPr>
        <w:t xml:space="preserve"> duas vias</w:t>
      </w:r>
      <w:r w:rsidR="00BF094F">
        <w:rPr>
          <w:rFonts w:ascii="Cambria" w:eastAsia="Batang" w:hAnsi="Cambria" w:cs="Times New Roman"/>
          <w:color w:val="000000"/>
          <w:sz w:val="21"/>
          <w:szCs w:val="21"/>
          <w:lang w:val="pt-BR"/>
        </w:rPr>
        <w:t xml:space="preserve"> de acesso</w:t>
      </w:r>
      <w:r w:rsidRPr="00F12123">
        <w:rPr>
          <w:rFonts w:ascii="Cambria" w:eastAsia="Batang" w:hAnsi="Cambria" w:cs="Times New Roman"/>
          <w:color w:val="000000"/>
          <w:sz w:val="21"/>
          <w:szCs w:val="21"/>
          <w:lang w:val="pt-BR"/>
        </w:rPr>
        <w:t xml:space="preserve">, reconhecendo também que </w:t>
      </w:r>
      <w:r w:rsidR="00A00BD0" w:rsidRPr="00F12123">
        <w:rPr>
          <w:rFonts w:ascii="Cambria" w:eastAsia="Batang" w:hAnsi="Cambria" w:cs="Times New Roman"/>
          <w:color w:val="000000"/>
          <w:sz w:val="21"/>
          <w:szCs w:val="21"/>
          <w:lang w:val="pt-BR"/>
        </w:rPr>
        <w:t xml:space="preserve">“esses caminhos alternativos possuem restrições; são, em parte, formados por trechos estreitos semelhantes a trilhas, alguns deles com instalações de eletricidade, e necessitam de intervenção do poder público competente para que apresentem adequadas condições de trafegabilidade por veículo, sobretudo em períodos chuvosos”. Devido ao anterior, segundo o Estado, não </w:t>
      </w:r>
      <w:r w:rsidR="00BF094F">
        <w:rPr>
          <w:rFonts w:ascii="Cambria" w:eastAsia="Batang" w:hAnsi="Cambria" w:cs="Times New Roman"/>
          <w:color w:val="000000"/>
          <w:sz w:val="21"/>
          <w:szCs w:val="21"/>
          <w:lang w:val="pt-BR"/>
        </w:rPr>
        <w:t>procede</w:t>
      </w:r>
      <w:r w:rsidR="00A00BD0" w:rsidRPr="00F12123">
        <w:rPr>
          <w:rFonts w:ascii="Cambria" w:eastAsia="Batang" w:hAnsi="Cambria" w:cs="Times New Roman"/>
          <w:color w:val="000000"/>
          <w:sz w:val="21"/>
          <w:szCs w:val="21"/>
          <w:lang w:val="pt-BR"/>
        </w:rPr>
        <w:t xml:space="preserve"> que em caso de rompimento da </w:t>
      </w:r>
      <w:r w:rsidR="00035C43" w:rsidRPr="00F12123">
        <w:rPr>
          <w:rFonts w:ascii="Cambria" w:eastAsia="Batang" w:hAnsi="Cambria" w:cs="Times New Roman"/>
          <w:color w:val="000000"/>
          <w:sz w:val="21"/>
          <w:szCs w:val="21"/>
          <w:lang w:val="pt-BR"/>
        </w:rPr>
        <w:t xml:space="preserve">barragem </w:t>
      </w:r>
      <w:r w:rsidR="00A00BD0" w:rsidRPr="00F12123">
        <w:rPr>
          <w:rFonts w:ascii="Cambria" w:eastAsia="Batang" w:hAnsi="Cambria" w:cs="Times New Roman"/>
          <w:color w:val="000000"/>
          <w:sz w:val="21"/>
          <w:szCs w:val="21"/>
          <w:lang w:val="pt-BR"/>
        </w:rPr>
        <w:t xml:space="preserve">as pessoas propostas como beneficiárias ficariam isoladas, tampouco se poderia afirmar que a única via de entrada </w:t>
      </w:r>
      <w:r w:rsidR="00DB1594">
        <w:rPr>
          <w:rFonts w:ascii="Cambria" w:eastAsia="Batang" w:hAnsi="Cambria" w:cs="Times New Roman"/>
          <w:color w:val="000000"/>
          <w:sz w:val="21"/>
          <w:szCs w:val="21"/>
          <w:lang w:val="pt-BR"/>
        </w:rPr>
        <w:t xml:space="preserve">para os </w:t>
      </w:r>
      <w:r w:rsidR="00BF094F">
        <w:rPr>
          <w:rFonts w:ascii="Cambria" w:eastAsia="Batang" w:hAnsi="Cambria" w:cs="Times New Roman"/>
          <w:color w:val="000000"/>
          <w:sz w:val="21"/>
          <w:szCs w:val="21"/>
          <w:lang w:val="pt-BR"/>
        </w:rPr>
        <w:t>sujeitos</w:t>
      </w:r>
      <w:r w:rsidR="00DB1594">
        <w:rPr>
          <w:rFonts w:ascii="Cambria" w:eastAsia="Batang" w:hAnsi="Cambria" w:cs="Times New Roman"/>
          <w:color w:val="000000"/>
          <w:sz w:val="21"/>
          <w:szCs w:val="21"/>
          <w:lang w:val="pt-BR"/>
        </w:rPr>
        <w:t xml:space="preserve"> da</w:t>
      </w:r>
      <w:r w:rsidR="002D58BC" w:rsidRPr="00F12123">
        <w:rPr>
          <w:rFonts w:ascii="Cambria" w:eastAsia="Batang" w:hAnsi="Cambria" w:cs="Times New Roman"/>
          <w:color w:val="000000"/>
          <w:sz w:val="21"/>
          <w:szCs w:val="21"/>
          <w:lang w:val="pt-BR"/>
        </w:rPr>
        <w:t>s alegadas intimidações e ameaças estaria sob o controle da Marinha.</w:t>
      </w:r>
    </w:p>
    <w:p w14:paraId="4A21DDB8" w14:textId="77777777" w:rsidR="002D58BC" w:rsidRPr="00F12123" w:rsidRDefault="002D58BC" w:rsidP="002D58BC">
      <w:pPr>
        <w:spacing w:after="0"/>
        <w:ind w:left="360"/>
        <w:contextualSpacing/>
        <w:jc w:val="both"/>
        <w:rPr>
          <w:rFonts w:ascii="Cambria" w:eastAsia="Batang" w:hAnsi="Cambria" w:cs="Times New Roman"/>
          <w:color w:val="000000"/>
          <w:sz w:val="21"/>
          <w:szCs w:val="21"/>
          <w:lang w:val="pt-BR"/>
        </w:rPr>
      </w:pPr>
    </w:p>
    <w:p w14:paraId="1043C63F" w14:textId="77777777" w:rsidR="002D58BC" w:rsidRPr="00F12123" w:rsidRDefault="002D58BC" w:rsidP="00A00BD0">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O Estado também afirmou que a </w:t>
      </w:r>
      <w:r w:rsidR="00C64530" w:rsidRPr="00F12123">
        <w:rPr>
          <w:rFonts w:ascii="Cambria" w:eastAsia="Batang" w:hAnsi="Cambria" w:cs="Times New Roman"/>
          <w:color w:val="000000"/>
          <w:sz w:val="21"/>
          <w:szCs w:val="21"/>
          <w:lang w:val="pt-BR"/>
        </w:rPr>
        <w:t xml:space="preserve">conexão alegada pelos solicitantes entre o assassinato do senhor José Isídio Dias e a participação da Comunidade no 174º </w:t>
      </w:r>
      <w:r w:rsidR="00E102FC" w:rsidRPr="00F12123">
        <w:rPr>
          <w:rFonts w:ascii="Cambria" w:eastAsia="Batang" w:hAnsi="Cambria" w:cs="Times New Roman"/>
          <w:color w:val="000000"/>
          <w:sz w:val="21"/>
          <w:szCs w:val="21"/>
          <w:lang w:val="pt-BR"/>
        </w:rPr>
        <w:t>Período</w:t>
      </w:r>
      <w:r w:rsidR="00C64530" w:rsidRPr="00F12123">
        <w:rPr>
          <w:rFonts w:ascii="Cambria" w:eastAsia="Batang" w:hAnsi="Cambria" w:cs="Times New Roman"/>
          <w:color w:val="000000"/>
          <w:sz w:val="21"/>
          <w:szCs w:val="21"/>
          <w:lang w:val="pt-BR"/>
        </w:rPr>
        <w:t xml:space="preserve"> de Sessões da CIDH é um “</w:t>
      </w:r>
      <w:r w:rsidR="00E102FC" w:rsidRPr="00F12123">
        <w:rPr>
          <w:rFonts w:ascii="Cambria" w:eastAsia="Batang" w:hAnsi="Cambria" w:cs="Times New Roman"/>
          <w:color w:val="000000"/>
          <w:sz w:val="21"/>
          <w:szCs w:val="21"/>
          <w:lang w:val="pt-BR"/>
        </w:rPr>
        <w:t>argumento que não corresponde à realidade”.</w:t>
      </w:r>
    </w:p>
    <w:p w14:paraId="13190FAB" w14:textId="77777777" w:rsidR="00910D00" w:rsidRPr="00F12123" w:rsidRDefault="00910D00" w:rsidP="00FE7B68">
      <w:pPr>
        <w:spacing w:after="0"/>
        <w:ind w:left="360"/>
        <w:contextualSpacing/>
        <w:jc w:val="both"/>
        <w:rPr>
          <w:rFonts w:ascii="Cambria" w:eastAsia="Batang" w:hAnsi="Cambria" w:cs="Times New Roman"/>
          <w:color w:val="000000"/>
          <w:sz w:val="21"/>
          <w:szCs w:val="21"/>
          <w:lang w:val="pt-BR"/>
        </w:rPr>
      </w:pPr>
    </w:p>
    <w:p w14:paraId="437AD01D" w14:textId="2A537C88" w:rsidR="00DE1E9F" w:rsidRPr="00F12123" w:rsidRDefault="00910D00" w:rsidP="00DE1E9F">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Com relação às pessoas propostas como beneficiárias que estariam inseridas no Programa de Proteção aos Defensores, o Estado indicou que, </w:t>
      </w:r>
      <w:r w:rsidR="003F6831">
        <w:rPr>
          <w:rFonts w:ascii="Cambria" w:eastAsia="Batang" w:hAnsi="Cambria" w:cs="Times New Roman"/>
          <w:color w:val="000000"/>
          <w:sz w:val="21"/>
          <w:szCs w:val="21"/>
          <w:lang w:val="pt-BR"/>
        </w:rPr>
        <w:t>entre</w:t>
      </w:r>
      <w:r w:rsidRPr="00F12123">
        <w:rPr>
          <w:rFonts w:ascii="Cambria" w:eastAsia="Batang" w:hAnsi="Cambria" w:cs="Times New Roman"/>
          <w:color w:val="000000"/>
          <w:sz w:val="21"/>
          <w:szCs w:val="21"/>
          <w:lang w:val="pt-BR"/>
        </w:rPr>
        <w:t xml:space="preserve"> abril de 2019 a abril de 2020, teria realizado reuniões de concertação entre diferentes órgãos e os líderes</w:t>
      </w:r>
      <w:r w:rsidR="003F6831">
        <w:rPr>
          <w:rFonts w:ascii="Cambria" w:eastAsia="Batang" w:hAnsi="Cambria" w:cs="Times New Roman"/>
          <w:color w:val="000000"/>
          <w:sz w:val="21"/>
          <w:szCs w:val="21"/>
          <w:lang w:val="pt-BR"/>
        </w:rPr>
        <w:t xml:space="preserve"> comunitários</w:t>
      </w:r>
      <w:r w:rsidRPr="00F12123">
        <w:rPr>
          <w:rFonts w:ascii="Cambria" w:eastAsia="Batang" w:hAnsi="Cambria" w:cs="Times New Roman"/>
          <w:color w:val="000000"/>
          <w:sz w:val="21"/>
          <w:szCs w:val="21"/>
          <w:lang w:val="pt-BR"/>
        </w:rPr>
        <w:t xml:space="preserve">, </w:t>
      </w:r>
      <w:r w:rsidR="003F6831">
        <w:rPr>
          <w:rFonts w:ascii="Cambria" w:eastAsia="Batang" w:hAnsi="Cambria" w:cs="Times New Roman"/>
          <w:color w:val="000000"/>
          <w:sz w:val="21"/>
          <w:szCs w:val="21"/>
          <w:lang w:val="pt-BR"/>
        </w:rPr>
        <w:t xml:space="preserve">além de </w:t>
      </w:r>
      <w:r w:rsidRPr="00F12123">
        <w:rPr>
          <w:rFonts w:ascii="Cambria" w:eastAsia="Batang" w:hAnsi="Cambria" w:cs="Times New Roman"/>
          <w:color w:val="000000"/>
          <w:sz w:val="21"/>
          <w:szCs w:val="21"/>
          <w:lang w:val="pt-BR"/>
        </w:rPr>
        <w:t xml:space="preserve">visitas </w:t>
      </w:r>
      <w:r w:rsidR="003F6831">
        <w:rPr>
          <w:rFonts w:ascii="Cambria" w:eastAsia="Batang" w:hAnsi="Cambria" w:cs="Times New Roman"/>
          <w:i/>
          <w:color w:val="000000"/>
          <w:sz w:val="21"/>
          <w:szCs w:val="21"/>
          <w:lang w:val="pt-BR"/>
        </w:rPr>
        <w:t xml:space="preserve">in loco </w:t>
      </w:r>
      <w:r w:rsidR="003F6831">
        <w:rPr>
          <w:rFonts w:ascii="Cambria" w:eastAsia="Batang" w:hAnsi="Cambria" w:cs="Times New Roman"/>
          <w:color w:val="000000"/>
          <w:sz w:val="21"/>
          <w:szCs w:val="21"/>
          <w:lang w:val="pt-BR"/>
        </w:rPr>
        <w:t xml:space="preserve">e </w:t>
      </w:r>
      <w:r w:rsidRPr="00F12123">
        <w:rPr>
          <w:rFonts w:ascii="Cambria" w:eastAsia="Batang" w:hAnsi="Cambria" w:cs="Times New Roman"/>
          <w:color w:val="000000"/>
          <w:sz w:val="21"/>
          <w:szCs w:val="21"/>
          <w:lang w:val="pt-BR"/>
        </w:rPr>
        <w:t>man</w:t>
      </w:r>
      <w:r w:rsidR="003F6831">
        <w:rPr>
          <w:rFonts w:ascii="Cambria" w:eastAsia="Batang" w:hAnsi="Cambria" w:cs="Times New Roman"/>
          <w:color w:val="000000"/>
          <w:sz w:val="21"/>
          <w:szCs w:val="21"/>
          <w:lang w:val="pt-BR"/>
        </w:rPr>
        <w:t>utenção de</w:t>
      </w:r>
      <w:r w:rsidRPr="00F12123">
        <w:rPr>
          <w:rFonts w:ascii="Cambria" w:eastAsia="Batang" w:hAnsi="Cambria" w:cs="Times New Roman"/>
          <w:color w:val="000000"/>
          <w:sz w:val="21"/>
          <w:szCs w:val="21"/>
          <w:lang w:val="pt-BR"/>
        </w:rPr>
        <w:t xml:space="preserve"> contato telefônico</w:t>
      </w:r>
      <w:r w:rsidR="00FE7B68" w:rsidRPr="00F12123">
        <w:rPr>
          <w:rFonts w:ascii="Cambria" w:eastAsia="Batang" w:hAnsi="Cambria" w:cs="Times New Roman"/>
          <w:color w:val="000000"/>
          <w:sz w:val="21"/>
          <w:szCs w:val="21"/>
          <w:lang w:val="pt-BR"/>
        </w:rPr>
        <w:t xml:space="preserve"> com pelo menos 4 dess</w:t>
      </w:r>
      <w:r w:rsidR="003F6831">
        <w:rPr>
          <w:rFonts w:ascii="Cambria" w:eastAsia="Batang" w:hAnsi="Cambria" w:cs="Times New Roman"/>
          <w:color w:val="000000"/>
          <w:sz w:val="21"/>
          <w:szCs w:val="21"/>
          <w:lang w:val="pt-BR"/>
        </w:rPr>
        <w:t>a</w:t>
      </w:r>
      <w:r w:rsidR="00FE7B68" w:rsidRPr="00F12123">
        <w:rPr>
          <w:rFonts w:ascii="Cambria" w:eastAsia="Batang" w:hAnsi="Cambria" w:cs="Times New Roman"/>
          <w:color w:val="000000"/>
          <w:sz w:val="21"/>
          <w:szCs w:val="21"/>
          <w:lang w:val="pt-BR"/>
        </w:rPr>
        <w:t>s</w:t>
      </w:r>
      <w:r w:rsidR="003F6831">
        <w:rPr>
          <w:rFonts w:ascii="Cambria" w:eastAsia="Batang" w:hAnsi="Cambria" w:cs="Times New Roman"/>
          <w:color w:val="000000"/>
          <w:sz w:val="21"/>
          <w:szCs w:val="21"/>
          <w:lang w:val="pt-BR"/>
        </w:rPr>
        <w:t xml:space="preserve"> lideranças</w:t>
      </w:r>
      <w:r w:rsidR="00FE7B68" w:rsidRPr="00F12123">
        <w:rPr>
          <w:rStyle w:val="FootnoteReference"/>
          <w:rFonts w:ascii="Cambria" w:eastAsia="Batang" w:hAnsi="Cambria" w:cs="Times New Roman"/>
          <w:color w:val="000000"/>
          <w:sz w:val="21"/>
          <w:szCs w:val="21"/>
          <w:lang w:val="pt-BR"/>
        </w:rPr>
        <w:footnoteReference w:id="8"/>
      </w:r>
      <w:r w:rsidR="00FE7B68" w:rsidRPr="00F12123">
        <w:rPr>
          <w:rFonts w:ascii="Cambria" w:eastAsia="Batang" w:hAnsi="Cambria" w:cs="Times New Roman"/>
          <w:color w:val="000000"/>
          <w:sz w:val="21"/>
          <w:szCs w:val="21"/>
          <w:lang w:val="pt-BR"/>
        </w:rPr>
        <w:t>. O Estado agregou que nas reuniões se destacou importantes pontos sobre a segurança dos líderes envolvidos</w:t>
      </w:r>
      <w:r w:rsidR="003F6831">
        <w:rPr>
          <w:rFonts w:ascii="Cambria" w:eastAsia="Batang" w:hAnsi="Cambria" w:cs="Times New Roman"/>
          <w:color w:val="000000"/>
          <w:sz w:val="21"/>
          <w:szCs w:val="21"/>
          <w:lang w:val="pt-BR"/>
        </w:rPr>
        <w:t>,</w:t>
      </w:r>
      <w:r w:rsidR="00FE7B68" w:rsidRPr="00F12123">
        <w:rPr>
          <w:rFonts w:ascii="Cambria" w:eastAsia="Batang" w:hAnsi="Cambria" w:cs="Times New Roman"/>
          <w:color w:val="000000"/>
          <w:sz w:val="21"/>
          <w:szCs w:val="21"/>
          <w:lang w:val="pt-BR"/>
        </w:rPr>
        <w:t xml:space="preserve"> </w:t>
      </w:r>
      <w:r w:rsidR="00DE1E9F" w:rsidRPr="00F12123">
        <w:rPr>
          <w:rFonts w:ascii="Cambria" w:eastAsia="Batang" w:hAnsi="Cambria" w:cs="Times New Roman"/>
          <w:color w:val="000000"/>
          <w:sz w:val="21"/>
          <w:szCs w:val="21"/>
          <w:lang w:val="pt-BR"/>
        </w:rPr>
        <w:t>como a instalação de grades, câmaras de segurança e internet, “</w:t>
      </w:r>
      <w:r w:rsidR="003F6831">
        <w:rPr>
          <w:rFonts w:ascii="Cambria" w:eastAsia="Batang" w:hAnsi="Cambria" w:cs="Times New Roman"/>
          <w:color w:val="000000"/>
          <w:sz w:val="21"/>
          <w:szCs w:val="21"/>
          <w:lang w:val="pt-BR"/>
        </w:rPr>
        <w:t>n</w:t>
      </w:r>
      <w:r w:rsidR="00DE1E9F" w:rsidRPr="00F12123">
        <w:rPr>
          <w:rFonts w:ascii="Cambria" w:eastAsia="Batang" w:hAnsi="Cambria" w:cs="Times New Roman"/>
          <w:color w:val="000000"/>
          <w:sz w:val="21"/>
          <w:szCs w:val="21"/>
          <w:lang w:val="pt-BR"/>
        </w:rPr>
        <w:t xml:space="preserve">o </w:t>
      </w:r>
      <w:r w:rsidR="00DE1E9F" w:rsidRPr="003E282C">
        <w:rPr>
          <w:rFonts w:ascii="Cambria" w:eastAsia="Batang" w:hAnsi="Cambria" w:cs="Times New Roman"/>
          <w:color w:val="000000"/>
          <w:sz w:val="21"/>
          <w:szCs w:val="21"/>
          <w:lang w:val="pt-BR"/>
        </w:rPr>
        <w:t>entanto, existem barreiras a essas estratégias, devido à infraestrutura das casas e a</w:t>
      </w:r>
      <w:r w:rsidR="00DE1E9F" w:rsidRPr="00F12123">
        <w:rPr>
          <w:rFonts w:ascii="Cambria" w:eastAsia="Batang" w:hAnsi="Cambria" w:cs="Times New Roman"/>
          <w:color w:val="000000"/>
          <w:sz w:val="21"/>
          <w:szCs w:val="21"/>
          <w:lang w:val="pt-BR"/>
        </w:rPr>
        <w:t xml:space="preserve"> dificuldade da comunidade em realizar reformas, como a ausência de </w:t>
      </w:r>
      <w:r w:rsidR="00DE1E9F" w:rsidRPr="00F12123">
        <w:rPr>
          <w:rFonts w:ascii="Cambria" w:eastAsia="Batang" w:hAnsi="Cambria" w:cs="Times New Roman"/>
          <w:color w:val="000000"/>
          <w:sz w:val="21"/>
          <w:szCs w:val="21"/>
          <w:lang w:val="pt-BR"/>
        </w:rPr>
        <w:lastRenderedPageBreak/>
        <w:t>rede elétrica”. Particularmente, com relação à senhora Rose Meire, teria a possibilidade de muda-la de local por até 90 dias, o que ela não teria aceitado, supostamente porque não quis sair do território.</w:t>
      </w:r>
    </w:p>
    <w:p w14:paraId="598EBCD4" w14:textId="77777777" w:rsidR="00E858CC" w:rsidRPr="00F12123" w:rsidRDefault="00E858CC" w:rsidP="00E858CC">
      <w:pPr>
        <w:spacing w:after="0"/>
        <w:ind w:left="360"/>
        <w:contextualSpacing/>
        <w:jc w:val="both"/>
        <w:rPr>
          <w:rFonts w:ascii="Cambria" w:eastAsia="Batang" w:hAnsi="Cambria" w:cs="Times New Roman"/>
          <w:color w:val="000000"/>
          <w:sz w:val="21"/>
          <w:szCs w:val="21"/>
          <w:lang w:val="pt-BR"/>
        </w:rPr>
      </w:pPr>
    </w:p>
    <w:p w14:paraId="53EEF81E" w14:textId="5CE0DA19" w:rsidR="00E858CC" w:rsidRPr="00F12123" w:rsidRDefault="00E858CC" w:rsidP="00DE1E9F">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No contexto da pandemia de COVID-19, o Programa de Proteção aos Defensores teria solicitado a outros órgãos estatais que se acompanhe de forma mais próxima a Comunidade para lhes orientar sobre a possibilidade de inscrição em programas de auxílio de emergência, sendo que dois líderes estariam recebendo apoio financeiro por três meses do próprio Programa de Proteção. Diante do exposto, o Estado alegou que não </w:t>
      </w:r>
      <w:r w:rsidR="003F6831">
        <w:rPr>
          <w:rFonts w:ascii="Cambria" w:eastAsia="Batang" w:hAnsi="Cambria" w:cs="Times New Roman"/>
          <w:color w:val="000000"/>
          <w:sz w:val="21"/>
          <w:szCs w:val="21"/>
          <w:lang w:val="pt-BR"/>
        </w:rPr>
        <w:t>procede</w:t>
      </w:r>
      <w:r w:rsidRPr="00F12123">
        <w:rPr>
          <w:rFonts w:ascii="Cambria" w:eastAsia="Batang" w:hAnsi="Cambria" w:cs="Times New Roman"/>
          <w:color w:val="000000"/>
          <w:sz w:val="21"/>
          <w:szCs w:val="21"/>
          <w:lang w:val="pt-BR"/>
        </w:rPr>
        <w:t xml:space="preserve"> a afirmação dos solicitantes de que as medidas adotadas pelo Programa não seriam efetivas.</w:t>
      </w:r>
    </w:p>
    <w:p w14:paraId="11B16E58" w14:textId="77777777" w:rsidR="007B32A2" w:rsidRPr="00F12123" w:rsidRDefault="007B32A2" w:rsidP="007B32A2">
      <w:pPr>
        <w:spacing w:after="0"/>
        <w:ind w:left="360"/>
        <w:contextualSpacing/>
        <w:jc w:val="both"/>
        <w:rPr>
          <w:rFonts w:ascii="Cambria" w:eastAsia="Batang" w:hAnsi="Cambria" w:cs="Times New Roman"/>
          <w:color w:val="000000"/>
          <w:sz w:val="21"/>
          <w:szCs w:val="21"/>
          <w:lang w:val="pt-BR"/>
        </w:rPr>
      </w:pPr>
    </w:p>
    <w:p w14:paraId="5EE2D878" w14:textId="77777777" w:rsidR="007B32A2" w:rsidRPr="00F12123" w:rsidRDefault="007B32A2" w:rsidP="00DE1E9F">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Adicionalmente, o Estado confirmou a assinatura pelo diretor do INCRA do termo de reconhecimento do território quilombola.</w:t>
      </w:r>
    </w:p>
    <w:p w14:paraId="3F975DC4" w14:textId="77777777" w:rsidR="007B32A2" w:rsidRPr="00F12123" w:rsidRDefault="007B32A2" w:rsidP="004F48DB">
      <w:pPr>
        <w:spacing w:after="0"/>
        <w:ind w:left="360"/>
        <w:contextualSpacing/>
        <w:jc w:val="both"/>
        <w:rPr>
          <w:rFonts w:ascii="Cambria" w:eastAsia="Batang" w:hAnsi="Cambria" w:cs="Times New Roman"/>
          <w:color w:val="000000"/>
          <w:sz w:val="21"/>
          <w:szCs w:val="21"/>
          <w:lang w:val="pt-BR"/>
        </w:rPr>
      </w:pPr>
    </w:p>
    <w:p w14:paraId="2CF510CE" w14:textId="09BBDF9D" w:rsidR="007B32A2" w:rsidRPr="00F12123" w:rsidRDefault="007B32A2" w:rsidP="00DE1E9F">
      <w:pPr>
        <w:numPr>
          <w:ilvl w:val="0"/>
          <w:numId w:val="3"/>
        </w:numPr>
        <w:spacing w:after="0"/>
        <w:ind w:left="0" w:firstLine="360"/>
        <w:contextualSpacing/>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Por fim, segundo o Estado, diante do exposto, a solicitação de medidas cautelares não cumpre com os requisitos regulamentários de gravidade, urgência e dano irreparável. Adicionalmente, assinalou que os solicitantes não esgotaram os recursos internos antes de apresentar a solicitação, destacando que não buscaram as instâncias internas </w:t>
      </w:r>
      <w:r w:rsidR="004F48DB" w:rsidRPr="00F12123">
        <w:rPr>
          <w:rFonts w:ascii="Cambria" w:eastAsia="Batang" w:hAnsi="Cambria" w:cs="Times New Roman"/>
          <w:color w:val="000000"/>
          <w:sz w:val="21"/>
          <w:szCs w:val="21"/>
          <w:lang w:val="pt-BR"/>
        </w:rPr>
        <w:t>adequadas para averiguar os fatos relacionados ao aumento da violência antes de apresentar a solicitação, como tampouco apresentaram os devidos recursos para instaurar procedimentos administrativos que teriam permitido obter vigilância policial, iluminação pública, construção de estrada, etc. Alegou-se que o Estado “busca uma solução integral” para a situação das pessoas propostas como beneficiárias.</w:t>
      </w:r>
    </w:p>
    <w:p w14:paraId="50927831" w14:textId="77777777" w:rsidR="0004635F" w:rsidRPr="00A354B5" w:rsidRDefault="0004635F" w:rsidP="00D51F89">
      <w:pPr>
        <w:spacing w:after="0" w:line="240" w:lineRule="auto"/>
        <w:contextualSpacing/>
        <w:jc w:val="both"/>
        <w:rPr>
          <w:rFonts w:ascii="Cambria" w:eastAsia="Batang" w:hAnsi="Cambria" w:cs="Times New Roman"/>
          <w:color w:val="000000"/>
          <w:sz w:val="21"/>
          <w:szCs w:val="21"/>
          <w:lang w:val="pt-BR"/>
        </w:rPr>
      </w:pPr>
    </w:p>
    <w:p w14:paraId="1E19C2F9" w14:textId="77777777" w:rsidR="00C66795" w:rsidRPr="00F12123" w:rsidRDefault="00C66795" w:rsidP="00D51F89">
      <w:pPr>
        <w:numPr>
          <w:ilvl w:val="0"/>
          <w:numId w:val="2"/>
        </w:numPr>
        <w:spacing w:after="0" w:line="240" w:lineRule="auto"/>
        <w:ind w:hanging="294"/>
        <w:jc w:val="both"/>
        <w:rPr>
          <w:rFonts w:ascii="Cambria" w:eastAsia="Batang" w:hAnsi="Cambria" w:cs="Times New Roman"/>
          <w:b/>
          <w:color w:val="000000"/>
          <w:sz w:val="21"/>
          <w:szCs w:val="21"/>
          <w:lang w:val="pt-BR"/>
        </w:rPr>
      </w:pPr>
      <w:r w:rsidRPr="00F12123">
        <w:rPr>
          <w:rFonts w:ascii="Cambria" w:eastAsia="Batang" w:hAnsi="Cambria" w:cs="Times New Roman"/>
          <w:b/>
          <w:color w:val="000000"/>
          <w:sz w:val="21"/>
          <w:szCs w:val="21"/>
          <w:lang w:val="pt-BR"/>
        </w:rPr>
        <w:t>AN</w:t>
      </w:r>
      <w:r w:rsidR="009962D8" w:rsidRPr="00F12123">
        <w:rPr>
          <w:rFonts w:ascii="Cambria" w:eastAsia="Batang" w:hAnsi="Cambria" w:cs="Times New Roman"/>
          <w:b/>
          <w:color w:val="000000"/>
          <w:sz w:val="21"/>
          <w:szCs w:val="21"/>
          <w:lang w:val="pt-BR"/>
        </w:rPr>
        <w:t>Á</w:t>
      </w:r>
      <w:r w:rsidRPr="00F12123">
        <w:rPr>
          <w:rFonts w:ascii="Cambria" w:eastAsia="Batang" w:hAnsi="Cambria" w:cs="Times New Roman"/>
          <w:b/>
          <w:color w:val="000000"/>
          <w:sz w:val="21"/>
          <w:szCs w:val="21"/>
          <w:lang w:val="pt-BR"/>
        </w:rPr>
        <w:t>LIS</w:t>
      </w:r>
      <w:r w:rsidR="004F48DB" w:rsidRPr="00F12123">
        <w:rPr>
          <w:rFonts w:ascii="Cambria" w:eastAsia="Batang" w:hAnsi="Cambria" w:cs="Times New Roman"/>
          <w:b/>
          <w:color w:val="000000"/>
          <w:sz w:val="21"/>
          <w:szCs w:val="21"/>
          <w:lang w:val="pt-BR"/>
        </w:rPr>
        <w:t xml:space="preserve">E </w:t>
      </w:r>
      <w:r w:rsidRPr="003E282C">
        <w:rPr>
          <w:rFonts w:ascii="Cambria" w:eastAsia="Batang" w:hAnsi="Cambria" w:cs="Times New Roman"/>
          <w:b/>
          <w:color w:val="000000"/>
          <w:sz w:val="21"/>
          <w:szCs w:val="21"/>
          <w:lang w:val="pt-BR"/>
        </w:rPr>
        <w:t>SOBRE</w:t>
      </w:r>
      <w:r w:rsidR="004F48DB" w:rsidRPr="003E282C">
        <w:rPr>
          <w:rFonts w:ascii="Cambria" w:eastAsia="Batang" w:hAnsi="Cambria" w:cs="Times New Roman"/>
          <w:b/>
          <w:color w:val="000000"/>
          <w:sz w:val="21"/>
          <w:szCs w:val="21"/>
          <w:lang w:val="pt-BR"/>
        </w:rPr>
        <w:t xml:space="preserve"> OS ELEMENTOS DE GRAVI</w:t>
      </w:r>
      <w:r w:rsidRPr="00F12123">
        <w:rPr>
          <w:rFonts w:ascii="Cambria" w:eastAsia="Batang" w:hAnsi="Cambria" w:cs="Times New Roman"/>
          <w:b/>
          <w:color w:val="000000"/>
          <w:sz w:val="21"/>
          <w:szCs w:val="21"/>
          <w:lang w:val="pt-BR"/>
        </w:rPr>
        <w:t>DAD</w:t>
      </w:r>
      <w:r w:rsidR="004F48DB" w:rsidRPr="00F12123">
        <w:rPr>
          <w:rFonts w:ascii="Cambria" w:eastAsia="Batang" w:hAnsi="Cambria" w:cs="Times New Roman"/>
          <w:b/>
          <w:color w:val="000000"/>
          <w:sz w:val="21"/>
          <w:szCs w:val="21"/>
          <w:lang w:val="pt-BR"/>
        </w:rPr>
        <w:t>E, URGÊ</w:t>
      </w:r>
      <w:r w:rsidRPr="00F12123">
        <w:rPr>
          <w:rFonts w:ascii="Cambria" w:eastAsia="Batang" w:hAnsi="Cambria" w:cs="Times New Roman"/>
          <w:b/>
          <w:color w:val="000000"/>
          <w:sz w:val="21"/>
          <w:szCs w:val="21"/>
          <w:lang w:val="pt-BR"/>
        </w:rPr>
        <w:t>NCIA E IRREPARABILIDAD</w:t>
      </w:r>
      <w:r w:rsidR="004F48DB" w:rsidRPr="00F12123">
        <w:rPr>
          <w:rFonts w:ascii="Cambria" w:eastAsia="Batang" w:hAnsi="Cambria" w:cs="Times New Roman"/>
          <w:b/>
          <w:color w:val="000000"/>
          <w:sz w:val="21"/>
          <w:szCs w:val="21"/>
          <w:lang w:val="pt-BR"/>
        </w:rPr>
        <w:t>E</w:t>
      </w:r>
    </w:p>
    <w:p w14:paraId="5D5995C2" w14:textId="77777777" w:rsidR="00C66795" w:rsidRPr="00F12123" w:rsidRDefault="00C66795" w:rsidP="00D51F89">
      <w:pPr>
        <w:spacing w:after="0" w:line="240" w:lineRule="auto"/>
        <w:ind w:left="720"/>
        <w:jc w:val="both"/>
        <w:rPr>
          <w:rFonts w:ascii="Cambria" w:eastAsia="Batang" w:hAnsi="Cambria" w:cs="Times New Roman"/>
          <w:b/>
          <w:color w:val="000000"/>
          <w:sz w:val="21"/>
          <w:szCs w:val="21"/>
          <w:lang w:val="pt-BR"/>
        </w:rPr>
      </w:pPr>
    </w:p>
    <w:p w14:paraId="50D3225F" w14:textId="77777777" w:rsidR="008A4CE7" w:rsidRPr="00F12123" w:rsidRDefault="008A4CE7"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O mecanismo de medidas cautelares faz parte do papel da Comissão no monitoramento do cumprimento das obrigações de direitos humanos estabelecido no artigo 106 da Carta da Organização dos Estados Americanos. Essas funções gerais de supervisão estão estabelecidas no artigo 41 (b) da Convenção Americana sobre Direitos Humanos, também incluída no artigo 18 (b) do Estatuto da CIDH. O mecanismo de medidas cautelares está descrito no artigo 25 do Regulamento da Comissão. De acordo com esse artigo, a Comissão outorga medidas cautelares em situações graves e urgentes, em que tais medidas são necessárias para prevenir danos irreparáveis às pessoas.</w:t>
      </w:r>
    </w:p>
    <w:p w14:paraId="4EDA69C2" w14:textId="77777777" w:rsidR="008A4CE7" w:rsidRPr="00F12123" w:rsidRDefault="008A4CE7" w:rsidP="008A4CE7">
      <w:pPr>
        <w:spacing w:after="0" w:line="240" w:lineRule="auto"/>
        <w:jc w:val="both"/>
        <w:rPr>
          <w:rFonts w:ascii="Calibri Light" w:eastAsia="Calibri" w:hAnsi="Calibri Light" w:cs="Times New Roman"/>
          <w:color w:val="000000"/>
          <w:sz w:val="21"/>
          <w:szCs w:val="21"/>
          <w:lang w:val="pt-BR"/>
        </w:rPr>
      </w:pPr>
    </w:p>
    <w:p w14:paraId="2C1809C0" w14:textId="77777777" w:rsidR="008A4CE7" w:rsidRPr="00F12123" w:rsidRDefault="008A4CE7"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 Comissão Interamericana e a Corte Interamericana de Direitos Humanos (doravante "a Corte Interamericana" ou "Corte IDH") estabeleceram reiteradamente que medidas cautelares e provisórias têm uma natureza dupla, uma cautelar e uma tutelar. Quanto à tutelar, as medidas buscam evitar danos irreparáveis e preservar o exercício dos direitos humanos. Quanto à natureza cautelar, as medidas cautelares têm o objetivo de preservar uma situação jurídica enquanto estiver sendo considerada pela CIDH. O propósito da natureza cautelar é preservar os direitos em risco até que a petição que esteja sob análise no Sistema Interamericano seja resolvida. O objeto e finalidade são para garantir a integridade e a eficácia da decisão de mérito e, assim, evitar que os direitos reivindicados sejam violados, situação que poderia tornar inócua ou ineficaz (</w:t>
      </w:r>
      <w:r w:rsidRPr="00F12123">
        <w:rPr>
          <w:rFonts w:ascii="Cambria" w:eastAsia="Batang" w:hAnsi="Cambria" w:cs="Times New Roman"/>
          <w:i/>
          <w:color w:val="000000"/>
          <w:sz w:val="21"/>
          <w:szCs w:val="21"/>
          <w:lang w:val="pt-BR"/>
        </w:rPr>
        <w:t>effet utile</w:t>
      </w:r>
      <w:r w:rsidRPr="00F12123">
        <w:rPr>
          <w:rFonts w:ascii="Cambria" w:eastAsia="Batang" w:hAnsi="Cambria" w:cs="Times New Roman"/>
          <w:color w:val="000000"/>
          <w:sz w:val="21"/>
          <w:szCs w:val="21"/>
          <w:lang w:val="pt-BR"/>
        </w:rPr>
        <w:t>) a decisão final. Nesse sentido, as medidas cautelares ou provisórias permitem que o Estado em questão cumpra a decisão final e, se necessário, cumpra as reparações ordenadas. Para efeitos de decisão, e em conformidade com o artigo 25.2 do seu Regulamento, a Comissão considera que:</w:t>
      </w:r>
    </w:p>
    <w:p w14:paraId="313ACF29" w14:textId="77777777" w:rsidR="008A4CE7" w:rsidRPr="00F12123" w:rsidRDefault="008A4CE7" w:rsidP="008A4CE7">
      <w:pPr>
        <w:tabs>
          <w:tab w:val="left" w:pos="5161"/>
        </w:tabs>
        <w:spacing w:after="0" w:line="240" w:lineRule="auto"/>
        <w:jc w:val="both"/>
        <w:rPr>
          <w:rFonts w:ascii="Calibri Light" w:eastAsia="Calibri" w:hAnsi="Calibri Light" w:cs="Times New Roman"/>
          <w:color w:val="000000"/>
          <w:sz w:val="21"/>
          <w:szCs w:val="21"/>
          <w:lang w:val="pt-BR"/>
        </w:rPr>
      </w:pPr>
    </w:p>
    <w:p w14:paraId="382A2B84" w14:textId="77777777" w:rsidR="008A4CE7" w:rsidRPr="00F12123" w:rsidRDefault="008A4CE7" w:rsidP="008A4CE7">
      <w:pPr>
        <w:tabs>
          <w:tab w:val="left" w:pos="5161"/>
        </w:tabs>
        <w:spacing w:after="0" w:line="240" w:lineRule="auto"/>
        <w:ind w:left="567" w:right="567"/>
        <w:jc w:val="both"/>
        <w:rPr>
          <w:rFonts w:ascii="Cambria" w:eastAsia="Calibri" w:hAnsi="Cambria" w:cs="Times New Roman"/>
          <w:color w:val="000000"/>
          <w:sz w:val="18"/>
          <w:szCs w:val="18"/>
          <w:lang w:val="pt-BR"/>
        </w:rPr>
      </w:pPr>
      <w:r w:rsidRPr="00F12123">
        <w:rPr>
          <w:rFonts w:ascii="Cambria" w:eastAsia="Calibri" w:hAnsi="Cambria" w:cs="Times New Roman"/>
          <w:color w:val="000000"/>
          <w:sz w:val="18"/>
          <w:szCs w:val="18"/>
          <w:lang w:val="pt-BR"/>
        </w:rPr>
        <w:t>a. a “gravidade da situação” significa o sério impacto que uma ação ou omissão pode ter sobre um direito protegido ou sobre o efeito eventual de uma decisão pendente em um caso ou petição nos órgãos do Sistema Interamericano;</w:t>
      </w:r>
    </w:p>
    <w:p w14:paraId="44D435B4" w14:textId="77777777" w:rsidR="008A4CE7" w:rsidRPr="00F12123" w:rsidRDefault="008A4CE7" w:rsidP="008A4CE7">
      <w:pPr>
        <w:tabs>
          <w:tab w:val="left" w:pos="5161"/>
        </w:tabs>
        <w:spacing w:after="0" w:line="240" w:lineRule="auto"/>
        <w:ind w:left="567" w:right="567"/>
        <w:jc w:val="both"/>
        <w:rPr>
          <w:rFonts w:ascii="Cambria" w:eastAsia="Calibri" w:hAnsi="Cambria" w:cs="Times New Roman"/>
          <w:color w:val="000000"/>
          <w:sz w:val="18"/>
          <w:szCs w:val="18"/>
          <w:lang w:val="pt-BR"/>
        </w:rPr>
      </w:pPr>
    </w:p>
    <w:p w14:paraId="1C1D1090" w14:textId="77777777" w:rsidR="008A4CE7" w:rsidRPr="00F12123" w:rsidRDefault="008A4CE7" w:rsidP="008A4CE7">
      <w:pPr>
        <w:tabs>
          <w:tab w:val="left" w:pos="5161"/>
        </w:tabs>
        <w:spacing w:after="0" w:line="240" w:lineRule="auto"/>
        <w:ind w:left="567" w:right="567"/>
        <w:jc w:val="both"/>
        <w:rPr>
          <w:rFonts w:ascii="Cambria" w:eastAsia="Calibri" w:hAnsi="Cambria" w:cs="Times New Roman"/>
          <w:color w:val="000000"/>
          <w:sz w:val="18"/>
          <w:szCs w:val="18"/>
          <w:lang w:val="pt-BR"/>
        </w:rPr>
      </w:pPr>
      <w:r w:rsidRPr="00F12123">
        <w:rPr>
          <w:rFonts w:ascii="Cambria" w:eastAsia="Calibri" w:hAnsi="Cambria" w:cs="Times New Roman"/>
          <w:color w:val="000000"/>
          <w:sz w:val="18"/>
          <w:szCs w:val="18"/>
          <w:lang w:val="pt-BR"/>
        </w:rPr>
        <w:t>b. a “urgência da situação” é determinada pelas informações que indicam que o risco ou a ameaça são iminentes e podem materializar-se, requerendo dessa maneira ação preventiva ou tutelar; e</w:t>
      </w:r>
    </w:p>
    <w:p w14:paraId="22111372" w14:textId="77777777" w:rsidR="008A4CE7" w:rsidRPr="00F12123" w:rsidRDefault="008A4CE7" w:rsidP="008A4CE7">
      <w:pPr>
        <w:tabs>
          <w:tab w:val="left" w:pos="5161"/>
        </w:tabs>
        <w:spacing w:after="0" w:line="240" w:lineRule="auto"/>
        <w:ind w:left="567" w:right="567"/>
        <w:jc w:val="both"/>
        <w:rPr>
          <w:rFonts w:ascii="Cambria" w:eastAsia="Calibri" w:hAnsi="Cambria" w:cs="Times New Roman"/>
          <w:color w:val="000000"/>
          <w:sz w:val="18"/>
          <w:szCs w:val="18"/>
          <w:lang w:val="pt-BR"/>
        </w:rPr>
      </w:pPr>
    </w:p>
    <w:p w14:paraId="0423B98F" w14:textId="77777777" w:rsidR="008A4CE7" w:rsidRPr="00F12123" w:rsidRDefault="008A4CE7" w:rsidP="008A4CE7">
      <w:pPr>
        <w:tabs>
          <w:tab w:val="left" w:pos="5161"/>
        </w:tabs>
        <w:spacing w:after="0" w:line="240" w:lineRule="auto"/>
        <w:ind w:left="567" w:right="567"/>
        <w:jc w:val="both"/>
        <w:rPr>
          <w:rFonts w:ascii="Cambria" w:eastAsia="Calibri" w:hAnsi="Cambria" w:cs="Times New Roman"/>
          <w:color w:val="000000"/>
          <w:sz w:val="18"/>
          <w:szCs w:val="18"/>
          <w:lang w:val="pt-BR"/>
        </w:rPr>
      </w:pPr>
      <w:r w:rsidRPr="00F12123">
        <w:rPr>
          <w:rFonts w:ascii="Cambria" w:eastAsia="Calibri" w:hAnsi="Cambria" w:cs="Times New Roman"/>
          <w:color w:val="000000"/>
          <w:sz w:val="18"/>
          <w:szCs w:val="18"/>
          <w:lang w:val="pt-BR"/>
        </w:rPr>
        <w:lastRenderedPageBreak/>
        <w:t>c. o “dano irreparável” significa os efeitos sobre direitos que, por sua própria natureza, não são suscetíveis de reparação, restauração ou indenização adequada.</w:t>
      </w:r>
    </w:p>
    <w:p w14:paraId="69925ED1" w14:textId="77777777" w:rsidR="008A4CE7" w:rsidRPr="00F12123" w:rsidRDefault="008A4CE7" w:rsidP="008A4CE7">
      <w:pPr>
        <w:tabs>
          <w:tab w:val="left" w:pos="5161"/>
        </w:tabs>
        <w:spacing w:after="0" w:line="240" w:lineRule="auto"/>
        <w:jc w:val="both"/>
        <w:rPr>
          <w:rFonts w:ascii="Calibri Light" w:eastAsia="Calibri" w:hAnsi="Calibri Light" w:cs="Times New Roman"/>
          <w:sz w:val="21"/>
          <w:szCs w:val="21"/>
          <w:lang w:val="pt-BR"/>
        </w:rPr>
      </w:pPr>
    </w:p>
    <w:p w14:paraId="2F4C56C9" w14:textId="77777777" w:rsidR="008A4CE7" w:rsidRPr="00F12123" w:rsidRDefault="008A4CE7"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Na análise dos requisitos acima mencionados, a Comissão reitera que os fatos que motivam uma solicitação de medidas cautelares não precisam estar totalmente comprovados. A informação proporcionada, para efeitos de identificar uma situação de gravidade e urgência, deve ser avaliada de uma perspectiva </w:t>
      </w:r>
      <w:r w:rsidRPr="00F12123">
        <w:rPr>
          <w:rFonts w:ascii="Cambria" w:eastAsia="Batang" w:hAnsi="Cambria" w:cs="Times New Roman"/>
          <w:i/>
          <w:color w:val="000000"/>
          <w:sz w:val="21"/>
          <w:szCs w:val="21"/>
          <w:lang w:val="pt-BR"/>
        </w:rPr>
        <w:t>prima facie</w:t>
      </w:r>
      <w:r w:rsidRPr="00F12123">
        <w:rPr>
          <w:rFonts w:ascii="Cambria" w:eastAsia="Batang" w:hAnsi="Cambria" w:cs="Times New Roman"/>
          <w:color w:val="000000"/>
          <w:sz w:val="21"/>
          <w:szCs w:val="21"/>
          <w:vertAlign w:val="superscript"/>
          <w:lang w:val="pt-BR"/>
        </w:rPr>
        <w:footnoteReference w:id="9"/>
      </w:r>
      <w:r w:rsidRPr="00F12123">
        <w:rPr>
          <w:rFonts w:ascii="Cambria" w:eastAsia="Batang" w:hAnsi="Cambria" w:cs="Times New Roman"/>
          <w:color w:val="000000"/>
          <w:sz w:val="21"/>
          <w:szCs w:val="21"/>
          <w:lang w:val="pt-BR"/>
        </w:rPr>
        <w:t xml:space="preserve">. </w:t>
      </w:r>
      <w:r w:rsidR="00953A68" w:rsidRPr="00F12123">
        <w:rPr>
          <w:rFonts w:ascii="Cambria" w:eastAsia="Batang" w:hAnsi="Cambria" w:cs="Times New Roman"/>
          <w:color w:val="000000"/>
          <w:sz w:val="21"/>
          <w:szCs w:val="21"/>
          <w:lang w:val="pt-BR"/>
        </w:rPr>
        <w:t>Do mesmo modo, em relação ao declarado pelo Estado quanto à suposta falta de esgotamento de recursos internos, que é um dos pressupostos de admissibilidade de uma petição, a Comissão lembra que o mecanismo de medidas cautelares se rege exclusivamente pelo artigo 25 do Regulamento. Nesse sentido, o artigo 6 e sua alínea a estabelecem unicamente que: “[a]o considerar o pedido, a Comissão levará em conta seu contexto e os seguintes elementos: a) se a situação foi denunciada às autoridades pertinentes ou se há motivos para isso não poder ser feito […]”.</w:t>
      </w:r>
      <w:r w:rsidR="00953A68" w:rsidRPr="00A354B5">
        <w:rPr>
          <w:rFonts w:ascii="Cambria" w:eastAsia="Batang" w:hAnsi="Cambria" w:cs="Times New Roman"/>
          <w:color w:val="000000"/>
          <w:sz w:val="21"/>
          <w:szCs w:val="21"/>
          <w:vertAlign w:val="superscript"/>
          <w:lang w:val="pt-BR"/>
        </w:rPr>
        <w:footnoteReference w:id="10"/>
      </w:r>
    </w:p>
    <w:p w14:paraId="1EAA3536" w14:textId="77777777" w:rsidR="008A4CE7" w:rsidRPr="00F12123" w:rsidRDefault="008A4CE7" w:rsidP="00953A68">
      <w:pPr>
        <w:spacing w:after="0" w:line="240" w:lineRule="auto"/>
        <w:ind w:left="360"/>
        <w:jc w:val="both"/>
        <w:rPr>
          <w:rFonts w:ascii="Cambria" w:eastAsia="Batang" w:hAnsi="Cambria" w:cs="Times New Roman"/>
          <w:color w:val="000000"/>
          <w:sz w:val="21"/>
          <w:szCs w:val="21"/>
          <w:lang w:val="pt-BR"/>
        </w:rPr>
      </w:pPr>
    </w:p>
    <w:p w14:paraId="02C82A71" w14:textId="77777777" w:rsidR="00953A68" w:rsidRPr="00F12123" w:rsidRDefault="00953A68"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Como observação preliminar, </w:t>
      </w:r>
      <w:r w:rsidR="00522E01" w:rsidRPr="00F12123">
        <w:rPr>
          <w:rFonts w:ascii="Cambria" w:eastAsia="Batang" w:hAnsi="Cambria" w:cs="Times New Roman"/>
          <w:color w:val="000000"/>
          <w:sz w:val="21"/>
          <w:szCs w:val="21"/>
          <w:lang w:val="pt-BR"/>
        </w:rPr>
        <w:t>em vista das alegações contidas nessa solicitação e do contexto no qual elas se enquadram, a Comissão considera necessário reco</w:t>
      </w:r>
      <w:r w:rsidR="00824975" w:rsidRPr="00F12123">
        <w:rPr>
          <w:rFonts w:ascii="Cambria" w:eastAsia="Batang" w:hAnsi="Cambria" w:cs="Times New Roman"/>
          <w:color w:val="000000"/>
          <w:sz w:val="21"/>
          <w:szCs w:val="21"/>
          <w:lang w:val="pt-BR"/>
        </w:rPr>
        <w:t>rdar que no presente processo não</w:t>
      </w:r>
      <w:r w:rsidR="00522E01" w:rsidRPr="00F12123">
        <w:rPr>
          <w:rFonts w:ascii="Cambria" w:eastAsia="Batang" w:hAnsi="Cambria" w:cs="Times New Roman"/>
          <w:color w:val="000000"/>
          <w:sz w:val="21"/>
          <w:szCs w:val="21"/>
          <w:lang w:val="pt-BR"/>
        </w:rPr>
        <w:t xml:space="preserve"> está chamada a se pronunciar sobre a responsabilidade estatal diante alegadas violações da Convenção Americana sobre Direitos Humanos ou outros instrumentos aplicáveis de direitos humanos. Tais pretensões requerem determinações de mérito que devem ser analisadas em uma petição ou caso. A continuação, </w:t>
      </w:r>
      <w:r w:rsidR="00824975" w:rsidRPr="00F12123">
        <w:rPr>
          <w:rFonts w:ascii="Cambria" w:eastAsia="Batang" w:hAnsi="Cambria" w:cs="Times New Roman"/>
          <w:color w:val="000000"/>
          <w:sz w:val="21"/>
          <w:szCs w:val="21"/>
          <w:lang w:val="pt-BR"/>
        </w:rPr>
        <w:t>a análise que se efetua se limita exclusivamente nos requisitos de gravidade, urgência e risco de dano irreparável estabelecidos no artigo 25 do seu Regulamento</w:t>
      </w:r>
      <w:r w:rsidR="00824975" w:rsidRPr="00F12123">
        <w:rPr>
          <w:rStyle w:val="FootnoteReference"/>
          <w:rFonts w:ascii="Cambria" w:eastAsia="Batang" w:hAnsi="Cambria" w:cs="Times New Roman"/>
          <w:color w:val="000000"/>
          <w:sz w:val="21"/>
          <w:szCs w:val="21"/>
          <w:lang w:val="pt-BR"/>
        </w:rPr>
        <w:footnoteReference w:id="11"/>
      </w:r>
      <w:r w:rsidR="00824975" w:rsidRPr="00F12123">
        <w:rPr>
          <w:rFonts w:ascii="Cambria" w:eastAsia="Batang" w:hAnsi="Cambria" w:cs="Times New Roman"/>
          <w:color w:val="000000"/>
          <w:sz w:val="21"/>
          <w:szCs w:val="21"/>
          <w:lang w:val="pt-BR"/>
        </w:rPr>
        <w:t>.</w:t>
      </w:r>
    </w:p>
    <w:p w14:paraId="5410F203" w14:textId="77777777" w:rsidR="00315738" w:rsidRPr="00F12123" w:rsidRDefault="00315738" w:rsidP="00315738">
      <w:pPr>
        <w:spacing w:after="0" w:line="240" w:lineRule="auto"/>
        <w:ind w:left="360"/>
        <w:jc w:val="both"/>
        <w:rPr>
          <w:rFonts w:ascii="Cambria" w:eastAsia="Batang" w:hAnsi="Cambria" w:cs="Times New Roman"/>
          <w:color w:val="000000"/>
          <w:sz w:val="21"/>
          <w:szCs w:val="21"/>
          <w:lang w:val="pt-BR"/>
        </w:rPr>
      </w:pPr>
    </w:p>
    <w:p w14:paraId="29214971" w14:textId="5E61024A" w:rsidR="00315738" w:rsidRPr="00F12123" w:rsidRDefault="00315738"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Ao avaliar o requisito de gravidade, a Comissão estima necessário tomar em conta o contexto no qual se enquadra a solicitação, o qual pode ser diretamente constatado durante sua visita </w:t>
      </w:r>
      <w:r w:rsidRPr="00F12123">
        <w:rPr>
          <w:rFonts w:ascii="Cambria" w:eastAsia="Batang" w:hAnsi="Cambria" w:cs="Times New Roman"/>
          <w:i/>
          <w:color w:val="000000"/>
          <w:sz w:val="21"/>
          <w:szCs w:val="21"/>
          <w:lang w:val="pt-BR"/>
        </w:rPr>
        <w:t xml:space="preserve">in loco </w:t>
      </w:r>
      <w:r w:rsidRPr="00F12123">
        <w:rPr>
          <w:rFonts w:ascii="Cambria" w:eastAsia="Batang" w:hAnsi="Cambria" w:cs="Times New Roman"/>
          <w:color w:val="000000"/>
          <w:sz w:val="21"/>
          <w:szCs w:val="21"/>
          <w:lang w:val="pt-BR"/>
        </w:rPr>
        <w:t>de novembro de 2018.</w:t>
      </w:r>
      <w:r w:rsidR="00A33B29" w:rsidRPr="00F12123">
        <w:rPr>
          <w:rFonts w:ascii="Cambria" w:eastAsia="Batang" w:hAnsi="Cambria" w:cs="Times New Roman"/>
          <w:color w:val="000000"/>
          <w:sz w:val="21"/>
          <w:szCs w:val="21"/>
          <w:lang w:val="pt-BR"/>
        </w:rPr>
        <w:t xml:space="preserve"> As declarações obtidas no Quilombo </w:t>
      </w:r>
      <w:r w:rsidR="006B3178">
        <w:rPr>
          <w:rFonts w:ascii="Cambria" w:eastAsia="Batang" w:hAnsi="Cambria" w:cs="Times New Roman"/>
          <w:color w:val="000000"/>
          <w:sz w:val="21"/>
          <w:szCs w:val="21"/>
          <w:lang w:val="pt-BR"/>
        </w:rPr>
        <w:t xml:space="preserve">Rio </w:t>
      </w:r>
      <w:r w:rsidR="00A33B29" w:rsidRPr="00F12123">
        <w:rPr>
          <w:rFonts w:ascii="Cambria" w:eastAsia="Batang" w:hAnsi="Cambria" w:cs="Times New Roman"/>
          <w:color w:val="000000"/>
          <w:sz w:val="21"/>
          <w:szCs w:val="21"/>
          <w:lang w:val="pt-BR"/>
        </w:rPr>
        <w:t xml:space="preserve">dos Macacos nessa oportunidade demonstram de fato </w:t>
      </w:r>
      <w:r w:rsidR="00061CBE" w:rsidRPr="00F12123">
        <w:rPr>
          <w:rFonts w:ascii="Cambria" w:eastAsia="Batang" w:hAnsi="Cambria" w:cs="Times New Roman"/>
          <w:color w:val="000000"/>
          <w:sz w:val="21"/>
          <w:szCs w:val="21"/>
          <w:lang w:val="pt-BR"/>
        </w:rPr>
        <w:t xml:space="preserve">um quadro de </w:t>
      </w:r>
      <w:r w:rsidR="00A33B29" w:rsidRPr="00F12123">
        <w:rPr>
          <w:rFonts w:ascii="Cambria" w:eastAsia="Batang" w:hAnsi="Cambria" w:cs="Times New Roman"/>
          <w:color w:val="000000"/>
          <w:sz w:val="21"/>
          <w:szCs w:val="21"/>
          <w:lang w:val="pt-BR"/>
        </w:rPr>
        <w:t>“[...]</w:t>
      </w:r>
      <w:r w:rsidR="00061CBE" w:rsidRPr="00F12123">
        <w:rPr>
          <w:rFonts w:ascii="Cambria" w:eastAsia="Batang" w:hAnsi="Cambria" w:cs="Times New Roman"/>
          <w:color w:val="000000"/>
          <w:sz w:val="21"/>
          <w:szCs w:val="21"/>
          <w:lang w:val="pt-BR"/>
        </w:rPr>
        <w:t xml:space="preserve"> violação sistemática de direitos que inclui homicídios, violência sexual, assassinatos de mulheres por causa de seu gênero, violência doméstica, bem como ameaças, agressões e criminalização de líderes dessas comunidades. A este contexto de violência, se soma uma preocupante situação de impunidade diante desses eventos, marcada pela ausência de investigações diligentes, sérias e imparciais”</w:t>
      </w:r>
      <w:r w:rsidR="00061CBE" w:rsidRPr="00F12123">
        <w:rPr>
          <w:rStyle w:val="FootnoteReference"/>
          <w:rFonts w:ascii="Cambria" w:eastAsia="Batang" w:hAnsi="Cambria" w:cs="Times New Roman"/>
          <w:color w:val="000000"/>
          <w:sz w:val="21"/>
          <w:szCs w:val="21"/>
          <w:lang w:val="pt-BR"/>
        </w:rPr>
        <w:footnoteReference w:id="12"/>
      </w:r>
      <w:r w:rsidR="00B81154" w:rsidRPr="00F12123">
        <w:rPr>
          <w:rFonts w:ascii="Cambria" w:eastAsia="Batang" w:hAnsi="Cambria" w:cs="Times New Roman"/>
          <w:color w:val="000000"/>
          <w:sz w:val="21"/>
          <w:szCs w:val="21"/>
          <w:lang w:val="pt-BR"/>
        </w:rPr>
        <w:t xml:space="preserve">. Nessas circunstancias, as alegações dos solicitantes em torno da existência de uma situação de risco e sua intensidade são consistentes com a informação recebida pela Comissão, incluindo aquela relacionada à duração do </w:t>
      </w:r>
      <w:r w:rsidR="00C0122D">
        <w:rPr>
          <w:rFonts w:ascii="Cambria" w:eastAsia="Batang" w:hAnsi="Cambria" w:cs="Times New Roman"/>
          <w:color w:val="000000"/>
          <w:sz w:val="21"/>
          <w:szCs w:val="21"/>
          <w:lang w:val="pt-BR"/>
        </w:rPr>
        <w:t>conflito</w:t>
      </w:r>
      <w:r w:rsidR="00B81154" w:rsidRPr="00F12123">
        <w:rPr>
          <w:rFonts w:ascii="Cambria" w:eastAsia="Batang" w:hAnsi="Cambria" w:cs="Times New Roman"/>
          <w:color w:val="000000"/>
          <w:sz w:val="21"/>
          <w:szCs w:val="21"/>
          <w:lang w:val="pt-BR"/>
        </w:rPr>
        <w:t xml:space="preserve"> ao longo de várias décadas e o emprego de armas de fogo com resultados fatais (ver </w:t>
      </w:r>
      <w:r w:rsidR="00B81154" w:rsidRPr="00F12123">
        <w:rPr>
          <w:rFonts w:ascii="Cambria" w:eastAsia="Batang" w:hAnsi="Cambria" w:cs="Times New Roman"/>
          <w:i/>
          <w:color w:val="000000"/>
          <w:sz w:val="21"/>
          <w:szCs w:val="21"/>
          <w:lang w:val="pt-BR"/>
        </w:rPr>
        <w:t xml:space="preserve">supra </w:t>
      </w:r>
      <w:r w:rsidR="00B81154" w:rsidRPr="003E282C">
        <w:rPr>
          <w:rFonts w:ascii="Cambria" w:eastAsia="Batang" w:hAnsi="Cambria" w:cs="Times New Roman"/>
          <w:color w:val="000000"/>
          <w:sz w:val="21"/>
          <w:szCs w:val="21"/>
          <w:lang w:val="pt-BR"/>
        </w:rPr>
        <w:t>par. 4, 6, 12 e 20)</w:t>
      </w:r>
      <w:r w:rsidR="009A3FF6" w:rsidRPr="003E282C">
        <w:rPr>
          <w:rFonts w:ascii="Cambria" w:eastAsia="Batang" w:hAnsi="Cambria" w:cs="Times New Roman"/>
          <w:color w:val="000000"/>
          <w:sz w:val="21"/>
          <w:szCs w:val="21"/>
          <w:lang w:val="pt-BR"/>
        </w:rPr>
        <w:t>.</w:t>
      </w:r>
    </w:p>
    <w:p w14:paraId="7D0B3130" w14:textId="77777777" w:rsidR="009A3FF6" w:rsidRPr="00F12123" w:rsidRDefault="009A3FF6" w:rsidP="009A3FF6">
      <w:pPr>
        <w:spacing w:after="0" w:line="240" w:lineRule="auto"/>
        <w:ind w:left="360"/>
        <w:jc w:val="both"/>
        <w:rPr>
          <w:rFonts w:ascii="Cambria" w:eastAsia="Batang" w:hAnsi="Cambria" w:cs="Times New Roman"/>
          <w:color w:val="000000"/>
          <w:sz w:val="21"/>
          <w:szCs w:val="21"/>
          <w:lang w:val="pt-BR"/>
        </w:rPr>
      </w:pPr>
    </w:p>
    <w:p w14:paraId="316B0708" w14:textId="6D138682" w:rsidR="009A3FF6" w:rsidRPr="00F12123" w:rsidRDefault="009A3FF6"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Com base no anterior, no exame do presente assunto</w:t>
      </w:r>
      <w:r w:rsidR="00C0122D">
        <w:rPr>
          <w:rFonts w:ascii="Cambria" w:eastAsia="Batang" w:hAnsi="Cambria" w:cs="Times New Roman"/>
          <w:color w:val="000000"/>
          <w:sz w:val="21"/>
          <w:szCs w:val="21"/>
          <w:lang w:val="pt-BR"/>
        </w:rPr>
        <w:t>,</w:t>
      </w:r>
      <w:r w:rsidRPr="00F12123">
        <w:rPr>
          <w:rFonts w:ascii="Cambria" w:eastAsia="Batang" w:hAnsi="Cambria" w:cs="Times New Roman"/>
          <w:color w:val="000000"/>
          <w:sz w:val="21"/>
          <w:szCs w:val="21"/>
          <w:lang w:val="pt-BR"/>
        </w:rPr>
        <w:t xml:space="preserve"> a Comissão observa que os solicitantes alegaram dois principa</w:t>
      </w:r>
      <w:r w:rsidR="00C0122D">
        <w:rPr>
          <w:rFonts w:ascii="Cambria" w:eastAsia="Batang" w:hAnsi="Cambria" w:cs="Times New Roman"/>
          <w:color w:val="000000"/>
          <w:sz w:val="21"/>
          <w:szCs w:val="21"/>
          <w:lang w:val="pt-BR"/>
        </w:rPr>
        <w:t>is fontes de risco pertinentes à</w:t>
      </w:r>
      <w:r w:rsidRPr="00F12123">
        <w:rPr>
          <w:rFonts w:ascii="Cambria" w:eastAsia="Batang" w:hAnsi="Cambria" w:cs="Times New Roman"/>
          <w:color w:val="000000"/>
          <w:sz w:val="21"/>
          <w:szCs w:val="21"/>
          <w:lang w:val="pt-BR"/>
        </w:rPr>
        <w:t xml:space="preserve"> análise sob o artigo 25 do Regulamento da CIDH. A primeira relacionada a ameaças à vida e à integridade das pessoas propostas beneficiárias diante de fatos de intimidação e atos de violência; e a segunda conectada às consequências de uma possível ruptura da </w:t>
      </w:r>
      <w:r w:rsidR="00035C43" w:rsidRPr="00F12123">
        <w:rPr>
          <w:rFonts w:ascii="Cambria" w:eastAsia="Batang" w:hAnsi="Cambria" w:cs="Times New Roman"/>
          <w:color w:val="000000"/>
          <w:sz w:val="21"/>
          <w:szCs w:val="21"/>
          <w:lang w:val="pt-BR"/>
        </w:rPr>
        <w:t xml:space="preserve">Barragem </w:t>
      </w:r>
      <w:r w:rsidRPr="00F12123">
        <w:rPr>
          <w:rFonts w:ascii="Cambria" w:eastAsia="Batang" w:hAnsi="Cambria" w:cs="Times New Roman"/>
          <w:color w:val="000000"/>
          <w:sz w:val="21"/>
          <w:szCs w:val="21"/>
          <w:lang w:val="pt-BR"/>
        </w:rPr>
        <w:t>Rio dos Macacos.</w:t>
      </w:r>
    </w:p>
    <w:p w14:paraId="71F99CD6" w14:textId="77777777" w:rsidR="00AC6075" w:rsidRPr="00F12123" w:rsidRDefault="00AC6075" w:rsidP="00AC6075">
      <w:pPr>
        <w:spacing w:after="0" w:line="240" w:lineRule="auto"/>
        <w:ind w:left="360"/>
        <w:jc w:val="both"/>
        <w:rPr>
          <w:rFonts w:ascii="Cambria" w:eastAsia="Batang" w:hAnsi="Cambria" w:cs="Times New Roman"/>
          <w:color w:val="000000"/>
          <w:sz w:val="21"/>
          <w:szCs w:val="21"/>
          <w:lang w:val="pt-BR"/>
        </w:rPr>
      </w:pPr>
    </w:p>
    <w:p w14:paraId="1002C345" w14:textId="5A450C18" w:rsidR="00AC6075" w:rsidRPr="00F12123" w:rsidRDefault="00AC6075"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lastRenderedPageBreak/>
        <w:t xml:space="preserve">Com relação à primeira fonte de risco, a Comissão observa que as pessoas propostas como beneficiárias teriam denunciado fatos de violência e ameaças de forma reiterada ao longo dos anos (ver </w:t>
      </w:r>
      <w:r w:rsidRPr="00F12123">
        <w:rPr>
          <w:rFonts w:ascii="Cambria" w:eastAsia="Batang" w:hAnsi="Cambria" w:cs="Times New Roman"/>
          <w:i/>
          <w:color w:val="000000"/>
          <w:sz w:val="21"/>
          <w:szCs w:val="21"/>
          <w:lang w:val="pt-BR"/>
        </w:rPr>
        <w:t xml:space="preserve">supra </w:t>
      </w:r>
      <w:r w:rsidR="00C0122D">
        <w:rPr>
          <w:rFonts w:ascii="Cambria" w:eastAsia="Batang" w:hAnsi="Cambria" w:cs="Times New Roman"/>
          <w:color w:val="000000"/>
          <w:sz w:val="21"/>
          <w:szCs w:val="21"/>
          <w:lang w:val="pt-BR"/>
        </w:rPr>
        <w:t>par</w:t>
      </w:r>
      <w:r w:rsidRPr="00F12123">
        <w:rPr>
          <w:rFonts w:ascii="Cambria" w:eastAsia="Batang" w:hAnsi="Cambria" w:cs="Times New Roman"/>
          <w:color w:val="000000"/>
          <w:sz w:val="21"/>
          <w:szCs w:val="21"/>
          <w:lang w:val="pt-BR"/>
        </w:rPr>
        <w:t>. 4)</w:t>
      </w:r>
      <w:r w:rsidR="00C0122D">
        <w:rPr>
          <w:rFonts w:ascii="Cambria" w:eastAsia="Batang" w:hAnsi="Cambria" w:cs="Times New Roman"/>
          <w:color w:val="000000"/>
          <w:sz w:val="21"/>
          <w:szCs w:val="21"/>
          <w:lang w:val="pt-BR"/>
        </w:rPr>
        <w:t>,</w:t>
      </w:r>
      <w:r w:rsidR="006E53E0" w:rsidRPr="00F12123">
        <w:rPr>
          <w:rFonts w:ascii="Cambria" w:eastAsia="Batang" w:hAnsi="Cambria" w:cs="Times New Roman"/>
          <w:color w:val="000000"/>
          <w:sz w:val="21"/>
          <w:szCs w:val="21"/>
          <w:lang w:val="pt-BR"/>
        </w:rPr>
        <w:t xml:space="preserve"> indica</w:t>
      </w:r>
      <w:r w:rsidRPr="00F12123">
        <w:rPr>
          <w:rFonts w:ascii="Cambria" w:eastAsia="Batang" w:hAnsi="Cambria" w:cs="Times New Roman"/>
          <w:color w:val="000000"/>
          <w:sz w:val="21"/>
          <w:szCs w:val="21"/>
          <w:lang w:val="pt-BR"/>
        </w:rPr>
        <w:t>do que o risco padecido aumentaria, segundo afirmam, em conexão com o avanço do procedimento de titula</w:t>
      </w:r>
      <w:r w:rsidR="006E53E0" w:rsidRPr="00F12123">
        <w:rPr>
          <w:rFonts w:ascii="Cambria" w:eastAsia="Batang" w:hAnsi="Cambria" w:cs="Times New Roman"/>
          <w:color w:val="000000"/>
          <w:sz w:val="21"/>
          <w:szCs w:val="21"/>
          <w:lang w:val="pt-BR"/>
        </w:rPr>
        <w:t>ção do território em favor da Comunidade –</w:t>
      </w:r>
      <w:r w:rsidR="004D0246" w:rsidRPr="00F12123">
        <w:rPr>
          <w:rFonts w:ascii="Cambria" w:eastAsia="Batang" w:hAnsi="Cambria" w:cs="Times New Roman"/>
          <w:color w:val="000000"/>
          <w:sz w:val="21"/>
          <w:szCs w:val="21"/>
          <w:lang w:val="pt-BR"/>
        </w:rPr>
        <w:t xml:space="preserve"> reconhecido</w:t>
      </w:r>
      <w:r w:rsidR="006E53E0" w:rsidRPr="00F12123">
        <w:rPr>
          <w:rFonts w:ascii="Cambria" w:eastAsia="Batang" w:hAnsi="Cambria" w:cs="Times New Roman"/>
          <w:color w:val="000000"/>
          <w:sz w:val="21"/>
          <w:szCs w:val="21"/>
          <w:lang w:val="pt-BR"/>
        </w:rPr>
        <w:t xml:space="preserve"> formalmente em 30 de maio de 2020 (ver </w:t>
      </w:r>
      <w:r w:rsidR="006E53E0" w:rsidRPr="00F12123">
        <w:rPr>
          <w:rFonts w:ascii="Cambria" w:eastAsia="Batang" w:hAnsi="Cambria" w:cs="Times New Roman"/>
          <w:i/>
          <w:color w:val="000000"/>
          <w:sz w:val="21"/>
          <w:szCs w:val="21"/>
          <w:lang w:val="pt-BR"/>
        </w:rPr>
        <w:t xml:space="preserve">supra </w:t>
      </w:r>
      <w:r w:rsidR="00DA28CE">
        <w:rPr>
          <w:rFonts w:ascii="Cambria" w:eastAsia="Batang" w:hAnsi="Cambria" w:cs="Times New Roman"/>
          <w:color w:val="000000"/>
          <w:sz w:val="21"/>
          <w:szCs w:val="21"/>
          <w:lang w:val="pt-BR"/>
        </w:rPr>
        <w:t>par</w:t>
      </w:r>
      <w:r w:rsidR="006E53E0" w:rsidRPr="00F12123">
        <w:rPr>
          <w:rFonts w:ascii="Cambria" w:eastAsia="Batang" w:hAnsi="Cambria" w:cs="Times New Roman"/>
          <w:color w:val="000000"/>
          <w:sz w:val="21"/>
          <w:szCs w:val="21"/>
          <w:lang w:val="pt-BR"/>
        </w:rPr>
        <w:t>. 25 e 33)</w:t>
      </w:r>
      <w:r w:rsidR="00CD5EE6">
        <w:rPr>
          <w:rStyle w:val="FootnoteReference"/>
          <w:rFonts w:ascii="Cambria" w:eastAsia="Batang" w:hAnsi="Cambria" w:cs="Times New Roman"/>
          <w:color w:val="000000"/>
          <w:sz w:val="21"/>
          <w:szCs w:val="21"/>
          <w:lang w:val="pt-BR"/>
        </w:rPr>
        <w:footnoteReference w:id="13"/>
      </w:r>
      <w:r w:rsidR="006E53E0" w:rsidRPr="00F12123">
        <w:rPr>
          <w:rFonts w:ascii="Cambria" w:eastAsia="Batang" w:hAnsi="Cambria" w:cs="Times New Roman"/>
          <w:color w:val="000000"/>
          <w:sz w:val="21"/>
          <w:szCs w:val="21"/>
          <w:lang w:val="pt-BR"/>
        </w:rPr>
        <w:t xml:space="preserve"> – e pela continuidade da reinvindicação de direitos. Como mostra do anterior, recentemente se denunciou um assassinato, ameaças a líderes do Quilombo e a presença de homens armados</w:t>
      </w:r>
      <w:r w:rsidR="00DA28CE">
        <w:rPr>
          <w:rFonts w:ascii="Cambria" w:eastAsia="Batang" w:hAnsi="Cambria" w:cs="Times New Roman"/>
          <w:color w:val="000000"/>
          <w:sz w:val="21"/>
          <w:szCs w:val="21"/>
          <w:lang w:val="pt-BR"/>
        </w:rPr>
        <w:t>, inclusive</w:t>
      </w:r>
      <w:r w:rsidR="006E53E0" w:rsidRPr="00F12123">
        <w:rPr>
          <w:rFonts w:ascii="Cambria" w:eastAsia="Batang" w:hAnsi="Cambria" w:cs="Times New Roman"/>
          <w:color w:val="000000"/>
          <w:sz w:val="21"/>
          <w:szCs w:val="21"/>
          <w:lang w:val="pt-BR"/>
        </w:rPr>
        <w:t xml:space="preserve"> no interior</w:t>
      </w:r>
      <w:r w:rsidR="004D0246" w:rsidRPr="00F12123">
        <w:rPr>
          <w:rFonts w:ascii="Cambria" w:eastAsia="Batang" w:hAnsi="Cambria" w:cs="Times New Roman"/>
          <w:color w:val="000000"/>
          <w:sz w:val="21"/>
          <w:szCs w:val="21"/>
          <w:lang w:val="pt-BR"/>
        </w:rPr>
        <w:t xml:space="preserve"> de algumas casas.</w:t>
      </w:r>
    </w:p>
    <w:p w14:paraId="5509D58D" w14:textId="77777777" w:rsidR="004D0246" w:rsidRPr="00F12123" w:rsidRDefault="004D0246" w:rsidP="004D0246">
      <w:pPr>
        <w:spacing w:after="0" w:line="240" w:lineRule="auto"/>
        <w:ind w:left="360"/>
        <w:jc w:val="both"/>
        <w:rPr>
          <w:rFonts w:ascii="Cambria" w:eastAsia="Batang" w:hAnsi="Cambria" w:cs="Times New Roman"/>
          <w:color w:val="000000"/>
          <w:sz w:val="21"/>
          <w:szCs w:val="21"/>
          <w:lang w:val="pt-BR"/>
        </w:rPr>
      </w:pPr>
    </w:p>
    <w:p w14:paraId="755277DB" w14:textId="721841F1" w:rsidR="004D0246" w:rsidRPr="00F12123" w:rsidRDefault="004D0246"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 Comissão considera que os fatos citados ilustram o nível de risco enfrentado pelas pessoas propostas como beneficiárias e o tipo de afetações</w:t>
      </w:r>
      <w:r w:rsidR="008E4839" w:rsidRPr="00F12123">
        <w:rPr>
          <w:rFonts w:ascii="Cambria" w:eastAsia="Batang" w:hAnsi="Cambria" w:cs="Times New Roman"/>
          <w:color w:val="000000"/>
          <w:sz w:val="21"/>
          <w:szCs w:val="21"/>
          <w:lang w:val="pt-BR"/>
        </w:rPr>
        <w:t xml:space="preserve"> </w:t>
      </w:r>
      <w:r w:rsidR="00150245">
        <w:rPr>
          <w:rFonts w:ascii="Cambria" w:eastAsia="Batang" w:hAnsi="Cambria" w:cs="Times New Roman"/>
          <w:color w:val="000000"/>
          <w:sz w:val="21"/>
          <w:szCs w:val="21"/>
          <w:lang w:val="pt-BR"/>
        </w:rPr>
        <w:t>que seus</w:t>
      </w:r>
      <w:r w:rsidR="008E4839" w:rsidRPr="00F12123">
        <w:rPr>
          <w:rFonts w:ascii="Cambria" w:eastAsia="Batang" w:hAnsi="Cambria" w:cs="Times New Roman"/>
          <w:color w:val="000000"/>
          <w:sz w:val="21"/>
          <w:szCs w:val="21"/>
          <w:lang w:val="pt-BR"/>
        </w:rPr>
        <w:t xml:space="preserve"> direitos à vida e à integridade pessoal </w:t>
      </w:r>
      <w:r w:rsidR="00150245">
        <w:rPr>
          <w:rFonts w:ascii="Cambria" w:eastAsia="Batang" w:hAnsi="Cambria" w:cs="Times New Roman"/>
          <w:color w:val="000000"/>
          <w:sz w:val="21"/>
          <w:szCs w:val="21"/>
          <w:lang w:val="pt-BR"/>
        </w:rPr>
        <w:t>e</w:t>
      </w:r>
      <w:r w:rsidR="008E4839" w:rsidRPr="00F12123">
        <w:rPr>
          <w:rFonts w:ascii="Cambria" w:eastAsia="Batang" w:hAnsi="Cambria" w:cs="Times New Roman"/>
          <w:color w:val="000000"/>
          <w:sz w:val="21"/>
          <w:szCs w:val="21"/>
          <w:lang w:val="pt-BR"/>
        </w:rPr>
        <w:t>s</w:t>
      </w:r>
      <w:r w:rsidR="00150245">
        <w:rPr>
          <w:rFonts w:ascii="Cambria" w:eastAsia="Batang" w:hAnsi="Cambria" w:cs="Times New Roman"/>
          <w:color w:val="000000"/>
          <w:sz w:val="21"/>
          <w:szCs w:val="21"/>
          <w:lang w:val="pt-BR"/>
        </w:rPr>
        <w:t>t</w:t>
      </w:r>
      <w:r w:rsidR="008E4839" w:rsidRPr="00F12123">
        <w:rPr>
          <w:rFonts w:ascii="Cambria" w:eastAsia="Batang" w:hAnsi="Cambria" w:cs="Times New Roman"/>
          <w:color w:val="000000"/>
          <w:sz w:val="21"/>
          <w:szCs w:val="21"/>
          <w:lang w:val="pt-BR"/>
        </w:rPr>
        <w:t xml:space="preserve">ão suscetíveis de sofrer. Da mesma forma, a </w:t>
      </w:r>
      <w:r w:rsidR="00150245">
        <w:rPr>
          <w:rFonts w:ascii="Cambria" w:eastAsia="Batang" w:hAnsi="Cambria" w:cs="Times New Roman"/>
          <w:color w:val="000000"/>
          <w:sz w:val="21"/>
          <w:szCs w:val="21"/>
          <w:lang w:val="pt-BR"/>
        </w:rPr>
        <w:t>execução</w:t>
      </w:r>
      <w:r w:rsidR="008E4839" w:rsidRPr="00F12123">
        <w:rPr>
          <w:rFonts w:ascii="Cambria" w:eastAsia="Batang" w:hAnsi="Cambria" w:cs="Times New Roman"/>
          <w:color w:val="000000"/>
          <w:sz w:val="21"/>
          <w:szCs w:val="21"/>
          <w:lang w:val="pt-BR"/>
        </w:rPr>
        <w:t xml:space="preserve"> de um assassinato e a presença de homens armados constituem indícios adicionais sobre a intensidade da violência exercida, </w:t>
      </w:r>
      <w:r w:rsidR="00150245">
        <w:rPr>
          <w:rFonts w:ascii="Cambria" w:eastAsia="Batang" w:hAnsi="Cambria" w:cs="Times New Roman"/>
          <w:color w:val="000000"/>
          <w:sz w:val="21"/>
          <w:szCs w:val="21"/>
          <w:lang w:val="pt-BR"/>
        </w:rPr>
        <w:t>indicando</w:t>
      </w:r>
      <w:r w:rsidR="008E4839" w:rsidRPr="00F12123">
        <w:rPr>
          <w:rFonts w:ascii="Cambria" w:eastAsia="Batang" w:hAnsi="Cambria" w:cs="Times New Roman"/>
          <w:color w:val="000000"/>
          <w:sz w:val="21"/>
          <w:szCs w:val="21"/>
          <w:lang w:val="pt-BR"/>
        </w:rPr>
        <w:t xml:space="preserve"> a possibilidade de que outras pessoas resultem igualmente agredidas. </w:t>
      </w:r>
      <w:r w:rsidR="00A677A8" w:rsidRPr="00F12123">
        <w:rPr>
          <w:rFonts w:ascii="Cambria" w:eastAsia="Batang" w:hAnsi="Cambria" w:cs="Times New Roman"/>
          <w:color w:val="000000"/>
          <w:sz w:val="21"/>
          <w:szCs w:val="21"/>
          <w:lang w:val="pt-BR"/>
        </w:rPr>
        <w:t>A tudo isso se deve somar a continuidade dos eventos de risco, pois se deve avaliar que, longe de ter diminuído ao longo do tempo, esses atos teriam voltado a se repetir de maneira recente, enquanto as medidas adotadas pelo Estado não resultariam suficientes ou adequadas</w:t>
      </w:r>
      <w:r w:rsidR="000A1142">
        <w:rPr>
          <w:rFonts w:ascii="Cambria" w:eastAsia="Batang" w:hAnsi="Cambria" w:cs="Times New Roman"/>
          <w:color w:val="000000"/>
          <w:sz w:val="21"/>
          <w:szCs w:val="21"/>
          <w:lang w:val="pt-BR"/>
        </w:rPr>
        <w:t xml:space="preserve"> para evita-los</w:t>
      </w:r>
      <w:r w:rsidR="00A677A8" w:rsidRPr="00F12123">
        <w:rPr>
          <w:rFonts w:ascii="Cambria" w:eastAsia="Batang" w:hAnsi="Cambria" w:cs="Times New Roman"/>
          <w:color w:val="000000"/>
          <w:sz w:val="21"/>
          <w:szCs w:val="21"/>
          <w:lang w:val="pt-BR"/>
        </w:rPr>
        <w:t>.</w:t>
      </w:r>
    </w:p>
    <w:p w14:paraId="77CD1380" w14:textId="77777777" w:rsidR="006750EB" w:rsidRPr="00F12123" w:rsidRDefault="006750EB" w:rsidP="006750EB">
      <w:pPr>
        <w:spacing w:after="0" w:line="240" w:lineRule="auto"/>
        <w:ind w:left="360"/>
        <w:jc w:val="both"/>
        <w:rPr>
          <w:rFonts w:ascii="Cambria" w:eastAsia="Batang" w:hAnsi="Cambria" w:cs="Times New Roman"/>
          <w:color w:val="000000"/>
          <w:sz w:val="21"/>
          <w:szCs w:val="21"/>
          <w:lang w:val="pt-BR"/>
        </w:rPr>
      </w:pPr>
    </w:p>
    <w:p w14:paraId="11721AF3" w14:textId="571992FC" w:rsidR="006750EB" w:rsidRPr="00F12123" w:rsidRDefault="006750EB"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 Comissão toma nota da informação fornecida pelo Estado e valoriza o fato de que os líderes da Comunidade formariam parte do Programa de Proteção</w:t>
      </w:r>
      <w:r w:rsidR="000A1142">
        <w:rPr>
          <w:rFonts w:ascii="Cambria" w:eastAsia="Batang" w:hAnsi="Cambria" w:cs="Times New Roman"/>
          <w:color w:val="000000"/>
          <w:sz w:val="21"/>
          <w:szCs w:val="21"/>
          <w:lang w:val="pt-BR"/>
        </w:rPr>
        <w:t xml:space="preserve"> a Defensores</w:t>
      </w:r>
      <w:r w:rsidRPr="00F12123">
        <w:rPr>
          <w:rFonts w:ascii="Cambria" w:eastAsia="Batang" w:hAnsi="Cambria" w:cs="Times New Roman"/>
          <w:color w:val="000000"/>
          <w:sz w:val="21"/>
          <w:szCs w:val="21"/>
          <w:lang w:val="pt-BR"/>
        </w:rPr>
        <w:t>, assim como as diferentes reuniões ou contatos mantidos entre as partes. Não obstante, a Comissão adverte que o anterior não teria resultado suficiente para m</w:t>
      </w:r>
      <w:r w:rsidR="00F61533" w:rsidRPr="00F12123">
        <w:rPr>
          <w:rFonts w:ascii="Cambria" w:eastAsia="Batang" w:hAnsi="Cambria" w:cs="Times New Roman"/>
          <w:color w:val="000000"/>
          <w:sz w:val="21"/>
          <w:szCs w:val="21"/>
          <w:lang w:val="pt-BR"/>
        </w:rPr>
        <w:t>itigar a fonte de risco alegada</w:t>
      </w:r>
      <w:r w:rsidR="000A1142">
        <w:rPr>
          <w:rFonts w:ascii="Cambria" w:eastAsia="Batang" w:hAnsi="Cambria" w:cs="Times New Roman"/>
          <w:color w:val="000000"/>
          <w:sz w:val="21"/>
          <w:szCs w:val="21"/>
          <w:lang w:val="pt-BR"/>
        </w:rPr>
        <w:t xml:space="preserve">, considerando </w:t>
      </w:r>
      <w:r w:rsidRPr="00F12123">
        <w:rPr>
          <w:rFonts w:ascii="Cambria" w:eastAsia="Batang" w:hAnsi="Cambria" w:cs="Times New Roman"/>
          <w:color w:val="000000"/>
          <w:sz w:val="21"/>
          <w:szCs w:val="21"/>
          <w:lang w:val="pt-BR"/>
        </w:rPr>
        <w:t>a continuidade dos atos de intimidação e violência</w:t>
      </w:r>
      <w:r w:rsidR="002C3C42">
        <w:rPr>
          <w:rFonts w:ascii="Cambria" w:eastAsia="Batang" w:hAnsi="Cambria" w:cs="Times New Roman"/>
          <w:color w:val="000000"/>
          <w:sz w:val="21"/>
          <w:szCs w:val="21"/>
          <w:lang w:val="pt-BR"/>
        </w:rPr>
        <w:t>,</w:t>
      </w:r>
      <w:r w:rsidRPr="00F12123">
        <w:rPr>
          <w:rFonts w:ascii="Cambria" w:eastAsia="Batang" w:hAnsi="Cambria" w:cs="Times New Roman"/>
          <w:color w:val="000000"/>
          <w:sz w:val="21"/>
          <w:szCs w:val="21"/>
          <w:lang w:val="pt-BR"/>
        </w:rPr>
        <w:t xml:space="preserve"> que</w:t>
      </w:r>
      <w:r w:rsidR="002C3C42">
        <w:rPr>
          <w:rFonts w:ascii="Cambria" w:eastAsia="Batang" w:hAnsi="Cambria" w:cs="Times New Roman"/>
          <w:color w:val="000000"/>
          <w:sz w:val="21"/>
          <w:szCs w:val="21"/>
          <w:lang w:val="pt-BR"/>
        </w:rPr>
        <w:t xml:space="preserve"> teriam</w:t>
      </w:r>
      <w:r w:rsidRPr="00F12123">
        <w:rPr>
          <w:rFonts w:ascii="Cambria" w:eastAsia="Batang" w:hAnsi="Cambria" w:cs="Times New Roman"/>
          <w:color w:val="000000"/>
          <w:sz w:val="21"/>
          <w:szCs w:val="21"/>
          <w:lang w:val="pt-BR"/>
        </w:rPr>
        <w:t xml:space="preserve"> inclusive </w:t>
      </w:r>
      <w:r w:rsidR="002C3C42">
        <w:rPr>
          <w:rFonts w:ascii="Cambria" w:eastAsia="Batang" w:hAnsi="Cambria" w:cs="Times New Roman"/>
          <w:color w:val="000000"/>
          <w:sz w:val="21"/>
          <w:szCs w:val="21"/>
          <w:lang w:val="pt-BR"/>
        </w:rPr>
        <w:t>se intensificado em alguns momentos</w:t>
      </w:r>
      <w:r w:rsidRPr="00F12123">
        <w:rPr>
          <w:rFonts w:ascii="Cambria" w:eastAsia="Batang" w:hAnsi="Cambria" w:cs="Times New Roman"/>
          <w:color w:val="000000"/>
          <w:sz w:val="21"/>
          <w:szCs w:val="21"/>
          <w:lang w:val="pt-BR"/>
        </w:rPr>
        <w:t>.</w:t>
      </w:r>
      <w:r w:rsidR="00F61533" w:rsidRPr="00F12123">
        <w:rPr>
          <w:rFonts w:ascii="Cambria" w:eastAsia="Batang" w:hAnsi="Cambria" w:cs="Times New Roman"/>
          <w:color w:val="000000"/>
          <w:sz w:val="21"/>
          <w:szCs w:val="21"/>
          <w:lang w:val="pt-BR"/>
        </w:rPr>
        <w:t xml:space="preserve"> Em particular, adverte-se </w:t>
      </w:r>
      <w:r w:rsidR="002C3C42">
        <w:rPr>
          <w:rFonts w:ascii="Cambria" w:eastAsia="Batang" w:hAnsi="Cambria" w:cs="Times New Roman"/>
          <w:color w:val="000000"/>
          <w:sz w:val="21"/>
          <w:szCs w:val="21"/>
          <w:lang w:val="pt-BR"/>
        </w:rPr>
        <w:t xml:space="preserve">sobre </w:t>
      </w:r>
      <w:r w:rsidR="00F61533" w:rsidRPr="00F12123">
        <w:rPr>
          <w:rFonts w:ascii="Cambria" w:eastAsia="Batang" w:hAnsi="Cambria" w:cs="Times New Roman"/>
          <w:color w:val="000000"/>
          <w:sz w:val="21"/>
          <w:szCs w:val="21"/>
          <w:lang w:val="pt-BR"/>
        </w:rPr>
        <w:t>a dificuldade para implementas as medidas de proteção indicadas</w:t>
      </w:r>
      <w:r w:rsidR="00F61533" w:rsidRPr="00F12123">
        <w:rPr>
          <w:rStyle w:val="FootnoteReference"/>
          <w:rFonts w:ascii="Cambria" w:eastAsia="Batang" w:hAnsi="Cambria" w:cs="Times New Roman"/>
          <w:color w:val="000000"/>
          <w:sz w:val="21"/>
          <w:szCs w:val="21"/>
          <w:lang w:val="pt-BR"/>
        </w:rPr>
        <w:footnoteReference w:id="14"/>
      </w:r>
      <w:r w:rsidR="00F61533" w:rsidRPr="00F12123">
        <w:rPr>
          <w:rFonts w:ascii="Cambria" w:eastAsia="Batang" w:hAnsi="Cambria" w:cs="Times New Roman"/>
          <w:color w:val="000000"/>
          <w:sz w:val="21"/>
          <w:szCs w:val="21"/>
          <w:lang w:val="pt-BR"/>
        </w:rPr>
        <w:t xml:space="preserve">, como rondas policiais efetivas, </w:t>
      </w:r>
      <w:r w:rsidR="002C3C42">
        <w:rPr>
          <w:rFonts w:ascii="Cambria" w:eastAsia="Batang" w:hAnsi="Cambria" w:cs="Times New Roman"/>
          <w:color w:val="000000"/>
          <w:sz w:val="21"/>
          <w:szCs w:val="21"/>
          <w:lang w:val="pt-BR"/>
        </w:rPr>
        <w:t xml:space="preserve">elemento </w:t>
      </w:r>
      <w:r w:rsidR="00266D37" w:rsidRPr="00F12123">
        <w:rPr>
          <w:rFonts w:ascii="Cambria" w:eastAsia="Batang" w:hAnsi="Cambria" w:cs="Times New Roman"/>
          <w:color w:val="000000"/>
          <w:sz w:val="21"/>
          <w:szCs w:val="21"/>
          <w:lang w:val="pt-BR"/>
        </w:rPr>
        <w:t xml:space="preserve">reconhecido pelo Estado (ver </w:t>
      </w:r>
      <w:r w:rsidR="00266D37" w:rsidRPr="00F12123">
        <w:rPr>
          <w:rFonts w:ascii="Cambria" w:eastAsia="Batang" w:hAnsi="Cambria" w:cs="Times New Roman"/>
          <w:i/>
          <w:color w:val="000000"/>
          <w:sz w:val="21"/>
          <w:szCs w:val="21"/>
          <w:lang w:val="pt-BR"/>
        </w:rPr>
        <w:t xml:space="preserve">supra </w:t>
      </w:r>
      <w:r w:rsidR="002C3C42">
        <w:rPr>
          <w:rFonts w:ascii="Cambria" w:eastAsia="Batang" w:hAnsi="Cambria" w:cs="Times New Roman"/>
          <w:color w:val="000000"/>
          <w:sz w:val="21"/>
          <w:szCs w:val="21"/>
          <w:lang w:val="pt-BR"/>
        </w:rPr>
        <w:t>par. 16)</w:t>
      </w:r>
      <w:r w:rsidR="00266D37" w:rsidRPr="00F12123">
        <w:rPr>
          <w:rFonts w:ascii="Cambria" w:eastAsia="Batang" w:hAnsi="Cambria" w:cs="Times New Roman"/>
          <w:color w:val="000000"/>
          <w:sz w:val="21"/>
          <w:szCs w:val="21"/>
          <w:lang w:val="pt-BR"/>
        </w:rPr>
        <w:t>. A Comissão recorda que, para que as medidas de proteção sejam adequadas e efetivas, p</w:t>
      </w:r>
      <w:r w:rsidR="002C3C42">
        <w:rPr>
          <w:rFonts w:ascii="Cambria" w:eastAsia="Batang" w:hAnsi="Cambria" w:cs="Times New Roman"/>
          <w:color w:val="000000"/>
          <w:sz w:val="21"/>
          <w:szCs w:val="21"/>
          <w:lang w:val="pt-BR"/>
        </w:rPr>
        <w:t xml:space="preserve">or </w:t>
      </w:r>
      <w:r w:rsidR="00266D37" w:rsidRPr="00F12123">
        <w:rPr>
          <w:rFonts w:ascii="Cambria" w:eastAsia="Batang" w:hAnsi="Cambria" w:cs="Times New Roman"/>
          <w:color w:val="000000"/>
          <w:sz w:val="21"/>
          <w:szCs w:val="21"/>
          <w:lang w:val="pt-BR"/>
        </w:rPr>
        <w:t xml:space="preserve">sua natureza, devem </w:t>
      </w:r>
      <w:r w:rsidR="002C3C42">
        <w:rPr>
          <w:rFonts w:ascii="Cambria" w:eastAsia="Batang" w:hAnsi="Cambria" w:cs="Times New Roman"/>
          <w:color w:val="000000"/>
          <w:sz w:val="21"/>
          <w:szCs w:val="21"/>
          <w:lang w:val="pt-BR"/>
        </w:rPr>
        <w:t>resultar no cesse do risco enfrentado</w:t>
      </w:r>
      <w:r w:rsidR="00266D37" w:rsidRPr="00F12123">
        <w:rPr>
          <w:rStyle w:val="FootnoteReference"/>
          <w:rFonts w:ascii="Cambria" w:eastAsia="Batang" w:hAnsi="Cambria" w:cs="Times New Roman"/>
          <w:color w:val="000000"/>
          <w:sz w:val="21"/>
          <w:szCs w:val="21"/>
          <w:lang w:val="pt-BR"/>
        </w:rPr>
        <w:footnoteReference w:id="15"/>
      </w:r>
      <w:r w:rsidR="00532D11" w:rsidRPr="00F12123">
        <w:rPr>
          <w:rFonts w:ascii="Cambria" w:eastAsia="Batang" w:hAnsi="Cambria" w:cs="Times New Roman"/>
          <w:color w:val="000000"/>
          <w:sz w:val="21"/>
          <w:szCs w:val="21"/>
          <w:lang w:val="pt-BR"/>
        </w:rPr>
        <w:t>.</w:t>
      </w:r>
    </w:p>
    <w:p w14:paraId="6180A315" w14:textId="77777777" w:rsidR="005245DB" w:rsidRPr="00F12123" w:rsidRDefault="005245DB" w:rsidP="00E67324">
      <w:pPr>
        <w:spacing w:after="0" w:line="240" w:lineRule="auto"/>
        <w:ind w:left="360"/>
        <w:jc w:val="both"/>
        <w:rPr>
          <w:rFonts w:ascii="Cambria" w:eastAsia="Batang" w:hAnsi="Cambria" w:cs="Times New Roman"/>
          <w:color w:val="000000"/>
          <w:sz w:val="21"/>
          <w:szCs w:val="21"/>
          <w:lang w:val="pt-BR"/>
        </w:rPr>
      </w:pPr>
    </w:p>
    <w:p w14:paraId="1EFD4F6C" w14:textId="166C9E23" w:rsidR="005245DB" w:rsidRPr="00F12123" w:rsidRDefault="00F36A6D"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Pr>
          <w:rFonts w:ascii="Cambria" w:eastAsia="Batang" w:hAnsi="Cambria" w:cs="Times New Roman"/>
          <w:color w:val="000000"/>
          <w:sz w:val="21"/>
          <w:szCs w:val="21"/>
          <w:lang w:val="pt-BR"/>
        </w:rPr>
        <w:t>Somado ao anterior, outro indí</w:t>
      </w:r>
      <w:r w:rsidR="005245DB" w:rsidRPr="00F12123">
        <w:rPr>
          <w:rFonts w:ascii="Cambria" w:eastAsia="Batang" w:hAnsi="Cambria" w:cs="Times New Roman"/>
          <w:color w:val="000000"/>
          <w:sz w:val="21"/>
          <w:szCs w:val="21"/>
          <w:lang w:val="pt-BR"/>
        </w:rPr>
        <w:t xml:space="preserve">cio de que as medidas implementadas </w:t>
      </w:r>
      <w:r w:rsidR="00D552BD" w:rsidRPr="00F12123">
        <w:rPr>
          <w:rFonts w:ascii="Cambria" w:eastAsia="Batang" w:hAnsi="Cambria" w:cs="Times New Roman"/>
          <w:color w:val="000000"/>
          <w:sz w:val="21"/>
          <w:szCs w:val="21"/>
          <w:lang w:val="pt-BR"/>
        </w:rPr>
        <w:t>poderiam carecer de adequabilidade</w:t>
      </w:r>
      <w:r>
        <w:rPr>
          <w:rFonts w:ascii="Cambria" w:eastAsia="Batang" w:hAnsi="Cambria" w:cs="Times New Roman"/>
          <w:color w:val="000000"/>
          <w:sz w:val="21"/>
          <w:szCs w:val="21"/>
          <w:lang w:val="pt-BR"/>
        </w:rPr>
        <w:t>,</w:t>
      </w:r>
      <w:r w:rsidR="00D552BD" w:rsidRPr="00F12123">
        <w:rPr>
          <w:rFonts w:ascii="Cambria" w:eastAsia="Batang" w:hAnsi="Cambria" w:cs="Times New Roman"/>
          <w:color w:val="000000"/>
          <w:sz w:val="21"/>
          <w:szCs w:val="21"/>
          <w:lang w:val="pt-BR"/>
        </w:rPr>
        <w:t xml:space="preserve"> consiste na possível participação de agentes policiais em atos de criminalização ou intimidação contra as pessoas a quem lhes corresponde proteger (incluindo adolescentes)</w:t>
      </w:r>
      <w:r w:rsidR="00D552BD" w:rsidRPr="00F12123">
        <w:rPr>
          <w:rStyle w:val="FootnoteReference"/>
          <w:rFonts w:ascii="Cambria" w:eastAsia="Batang" w:hAnsi="Cambria" w:cs="Times New Roman"/>
          <w:color w:val="000000"/>
          <w:sz w:val="21"/>
          <w:szCs w:val="21"/>
          <w:lang w:val="pt-BR"/>
        </w:rPr>
        <w:footnoteReference w:id="16"/>
      </w:r>
      <w:r w:rsidR="00E67324" w:rsidRPr="00F12123">
        <w:rPr>
          <w:rFonts w:ascii="Cambria" w:eastAsia="Batang" w:hAnsi="Cambria" w:cs="Times New Roman"/>
          <w:color w:val="000000"/>
          <w:sz w:val="21"/>
          <w:szCs w:val="21"/>
          <w:lang w:val="pt-BR"/>
        </w:rPr>
        <w:t>, o que em si mesmo influi de maneira particular no momento de avaliar a gravidade da situação. Assim, a Comissão toma nota da alegação dos solicitantes de que tais abordagens policiais buscariam afetar a líder Rose Meire Santos Silva, pois envolveria a seus familiares, e adverte sua seriedade em razão da atribuição dos fatos a agentes estatais.</w:t>
      </w:r>
      <w:r w:rsidR="00836A5F" w:rsidRPr="00F12123">
        <w:rPr>
          <w:rFonts w:ascii="Cambria" w:eastAsia="Batang" w:hAnsi="Cambria" w:cs="Times New Roman"/>
          <w:color w:val="000000"/>
          <w:sz w:val="21"/>
          <w:szCs w:val="21"/>
          <w:lang w:val="pt-BR"/>
        </w:rPr>
        <w:t xml:space="preserve"> Portanto</w:t>
      </w:r>
      <w:r>
        <w:rPr>
          <w:rFonts w:ascii="Cambria" w:eastAsia="Batang" w:hAnsi="Cambria" w:cs="Times New Roman"/>
          <w:color w:val="000000"/>
          <w:sz w:val="21"/>
          <w:szCs w:val="21"/>
          <w:lang w:val="pt-BR"/>
        </w:rPr>
        <w:t>,</w:t>
      </w:r>
      <w:r w:rsidR="00836A5F" w:rsidRPr="00F12123">
        <w:rPr>
          <w:rFonts w:ascii="Cambria" w:eastAsia="Batang" w:hAnsi="Cambria" w:cs="Times New Roman"/>
          <w:color w:val="000000"/>
          <w:sz w:val="21"/>
          <w:szCs w:val="21"/>
          <w:lang w:val="pt-BR"/>
        </w:rPr>
        <w:t xml:space="preserve"> resulta pertinente recordar o dever do Estado de proteger às pessoas sob sua jurisdição, inclusive diante de atos que possam ter sido cometidos por seus agentes.</w:t>
      </w:r>
    </w:p>
    <w:p w14:paraId="76DCA032" w14:textId="77777777" w:rsidR="00836A5F" w:rsidRPr="00F12123" w:rsidRDefault="00836A5F" w:rsidP="002C43DA">
      <w:pPr>
        <w:spacing w:after="0" w:line="240" w:lineRule="auto"/>
        <w:ind w:left="360"/>
        <w:jc w:val="both"/>
        <w:rPr>
          <w:rFonts w:ascii="Cambria" w:eastAsia="Batang" w:hAnsi="Cambria" w:cs="Times New Roman"/>
          <w:color w:val="000000"/>
          <w:sz w:val="21"/>
          <w:szCs w:val="21"/>
          <w:lang w:val="pt-BR"/>
        </w:rPr>
      </w:pPr>
    </w:p>
    <w:p w14:paraId="08FAA6B0" w14:textId="7AD3DDC8" w:rsidR="00836A5F" w:rsidRPr="00F12123" w:rsidRDefault="00836A5F"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No que se refere à investigação desses fatos, a Comissão observa que existe uma aparente controvérsia em torno da autoria do assassinato do senhor José Isídio Dias</w:t>
      </w:r>
      <w:r w:rsidR="002C43DA" w:rsidRPr="00F12123">
        <w:rPr>
          <w:rFonts w:ascii="Cambria" w:eastAsia="Batang" w:hAnsi="Cambria" w:cs="Times New Roman"/>
          <w:color w:val="000000"/>
          <w:sz w:val="21"/>
          <w:szCs w:val="21"/>
          <w:lang w:val="pt-BR"/>
        </w:rPr>
        <w:t xml:space="preserve">, cuja relevância se relaciona diretamente com a definição das fontes de risco. </w:t>
      </w:r>
      <w:r w:rsidR="00BD0F3C">
        <w:rPr>
          <w:rFonts w:ascii="Cambria" w:eastAsia="Batang" w:hAnsi="Cambria" w:cs="Times New Roman"/>
          <w:color w:val="000000"/>
          <w:sz w:val="21"/>
          <w:szCs w:val="21"/>
          <w:lang w:val="pt-BR"/>
        </w:rPr>
        <w:t>A</w:t>
      </w:r>
      <w:r w:rsidR="002C43DA" w:rsidRPr="00F12123">
        <w:rPr>
          <w:rFonts w:ascii="Cambria" w:eastAsia="Batang" w:hAnsi="Cambria" w:cs="Times New Roman"/>
          <w:color w:val="000000"/>
          <w:sz w:val="21"/>
          <w:szCs w:val="21"/>
          <w:lang w:val="pt-BR"/>
        </w:rPr>
        <w:t xml:space="preserve"> determinação da autoria </w:t>
      </w:r>
      <w:r w:rsidR="00BD0F3C">
        <w:rPr>
          <w:rFonts w:ascii="Cambria" w:eastAsia="Batang" w:hAnsi="Cambria" w:cs="Times New Roman"/>
          <w:color w:val="000000"/>
          <w:sz w:val="21"/>
          <w:szCs w:val="21"/>
          <w:lang w:val="pt-BR"/>
        </w:rPr>
        <w:t xml:space="preserve">do crime </w:t>
      </w:r>
      <w:r w:rsidR="002C43DA" w:rsidRPr="00F12123">
        <w:rPr>
          <w:rFonts w:ascii="Cambria" w:eastAsia="Batang" w:hAnsi="Cambria" w:cs="Times New Roman"/>
          <w:color w:val="000000"/>
          <w:sz w:val="21"/>
          <w:szCs w:val="21"/>
          <w:lang w:val="pt-BR"/>
        </w:rPr>
        <w:t>pode</w:t>
      </w:r>
      <w:r w:rsidR="00BD0F3C">
        <w:rPr>
          <w:rFonts w:ascii="Cambria" w:eastAsia="Batang" w:hAnsi="Cambria" w:cs="Times New Roman"/>
          <w:color w:val="000000"/>
          <w:sz w:val="21"/>
          <w:szCs w:val="21"/>
          <w:lang w:val="pt-BR"/>
        </w:rPr>
        <w:t>ria</w:t>
      </w:r>
      <w:r w:rsidR="002C43DA" w:rsidRPr="00F12123">
        <w:rPr>
          <w:rFonts w:ascii="Cambria" w:eastAsia="Batang" w:hAnsi="Cambria" w:cs="Times New Roman"/>
          <w:color w:val="000000"/>
          <w:sz w:val="21"/>
          <w:szCs w:val="21"/>
          <w:lang w:val="pt-BR"/>
        </w:rPr>
        <w:t xml:space="preserve"> clarificar a intensidade da perseguição </w:t>
      </w:r>
      <w:r w:rsidR="00BD0F3C">
        <w:rPr>
          <w:rFonts w:ascii="Cambria" w:eastAsia="Batang" w:hAnsi="Cambria" w:cs="Times New Roman"/>
          <w:color w:val="000000"/>
          <w:sz w:val="21"/>
          <w:szCs w:val="21"/>
          <w:lang w:val="pt-BR"/>
        </w:rPr>
        <w:t>alegada</w:t>
      </w:r>
      <w:r w:rsidR="002C43DA" w:rsidRPr="00F12123">
        <w:rPr>
          <w:rFonts w:ascii="Cambria" w:eastAsia="Batang" w:hAnsi="Cambria" w:cs="Times New Roman"/>
          <w:color w:val="000000"/>
          <w:sz w:val="21"/>
          <w:szCs w:val="21"/>
          <w:lang w:val="pt-BR"/>
        </w:rPr>
        <w:t xml:space="preserve"> pelas pessoas propostas como beneficiárias </w:t>
      </w:r>
      <w:r w:rsidR="00BD0F3C">
        <w:rPr>
          <w:rFonts w:ascii="Cambria" w:eastAsia="Batang" w:hAnsi="Cambria" w:cs="Times New Roman"/>
          <w:color w:val="000000"/>
          <w:sz w:val="21"/>
          <w:szCs w:val="21"/>
          <w:lang w:val="pt-BR"/>
        </w:rPr>
        <w:t>uma vez que os solicitantes</w:t>
      </w:r>
      <w:r w:rsidR="002C43DA" w:rsidRPr="00F12123">
        <w:rPr>
          <w:rFonts w:ascii="Cambria" w:eastAsia="Batang" w:hAnsi="Cambria" w:cs="Times New Roman"/>
          <w:color w:val="000000"/>
          <w:sz w:val="21"/>
          <w:szCs w:val="21"/>
          <w:lang w:val="pt-BR"/>
        </w:rPr>
        <w:t xml:space="preserve"> vincularam </w:t>
      </w:r>
      <w:r w:rsidR="00BD0F3C">
        <w:rPr>
          <w:rFonts w:ascii="Cambria" w:eastAsia="Batang" w:hAnsi="Cambria" w:cs="Times New Roman"/>
          <w:color w:val="000000"/>
          <w:sz w:val="21"/>
          <w:szCs w:val="21"/>
          <w:lang w:val="pt-BR"/>
        </w:rPr>
        <w:t>o assassinato ao</w:t>
      </w:r>
      <w:r w:rsidR="002C43DA" w:rsidRPr="00F12123">
        <w:rPr>
          <w:rFonts w:ascii="Cambria" w:eastAsia="Batang" w:hAnsi="Cambria" w:cs="Times New Roman"/>
          <w:color w:val="000000"/>
          <w:sz w:val="21"/>
          <w:szCs w:val="21"/>
          <w:lang w:val="pt-BR"/>
        </w:rPr>
        <w:t xml:space="preserve"> papel </w:t>
      </w:r>
      <w:r w:rsidR="00B7493D" w:rsidRPr="00F12123">
        <w:rPr>
          <w:rFonts w:ascii="Cambria" w:eastAsia="Batang" w:hAnsi="Cambria" w:cs="Times New Roman"/>
          <w:color w:val="000000"/>
          <w:sz w:val="21"/>
          <w:szCs w:val="21"/>
          <w:lang w:val="pt-BR"/>
        </w:rPr>
        <w:t>de líder comunitário</w:t>
      </w:r>
      <w:r w:rsidR="00B77237">
        <w:rPr>
          <w:rFonts w:ascii="Cambria" w:eastAsia="Batang" w:hAnsi="Cambria" w:cs="Times New Roman"/>
          <w:color w:val="000000"/>
          <w:sz w:val="21"/>
          <w:szCs w:val="21"/>
          <w:lang w:val="pt-BR"/>
        </w:rPr>
        <w:t xml:space="preserve"> do Sr. Dias</w:t>
      </w:r>
      <w:r w:rsidR="00B7493D" w:rsidRPr="00F12123">
        <w:rPr>
          <w:rFonts w:ascii="Cambria" w:eastAsia="Batang" w:hAnsi="Cambria" w:cs="Times New Roman"/>
          <w:color w:val="000000"/>
          <w:sz w:val="21"/>
          <w:szCs w:val="21"/>
          <w:lang w:val="pt-BR"/>
        </w:rPr>
        <w:t>, enquanto o Estado apont</w:t>
      </w:r>
      <w:r w:rsidR="00B77237">
        <w:rPr>
          <w:rFonts w:ascii="Cambria" w:eastAsia="Batang" w:hAnsi="Cambria" w:cs="Times New Roman"/>
          <w:color w:val="000000"/>
          <w:sz w:val="21"/>
          <w:szCs w:val="21"/>
          <w:lang w:val="pt-BR"/>
        </w:rPr>
        <w:t>ou</w:t>
      </w:r>
      <w:r w:rsidR="00B7493D" w:rsidRPr="00F12123">
        <w:rPr>
          <w:rFonts w:ascii="Cambria" w:eastAsia="Batang" w:hAnsi="Cambria" w:cs="Times New Roman"/>
          <w:color w:val="000000"/>
          <w:sz w:val="21"/>
          <w:szCs w:val="21"/>
          <w:lang w:val="pt-BR"/>
        </w:rPr>
        <w:t xml:space="preserve"> para um ato de violência </w:t>
      </w:r>
      <w:r w:rsidR="00B77237">
        <w:rPr>
          <w:rFonts w:ascii="Cambria" w:eastAsia="Batang" w:hAnsi="Cambria" w:cs="Times New Roman"/>
          <w:color w:val="000000"/>
          <w:sz w:val="21"/>
          <w:szCs w:val="21"/>
          <w:lang w:val="pt-BR"/>
        </w:rPr>
        <w:t>comum</w:t>
      </w:r>
      <w:r w:rsidR="00BF6882" w:rsidRPr="00F12123">
        <w:rPr>
          <w:rFonts w:ascii="Cambria" w:eastAsia="Batang" w:hAnsi="Cambria" w:cs="Times New Roman"/>
          <w:color w:val="000000"/>
          <w:sz w:val="21"/>
          <w:szCs w:val="21"/>
          <w:lang w:val="pt-BR"/>
        </w:rPr>
        <w:t xml:space="preserve">. Com relação a esse ponto, a Comissão recorda que </w:t>
      </w:r>
      <w:r w:rsidR="00BF6882" w:rsidRPr="00F12123">
        <w:rPr>
          <w:rFonts w:ascii="Cambria" w:eastAsia="Batang" w:hAnsi="Cambria" w:cs="Times New Roman"/>
          <w:color w:val="000000"/>
          <w:sz w:val="21"/>
          <w:szCs w:val="21"/>
          <w:lang w:val="pt-BR"/>
        </w:rPr>
        <w:lastRenderedPageBreak/>
        <w:t>não lhe corresponde nessa oportunidade efetuar uma análise sobre a devida diligência nas investigações, pois isso requer um pronunciamento de mérito próprio de uma petição ou caso. Sem prejuízo ao anterior, recorda-se a relevância que têm os processos de investigação e determinação de responsabilidade para a mitigação das fontes de risco</w:t>
      </w:r>
      <w:r w:rsidR="00BF6882" w:rsidRPr="00F12123">
        <w:rPr>
          <w:rStyle w:val="FootnoteReference"/>
          <w:rFonts w:ascii="Cambria" w:eastAsia="Batang" w:hAnsi="Cambria" w:cs="Times New Roman"/>
          <w:color w:val="000000"/>
          <w:sz w:val="21"/>
          <w:szCs w:val="21"/>
          <w:lang w:val="pt-BR"/>
        </w:rPr>
        <w:footnoteReference w:id="17"/>
      </w:r>
      <w:r w:rsidR="003179DC" w:rsidRPr="00F12123">
        <w:rPr>
          <w:rFonts w:ascii="Cambria" w:eastAsia="Batang" w:hAnsi="Cambria" w:cs="Times New Roman"/>
          <w:color w:val="000000"/>
          <w:sz w:val="21"/>
          <w:szCs w:val="21"/>
          <w:lang w:val="pt-BR"/>
        </w:rPr>
        <w:t xml:space="preserve">, assim como o dever do Estado de evitar omissões na coleta de provas e no seguimento de linhas lógicas de investigação, particularmente no contexto histórico de conflito territorial e racismo estrutural (ver </w:t>
      </w:r>
      <w:r w:rsidR="003179DC" w:rsidRPr="00F12123">
        <w:rPr>
          <w:rFonts w:ascii="Cambria" w:eastAsia="Batang" w:hAnsi="Cambria" w:cs="Times New Roman"/>
          <w:i/>
          <w:color w:val="000000"/>
          <w:sz w:val="21"/>
          <w:szCs w:val="21"/>
          <w:lang w:val="pt-BR"/>
        </w:rPr>
        <w:t>infra</w:t>
      </w:r>
      <w:r w:rsidR="003179DC" w:rsidRPr="00F12123">
        <w:rPr>
          <w:rFonts w:ascii="Cambria" w:eastAsia="Batang" w:hAnsi="Cambria" w:cs="Times New Roman"/>
          <w:color w:val="000000"/>
          <w:sz w:val="21"/>
          <w:szCs w:val="21"/>
          <w:lang w:val="pt-BR"/>
        </w:rPr>
        <w:t xml:space="preserve"> par. 55)</w:t>
      </w:r>
      <w:r w:rsidR="008330F4" w:rsidRPr="00F12123">
        <w:rPr>
          <w:rStyle w:val="FootnoteReference"/>
          <w:rFonts w:ascii="Cambria" w:eastAsia="Batang" w:hAnsi="Cambria" w:cs="Times New Roman"/>
          <w:color w:val="000000"/>
          <w:sz w:val="21"/>
          <w:szCs w:val="21"/>
          <w:lang w:val="pt-BR"/>
        </w:rPr>
        <w:footnoteReference w:id="18"/>
      </w:r>
      <w:r w:rsidR="00A14F99" w:rsidRPr="00F12123">
        <w:rPr>
          <w:rFonts w:ascii="Cambria" w:eastAsia="Batang" w:hAnsi="Cambria" w:cs="Times New Roman"/>
          <w:color w:val="000000"/>
          <w:sz w:val="21"/>
          <w:szCs w:val="21"/>
          <w:lang w:val="pt-BR"/>
        </w:rPr>
        <w:t>.</w:t>
      </w:r>
    </w:p>
    <w:p w14:paraId="12D95F9E" w14:textId="77777777" w:rsidR="00A14F99" w:rsidRPr="00F12123" w:rsidRDefault="00A14F99" w:rsidP="00A14F99">
      <w:pPr>
        <w:spacing w:after="0" w:line="240" w:lineRule="auto"/>
        <w:ind w:left="360"/>
        <w:jc w:val="both"/>
        <w:rPr>
          <w:rFonts w:ascii="Cambria" w:eastAsia="Batang" w:hAnsi="Cambria" w:cs="Times New Roman"/>
          <w:color w:val="000000"/>
          <w:sz w:val="21"/>
          <w:szCs w:val="21"/>
          <w:lang w:val="pt-BR"/>
        </w:rPr>
      </w:pPr>
    </w:p>
    <w:p w14:paraId="3835F449" w14:textId="468ECA89" w:rsidR="00A14F99" w:rsidRPr="00F12123" w:rsidRDefault="00A14F99"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Nessas circunstâncias, a Comissão adverte que, com relação às investigações dos recentes eventos de risco alegados, o Estado se restringiu a indicar que “as diligencias ainda se encontram em andamento”. Da mesma forma, tampouco </w:t>
      </w:r>
      <w:r w:rsidR="00280CCF">
        <w:rPr>
          <w:rFonts w:ascii="Cambria" w:eastAsia="Batang" w:hAnsi="Cambria" w:cs="Times New Roman"/>
          <w:color w:val="000000"/>
          <w:sz w:val="21"/>
          <w:szCs w:val="21"/>
          <w:lang w:val="pt-BR"/>
        </w:rPr>
        <w:t>foi fornecida qualquer</w:t>
      </w:r>
      <w:r w:rsidRPr="00F12123">
        <w:rPr>
          <w:rFonts w:ascii="Cambria" w:eastAsia="Batang" w:hAnsi="Cambria" w:cs="Times New Roman"/>
          <w:color w:val="000000"/>
          <w:sz w:val="21"/>
          <w:szCs w:val="21"/>
          <w:lang w:val="pt-BR"/>
        </w:rPr>
        <w:t xml:space="preserve"> informação detalhada, como os </w:t>
      </w:r>
      <w:r w:rsidR="009F13DC">
        <w:rPr>
          <w:rFonts w:ascii="Cambria" w:eastAsia="Batang" w:hAnsi="Cambria" w:cs="Times New Roman"/>
          <w:color w:val="000000"/>
          <w:sz w:val="21"/>
          <w:szCs w:val="21"/>
          <w:lang w:val="pt-BR"/>
        </w:rPr>
        <w:t>resultados de investigações ou</w:t>
      </w:r>
      <w:r w:rsidRPr="00F12123">
        <w:rPr>
          <w:rFonts w:ascii="Cambria" w:eastAsia="Batang" w:hAnsi="Cambria" w:cs="Times New Roman"/>
          <w:color w:val="000000"/>
          <w:sz w:val="21"/>
          <w:szCs w:val="21"/>
          <w:lang w:val="pt-BR"/>
        </w:rPr>
        <w:t xml:space="preserve"> possível </w:t>
      </w:r>
      <w:r w:rsidR="009F13DC">
        <w:rPr>
          <w:rFonts w:ascii="Cambria" w:eastAsia="Batang" w:hAnsi="Cambria" w:cs="Times New Roman"/>
          <w:color w:val="000000"/>
          <w:sz w:val="21"/>
          <w:szCs w:val="21"/>
          <w:lang w:val="pt-BR"/>
        </w:rPr>
        <w:t xml:space="preserve">processo judicial </w:t>
      </w:r>
      <w:r w:rsidRPr="00F12123">
        <w:rPr>
          <w:rFonts w:ascii="Cambria" w:eastAsia="Batang" w:hAnsi="Cambria" w:cs="Times New Roman"/>
          <w:color w:val="000000"/>
          <w:sz w:val="21"/>
          <w:szCs w:val="21"/>
          <w:lang w:val="pt-BR"/>
        </w:rPr>
        <w:t xml:space="preserve">(ver </w:t>
      </w:r>
      <w:r w:rsidRPr="00F12123">
        <w:rPr>
          <w:rFonts w:ascii="Cambria" w:eastAsia="Batang" w:hAnsi="Cambria" w:cs="Times New Roman"/>
          <w:i/>
          <w:color w:val="000000"/>
          <w:sz w:val="21"/>
          <w:szCs w:val="21"/>
          <w:lang w:val="pt-BR"/>
        </w:rPr>
        <w:t>supra</w:t>
      </w:r>
      <w:r w:rsidR="009F13DC">
        <w:rPr>
          <w:rFonts w:ascii="Cambria" w:eastAsia="Batang" w:hAnsi="Cambria" w:cs="Times New Roman"/>
          <w:color w:val="000000"/>
          <w:sz w:val="21"/>
          <w:szCs w:val="21"/>
          <w:lang w:val="pt-BR"/>
        </w:rPr>
        <w:t xml:space="preserve"> par</w:t>
      </w:r>
      <w:r w:rsidRPr="00F12123">
        <w:rPr>
          <w:rFonts w:ascii="Cambria" w:eastAsia="Batang" w:hAnsi="Cambria" w:cs="Times New Roman"/>
          <w:color w:val="000000"/>
          <w:sz w:val="21"/>
          <w:szCs w:val="21"/>
          <w:lang w:val="pt-BR"/>
        </w:rPr>
        <w:t>. 11)</w:t>
      </w:r>
      <w:r w:rsidR="00356841" w:rsidRPr="00F12123">
        <w:rPr>
          <w:rFonts w:ascii="Cambria" w:eastAsia="Batang" w:hAnsi="Cambria" w:cs="Times New Roman"/>
          <w:color w:val="000000"/>
          <w:sz w:val="21"/>
          <w:szCs w:val="21"/>
          <w:lang w:val="pt-BR"/>
        </w:rPr>
        <w:t>, limitando-se a afirmar que certas alegações dos solicitantes eram “inverdades”, apesar de que os eventos de risco estariam ocorrendo de maneira continuada ao longo d</w:t>
      </w:r>
      <w:r w:rsidR="009F13DC">
        <w:rPr>
          <w:rFonts w:ascii="Cambria" w:eastAsia="Batang" w:hAnsi="Cambria" w:cs="Times New Roman"/>
          <w:color w:val="000000"/>
          <w:sz w:val="21"/>
          <w:szCs w:val="21"/>
          <w:lang w:val="pt-BR"/>
        </w:rPr>
        <w:t>os</w:t>
      </w:r>
      <w:r w:rsidR="00356841" w:rsidRPr="00F12123">
        <w:rPr>
          <w:rFonts w:ascii="Cambria" w:eastAsia="Batang" w:hAnsi="Cambria" w:cs="Times New Roman"/>
          <w:color w:val="000000"/>
          <w:sz w:val="21"/>
          <w:szCs w:val="21"/>
          <w:lang w:val="pt-BR"/>
        </w:rPr>
        <w:t xml:space="preserve"> anos.</w:t>
      </w:r>
    </w:p>
    <w:p w14:paraId="08E95DBA" w14:textId="77777777" w:rsidR="00356841" w:rsidRPr="00F12123" w:rsidRDefault="00356841" w:rsidP="00356841">
      <w:pPr>
        <w:spacing w:after="0" w:line="240" w:lineRule="auto"/>
        <w:ind w:left="360"/>
        <w:jc w:val="both"/>
        <w:rPr>
          <w:rFonts w:ascii="Cambria" w:eastAsia="Batang" w:hAnsi="Cambria" w:cs="Times New Roman"/>
          <w:color w:val="000000"/>
          <w:sz w:val="21"/>
          <w:szCs w:val="21"/>
          <w:lang w:val="pt-BR"/>
        </w:rPr>
      </w:pPr>
    </w:p>
    <w:p w14:paraId="7BBD6DCD" w14:textId="77777777" w:rsidR="00356841" w:rsidRPr="00F12123" w:rsidRDefault="00356841" w:rsidP="008A4CE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De acordo com o acima exposto, adquire particular relevância o manifestado pelo Estado, no sentido de que as pessoas propostas como beneficiárias não teriam buscado as instâncias internas pertinentes para </w:t>
      </w:r>
      <w:r w:rsidR="00815A0E" w:rsidRPr="00F12123">
        <w:rPr>
          <w:rFonts w:ascii="Cambria" w:eastAsia="Batang" w:hAnsi="Cambria" w:cs="Times New Roman"/>
          <w:color w:val="000000"/>
          <w:sz w:val="21"/>
          <w:szCs w:val="21"/>
          <w:lang w:val="pt-BR"/>
        </w:rPr>
        <w:t>denunciar</w:t>
      </w:r>
      <w:r w:rsidRPr="00F12123">
        <w:rPr>
          <w:rFonts w:ascii="Cambria" w:eastAsia="Batang" w:hAnsi="Cambria" w:cs="Times New Roman"/>
          <w:color w:val="000000"/>
          <w:sz w:val="21"/>
          <w:szCs w:val="21"/>
          <w:lang w:val="pt-BR"/>
        </w:rPr>
        <w:t xml:space="preserve"> os fatos ou requerer medidas de proteção correspondentes. Com relação a esse ponto, a Comissão recorda que, de conformidade com o estabelecido pela Corte Interamericana,</w:t>
      </w:r>
    </w:p>
    <w:p w14:paraId="2D2A4B62" w14:textId="77777777" w:rsidR="005A24AA" w:rsidRPr="00A354B5" w:rsidRDefault="005A24AA" w:rsidP="00D51F89">
      <w:pPr>
        <w:spacing w:after="0" w:line="240" w:lineRule="auto"/>
        <w:contextualSpacing/>
        <w:jc w:val="both"/>
        <w:rPr>
          <w:rFonts w:ascii="Cambria" w:eastAsia="Batang" w:hAnsi="Cambria" w:cs="Times New Roman"/>
          <w:color w:val="000000"/>
          <w:sz w:val="21"/>
          <w:szCs w:val="21"/>
          <w:lang w:val="pt-BR"/>
        </w:rPr>
      </w:pPr>
    </w:p>
    <w:p w14:paraId="4A9AB675" w14:textId="77777777" w:rsidR="00697FBF" w:rsidRPr="00F12123" w:rsidRDefault="005A24AA" w:rsidP="00D51F89">
      <w:pPr>
        <w:spacing w:after="0" w:line="240" w:lineRule="auto"/>
        <w:ind w:left="720" w:right="720"/>
        <w:contextualSpacing/>
        <w:jc w:val="both"/>
        <w:rPr>
          <w:rFonts w:ascii="Cambria" w:hAnsi="Cambria" w:cstheme="majorHAnsi"/>
          <w:sz w:val="18"/>
          <w:szCs w:val="16"/>
          <w:lang w:val="pt-BR"/>
        </w:rPr>
      </w:pPr>
      <w:r w:rsidRPr="00F12123">
        <w:rPr>
          <w:rFonts w:ascii="Cambria" w:hAnsi="Cambria" w:cstheme="majorHAnsi"/>
          <w:sz w:val="18"/>
          <w:szCs w:val="16"/>
          <w:lang w:val="pt-BR"/>
        </w:rPr>
        <w:t xml:space="preserve">[…] corresponde </w:t>
      </w:r>
      <w:r w:rsidR="00815A0E" w:rsidRPr="00F12123">
        <w:rPr>
          <w:rFonts w:ascii="Cambria" w:hAnsi="Cambria" w:cstheme="majorHAnsi"/>
          <w:sz w:val="18"/>
          <w:szCs w:val="16"/>
          <w:lang w:val="pt-BR"/>
        </w:rPr>
        <w:t xml:space="preserve">às </w:t>
      </w:r>
      <w:r w:rsidRPr="00F12123">
        <w:rPr>
          <w:rFonts w:ascii="Cambria" w:hAnsi="Cambria" w:cstheme="majorHAnsi"/>
          <w:sz w:val="18"/>
          <w:szCs w:val="16"/>
          <w:lang w:val="pt-BR"/>
        </w:rPr>
        <w:t xml:space="preserve">autoridades </w:t>
      </w:r>
      <w:r w:rsidR="00815A0E" w:rsidRPr="00F12123">
        <w:rPr>
          <w:rFonts w:ascii="Cambria" w:hAnsi="Cambria" w:cstheme="majorHAnsi"/>
          <w:sz w:val="18"/>
          <w:szCs w:val="16"/>
          <w:lang w:val="pt-BR"/>
        </w:rPr>
        <w:t>estatais que tomam conhecimento de uma situa</w:t>
      </w:r>
      <w:r w:rsidR="00815A0E" w:rsidRPr="003E282C">
        <w:rPr>
          <w:rFonts w:ascii="Cambria" w:hAnsi="Cambria" w:cstheme="majorHAnsi"/>
          <w:sz w:val="18"/>
          <w:szCs w:val="16"/>
          <w:lang w:val="pt-BR"/>
        </w:rPr>
        <w:t xml:space="preserve">ção de risco especial identificar ou </w:t>
      </w:r>
      <w:r w:rsidR="00EA6EBF" w:rsidRPr="00F12123">
        <w:rPr>
          <w:rFonts w:ascii="Cambria" w:hAnsi="Cambria" w:cstheme="majorHAnsi"/>
          <w:sz w:val="18"/>
          <w:szCs w:val="16"/>
          <w:lang w:val="pt-BR"/>
        </w:rPr>
        <w:t>analisar</w:t>
      </w:r>
      <w:r w:rsidR="00815A0E" w:rsidRPr="00F12123">
        <w:rPr>
          <w:rFonts w:ascii="Cambria" w:hAnsi="Cambria" w:cstheme="majorHAnsi"/>
          <w:sz w:val="18"/>
          <w:szCs w:val="16"/>
          <w:lang w:val="pt-BR"/>
        </w:rPr>
        <w:t xml:space="preserve"> se a pessoa objeto de ame</w:t>
      </w:r>
      <w:r w:rsidR="00EA6EBF" w:rsidRPr="00F12123">
        <w:rPr>
          <w:rFonts w:ascii="Cambria" w:hAnsi="Cambria" w:cstheme="majorHAnsi"/>
          <w:sz w:val="18"/>
          <w:szCs w:val="16"/>
          <w:lang w:val="pt-BR"/>
        </w:rPr>
        <w:t>a</w:t>
      </w:r>
      <w:r w:rsidR="00815A0E" w:rsidRPr="00F12123">
        <w:rPr>
          <w:rFonts w:ascii="Cambria" w:hAnsi="Cambria" w:cstheme="majorHAnsi"/>
          <w:sz w:val="18"/>
          <w:szCs w:val="16"/>
          <w:lang w:val="pt-BR"/>
        </w:rPr>
        <w:t>ça e intimidação requer de medidas de proteção ou remitir o assunto à autoridade competente para fazê-lo, assim como oferecer a pessoa em risco informação oportuna sobre as medidas disponíveis. A avaliação sobre se uma pessoa requer medidas de proteção e quais são as medidas adequadas é uma obrigação que corresponde ao Estado</w:t>
      </w:r>
      <w:r w:rsidR="00697FBF" w:rsidRPr="00F12123">
        <w:rPr>
          <w:rFonts w:ascii="Cambria" w:hAnsi="Cambria" w:cstheme="majorHAnsi"/>
          <w:sz w:val="18"/>
          <w:szCs w:val="16"/>
          <w:lang w:val="pt-BR"/>
        </w:rPr>
        <w:t xml:space="preserve"> e não pode se restringir a que a própria vítima as solicite ‘às autoridades competentes’, nem que conheça com exatidão qual é a autoridade me</w:t>
      </w:r>
      <w:r w:rsidR="00520AC9" w:rsidRPr="00F12123">
        <w:rPr>
          <w:rFonts w:ascii="Cambria" w:hAnsi="Cambria" w:cstheme="majorHAnsi"/>
          <w:sz w:val="18"/>
          <w:szCs w:val="16"/>
          <w:lang w:val="pt-BR"/>
        </w:rPr>
        <w:t>l</w:t>
      </w:r>
      <w:r w:rsidR="00697FBF" w:rsidRPr="00F12123">
        <w:rPr>
          <w:rFonts w:ascii="Cambria" w:hAnsi="Cambria" w:cstheme="majorHAnsi"/>
          <w:sz w:val="18"/>
          <w:szCs w:val="16"/>
          <w:lang w:val="pt-BR"/>
        </w:rPr>
        <w:t xml:space="preserve">hor capacitada para atender </w:t>
      </w:r>
      <w:r w:rsidR="00520AC9" w:rsidRPr="00F12123">
        <w:rPr>
          <w:rFonts w:ascii="Cambria" w:hAnsi="Cambria" w:cstheme="majorHAnsi"/>
          <w:sz w:val="18"/>
          <w:szCs w:val="16"/>
          <w:lang w:val="pt-BR"/>
        </w:rPr>
        <w:t xml:space="preserve">a </w:t>
      </w:r>
      <w:r w:rsidR="00697FBF" w:rsidRPr="00F12123">
        <w:rPr>
          <w:rFonts w:ascii="Cambria" w:hAnsi="Cambria" w:cstheme="majorHAnsi"/>
          <w:sz w:val="18"/>
          <w:szCs w:val="16"/>
          <w:lang w:val="pt-BR"/>
        </w:rPr>
        <w:t>sua situação, já que corresponde ao Estado estabelecer medidas de coordenação entre suas entidades e funcionários para tal fim</w:t>
      </w:r>
      <w:r w:rsidR="00EA6EBF" w:rsidRPr="00F12123">
        <w:rPr>
          <w:rFonts w:ascii="Cambria" w:hAnsi="Cambria" w:cstheme="majorHAnsi"/>
          <w:sz w:val="18"/>
          <w:szCs w:val="16"/>
          <w:lang w:val="pt-BR"/>
        </w:rPr>
        <w:t>.</w:t>
      </w:r>
      <w:r w:rsidR="00697FBF" w:rsidRPr="00F12123">
        <w:rPr>
          <w:rStyle w:val="FootnoteReference"/>
          <w:rFonts w:ascii="Cambria" w:hAnsi="Cambria" w:cstheme="majorHAnsi"/>
          <w:sz w:val="18"/>
          <w:szCs w:val="16"/>
          <w:lang w:val="pt-BR"/>
        </w:rPr>
        <w:footnoteReference w:id="19"/>
      </w:r>
    </w:p>
    <w:p w14:paraId="2C5687C3" w14:textId="77777777" w:rsidR="00495619" w:rsidRPr="00F12123" w:rsidRDefault="00495619" w:rsidP="00D51F89">
      <w:pPr>
        <w:spacing w:after="0" w:line="240" w:lineRule="auto"/>
        <w:contextualSpacing/>
        <w:jc w:val="both"/>
        <w:rPr>
          <w:rFonts w:ascii="Cambria" w:eastAsia="Batang" w:hAnsi="Cambria" w:cs="Times New Roman"/>
          <w:color w:val="000000"/>
          <w:sz w:val="21"/>
          <w:szCs w:val="21"/>
          <w:lang w:val="pt-BR"/>
        </w:rPr>
      </w:pPr>
    </w:p>
    <w:p w14:paraId="0EA314D7" w14:textId="77777777" w:rsidR="00EA6EBF" w:rsidRPr="00F12123" w:rsidRDefault="00EA6EBF" w:rsidP="00EA6EBF">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Considerando o exposto, a Comissão adverte que a resposta do Estado não resulta a princíp</w:t>
      </w:r>
      <w:r w:rsidR="00510A9A" w:rsidRPr="00F12123">
        <w:rPr>
          <w:rFonts w:ascii="Cambria" w:eastAsia="Batang" w:hAnsi="Cambria" w:cs="Times New Roman"/>
          <w:color w:val="000000"/>
          <w:sz w:val="21"/>
          <w:szCs w:val="21"/>
          <w:lang w:val="pt-BR"/>
        </w:rPr>
        <w:t>i</w:t>
      </w:r>
      <w:r w:rsidRPr="00F12123">
        <w:rPr>
          <w:rFonts w:ascii="Cambria" w:eastAsia="Batang" w:hAnsi="Cambria" w:cs="Times New Roman"/>
          <w:color w:val="000000"/>
          <w:sz w:val="21"/>
          <w:szCs w:val="21"/>
          <w:lang w:val="pt-BR"/>
        </w:rPr>
        <w:t>o suficiente para desvirtuar a alegação de que as pessoas propostas como beneficiárias se encontram em uma situação de gravidade.</w:t>
      </w:r>
    </w:p>
    <w:p w14:paraId="21633D25" w14:textId="77777777" w:rsidR="00510A9A" w:rsidRPr="00F12123" w:rsidRDefault="00510A9A" w:rsidP="00510A9A">
      <w:pPr>
        <w:spacing w:after="0" w:line="240" w:lineRule="auto"/>
        <w:ind w:left="360"/>
        <w:jc w:val="both"/>
        <w:rPr>
          <w:rFonts w:ascii="Cambria" w:eastAsia="Batang" w:hAnsi="Cambria" w:cs="Times New Roman"/>
          <w:color w:val="000000"/>
          <w:sz w:val="21"/>
          <w:szCs w:val="21"/>
          <w:lang w:val="pt-BR"/>
        </w:rPr>
      </w:pPr>
    </w:p>
    <w:p w14:paraId="772D8164" w14:textId="3988F26A" w:rsidR="00510A9A" w:rsidRPr="00F12123" w:rsidRDefault="00510A9A" w:rsidP="00EA6EBF">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À luz do anterior, a Comissão considera que, desde o standard </w:t>
      </w:r>
      <w:r w:rsidRPr="00F12123">
        <w:rPr>
          <w:rFonts w:ascii="Cambria" w:eastAsia="Batang" w:hAnsi="Cambria" w:cs="Times New Roman"/>
          <w:i/>
          <w:color w:val="000000"/>
          <w:sz w:val="21"/>
          <w:szCs w:val="21"/>
          <w:lang w:val="pt-BR"/>
        </w:rPr>
        <w:t>prima facie</w:t>
      </w:r>
      <w:r w:rsidRPr="00F12123">
        <w:rPr>
          <w:rFonts w:ascii="Cambria" w:eastAsia="Batang" w:hAnsi="Cambria" w:cs="Times New Roman"/>
          <w:color w:val="000000"/>
          <w:sz w:val="21"/>
          <w:szCs w:val="21"/>
          <w:lang w:val="pt-BR"/>
        </w:rPr>
        <w:t xml:space="preserve"> aplicável ao mecanismo de medidas cautelares, os direitos à vida e à integridade pessoal</w:t>
      </w:r>
      <w:r w:rsidR="002E404B" w:rsidRPr="00F12123">
        <w:rPr>
          <w:rFonts w:ascii="Cambria" w:eastAsia="Batang" w:hAnsi="Cambria" w:cs="Times New Roman"/>
          <w:color w:val="000000"/>
          <w:sz w:val="21"/>
          <w:szCs w:val="21"/>
          <w:lang w:val="pt-BR"/>
        </w:rPr>
        <w:t xml:space="preserve"> dos membros da Comunidade Remane</w:t>
      </w:r>
      <w:r w:rsidR="00B709C5">
        <w:rPr>
          <w:rFonts w:ascii="Cambria" w:eastAsia="Batang" w:hAnsi="Cambria" w:cs="Times New Roman"/>
          <w:color w:val="000000"/>
          <w:sz w:val="21"/>
          <w:szCs w:val="21"/>
          <w:lang w:val="pt-BR"/>
        </w:rPr>
        <w:t>sce</w:t>
      </w:r>
      <w:r w:rsidR="002E404B" w:rsidRPr="00F12123">
        <w:rPr>
          <w:rFonts w:ascii="Cambria" w:eastAsia="Batang" w:hAnsi="Cambria" w:cs="Times New Roman"/>
          <w:color w:val="000000"/>
          <w:sz w:val="21"/>
          <w:szCs w:val="21"/>
          <w:lang w:val="pt-BR"/>
        </w:rPr>
        <w:t>ntes do Quilombo Rio dos Macacos se encontram em uma situação de grave risco.</w:t>
      </w:r>
    </w:p>
    <w:p w14:paraId="27C9C813" w14:textId="77777777" w:rsidR="002E404B" w:rsidRPr="00F12123" w:rsidRDefault="002E404B" w:rsidP="002E404B">
      <w:pPr>
        <w:spacing w:after="0" w:line="240" w:lineRule="auto"/>
        <w:ind w:left="360"/>
        <w:jc w:val="both"/>
        <w:rPr>
          <w:rFonts w:ascii="Cambria" w:eastAsia="Batang" w:hAnsi="Cambria" w:cs="Times New Roman"/>
          <w:color w:val="000000"/>
          <w:sz w:val="21"/>
          <w:szCs w:val="21"/>
          <w:lang w:val="pt-BR"/>
        </w:rPr>
      </w:pPr>
    </w:p>
    <w:p w14:paraId="030D465D" w14:textId="3A40FAF3" w:rsidR="002E404B" w:rsidRPr="00F12123" w:rsidRDefault="002E404B" w:rsidP="00EA6EBF">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Por outra parte, sobre a segunda fonte de risco, a CIDH observa que os solicitantes alegaram que a </w:t>
      </w:r>
      <w:r w:rsidR="00035C43" w:rsidRPr="00F12123">
        <w:rPr>
          <w:rFonts w:ascii="Cambria" w:eastAsia="Batang" w:hAnsi="Cambria" w:cs="Times New Roman"/>
          <w:color w:val="000000"/>
          <w:sz w:val="21"/>
          <w:szCs w:val="21"/>
          <w:lang w:val="pt-BR"/>
        </w:rPr>
        <w:t xml:space="preserve">barragem </w:t>
      </w:r>
      <w:r w:rsidRPr="00F12123">
        <w:rPr>
          <w:rFonts w:ascii="Cambria" w:eastAsia="Batang" w:hAnsi="Cambria" w:cs="Times New Roman"/>
          <w:color w:val="000000"/>
          <w:sz w:val="21"/>
          <w:szCs w:val="21"/>
          <w:lang w:val="pt-BR"/>
        </w:rPr>
        <w:t xml:space="preserve">teria “graves problemas em sua estrutura”, fornecendo cópia de relatório técnico </w:t>
      </w:r>
      <w:r w:rsidRPr="00F12123">
        <w:rPr>
          <w:rFonts w:ascii="Cambria" w:eastAsia="Batang" w:hAnsi="Cambria" w:cs="Times New Roman"/>
          <w:color w:val="000000"/>
          <w:sz w:val="21"/>
          <w:szCs w:val="21"/>
          <w:lang w:val="pt-BR"/>
        </w:rPr>
        <w:lastRenderedPageBreak/>
        <w:t xml:space="preserve">categorizando a situação como “risco alto”. A Comissão observa que não dispõe de </w:t>
      </w:r>
      <w:r w:rsidR="00481DE1" w:rsidRPr="00F12123">
        <w:rPr>
          <w:rFonts w:ascii="Cambria" w:eastAsia="Batang" w:hAnsi="Cambria" w:cs="Times New Roman"/>
          <w:color w:val="000000"/>
          <w:sz w:val="21"/>
          <w:szCs w:val="21"/>
          <w:lang w:val="pt-BR"/>
        </w:rPr>
        <w:t>informação suficiente para chegar a uma determinação</w:t>
      </w:r>
      <w:r w:rsidR="00AF62AA">
        <w:rPr>
          <w:rFonts w:ascii="Cambria" w:eastAsia="Batang" w:hAnsi="Cambria" w:cs="Times New Roman"/>
          <w:color w:val="000000"/>
          <w:sz w:val="21"/>
          <w:szCs w:val="21"/>
          <w:lang w:val="pt-BR"/>
        </w:rPr>
        <w:t xml:space="preserve"> sobre o tema</w:t>
      </w:r>
      <w:r w:rsidR="00481DE1" w:rsidRPr="00F12123">
        <w:rPr>
          <w:rFonts w:ascii="Cambria" w:eastAsia="Batang" w:hAnsi="Cambria" w:cs="Times New Roman"/>
          <w:color w:val="000000"/>
          <w:sz w:val="21"/>
          <w:szCs w:val="21"/>
          <w:lang w:val="pt-BR"/>
        </w:rPr>
        <w:t>, particularmente considerando que o Estado teria adotado medidas de mitigação suficientes para afastar um risco “imediato” de ruptura</w:t>
      </w:r>
      <w:r w:rsidR="00481DE1" w:rsidRPr="00F12123">
        <w:rPr>
          <w:rStyle w:val="FootnoteReference"/>
          <w:rFonts w:ascii="Cambria" w:eastAsia="Batang" w:hAnsi="Cambria" w:cs="Times New Roman"/>
          <w:color w:val="000000"/>
          <w:sz w:val="21"/>
          <w:szCs w:val="21"/>
          <w:lang w:val="pt-BR"/>
        </w:rPr>
        <w:footnoteReference w:id="20"/>
      </w:r>
      <w:r w:rsidR="00D72164" w:rsidRPr="00F12123">
        <w:rPr>
          <w:rFonts w:ascii="Cambria" w:eastAsia="Batang" w:hAnsi="Cambria" w:cs="Times New Roman"/>
          <w:color w:val="000000"/>
          <w:sz w:val="21"/>
          <w:szCs w:val="21"/>
          <w:lang w:val="pt-BR"/>
        </w:rPr>
        <w:t>.</w:t>
      </w:r>
    </w:p>
    <w:p w14:paraId="2F511FE0" w14:textId="77777777" w:rsidR="004E5F2E" w:rsidRPr="00F12123" w:rsidRDefault="004E5F2E" w:rsidP="004E5F2E">
      <w:pPr>
        <w:spacing w:after="0" w:line="240" w:lineRule="auto"/>
        <w:ind w:left="360"/>
        <w:jc w:val="both"/>
        <w:rPr>
          <w:rFonts w:ascii="Cambria" w:eastAsia="Batang" w:hAnsi="Cambria" w:cs="Times New Roman"/>
          <w:color w:val="000000"/>
          <w:sz w:val="21"/>
          <w:szCs w:val="21"/>
          <w:lang w:val="pt-BR"/>
        </w:rPr>
      </w:pPr>
    </w:p>
    <w:p w14:paraId="56408FCB" w14:textId="34090F4D" w:rsidR="004E5F2E" w:rsidRPr="00F12123" w:rsidRDefault="001622D2" w:rsidP="00EA6EBF">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Além disso, a Comissão recorda o Estado da importância de manter diálogo com as comunidades possivelmente afetadas pela situação, particularmente diante de possíveis mudanças na</w:t>
      </w:r>
      <w:r w:rsidR="00AF62AA">
        <w:rPr>
          <w:rFonts w:ascii="Cambria" w:eastAsia="Batang" w:hAnsi="Cambria" w:cs="Times New Roman"/>
          <w:color w:val="000000"/>
          <w:sz w:val="21"/>
          <w:szCs w:val="21"/>
          <w:lang w:val="pt-BR"/>
        </w:rPr>
        <w:t>s circunstâncias atuais</w:t>
      </w:r>
      <w:r w:rsidRPr="00F12123">
        <w:rPr>
          <w:rFonts w:ascii="Cambria" w:eastAsia="Batang" w:hAnsi="Cambria" w:cs="Times New Roman"/>
          <w:color w:val="000000"/>
          <w:sz w:val="21"/>
          <w:szCs w:val="21"/>
          <w:lang w:val="pt-BR"/>
        </w:rPr>
        <w:t>, nos termos estabelecidos na Convenção 169 da OIT.</w:t>
      </w:r>
    </w:p>
    <w:p w14:paraId="05D9512A" w14:textId="77777777" w:rsidR="001622D2" w:rsidRPr="00F12123" w:rsidRDefault="001622D2" w:rsidP="00374A0B">
      <w:pPr>
        <w:spacing w:after="0" w:line="240" w:lineRule="auto"/>
        <w:ind w:left="360"/>
        <w:jc w:val="both"/>
        <w:rPr>
          <w:rFonts w:ascii="Cambria" w:eastAsia="Batang" w:hAnsi="Cambria" w:cs="Times New Roman"/>
          <w:color w:val="000000"/>
          <w:sz w:val="21"/>
          <w:szCs w:val="21"/>
          <w:lang w:val="pt-BR"/>
        </w:rPr>
      </w:pPr>
    </w:p>
    <w:p w14:paraId="7D0B79BE" w14:textId="77777777" w:rsidR="001622D2" w:rsidRPr="00F12123" w:rsidRDefault="001622D2" w:rsidP="00EA6EBF">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Igualmente, a CIDH toma nota do atual contexto de pandemia de COVID-19 e o impacto diferenciado que pode ter na Comunidade Quilombola, principalmente diante da recorrente presença de terceiros desconhecidos em seu território. Nesse sentido, a Comissão Interamericana afirmou, em sua Resolução 1/2020 “</w:t>
      </w:r>
      <w:r w:rsidR="00374A0B" w:rsidRPr="00F12123">
        <w:rPr>
          <w:rFonts w:ascii="Cambria" w:eastAsia="Batang" w:hAnsi="Cambria" w:cs="Times New Roman"/>
          <w:color w:val="000000"/>
          <w:sz w:val="21"/>
          <w:szCs w:val="21"/>
          <w:lang w:val="pt-BR"/>
        </w:rPr>
        <w:t>Pandemia e Direitos Humanos nas Américas”</w:t>
      </w:r>
      <w:r w:rsidR="00374A0B" w:rsidRPr="00F12123">
        <w:rPr>
          <w:rStyle w:val="FootnoteReference"/>
          <w:rFonts w:ascii="Cambria" w:eastAsia="Batang" w:hAnsi="Cambria" w:cs="Times New Roman"/>
          <w:color w:val="000000"/>
          <w:sz w:val="21"/>
          <w:szCs w:val="21"/>
          <w:lang w:val="pt-BR"/>
        </w:rPr>
        <w:footnoteReference w:id="21"/>
      </w:r>
      <w:r w:rsidR="00374A0B" w:rsidRPr="00F12123">
        <w:rPr>
          <w:rFonts w:ascii="Cambria" w:eastAsia="Batang" w:hAnsi="Cambria" w:cs="Times New Roman"/>
          <w:color w:val="000000"/>
          <w:sz w:val="21"/>
          <w:szCs w:val="21"/>
          <w:lang w:val="pt-BR"/>
        </w:rPr>
        <w:t>, que os Estados devem buscar:</w:t>
      </w:r>
    </w:p>
    <w:p w14:paraId="3C4A64C9" w14:textId="77777777" w:rsidR="0001572C" w:rsidRPr="00A354B5" w:rsidRDefault="0001572C" w:rsidP="00D51F89">
      <w:pPr>
        <w:spacing w:after="0" w:line="240" w:lineRule="auto"/>
        <w:contextualSpacing/>
        <w:jc w:val="both"/>
        <w:rPr>
          <w:rFonts w:ascii="Cambria" w:eastAsia="Batang" w:hAnsi="Cambria" w:cs="Times New Roman"/>
          <w:color w:val="000000"/>
          <w:sz w:val="21"/>
          <w:szCs w:val="21"/>
          <w:lang w:val="pt-BR"/>
        </w:rPr>
      </w:pPr>
    </w:p>
    <w:p w14:paraId="0D09491E" w14:textId="77777777" w:rsidR="00CA56F1" w:rsidRPr="00F12123" w:rsidRDefault="00CA56F1" w:rsidP="00D51F89">
      <w:pPr>
        <w:spacing w:after="0" w:line="240" w:lineRule="auto"/>
        <w:ind w:left="567" w:right="567"/>
        <w:contextualSpacing/>
        <w:jc w:val="both"/>
        <w:rPr>
          <w:rFonts w:ascii="Cambria" w:eastAsia="Batang" w:hAnsi="Cambria" w:cs="Times New Roman"/>
          <w:color w:val="000000"/>
          <w:sz w:val="18"/>
          <w:szCs w:val="21"/>
          <w:lang w:val="pt-BR"/>
        </w:rPr>
      </w:pPr>
      <w:r w:rsidRPr="00F12123">
        <w:rPr>
          <w:rFonts w:ascii="Cambria" w:eastAsia="Batang" w:hAnsi="Cambria" w:cs="Times New Roman"/>
          <w:color w:val="000000"/>
          <w:sz w:val="18"/>
          <w:szCs w:val="21"/>
          <w:lang w:val="pt-BR"/>
        </w:rPr>
        <w:t>Adotar de forma imediata, urgente e com a devida diligência, todas as medidas que sejam adequadas para proteger os direitos à vida, à saúde e à integridade pessoal das pessoas que se encontrem em suas jurisdições diante do risco que representa a pandemia. [</w:t>
      </w:r>
      <w:r w:rsidR="005A15AC" w:rsidRPr="00F12123">
        <w:rPr>
          <w:rFonts w:ascii="Cambria" w:eastAsia="Batang" w:hAnsi="Cambria" w:cs="Times New Roman"/>
          <w:color w:val="000000"/>
          <w:sz w:val="18"/>
          <w:szCs w:val="21"/>
          <w:lang w:val="pt-BR"/>
        </w:rPr>
        <w:t>... Particularmente</w:t>
      </w:r>
      <w:r w:rsidRPr="003E282C">
        <w:rPr>
          <w:rFonts w:ascii="Cambria" w:eastAsia="Batang" w:hAnsi="Cambria" w:cs="Times New Roman"/>
          <w:color w:val="000000"/>
          <w:sz w:val="18"/>
          <w:szCs w:val="21"/>
          <w:lang w:val="pt-BR"/>
        </w:rPr>
        <w:t>], garantir o acesso a serviços de saúde pública integral de forma oportuna a pessoas afrodescendentes e comunidades triba</w:t>
      </w:r>
      <w:r w:rsidR="00883A7D" w:rsidRPr="00F12123">
        <w:rPr>
          <w:rFonts w:ascii="Cambria" w:eastAsia="Batang" w:hAnsi="Cambria" w:cs="Times New Roman"/>
          <w:color w:val="000000"/>
          <w:sz w:val="18"/>
          <w:szCs w:val="21"/>
          <w:lang w:val="pt-BR"/>
        </w:rPr>
        <w:t>i</w:t>
      </w:r>
      <w:r w:rsidRPr="00F12123">
        <w:rPr>
          <w:rFonts w:ascii="Cambria" w:eastAsia="Batang" w:hAnsi="Cambria" w:cs="Times New Roman"/>
          <w:color w:val="000000"/>
          <w:sz w:val="18"/>
          <w:szCs w:val="21"/>
          <w:lang w:val="pt-BR"/>
        </w:rPr>
        <w:t>s, incorporando um enforque intercultural e garantindo a esta população</w:t>
      </w:r>
      <w:r w:rsidR="00883A7D" w:rsidRPr="00F12123">
        <w:rPr>
          <w:rFonts w:ascii="Cambria" w:eastAsia="Batang" w:hAnsi="Cambria" w:cs="Times New Roman"/>
          <w:color w:val="000000"/>
          <w:sz w:val="18"/>
          <w:szCs w:val="21"/>
          <w:lang w:val="pt-BR"/>
        </w:rPr>
        <w:t xml:space="preserve"> informação clara, acessível e inclusiva sobre os procedimentos médicos que lhes pratiquem.</w:t>
      </w:r>
    </w:p>
    <w:p w14:paraId="3846AC10" w14:textId="77777777" w:rsidR="00980931" w:rsidRPr="00F12123" w:rsidRDefault="00980931" w:rsidP="00D51F89">
      <w:pPr>
        <w:spacing w:after="0" w:line="240" w:lineRule="auto"/>
        <w:contextualSpacing/>
        <w:jc w:val="both"/>
        <w:rPr>
          <w:rFonts w:ascii="Cambria" w:eastAsia="Batang" w:hAnsi="Cambria" w:cs="Times New Roman"/>
          <w:color w:val="000000"/>
          <w:sz w:val="21"/>
          <w:szCs w:val="21"/>
          <w:lang w:val="pt-BR"/>
        </w:rPr>
      </w:pPr>
    </w:p>
    <w:p w14:paraId="0A43A314" w14:textId="77777777" w:rsidR="00883A7D" w:rsidRPr="00F12123" w:rsidRDefault="00883A7D" w:rsidP="00883A7D">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C</w:t>
      </w:r>
      <w:r w:rsidR="005A15AC" w:rsidRPr="00F12123">
        <w:rPr>
          <w:rFonts w:ascii="Cambria" w:eastAsia="Batang" w:hAnsi="Cambria" w:cs="Times New Roman"/>
          <w:color w:val="000000"/>
          <w:sz w:val="21"/>
          <w:szCs w:val="21"/>
          <w:lang w:val="pt-BR"/>
        </w:rPr>
        <w:t>om relação ao</w:t>
      </w:r>
      <w:r w:rsidRPr="00F12123">
        <w:rPr>
          <w:rFonts w:ascii="Cambria" w:eastAsia="Batang" w:hAnsi="Cambria" w:cs="Times New Roman"/>
          <w:color w:val="000000"/>
          <w:sz w:val="21"/>
          <w:szCs w:val="21"/>
          <w:lang w:val="pt-BR"/>
        </w:rPr>
        <w:t xml:space="preserve"> requisito de </w:t>
      </w:r>
      <w:r w:rsidR="005A15AC" w:rsidRPr="00F12123">
        <w:rPr>
          <w:rFonts w:ascii="Cambria" w:eastAsia="Batang" w:hAnsi="Cambria" w:cs="Times New Roman"/>
          <w:color w:val="000000"/>
          <w:sz w:val="21"/>
          <w:szCs w:val="21"/>
          <w:lang w:val="pt-BR"/>
        </w:rPr>
        <w:t>urgê</w:t>
      </w:r>
      <w:r w:rsidRPr="00F12123">
        <w:rPr>
          <w:rFonts w:ascii="Cambria" w:eastAsia="Batang" w:hAnsi="Cambria" w:cs="Times New Roman"/>
          <w:color w:val="000000"/>
          <w:sz w:val="21"/>
          <w:szCs w:val="21"/>
          <w:lang w:val="pt-BR"/>
        </w:rPr>
        <w:t>ncia, a Comissão considera que se encontra igualmente cumprido, em razão da proximidade no tempo dos eventos de risco e das ameaças, cujo teor e recorrência sugerem que sua materialização é suscetível</w:t>
      </w:r>
      <w:r w:rsidR="005A15AC" w:rsidRPr="00F12123">
        <w:rPr>
          <w:rFonts w:ascii="Cambria" w:eastAsia="Batang" w:hAnsi="Cambria" w:cs="Times New Roman"/>
          <w:color w:val="000000"/>
          <w:sz w:val="21"/>
          <w:szCs w:val="21"/>
          <w:lang w:val="pt-BR"/>
        </w:rPr>
        <w:t xml:space="preserve"> de se produzir em qualquer momento, particularmente diante da aparente falta de medidas de proteção suficientes e efetivas, requerendo assim uma intervenção de caráter imediata.</w:t>
      </w:r>
    </w:p>
    <w:p w14:paraId="5FD3F1C2" w14:textId="77777777" w:rsidR="005A15AC" w:rsidRPr="00F12123" w:rsidRDefault="005A15AC" w:rsidP="005A15AC">
      <w:pPr>
        <w:spacing w:after="0" w:line="240" w:lineRule="auto"/>
        <w:ind w:left="360"/>
        <w:jc w:val="both"/>
        <w:rPr>
          <w:rFonts w:ascii="Cambria" w:eastAsia="Batang" w:hAnsi="Cambria" w:cs="Times New Roman"/>
          <w:color w:val="000000"/>
          <w:sz w:val="21"/>
          <w:szCs w:val="21"/>
          <w:lang w:val="pt-BR"/>
        </w:rPr>
      </w:pPr>
    </w:p>
    <w:p w14:paraId="60EE81DB" w14:textId="77777777" w:rsidR="005A15AC" w:rsidRPr="00F12123" w:rsidRDefault="005A15AC" w:rsidP="00883A7D">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 respeito do requisito de irreparabilidade, a Comissão considera que se encontra cumprido, já que a possível violação dos direitos à vida e à integridade pessoal, por sua própria natureza, constituem a máxima situação de irreparabilidade.</w:t>
      </w:r>
    </w:p>
    <w:p w14:paraId="38F89B5B" w14:textId="77777777" w:rsidR="00094F85" w:rsidRPr="00F12123" w:rsidRDefault="00094F85" w:rsidP="00094F85">
      <w:pPr>
        <w:spacing w:after="0" w:line="240" w:lineRule="auto"/>
        <w:ind w:left="360"/>
        <w:jc w:val="both"/>
        <w:rPr>
          <w:rFonts w:ascii="Cambria" w:eastAsia="Batang" w:hAnsi="Cambria" w:cs="Times New Roman"/>
          <w:color w:val="000000"/>
          <w:sz w:val="21"/>
          <w:szCs w:val="21"/>
          <w:lang w:val="pt-BR"/>
        </w:rPr>
      </w:pPr>
    </w:p>
    <w:p w14:paraId="346CC202" w14:textId="0843C6A0" w:rsidR="00094F85" w:rsidRPr="00F12123" w:rsidRDefault="00094F85" w:rsidP="00883A7D">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Por fim, diante da natureza desse assunto e suas implicações, a Comissão considera importante reiterar que as comunidades quilombolas foram estabelecidas no marco da resistência à escravidão imposta aos povos de origem african</w:t>
      </w:r>
      <w:r w:rsidR="00577BEC">
        <w:rPr>
          <w:rFonts w:ascii="Cambria" w:eastAsia="Batang" w:hAnsi="Cambria" w:cs="Times New Roman"/>
          <w:color w:val="000000"/>
          <w:sz w:val="21"/>
          <w:szCs w:val="21"/>
          <w:lang w:val="pt-BR"/>
        </w:rPr>
        <w:t>a</w:t>
      </w:r>
      <w:r w:rsidRPr="00F12123">
        <w:rPr>
          <w:rFonts w:ascii="Cambria" w:eastAsia="Batang" w:hAnsi="Cambria" w:cs="Times New Roman"/>
          <w:color w:val="000000"/>
          <w:sz w:val="21"/>
          <w:szCs w:val="21"/>
          <w:lang w:val="pt-BR"/>
        </w:rPr>
        <w:t xml:space="preserve"> no Brasil. As reparações pela escravização e o colonialismo não apenas compreendem a justiça e a responsabilidade pelo males históricos, mas também a erradicação das estruturas persistentes de desigualdade racial, subordinação e discriminação</w:t>
      </w:r>
      <w:r w:rsidRPr="00F12123">
        <w:rPr>
          <w:rStyle w:val="FootnoteReference"/>
          <w:rFonts w:ascii="Cambria" w:eastAsia="Batang" w:hAnsi="Cambria" w:cs="Times New Roman"/>
          <w:color w:val="000000"/>
          <w:sz w:val="21"/>
          <w:szCs w:val="21"/>
          <w:lang w:val="pt-BR"/>
        </w:rPr>
        <w:footnoteReference w:id="22"/>
      </w:r>
      <w:r w:rsidR="005C1A2C" w:rsidRPr="00F12123">
        <w:rPr>
          <w:rFonts w:ascii="Cambria" w:eastAsia="Batang" w:hAnsi="Cambria" w:cs="Times New Roman"/>
          <w:color w:val="000000"/>
          <w:sz w:val="21"/>
          <w:szCs w:val="21"/>
          <w:lang w:val="pt-BR"/>
        </w:rPr>
        <w:t>. Segundo a Relatora Especial das Nações Unidas sobre as formas contemporâneas de racismo, discriminação racial, xenofobia e formas conexas de intolerância, a Doutora. Tendayi Achiume:</w:t>
      </w:r>
    </w:p>
    <w:p w14:paraId="4B5B994C" w14:textId="77777777" w:rsidR="000F5FA8" w:rsidRPr="00A354B5" w:rsidRDefault="000F5FA8" w:rsidP="004102AC">
      <w:pPr>
        <w:spacing w:after="0" w:line="240" w:lineRule="auto"/>
        <w:contextualSpacing/>
        <w:jc w:val="both"/>
        <w:rPr>
          <w:rFonts w:ascii="Cambria" w:eastAsia="Batang" w:hAnsi="Cambria" w:cs="Times New Roman"/>
          <w:color w:val="000000"/>
          <w:sz w:val="21"/>
          <w:szCs w:val="21"/>
          <w:lang w:val="pt-BR"/>
        </w:rPr>
      </w:pPr>
    </w:p>
    <w:p w14:paraId="1414D8E5" w14:textId="77777777" w:rsidR="004102AC" w:rsidRPr="00F12123" w:rsidRDefault="004102AC" w:rsidP="00D51F89">
      <w:pPr>
        <w:spacing w:after="0" w:line="240" w:lineRule="auto"/>
        <w:ind w:left="360"/>
        <w:contextualSpacing/>
        <w:jc w:val="both"/>
        <w:rPr>
          <w:rFonts w:ascii="Cambria" w:eastAsia="Batang" w:hAnsi="Cambria" w:cs="Times New Roman"/>
          <w:color w:val="000000"/>
          <w:sz w:val="18"/>
          <w:szCs w:val="21"/>
          <w:lang w:val="pt-BR"/>
        </w:rPr>
      </w:pPr>
      <w:r w:rsidRPr="00F12123">
        <w:rPr>
          <w:rFonts w:ascii="Cambria" w:eastAsia="Batang" w:hAnsi="Cambria" w:cs="Times New Roman"/>
          <w:color w:val="000000"/>
          <w:sz w:val="18"/>
          <w:szCs w:val="21"/>
          <w:lang w:val="pt-BR"/>
        </w:rPr>
        <w:t xml:space="preserve">ainda que o governo do Brasil tenha tentado abordar o tema do racismo estrutural contra os brasileiros de origem africana, os efeitos persistentes e irremediáveis da escravização e da colonização seguem impregnando a sociedade brasileira. [...] Os brasileiros afrodescendentes enfrentam a discriminação racial e a exclusão institucional, e permanecem em último lugar da escala socioeconômica. Em comparação com os brasileiros de ascendência europeia, os de ascendência africana suportam condições sociais e econômicas mais pobres, entre as que se inclui um menor ingresso médio, uma esperança de vida mais baixa, uma educação e moradia inadequadas, taxas de desemprego mais elevadas e uma maior insegurança </w:t>
      </w:r>
      <w:r w:rsidR="00CB10CE" w:rsidRPr="00F12123">
        <w:rPr>
          <w:rFonts w:ascii="Cambria" w:eastAsia="Batang" w:hAnsi="Cambria" w:cs="Times New Roman"/>
          <w:color w:val="000000"/>
          <w:sz w:val="18"/>
          <w:szCs w:val="21"/>
          <w:lang w:val="pt-BR"/>
        </w:rPr>
        <w:t>alimentaria</w:t>
      </w:r>
      <w:r w:rsidRPr="00F12123">
        <w:rPr>
          <w:rFonts w:ascii="Cambria" w:eastAsia="Batang" w:hAnsi="Cambria" w:cs="Times New Roman"/>
          <w:color w:val="000000"/>
          <w:sz w:val="18"/>
          <w:szCs w:val="21"/>
          <w:lang w:val="pt-BR"/>
        </w:rPr>
        <w:t>. Ademais, como resultado de uma discriminação arraigada e patrocinada pelo Estado, este continua</w:t>
      </w:r>
      <w:r w:rsidR="00CB10CE" w:rsidRPr="00F12123">
        <w:rPr>
          <w:rFonts w:ascii="Cambria" w:eastAsia="Batang" w:hAnsi="Cambria" w:cs="Times New Roman"/>
          <w:color w:val="000000"/>
          <w:sz w:val="18"/>
          <w:szCs w:val="21"/>
          <w:lang w:val="pt-BR"/>
        </w:rPr>
        <w:t xml:space="preserve"> criminalizando e submetendo os brasileiros de afrodescendência à prisão e a uma violência brutal de maneira desproporcional, que inclui as execuções extrajudiciais.</w:t>
      </w:r>
    </w:p>
    <w:p w14:paraId="7ED18C53" w14:textId="77777777" w:rsidR="0056186A" w:rsidRPr="00A354B5" w:rsidRDefault="0056186A" w:rsidP="00D51F89">
      <w:pPr>
        <w:spacing w:after="0" w:line="240" w:lineRule="auto"/>
        <w:ind w:left="360"/>
        <w:contextualSpacing/>
        <w:jc w:val="both"/>
        <w:rPr>
          <w:rFonts w:ascii="Cambria" w:eastAsia="Batang" w:hAnsi="Cambria" w:cs="Times New Roman"/>
          <w:color w:val="000000"/>
          <w:sz w:val="21"/>
          <w:szCs w:val="21"/>
          <w:lang w:val="pt-BR"/>
        </w:rPr>
      </w:pPr>
    </w:p>
    <w:p w14:paraId="480142C3" w14:textId="3802B046" w:rsidR="00CB10CE" w:rsidRPr="00F12123" w:rsidRDefault="00CB10CE" w:rsidP="00CB10CE">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lastRenderedPageBreak/>
        <w:t xml:space="preserve">Nesse sentido, a Comissão compreende que as condições </w:t>
      </w:r>
      <w:r w:rsidR="00577BEC">
        <w:rPr>
          <w:rFonts w:ascii="Cambria" w:eastAsia="Batang" w:hAnsi="Cambria" w:cs="Times New Roman"/>
          <w:color w:val="000000"/>
          <w:sz w:val="21"/>
          <w:szCs w:val="21"/>
          <w:lang w:val="pt-BR"/>
        </w:rPr>
        <w:t>de vulnerabilidade à</w:t>
      </w:r>
      <w:r w:rsidR="00A263F7" w:rsidRPr="00F12123">
        <w:rPr>
          <w:rFonts w:ascii="Cambria" w:eastAsia="Batang" w:hAnsi="Cambria" w:cs="Times New Roman"/>
          <w:color w:val="000000"/>
          <w:sz w:val="21"/>
          <w:szCs w:val="21"/>
          <w:lang w:val="pt-BR"/>
        </w:rPr>
        <w:t>s que foram expostas as comunidades afrodescendentes tribais, devido à discriminação racial estrutural e histórica, afeta o acesso e realização de seus direitos. Além disso, a CIDH entende que para as comunidades remanescentes de quilombos</w:t>
      </w:r>
      <w:r w:rsidR="00577BEC">
        <w:rPr>
          <w:rFonts w:ascii="Cambria" w:eastAsia="Batang" w:hAnsi="Cambria" w:cs="Times New Roman"/>
          <w:color w:val="000000"/>
          <w:sz w:val="21"/>
          <w:szCs w:val="21"/>
          <w:lang w:val="pt-BR"/>
        </w:rPr>
        <w:t>,</w:t>
      </w:r>
      <w:r w:rsidR="00A263F7" w:rsidRPr="00F12123">
        <w:rPr>
          <w:rFonts w:ascii="Cambria" w:eastAsia="Batang" w:hAnsi="Cambria" w:cs="Times New Roman"/>
          <w:color w:val="000000"/>
          <w:sz w:val="21"/>
          <w:szCs w:val="21"/>
          <w:lang w:val="pt-BR"/>
        </w:rPr>
        <w:t xml:space="preserve"> o território é o espaço geográfico onde se constroem as tradições culturais e respectivas formas de vida.</w:t>
      </w:r>
    </w:p>
    <w:p w14:paraId="736B215B" w14:textId="77777777" w:rsidR="0056186A" w:rsidRPr="00A354B5" w:rsidRDefault="0056186A" w:rsidP="00D51F89">
      <w:pPr>
        <w:spacing w:after="0" w:line="240" w:lineRule="auto"/>
        <w:contextualSpacing/>
        <w:jc w:val="both"/>
        <w:rPr>
          <w:rFonts w:ascii="Cambria" w:eastAsia="Calibri" w:hAnsi="Cambria" w:cs="Times New Roman"/>
          <w:sz w:val="21"/>
          <w:szCs w:val="21"/>
          <w:lang w:val="pt-BR"/>
        </w:rPr>
      </w:pPr>
    </w:p>
    <w:p w14:paraId="6FEB9D30" w14:textId="77777777" w:rsidR="00C66795" w:rsidRPr="00A354B5" w:rsidRDefault="0060295C" w:rsidP="00D51F89">
      <w:pPr>
        <w:numPr>
          <w:ilvl w:val="0"/>
          <w:numId w:val="2"/>
        </w:numPr>
        <w:spacing w:after="0" w:line="240" w:lineRule="auto"/>
        <w:ind w:hanging="294"/>
        <w:jc w:val="both"/>
        <w:rPr>
          <w:rFonts w:ascii="Cambria" w:eastAsia="Batang" w:hAnsi="Cambria" w:cs="Times New Roman"/>
          <w:b/>
          <w:color w:val="000000"/>
          <w:sz w:val="21"/>
          <w:szCs w:val="21"/>
          <w:lang w:val="pt-BR"/>
        </w:rPr>
      </w:pPr>
      <w:r w:rsidRPr="00A354B5">
        <w:rPr>
          <w:rFonts w:ascii="Cambria" w:eastAsia="Batang" w:hAnsi="Cambria" w:cs="Times New Roman"/>
          <w:b/>
          <w:color w:val="000000"/>
          <w:sz w:val="21"/>
          <w:szCs w:val="21"/>
          <w:lang w:val="pt-BR"/>
        </w:rPr>
        <w:t>PE</w:t>
      </w:r>
      <w:r w:rsidR="00A263F7" w:rsidRPr="00A354B5">
        <w:rPr>
          <w:rFonts w:ascii="Cambria" w:eastAsia="Batang" w:hAnsi="Cambria" w:cs="Times New Roman"/>
          <w:b/>
          <w:color w:val="000000"/>
          <w:sz w:val="21"/>
          <w:szCs w:val="21"/>
          <w:lang w:val="pt-BR"/>
        </w:rPr>
        <w:t>SSO</w:t>
      </w:r>
      <w:r w:rsidRPr="00A354B5">
        <w:rPr>
          <w:rFonts w:ascii="Cambria" w:eastAsia="Batang" w:hAnsi="Cambria" w:cs="Times New Roman"/>
          <w:b/>
          <w:color w:val="000000"/>
          <w:sz w:val="21"/>
          <w:szCs w:val="21"/>
          <w:lang w:val="pt-BR"/>
        </w:rPr>
        <w:t xml:space="preserve">AS </w:t>
      </w:r>
      <w:r w:rsidR="00C66795" w:rsidRPr="00A354B5">
        <w:rPr>
          <w:rFonts w:ascii="Cambria" w:eastAsia="Batang" w:hAnsi="Cambria" w:cs="Times New Roman"/>
          <w:b/>
          <w:color w:val="000000"/>
          <w:sz w:val="21"/>
          <w:szCs w:val="21"/>
          <w:lang w:val="pt-BR"/>
        </w:rPr>
        <w:t>BE</w:t>
      </w:r>
      <w:r w:rsidR="00A263F7" w:rsidRPr="00A354B5">
        <w:rPr>
          <w:rFonts w:ascii="Cambria" w:eastAsia="Batang" w:hAnsi="Cambria" w:cs="Times New Roman"/>
          <w:b/>
          <w:color w:val="000000"/>
          <w:sz w:val="21"/>
          <w:szCs w:val="21"/>
          <w:lang w:val="pt-BR"/>
        </w:rPr>
        <w:t>NEFICIÁ</w:t>
      </w:r>
      <w:r w:rsidRPr="00A354B5">
        <w:rPr>
          <w:rFonts w:ascii="Cambria" w:eastAsia="Batang" w:hAnsi="Cambria" w:cs="Times New Roman"/>
          <w:b/>
          <w:color w:val="000000"/>
          <w:sz w:val="21"/>
          <w:szCs w:val="21"/>
          <w:lang w:val="pt-BR"/>
        </w:rPr>
        <w:t>RIA</w:t>
      </w:r>
      <w:r w:rsidR="00C66795" w:rsidRPr="00A354B5">
        <w:rPr>
          <w:rFonts w:ascii="Cambria" w:eastAsia="Batang" w:hAnsi="Cambria" w:cs="Times New Roman"/>
          <w:b/>
          <w:color w:val="000000"/>
          <w:sz w:val="21"/>
          <w:szCs w:val="21"/>
          <w:lang w:val="pt-BR"/>
        </w:rPr>
        <w:t>S</w:t>
      </w:r>
    </w:p>
    <w:p w14:paraId="3CFA2177" w14:textId="77777777" w:rsidR="00C66795" w:rsidRPr="00A354B5" w:rsidRDefault="00C66795" w:rsidP="00D51F89">
      <w:pPr>
        <w:spacing w:after="0" w:line="240" w:lineRule="auto"/>
        <w:jc w:val="both"/>
        <w:rPr>
          <w:rFonts w:ascii="Cambria" w:eastAsia="Batang" w:hAnsi="Cambria" w:cs="Times New Roman"/>
          <w:b/>
          <w:color w:val="000000"/>
          <w:sz w:val="21"/>
          <w:szCs w:val="21"/>
          <w:lang w:val="pt-BR"/>
        </w:rPr>
      </w:pPr>
    </w:p>
    <w:p w14:paraId="62E2A2C7" w14:textId="77777777" w:rsidR="00C66795" w:rsidRPr="00F12123" w:rsidRDefault="00CE6F84" w:rsidP="00A263F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w:t>
      </w:r>
      <w:r w:rsidR="00C66795" w:rsidRPr="00F12123">
        <w:rPr>
          <w:rFonts w:ascii="Cambria" w:eastAsia="Batang" w:hAnsi="Cambria" w:cs="Times New Roman"/>
          <w:color w:val="000000"/>
          <w:sz w:val="21"/>
          <w:szCs w:val="21"/>
          <w:lang w:val="pt-BR"/>
        </w:rPr>
        <w:t xml:space="preserve"> Comis</w:t>
      </w:r>
      <w:r w:rsidRPr="00F12123">
        <w:rPr>
          <w:rFonts w:ascii="Cambria" w:eastAsia="Batang" w:hAnsi="Cambria" w:cs="Times New Roman"/>
          <w:color w:val="000000"/>
          <w:sz w:val="21"/>
          <w:szCs w:val="21"/>
          <w:lang w:val="pt-BR"/>
        </w:rPr>
        <w:t>são</w:t>
      </w:r>
      <w:r w:rsidR="00C66795" w:rsidRPr="00F12123">
        <w:rPr>
          <w:rFonts w:ascii="Cambria" w:eastAsia="Batang" w:hAnsi="Cambria" w:cs="Times New Roman"/>
          <w:color w:val="000000"/>
          <w:sz w:val="21"/>
          <w:szCs w:val="21"/>
          <w:lang w:val="pt-BR"/>
        </w:rPr>
        <w:t xml:space="preserve"> declara que </w:t>
      </w:r>
      <w:r w:rsidR="0060295C" w:rsidRPr="003E282C">
        <w:rPr>
          <w:rFonts w:ascii="Cambria" w:eastAsia="Batang" w:hAnsi="Cambria" w:cs="Times New Roman"/>
          <w:color w:val="000000"/>
          <w:sz w:val="21"/>
          <w:szCs w:val="21"/>
          <w:lang w:val="pt-BR"/>
        </w:rPr>
        <w:t>as pe</w:t>
      </w:r>
      <w:r w:rsidRPr="003E282C">
        <w:rPr>
          <w:rFonts w:ascii="Cambria" w:eastAsia="Batang" w:hAnsi="Cambria" w:cs="Times New Roman"/>
          <w:color w:val="000000"/>
          <w:sz w:val="21"/>
          <w:szCs w:val="21"/>
          <w:lang w:val="pt-BR"/>
        </w:rPr>
        <w:t>ssoas beneficiá</w:t>
      </w:r>
      <w:r w:rsidR="0060295C" w:rsidRPr="00F12123">
        <w:rPr>
          <w:rFonts w:ascii="Cambria" w:eastAsia="Batang" w:hAnsi="Cambria" w:cs="Times New Roman"/>
          <w:color w:val="000000"/>
          <w:sz w:val="21"/>
          <w:szCs w:val="21"/>
          <w:lang w:val="pt-BR"/>
        </w:rPr>
        <w:t>ria</w:t>
      </w:r>
      <w:r w:rsidR="00C66795" w:rsidRPr="00F12123">
        <w:rPr>
          <w:rFonts w:ascii="Cambria" w:eastAsia="Batang" w:hAnsi="Cambria" w:cs="Times New Roman"/>
          <w:color w:val="000000"/>
          <w:sz w:val="21"/>
          <w:szCs w:val="21"/>
          <w:lang w:val="pt-BR"/>
        </w:rPr>
        <w:t>s da presente medida cautelar s</w:t>
      </w:r>
      <w:r w:rsidRPr="00F12123">
        <w:rPr>
          <w:rFonts w:ascii="Cambria" w:eastAsia="Batang" w:hAnsi="Cambria" w:cs="Times New Roman"/>
          <w:color w:val="000000"/>
          <w:sz w:val="21"/>
          <w:szCs w:val="21"/>
          <w:lang w:val="pt-BR"/>
        </w:rPr>
        <w:t>ão os membros da</w:t>
      </w:r>
      <w:r w:rsidR="00634510" w:rsidRPr="00F12123">
        <w:rPr>
          <w:rFonts w:ascii="Cambria" w:eastAsia="Batang" w:hAnsi="Cambria" w:cs="Times New Roman"/>
          <w:color w:val="000000"/>
          <w:sz w:val="21"/>
          <w:szCs w:val="21"/>
          <w:lang w:val="pt-BR"/>
        </w:rPr>
        <w:t xml:space="preserve"> C</w:t>
      </w:r>
      <w:r w:rsidR="00A91EC1" w:rsidRPr="00F12123">
        <w:rPr>
          <w:rFonts w:ascii="Cambria" w:eastAsia="Batang" w:hAnsi="Cambria" w:cs="Times New Roman"/>
          <w:color w:val="000000"/>
          <w:sz w:val="21"/>
          <w:szCs w:val="21"/>
          <w:lang w:val="pt-BR"/>
        </w:rPr>
        <w:t>omunidad</w:t>
      </w:r>
      <w:r w:rsidRPr="00F12123">
        <w:rPr>
          <w:rFonts w:ascii="Cambria" w:eastAsia="Batang" w:hAnsi="Cambria" w:cs="Times New Roman"/>
          <w:color w:val="000000"/>
          <w:sz w:val="21"/>
          <w:szCs w:val="21"/>
          <w:lang w:val="pt-BR"/>
        </w:rPr>
        <w:t xml:space="preserve">e Remanescentes do </w:t>
      </w:r>
      <w:r w:rsidR="00A91EC1" w:rsidRPr="00F12123">
        <w:rPr>
          <w:rFonts w:ascii="Cambria" w:eastAsia="Batang" w:hAnsi="Cambria" w:cs="Times New Roman"/>
          <w:color w:val="000000"/>
          <w:sz w:val="21"/>
          <w:szCs w:val="21"/>
          <w:lang w:val="pt-BR"/>
        </w:rPr>
        <w:t>Quilombo Rio dos Macacos</w:t>
      </w:r>
      <w:r w:rsidR="00C66795" w:rsidRPr="00F12123">
        <w:rPr>
          <w:rFonts w:ascii="Cambria" w:eastAsia="Batang" w:hAnsi="Cambria" w:cs="Times New Roman"/>
          <w:color w:val="000000"/>
          <w:sz w:val="21"/>
          <w:szCs w:val="21"/>
          <w:lang w:val="pt-BR"/>
        </w:rPr>
        <w:t xml:space="preserve">, </w:t>
      </w:r>
      <w:r w:rsidRPr="00F12123">
        <w:rPr>
          <w:rFonts w:ascii="Cambria" w:eastAsia="Batang" w:hAnsi="Cambria" w:cs="Times New Roman"/>
          <w:color w:val="000000"/>
          <w:sz w:val="21"/>
          <w:szCs w:val="21"/>
          <w:lang w:val="pt-BR"/>
        </w:rPr>
        <w:t xml:space="preserve">os quais resultam suficientemente identificáveis nos termos do artigo </w:t>
      </w:r>
      <w:r w:rsidR="00C66795" w:rsidRPr="00F12123">
        <w:rPr>
          <w:rFonts w:ascii="Cambria" w:eastAsia="Batang" w:hAnsi="Cambria" w:cs="Times New Roman"/>
          <w:color w:val="000000"/>
          <w:sz w:val="21"/>
          <w:szCs w:val="21"/>
          <w:lang w:val="pt-BR"/>
        </w:rPr>
        <w:t>25.6.b d</w:t>
      </w:r>
      <w:r w:rsidRPr="00F12123">
        <w:rPr>
          <w:rFonts w:ascii="Cambria" w:eastAsia="Batang" w:hAnsi="Cambria" w:cs="Times New Roman"/>
          <w:color w:val="000000"/>
          <w:sz w:val="21"/>
          <w:szCs w:val="21"/>
          <w:lang w:val="pt-BR"/>
        </w:rPr>
        <w:t>o</w:t>
      </w:r>
      <w:r w:rsidR="00C66795" w:rsidRPr="00F12123">
        <w:rPr>
          <w:rFonts w:ascii="Cambria" w:eastAsia="Batang" w:hAnsi="Cambria" w:cs="Times New Roman"/>
          <w:color w:val="000000"/>
          <w:sz w:val="21"/>
          <w:szCs w:val="21"/>
          <w:lang w:val="pt-BR"/>
        </w:rPr>
        <w:t xml:space="preserve"> Reg</w:t>
      </w:r>
      <w:r w:rsidRPr="00F12123">
        <w:rPr>
          <w:rFonts w:ascii="Cambria" w:eastAsia="Batang" w:hAnsi="Cambria" w:cs="Times New Roman"/>
          <w:color w:val="000000"/>
          <w:sz w:val="21"/>
          <w:szCs w:val="21"/>
          <w:lang w:val="pt-BR"/>
        </w:rPr>
        <w:t>u</w:t>
      </w:r>
      <w:r w:rsidR="00C66795" w:rsidRPr="00F12123">
        <w:rPr>
          <w:rFonts w:ascii="Cambria" w:eastAsia="Batang" w:hAnsi="Cambria" w:cs="Times New Roman"/>
          <w:color w:val="000000"/>
          <w:sz w:val="21"/>
          <w:szCs w:val="21"/>
          <w:lang w:val="pt-BR"/>
        </w:rPr>
        <w:t>lamento.</w:t>
      </w:r>
    </w:p>
    <w:p w14:paraId="2B8B9040" w14:textId="77777777" w:rsidR="00C66795" w:rsidRPr="00F12123" w:rsidRDefault="00C66795" w:rsidP="00D51F89">
      <w:pPr>
        <w:spacing w:after="0" w:line="240" w:lineRule="auto"/>
        <w:jc w:val="both"/>
        <w:rPr>
          <w:rFonts w:ascii="Cambria" w:eastAsia="Batang" w:hAnsi="Cambria" w:cs="Times New Roman"/>
          <w:color w:val="000000"/>
          <w:sz w:val="21"/>
          <w:szCs w:val="21"/>
          <w:lang w:val="pt-BR"/>
        </w:rPr>
      </w:pPr>
    </w:p>
    <w:p w14:paraId="2429A691" w14:textId="77777777" w:rsidR="00C66795" w:rsidRPr="00A354B5" w:rsidRDefault="00C66795" w:rsidP="00D51F89">
      <w:pPr>
        <w:numPr>
          <w:ilvl w:val="0"/>
          <w:numId w:val="2"/>
        </w:numPr>
        <w:spacing w:after="0" w:line="240" w:lineRule="auto"/>
        <w:ind w:hanging="294"/>
        <w:jc w:val="both"/>
        <w:rPr>
          <w:rFonts w:ascii="Cambria" w:eastAsia="Batang" w:hAnsi="Cambria" w:cs="Times New Roman"/>
          <w:b/>
          <w:color w:val="000000"/>
          <w:sz w:val="21"/>
          <w:szCs w:val="21"/>
          <w:lang w:val="pt-BR"/>
        </w:rPr>
      </w:pPr>
      <w:r w:rsidRPr="00A354B5">
        <w:rPr>
          <w:rFonts w:ascii="Cambria" w:eastAsia="Batang" w:hAnsi="Cambria" w:cs="Times New Roman"/>
          <w:b/>
          <w:color w:val="000000"/>
          <w:sz w:val="21"/>
          <w:szCs w:val="21"/>
          <w:lang w:val="pt-BR"/>
        </w:rPr>
        <w:t>DECIS</w:t>
      </w:r>
      <w:r w:rsidR="00CE6F84" w:rsidRPr="00A354B5">
        <w:rPr>
          <w:rFonts w:ascii="Cambria" w:eastAsia="Batang" w:hAnsi="Cambria" w:cs="Times New Roman"/>
          <w:b/>
          <w:color w:val="000000"/>
          <w:sz w:val="21"/>
          <w:szCs w:val="21"/>
          <w:lang w:val="pt-BR"/>
        </w:rPr>
        <w:t>ÃO</w:t>
      </w:r>
      <w:r w:rsidRPr="00A354B5">
        <w:rPr>
          <w:rFonts w:ascii="Cambria" w:eastAsia="Batang" w:hAnsi="Cambria" w:cs="Times New Roman"/>
          <w:b/>
          <w:color w:val="000000"/>
          <w:sz w:val="21"/>
          <w:szCs w:val="21"/>
          <w:lang w:val="pt-BR"/>
        </w:rPr>
        <w:t xml:space="preserve"> </w:t>
      </w:r>
    </w:p>
    <w:p w14:paraId="6CE7CECE" w14:textId="77777777" w:rsidR="00C66795" w:rsidRPr="00A354B5" w:rsidRDefault="00C66795" w:rsidP="00D51F89">
      <w:pPr>
        <w:spacing w:after="0" w:line="240" w:lineRule="auto"/>
        <w:jc w:val="both"/>
        <w:rPr>
          <w:rFonts w:ascii="Cambria" w:eastAsia="Batang" w:hAnsi="Cambria" w:cs="Times New Roman"/>
          <w:b/>
          <w:color w:val="000000"/>
          <w:sz w:val="21"/>
          <w:szCs w:val="21"/>
          <w:lang w:val="pt-BR"/>
        </w:rPr>
      </w:pPr>
    </w:p>
    <w:p w14:paraId="13F5B5A4" w14:textId="77777777" w:rsidR="00CE6F84" w:rsidRPr="00F12123" w:rsidRDefault="00CE6F84" w:rsidP="00CE6F84">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 xml:space="preserve">À luz dos antecedentes assinalados, a CIDH considera que o presente assunto reúne </w:t>
      </w:r>
      <w:r w:rsidRPr="00F12123">
        <w:rPr>
          <w:rFonts w:ascii="Cambria" w:eastAsia="Batang" w:hAnsi="Cambria" w:cs="Times New Roman"/>
          <w:i/>
          <w:color w:val="000000"/>
          <w:sz w:val="21"/>
          <w:szCs w:val="21"/>
          <w:lang w:val="pt-BR"/>
        </w:rPr>
        <w:t>prima facie</w:t>
      </w:r>
      <w:r w:rsidRPr="00F12123">
        <w:rPr>
          <w:rFonts w:ascii="Cambria" w:eastAsia="Batang" w:hAnsi="Cambria" w:cs="Times New Roman"/>
          <w:color w:val="000000"/>
          <w:sz w:val="21"/>
          <w:szCs w:val="21"/>
          <w:lang w:val="pt-BR"/>
        </w:rPr>
        <w:t xml:space="preserve"> os requisitos de gravidade, urgência e irreparabilidade contidos no artigo 25 do seu Regulamento. Em consequência, a Comissão solicita ao Brasil que:</w:t>
      </w:r>
    </w:p>
    <w:p w14:paraId="54461158" w14:textId="77777777" w:rsidR="00C66795" w:rsidRPr="00A354B5" w:rsidRDefault="00C66795" w:rsidP="00D51F89">
      <w:pPr>
        <w:spacing w:before="120" w:after="0" w:line="240" w:lineRule="auto"/>
        <w:jc w:val="both"/>
        <w:rPr>
          <w:rFonts w:ascii="Cambria" w:eastAsia="Batang" w:hAnsi="Cambria" w:cs="Times New Roman"/>
          <w:color w:val="000000"/>
          <w:sz w:val="21"/>
          <w:szCs w:val="21"/>
          <w:lang w:val="pt-BR"/>
        </w:rPr>
      </w:pPr>
    </w:p>
    <w:p w14:paraId="1F1442B9" w14:textId="61FCB237" w:rsidR="002152F6" w:rsidRPr="003E282C" w:rsidRDefault="002152F6" w:rsidP="002152F6">
      <w:pPr>
        <w:pStyle w:val="ListParagraph"/>
        <w:numPr>
          <w:ilvl w:val="1"/>
          <w:numId w:val="3"/>
        </w:numPr>
        <w:ind w:left="993" w:hanging="357"/>
        <w:contextualSpacing w:val="0"/>
        <w:jc w:val="both"/>
        <w:rPr>
          <w:rFonts w:ascii="Cambria" w:eastAsia="Calibri" w:hAnsi="Cambria" w:cs="Times New Roman"/>
          <w:sz w:val="21"/>
          <w:szCs w:val="21"/>
          <w:lang w:val="pt-BR"/>
        </w:rPr>
      </w:pPr>
      <w:r w:rsidRPr="00F12123">
        <w:rPr>
          <w:rFonts w:ascii="Cambria" w:eastAsia="Calibri" w:hAnsi="Cambria" w:cs="Times New Roman"/>
          <w:sz w:val="21"/>
          <w:szCs w:val="21"/>
          <w:lang w:val="pt-BR"/>
        </w:rPr>
        <w:t>adote as medidas necessárias, integrando um enfoque intercultural adequado, para proteger os direitos à vida e à integridade pessoal dos membros da Comunidade Remanescentes do Quilombo Rio dos Macacos. Em partic</w:t>
      </w:r>
      <w:r w:rsidR="006177D8">
        <w:rPr>
          <w:rFonts w:ascii="Cambria" w:eastAsia="Calibri" w:hAnsi="Cambria" w:cs="Times New Roman"/>
          <w:sz w:val="21"/>
          <w:szCs w:val="21"/>
          <w:lang w:val="pt-BR"/>
        </w:rPr>
        <w:t>ular, o Estado deverá os protegê-los</w:t>
      </w:r>
      <w:r w:rsidRPr="00F12123">
        <w:rPr>
          <w:rFonts w:ascii="Cambria" w:eastAsia="Calibri" w:hAnsi="Cambria" w:cs="Times New Roman"/>
          <w:sz w:val="21"/>
          <w:szCs w:val="21"/>
          <w:lang w:val="pt-BR"/>
        </w:rPr>
        <w:t xml:space="preserve"> diante de ameaças, assédio e atos de violência cometidos tanto por </w:t>
      </w:r>
      <w:r w:rsidR="006177D8">
        <w:rPr>
          <w:rFonts w:ascii="Cambria" w:eastAsia="Calibri" w:hAnsi="Cambria" w:cs="Times New Roman"/>
          <w:sz w:val="21"/>
          <w:szCs w:val="21"/>
          <w:lang w:val="pt-BR"/>
        </w:rPr>
        <w:t>agentes</w:t>
      </w:r>
      <w:r w:rsidRPr="00F12123">
        <w:rPr>
          <w:rFonts w:ascii="Cambria" w:eastAsia="Calibri" w:hAnsi="Cambria" w:cs="Times New Roman"/>
          <w:sz w:val="21"/>
          <w:szCs w:val="21"/>
          <w:lang w:val="pt-BR"/>
        </w:rPr>
        <w:t xml:space="preserve"> estatais como por terceiros, conforme o direito inte</w:t>
      </w:r>
      <w:r w:rsidR="00243FD7" w:rsidRPr="00F12123">
        <w:rPr>
          <w:rFonts w:ascii="Cambria" w:eastAsia="Calibri" w:hAnsi="Cambria" w:cs="Times New Roman"/>
          <w:sz w:val="21"/>
          <w:szCs w:val="21"/>
          <w:lang w:val="pt-BR"/>
        </w:rPr>
        <w:t>rnacional dos direitos humanos;</w:t>
      </w:r>
    </w:p>
    <w:p w14:paraId="6750804E" w14:textId="77777777" w:rsidR="002152F6" w:rsidRPr="00F12123" w:rsidRDefault="002152F6" w:rsidP="002152F6">
      <w:pPr>
        <w:pStyle w:val="ListParagraph"/>
        <w:numPr>
          <w:ilvl w:val="1"/>
          <w:numId w:val="3"/>
        </w:numPr>
        <w:ind w:left="993" w:hanging="357"/>
        <w:contextualSpacing w:val="0"/>
        <w:jc w:val="both"/>
        <w:rPr>
          <w:rFonts w:ascii="Cambria" w:eastAsia="Calibri" w:hAnsi="Cambria" w:cs="Times New Roman"/>
          <w:sz w:val="21"/>
          <w:szCs w:val="21"/>
          <w:lang w:val="pt-BR"/>
        </w:rPr>
      </w:pPr>
      <w:r w:rsidRPr="00F12123">
        <w:rPr>
          <w:rFonts w:ascii="Cambria" w:eastAsia="Calibri" w:hAnsi="Cambria" w:cs="Times New Roman"/>
          <w:sz w:val="21"/>
          <w:szCs w:val="21"/>
          <w:lang w:val="pt-BR"/>
        </w:rPr>
        <w:t>acorde as medidas a serem adotadas com as pessoas benefic</w:t>
      </w:r>
      <w:r w:rsidR="00243FD7" w:rsidRPr="00F12123">
        <w:rPr>
          <w:rFonts w:ascii="Cambria" w:eastAsia="Calibri" w:hAnsi="Cambria" w:cs="Times New Roman"/>
          <w:sz w:val="21"/>
          <w:szCs w:val="21"/>
          <w:lang w:val="pt-BR"/>
        </w:rPr>
        <w:t>iárias e seus representantes; e</w:t>
      </w:r>
    </w:p>
    <w:p w14:paraId="16572D05" w14:textId="10BF0771" w:rsidR="00A91EC1" w:rsidRPr="00F12123" w:rsidRDefault="002152F6" w:rsidP="002152F6">
      <w:pPr>
        <w:pStyle w:val="ListParagraph"/>
        <w:numPr>
          <w:ilvl w:val="1"/>
          <w:numId w:val="3"/>
        </w:numPr>
        <w:ind w:left="993" w:hanging="357"/>
        <w:contextualSpacing w:val="0"/>
        <w:jc w:val="both"/>
        <w:rPr>
          <w:rFonts w:ascii="Cambria" w:eastAsia="Calibri" w:hAnsi="Cambria" w:cs="Times New Roman"/>
          <w:sz w:val="21"/>
          <w:szCs w:val="21"/>
          <w:lang w:val="pt-BR"/>
        </w:rPr>
      </w:pPr>
      <w:r w:rsidRPr="00F12123">
        <w:rPr>
          <w:rFonts w:ascii="Cambria" w:eastAsia="Calibri" w:hAnsi="Cambria" w:cs="Times New Roman"/>
          <w:sz w:val="21"/>
          <w:szCs w:val="21"/>
          <w:lang w:val="pt-BR"/>
        </w:rPr>
        <w:t xml:space="preserve">informe sobre as ações </w:t>
      </w:r>
      <w:r w:rsidR="006177D8">
        <w:rPr>
          <w:rFonts w:ascii="Cambria" w:eastAsia="Calibri" w:hAnsi="Cambria" w:cs="Times New Roman"/>
          <w:sz w:val="21"/>
          <w:szCs w:val="21"/>
          <w:lang w:val="pt-BR"/>
        </w:rPr>
        <w:t>realizadas</w:t>
      </w:r>
      <w:r w:rsidRPr="00F12123">
        <w:rPr>
          <w:rFonts w:ascii="Cambria" w:eastAsia="Calibri" w:hAnsi="Cambria" w:cs="Times New Roman"/>
          <w:sz w:val="21"/>
          <w:szCs w:val="21"/>
          <w:lang w:val="pt-BR"/>
        </w:rPr>
        <w:t xml:space="preserve"> a fim de investigar os atos que deram lugar a adoção da presente medida cautelar e assim evitar a sua repetição.</w:t>
      </w:r>
    </w:p>
    <w:p w14:paraId="2966D5E2" w14:textId="77777777" w:rsidR="002152F6" w:rsidRPr="00F12123" w:rsidRDefault="002152F6" w:rsidP="00D51F89">
      <w:pPr>
        <w:contextualSpacing/>
        <w:jc w:val="both"/>
        <w:rPr>
          <w:rFonts w:ascii="Cambria" w:eastAsia="Batang" w:hAnsi="Cambria" w:cs="Times New Roman"/>
          <w:color w:val="000000"/>
          <w:sz w:val="21"/>
          <w:szCs w:val="21"/>
          <w:lang w:val="pt-BR"/>
        </w:rPr>
      </w:pPr>
    </w:p>
    <w:p w14:paraId="69281A5D" w14:textId="1E30A7D7" w:rsidR="00C66795" w:rsidRPr="00F12123" w:rsidRDefault="00243FD7" w:rsidP="00243FD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 Comissão solicita ao Governo de Sua Excelên</w:t>
      </w:r>
      <w:r w:rsidR="006177D8">
        <w:rPr>
          <w:rFonts w:ascii="Cambria" w:eastAsia="Batang" w:hAnsi="Cambria" w:cs="Times New Roman"/>
          <w:color w:val="000000"/>
          <w:sz w:val="21"/>
          <w:szCs w:val="21"/>
          <w:lang w:val="pt-BR"/>
        </w:rPr>
        <w:t>cia que tenha por bem informar à</w:t>
      </w:r>
      <w:r w:rsidRPr="00F12123">
        <w:rPr>
          <w:rFonts w:ascii="Cambria" w:eastAsia="Batang" w:hAnsi="Cambria" w:cs="Times New Roman"/>
          <w:color w:val="000000"/>
          <w:sz w:val="21"/>
          <w:szCs w:val="21"/>
          <w:lang w:val="pt-BR"/>
        </w:rPr>
        <w:t xml:space="preserve"> Comissão, dentro do prazo de 20 dias contados a partir da data da presente comunicação, sobre a adoção de medidas cautelares acordadas e atualizar tal informação de forma periódica.</w:t>
      </w:r>
    </w:p>
    <w:p w14:paraId="428844C4" w14:textId="77777777" w:rsidR="00C66795" w:rsidRPr="00F12123" w:rsidRDefault="00C66795" w:rsidP="00D51F89">
      <w:pPr>
        <w:spacing w:after="0" w:line="240" w:lineRule="auto"/>
        <w:ind w:left="360"/>
        <w:contextualSpacing/>
        <w:jc w:val="both"/>
        <w:rPr>
          <w:rFonts w:ascii="Cambria" w:eastAsia="Batang" w:hAnsi="Cambria" w:cs="Times New Roman"/>
          <w:color w:val="000000"/>
          <w:sz w:val="21"/>
          <w:szCs w:val="21"/>
          <w:lang w:val="pt-BR"/>
        </w:rPr>
      </w:pPr>
    </w:p>
    <w:p w14:paraId="00C2EB06" w14:textId="77777777" w:rsidR="00243FD7" w:rsidRPr="00F12123" w:rsidRDefault="00243FD7" w:rsidP="00243FD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 Comissão ressalta que, de conformidade com o artigo 25.8 do seu Regulamento, a outorga de medidas cautelares e sua adoção pelo Estado não constituem pré-julgamento sobre a possível violação dos direitos protegidos na Convenção Americana e outros instrumentos aplicáveis.</w:t>
      </w:r>
    </w:p>
    <w:p w14:paraId="50BEF429" w14:textId="77777777" w:rsidR="00243FD7" w:rsidRPr="00F12123" w:rsidRDefault="00243FD7" w:rsidP="00243FD7">
      <w:pPr>
        <w:spacing w:after="0" w:line="240" w:lineRule="auto"/>
        <w:ind w:left="360"/>
        <w:jc w:val="both"/>
        <w:rPr>
          <w:rFonts w:ascii="Cambria" w:eastAsia="Batang" w:hAnsi="Cambria" w:cs="Times New Roman"/>
          <w:color w:val="000000"/>
          <w:sz w:val="21"/>
          <w:szCs w:val="21"/>
          <w:lang w:val="pt-BR"/>
        </w:rPr>
      </w:pPr>
    </w:p>
    <w:p w14:paraId="48A99E77" w14:textId="77777777" w:rsidR="00243FD7" w:rsidRPr="00F12123" w:rsidRDefault="00243FD7" w:rsidP="00243FD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F12123">
        <w:rPr>
          <w:rFonts w:ascii="Cambria" w:eastAsia="Batang" w:hAnsi="Cambria" w:cs="Times New Roman"/>
          <w:color w:val="000000"/>
          <w:sz w:val="21"/>
          <w:szCs w:val="21"/>
          <w:lang w:val="pt-BR"/>
        </w:rPr>
        <w:t>A Comissão instrui a sua Secretaria Executiva a notificar a presente Resolução ao Estado do Brasil e aos solicitantes.</w:t>
      </w:r>
    </w:p>
    <w:p w14:paraId="2E310ACE" w14:textId="77777777" w:rsidR="00C66795" w:rsidRPr="00F12123" w:rsidRDefault="00C66795" w:rsidP="00D51F89">
      <w:pPr>
        <w:spacing w:after="0" w:line="240" w:lineRule="auto"/>
        <w:ind w:left="360"/>
        <w:jc w:val="both"/>
        <w:rPr>
          <w:rFonts w:ascii="Cambria" w:eastAsia="Batang" w:hAnsi="Cambria" w:cs="Times New Roman"/>
          <w:color w:val="000000"/>
          <w:sz w:val="21"/>
          <w:szCs w:val="21"/>
          <w:lang w:val="pt-BR"/>
        </w:rPr>
      </w:pPr>
    </w:p>
    <w:p w14:paraId="2A7856EE" w14:textId="647B217E" w:rsidR="00C66795" w:rsidRPr="00884027" w:rsidRDefault="00243FD7" w:rsidP="00243FD7">
      <w:pPr>
        <w:numPr>
          <w:ilvl w:val="0"/>
          <w:numId w:val="3"/>
        </w:numPr>
        <w:spacing w:after="0" w:line="240" w:lineRule="auto"/>
        <w:ind w:left="0" w:firstLine="360"/>
        <w:jc w:val="both"/>
        <w:rPr>
          <w:rFonts w:ascii="Cambria" w:eastAsia="Batang" w:hAnsi="Cambria" w:cs="Times New Roman"/>
          <w:color w:val="000000"/>
          <w:sz w:val="21"/>
          <w:szCs w:val="21"/>
          <w:lang w:val="pt-BR"/>
        </w:rPr>
      </w:pPr>
      <w:r w:rsidRPr="00884027">
        <w:rPr>
          <w:rFonts w:ascii="Cambria" w:eastAsia="Batang" w:hAnsi="Cambria" w:cs="Times New Roman"/>
          <w:color w:val="000000"/>
          <w:sz w:val="21"/>
          <w:szCs w:val="21"/>
          <w:lang w:val="pt-BR"/>
        </w:rPr>
        <w:t>Aprov</w:t>
      </w:r>
      <w:r w:rsidR="00C66795" w:rsidRPr="00884027">
        <w:rPr>
          <w:rFonts w:ascii="Cambria" w:eastAsia="Batang" w:hAnsi="Cambria" w:cs="Times New Roman"/>
          <w:color w:val="000000"/>
          <w:sz w:val="21"/>
          <w:szCs w:val="21"/>
          <w:lang w:val="pt-BR"/>
        </w:rPr>
        <w:t xml:space="preserve">ado </w:t>
      </w:r>
      <w:r w:rsidRPr="00884027">
        <w:rPr>
          <w:rFonts w:ascii="Cambria" w:eastAsia="Batang" w:hAnsi="Cambria" w:cs="Times New Roman"/>
          <w:color w:val="000000"/>
          <w:sz w:val="21"/>
          <w:szCs w:val="21"/>
          <w:lang w:val="pt-BR"/>
        </w:rPr>
        <w:t>em</w:t>
      </w:r>
      <w:r w:rsidR="00C66795" w:rsidRPr="00884027">
        <w:rPr>
          <w:rFonts w:ascii="Cambria" w:eastAsia="Batang" w:hAnsi="Cambria" w:cs="Times New Roman"/>
          <w:color w:val="000000"/>
          <w:sz w:val="21"/>
          <w:szCs w:val="21"/>
          <w:lang w:val="pt-BR"/>
        </w:rPr>
        <w:t xml:space="preserve"> </w:t>
      </w:r>
      <w:r w:rsidR="0016662C">
        <w:rPr>
          <w:rFonts w:ascii="Cambria" w:eastAsia="Batang" w:hAnsi="Cambria" w:cs="Times New Roman"/>
          <w:color w:val="000000"/>
          <w:sz w:val="21"/>
          <w:szCs w:val="21"/>
          <w:lang w:val="pt-BR"/>
        </w:rPr>
        <w:t>6 de agosto</w:t>
      </w:r>
      <w:r w:rsidR="00C66795" w:rsidRPr="00884027">
        <w:rPr>
          <w:rFonts w:ascii="Cambria" w:eastAsia="Batang" w:hAnsi="Cambria" w:cs="Times New Roman"/>
          <w:color w:val="000000"/>
          <w:sz w:val="21"/>
          <w:szCs w:val="21"/>
          <w:lang w:val="pt-BR"/>
        </w:rPr>
        <w:t xml:space="preserve"> por: </w:t>
      </w:r>
      <w:r w:rsidR="00884027" w:rsidRPr="00884027">
        <w:rPr>
          <w:rFonts w:ascii="Cambria" w:eastAsia="Batang" w:hAnsi="Cambria" w:cs="Times New Roman"/>
          <w:color w:val="000000"/>
          <w:sz w:val="21"/>
          <w:szCs w:val="21"/>
          <w:lang w:val="pt-BR"/>
        </w:rPr>
        <w:t>Joel Hernández García, Presidente; Antonia Urrejola Noguera, Prime</w:t>
      </w:r>
      <w:r w:rsidR="00B40FC6">
        <w:rPr>
          <w:rFonts w:ascii="Cambria" w:eastAsia="Batang" w:hAnsi="Cambria" w:cs="Times New Roman"/>
          <w:color w:val="000000"/>
          <w:sz w:val="21"/>
          <w:szCs w:val="21"/>
          <w:lang w:val="pt-BR"/>
        </w:rPr>
        <w:t>i</w:t>
      </w:r>
      <w:r w:rsidR="00884027" w:rsidRPr="00884027">
        <w:rPr>
          <w:rFonts w:ascii="Cambria" w:eastAsia="Batang" w:hAnsi="Cambria" w:cs="Times New Roman"/>
          <w:color w:val="000000"/>
          <w:sz w:val="21"/>
          <w:szCs w:val="21"/>
          <w:lang w:val="pt-BR"/>
        </w:rPr>
        <w:t>ra Vice-</w:t>
      </w:r>
      <w:r w:rsidR="00B40FC6">
        <w:rPr>
          <w:rFonts w:ascii="Cambria" w:eastAsia="Batang" w:hAnsi="Cambria" w:cs="Times New Roman"/>
          <w:color w:val="000000"/>
          <w:sz w:val="21"/>
          <w:szCs w:val="21"/>
          <w:lang w:val="pt-BR"/>
        </w:rPr>
        <w:t>p</w:t>
      </w:r>
      <w:r w:rsidR="00884027">
        <w:rPr>
          <w:rFonts w:ascii="Cambria" w:eastAsia="Batang" w:hAnsi="Cambria" w:cs="Times New Roman"/>
          <w:color w:val="000000"/>
          <w:sz w:val="21"/>
          <w:szCs w:val="21"/>
          <w:lang w:val="pt-BR"/>
        </w:rPr>
        <w:t>r</w:t>
      </w:r>
      <w:r w:rsidR="00884027" w:rsidRPr="00884027">
        <w:rPr>
          <w:rFonts w:ascii="Cambria" w:eastAsia="Batang" w:hAnsi="Cambria" w:cs="Times New Roman"/>
          <w:color w:val="000000"/>
          <w:sz w:val="21"/>
          <w:szCs w:val="21"/>
          <w:lang w:val="pt-BR"/>
        </w:rPr>
        <w:t xml:space="preserve">esidenta; </w:t>
      </w:r>
      <w:r w:rsidR="00A25E1F">
        <w:rPr>
          <w:rFonts w:ascii="Cambria" w:eastAsia="Batang" w:hAnsi="Cambria" w:cs="Times New Roman"/>
          <w:color w:val="000000"/>
          <w:sz w:val="21"/>
          <w:szCs w:val="21"/>
          <w:lang w:val="pt-BR"/>
        </w:rPr>
        <w:t xml:space="preserve">Margarette May Macaulay; </w:t>
      </w:r>
      <w:r w:rsidR="00884027" w:rsidRPr="00884027">
        <w:rPr>
          <w:rFonts w:ascii="Cambria" w:eastAsia="Batang" w:hAnsi="Cambria" w:cs="Times New Roman"/>
          <w:color w:val="000000"/>
          <w:sz w:val="21"/>
          <w:szCs w:val="21"/>
          <w:lang w:val="pt-BR"/>
        </w:rPr>
        <w:t xml:space="preserve">Esmeralda Arosemena de Troitiño, Edgar </w:t>
      </w:r>
      <w:r w:rsidR="00B40FC6">
        <w:rPr>
          <w:rFonts w:ascii="Cambria" w:eastAsia="Batang" w:hAnsi="Cambria" w:cs="Times New Roman"/>
          <w:color w:val="000000"/>
          <w:sz w:val="21"/>
          <w:szCs w:val="21"/>
          <w:lang w:val="pt-BR"/>
        </w:rPr>
        <w:t>Stuardo Ralón Orellana e</w:t>
      </w:r>
      <w:r w:rsidR="00884027" w:rsidRPr="00884027">
        <w:rPr>
          <w:rFonts w:ascii="Cambria" w:eastAsia="Batang" w:hAnsi="Cambria" w:cs="Times New Roman"/>
          <w:color w:val="000000"/>
          <w:sz w:val="21"/>
          <w:szCs w:val="21"/>
          <w:lang w:val="pt-BR"/>
        </w:rPr>
        <w:t xml:space="preserve"> Julissa Mantilla Falcón, </w:t>
      </w:r>
      <w:r w:rsidR="00B40FC6">
        <w:rPr>
          <w:rFonts w:ascii="Cambria" w:eastAsia="Batang" w:hAnsi="Cambria" w:cs="Times New Roman"/>
          <w:color w:val="000000"/>
          <w:sz w:val="21"/>
          <w:szCs w:val="21"/>
          <w:lang w:val="pt-BR"/>
        </w:rPr>
        <w:t>membros d</w:t>
      </w:r>
      <w:r w:rsidR="00884027" w:rsidRPr="00884027">
        <w:rPr>
          <w:rFonts w:ascii="Cambria" w:eastAsia="Batang" w:hAnsi="Cambria" w:cs="Times New Roman"/>
          <w:color w:val="000000"/>
          <w:sz w:val="21"/>
          <w:szCs w:val="21"/>
          <w:lang w:val="pt-BR"/>
        </w:rPr>
        <w:t>a CIDH.</w:t>
      </w:r>
    </w:p>
    <w:p w14:paraId="65ABB6FC" w14:textId="46F482ED" w:rsidR="00C66795" w:rsidRDefault="00C66795" w:rsidP="00D51F89">
      <w:pPr>
        <w:spacing w:after="0" w:line="240" w:lineRule="auto"/>
        <w:jc w:val="both"/>
        <w:rPr>
          <w:rFonts w:ascii="Cambria" w:eastAsia="Calibri" w:hAnsi="Cambria" w:cs="Times New Roman"/>
          <w:sz w:val="21"/>
          <w:szCs w:val="21"/>
          <w:lang w:val="pt-BR"/>
        </w:rPr>
      </w:pPr>
    </w:p>
    <w:p w14:paraId="2D4F89C7" w14:textId="7F404F86" w:rsidR="00F14A71" w:rsidRDefault="00F14A71" w:rsidP="00D51F89">
      <w:pPr>
        <w:spacing w:after="0" w:line="240" w:lineRule="auto"/>
        <w:jc w:val="both"/>
        <w:rPr>
          <w:rFonts w:ascii="Cambria" w:eastAsia="Calibri" w:hAnsi="Cambria" w:cs="Times New Roman"/>
          <w:sz w:val="21"/>
          <w:szCs w:val="21"/>
          <w:lang w:val="pt-BR"/>
        </w:rPr>
      </w:pPr>
    </w:p>
    <w:p w14:paraId="6137C209" w14:textId="7BD3BBBD" w:rsidR="00F14A71" w:rsidRDefault="00F14A71" w:rsidP="00D51F89">
      <w:pPr>
        <w:spacing w:after="0" w:line="240" w:lineRule="auto"/>
        <w:jc w:val="both"/>
        <w:rPr>
          <w:rFonts w:ascii="Cambria" w:eastAsia="Calibri" w:hAnsi="Cambria" w:cs="Times New Roman"/>
          <w:sz w:val="21"/>
          <w:szCs w:val="21"/>
          <w:lang w:val="pt-BR"/>
        </w:rPr>
      </w:pPr>
    </w:p>
    <w:p w14:paraId="4E56C8E3" w14:textId="7C753DE9" w:rsidR="00A25E1F" w:rsidRPr="00884027" w:rsidRDefault="00A25E1F" w:rsidP="00D51F89">
      <w:pPr>
        <w:spacing w:after="0" w:line="240" w:lineRule="auto"/>
        <w:jc w:val="both"/>
        <w:rPr>
          <w:rFonts w:ascii="Cambria" w:eastAsia="Calibri" w:hAnsi="Cambria" w:cs="Times New Roman"/>
          <w:sz w:val="21"/>
          <w:szCs w:val="21"/>
          <w:lang w:val="pt-BR"/>
        </w:rPr>
      </w:pPr>
    </w:p>
    <w:p w14:paraId="0797C92D" w14:textId="1B17B99A" w:rsidR="00C66795" w:rsidRDefault="00C66795" w:rsidP="00D51F89">
      <w:pPr>
        <w:spacing w:after="0" w:line="240" w:lineRule="auto"/>
        <w:jc w:val="both"/>
        <w:rPr>
          <w:rFonts w:ascii="Cambria" w:eastAsia="Calibri" w:hAnsi="Cambria" w:cs="Times New Roman"/>
          <w:sz w:val="21"/>
          <w:szCs w:val="21"/>
          <w:lang w:val="pt-BR"/>
        </w:rPr>
      </w:pPr>
    </w:p>
    <w:p w14:paraId="78381AEA" w14:textId="77777777" w:rsidR="00B75AFF" w:rsidRDefault="00B75AFF" w:rsidP="00D51F89">
      <w:pPr>
        <w:spacing w:after="0" w:line="240" w:lineRule="auto"/>
        <w:jc w:val="both"/>
        <w:rPr>
          <w:rFonts w:ascii="Cambria" w:eastAsia="Calibri" w:hAnsi="Cambria" w:cs="Times New Roman"/>
          <w:sz w:val="21"/>
          <w:szCs w:val="21"/>
          <w:lang w:val="pt-BR"/>
        </w:rPr>
      </w:pPr>
    </w:p>
    <w:p w14:paraId="6143E9D2" w14:textId="77777777" w:rsidR="00B75AFF" w:rsidRPr="00CA319C" w:rsidRDefault="00B75AFF" w:rsidP="00B75AFF">
      <w:pPr>
        <w:spacing w:after="0" w:line="240" w:lineRule="auto"/>
        <w:jc w:val="center"/>
        <w:rPr>
          <w:rFonts w:ascii="Cambria" w:eastAsia="Calibri" w:hAnsi="Cambria" w:cs="Times New Roman"/>
          <w:sz w:val="21"/>
          <w:szCs w:val="21"/>
          <w:lang w:val="pt-BR"/>
        </w:rPr>
      </w:pPr>
      <w:r w:rsidRPr="00CA319C">
        <w:rPr>
          <w:rFonts w:ascii="Cambria" w:eastAsia="Calibri" w:hAnsi="Cambria" w:cs="Times New Roman"/>
          <w:sz w:val="21"/>
          <w:szCs w:val="21"/>
          <w:lang w:val="pt-BR"/>
        </w:rPr>
        <w:t>María Claudia Pulido</w:t>
      </w:r>
    </w:p>
    <w:p w14:paraId="7BFBE1D7" w14:textId="04631ED2" w:rsidR="00681654" w:rsidRPr="00403B94" w:rsidRDefault="00403B94" w:rsidP="00B75AFF">
      <w:pPr>
        <w:spacing w:after="0" w:line="240" w:lineRule="auto"/>
        <w:jc w:val="center"/>
        <w:rPr>
          <w:rFonts w:ascii="Cambria" w:eastAsia="Calibri" w:hAnsi="Cambria" w:cs="Times New Roman"/>
          <w:sz w:val="21"/>
          <w:szCs w:val="21"/>
          <w:lang w:val="pt-BR"/>
        </w:rPr>
      </w:pPr>
      <w:r w:rsidRPr="00403B94">
        <w:rPr>
          <w:rFonts w:ascii="Cambria" w:eastAsia="Calibri" w:hAnsi="Cambria" w:cs="Times New Roman"/>
          <w:sz w:val="21"/>
          <w:szCs w:val="21"/>
          <w:lang w:val="pt-BR"/>
        </w:rPr>
        <w:t>Secretá</w:t>
      </w:r>
      <w:r w:rsidR="00B75AFF" w:rsidRPr="00403B94">
        <w:rPr>
          <w:rFonts w:ascii="Cambria" w:eastAsia="Calibri" w:hAnsi="Cambria" w:cs="Times New Roman"/>
          <w:sz w:val="21"/>
          <w:szCs w:val="21"/>
          <w:lang w:val="pt-BR"/>
        </w:rPr>
        <w:t>ria E</w:t>
      </w:r>
      <w:r w:rsidRPr="00403B94">
        <w:rPr>
          <w:rFonts w:ascii="Cambria" w:eastAsia="Calibri" w:hAnsi="Cambria" w:cs="Times New Roman"/>
          <w:sz w:val="21"/>
          <w:szCs w:val="21"/>
          <w:lang w:val="pt-BR"/>
        </w:rPr>
        <w:t>x</w:t>
      </w:r>
      <w:r w:rsidR="00B75AFF" w:rsidRPr="00403B94">
        <w:rPr>
          <w:rFonts w:ascii="Cambria" w:eastAsia="Calibri" w:hAnsi="Cambria" w:cs="Times New Roman"/>
          <w:sz w:val="21"/>
          <w:szCs w:val="21"/>
          <w:lang w:val="pt-BR"/>
        </w:rPr>
        <w:t>ecutiva Adjunta</w:t>
      </w:r>
    </w:p>
    <w:sectPr w:rsidR="00681654" w:rsidRPr="00403B94" w:rsidSect="005953C1">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1CC8" w14:textId="77777777" w:rsidR="00D91396" w:rsidRDefault="00D91396" w:rsidP="00C66795">
      <w:pPr>
        <w:spacing w:after="0" w:line="240" w:lineRule="auto"/>
      </w:pPr>
      <w:r>
        <w:separator/>
      </w:r>
    </w:p>
  </w:endnote>
  <w:endnote w:type="continuationSeparator" w:id="0">
    <w:p w14:paraId="180DD103" w14:textId="77777777" w:rsidR="00D91396" w:rsidRDefault="00D91396" w:rsidP="00C6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6DE6CD91" w14:textId="1CF22521" w:rsidR="004C525B" w:rsidRDefault="004C525B" w:rsidP="001952E6">
        <w:pPr>
          <w:pStyle w:val="Footer"/>
          <w:jc w:val="cente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CA319C">
          <w:rPr>
            <w:rFonts w:ascii="Calibri Light" w:hAnsi="Calibri Light"/>
            <w:noProof/>
            <w:sz w:val="16"/>
          </w:rPr>
          <w:t>- 1 -</w:t>
        </w:r>
        <w:r w:rsidRPr="00D961A4">
          <w:rPr>
            <w:rFonts w:ascii="Calibri Light" w:hAnsi="Calibri Light"/>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06D44" w14:textId="77777777" w:rsidR="00D91396" w:rsidRDefault="00D91396" w:rsidP="00C66795">
      <w:pPr>
        <w:spacing w:after="0" w:line="240" w:lineRule="auto"/>
      </w:pPr>
      <w:r>
        <w:separator/>
      </w:r>
    </w:p>
  </w:footnote>
  <w:footnote w:type="continuationSeparator" w:id="0">
    <w:p w14:paraId="1E4F0CD2" w14:textId="77777777" w:rsidR="00D91396" w:rsidRDefault="00D91396" w:rsidP="00C66795">
      <w:pPr>
        <w:spacing w:after="0" w:line="240" w:lineRule="auto"/>
      </w:pPr>
      <w:r>
        <w:continuationSeparator/>
      </w:r>
    </w:p>
  </w:footnote>
  <w:footnote w:id="1">
    <w:p w14:paraId="563A7A36" w14:textId="77777777" w:rsidR="004C525B" w:rsidRPr="009409D4" w:rsidRDefault="004C525B" w:rsidP="00B82CF0">
      <w:pPr>
        <w:pStyle w:val="FootnoteText1"/>
        <w:jc w:val="both"/>
        <w:rPr>
          <w:rFonts w:ascii="Cambria" w:hAnsi="Cambria" w:cstheme="majorHAnsi"/>
          <w:sz w:val="16"/>
          <w:szCs w:val="16"/>
          <w:lang w:val="pt-BR"/>
        </w:rPr>
      </w:pPr>
      <w:r w:rsidRPr="00D51F89">
        <w:rPr>
          <w:rStyle w:val="FootnoteReference"/>
          <w:rFonts w:ascii="Cambria" w:hAnsi="Cambria" w:cstheme="majorHAnsi"/>
          <w:sz w:val="16"/>
          <w:szCs w:val="16"/>
        </w:rPr>
        <w:footnoteRef/>
      </w:r>
      <w:r w:rsidRPr="009409D4">
        <w:rPr>
          <w:rFonts w:ascii="Cambria" w:hAnsi="Cambria" w:cstheme="majorHAnsi"/>
          <w:sz w:val="16"/>
          <w:szCs w:val="16"/>
          <w:lang w:val="pt-BR"/>
        </w:rPr>
        <w:t xml:space="preserve"> De acordo com o artigo 17.2.a do Regulamento da CIDH, a Comissionaria Flávia Piovesan, de nacionalidade brasileira, não participou nem do debate nem da deliberação do presente assunto.</w:t>
      </w:r>
    </w:p>
  </w:footnote>
  <w:footnote w:id="2">
    <w:p w14:paraId="4DFDEA7A" w14:textId="6A167ADE" w:rsidR="002A55BD" w:rsidRPr="00F817DC" w:rsidRDefault="002A55BD" w:rsidP="00F817DC">
      <w:pPr>
        <w:pStyle w:val="FootnoteText"/>
        <w:jc w:val="both"/>
        <w:rPr>
          <w:rFonts w:ascii="Cambria" w:hAnsi="Cambria"/>
          <w:lang w:val="pt-BR"/>
        </w:rPr>
      </w:pPr>
      <w:r w:rsidRPr="00F817DC">
        <w:rPr>
          <w:rStyle w:val="FootnoteReference"/>
          <w:rFonts w:ascii="Cambria" w:hAnsi="Cambria"/>
          <w:sz w:val="16"/>
        </w:rPr>
        <w:footnoteRef/>
      </w:r>
      <w:r w:rsidRPr="00F817DC">
        <w:rPr>
          <w:rFonts w:ascii="Cambria" w:hAnsi="Cambria"/>
          <w:sz w:val="16"/>
          <w:lang w:val="pt-BR"/>
        </w:rPr>
        <w:t xml:space="preserve"> A orige</w:t>
      </w:r>
      <w:r w:rsidR="00F817DC" w:rsidRPr="00F817DC">
        <w:rPr>
          <w:rFonts w:ascii="Cambria" w:hAnsi="Cambria"/>
          <w:sz w:val="16"/>
          <w:lang w:val="pt-BR"/>
        </w:rPr>
        <w:t>m</w:t>
      </w:r>
      <w:r w:rsidRPr="00F817DC">
        <w:rPr>
          <w:rFonts w:ascii="Cambria" w:hAnsi="Cambria"/>
          <w:sz w:val="16"/>
          <w:lang w:val="pt-BR"/>
        </w:rPr>
        <w:t xml:space="preserve"> das comunidades quilombolas atende a um proces</w:t>
      </w:r>
      <w:r w:rsidR="00F817DC" w:rsidRPr="00F817DC">
        <w:rPr>
          <w:rFonts w:ascii="Cambria" w:hAnsi="Cambria"/>
          <w:sz w:val="16"/>
          <w:lang w:val="pt-BR"/>
        </w:rPr>
        <w:t>s</w:t>
      </w:r>
      <w:r w:rsidRPr="00F817DC">
        <w:rPr>
          <w:rFonts w:ascii="Cambria" w:hAnsi="Cambria"/>
          <w:sz w:val="16"/>
          <w:lang w:val="pt-BR"/>
        </w:rPr>
        <w:t>o histórico de resistência étnico-cultural e de liberação, no qual pessoas de orige</w:t>
      </w:r>
      <w:r w:rsidR="00F817DC" w:rsidRPr="00F817DC">
        <w:rPr>
          <w:rFonts w:ascii="Cambria" w:hAnsi="Cambria"/>
          <w:sz w:val="16"/>
          <w:lang w:val="pt-BR"/>
        </w:rPr>
        <w:t>m</w:t>
      </w:r>
      <w:r w:rsidRPr="00F817DC">
        <w:rPr>
          <w:rFonts w:ascii="Cambria" w:hAnsi="Cambria"/>
          <w:sz w:val="16"/>
          <w:lang w:val="pt-BR"/>
        </w:rPr>
        <w:t xml:space="preserve"> africana, submetidas a escravização, </w:t>
      </w:r>
      <w:r w:rsidR="00F817DC" w:rsidRPr="00F817DC">
        <w:rPr>
          <w:rFonts w:ascii="Cambria" w:hAnsi="Cambria"/>
          <w:sz w:val="16"/>
          <w:lang w:val="pt-BR"/>
        </w:rPr>
        <w:t xml:space="preserve">escaparam do domínio colonial e construíram assentamentos comunitários livres onde preservaram suas tradições africanas. Estas comunidades primeiro foram chamados “mocambos” e, depois, “quilombos”. </w:t>
      </w:r>
      <w:r w:rsidRPr="00F817DC">
        <w:rPr>
          <w:rFonts w:ascii="Cambria" w:hAnsi="Cambria"/>
          <w:i/>
          <w:sz w:val="16"/>
          <w:lang w:val="pt-BR"/>
        </w:rPr>
        <w:t xml:space="preserve">Tomado de Quilombos brasileiros: alguns aspectos da trajetória do negro no Brasil. </w:t>
      </w:r>
      <w:r w:rsidRPr="00F817DC">
        <w:rPr>
          <w:rFonts w:ascii="Cambria" w:hAnsi="Cambria"/>
          <w:sz w:val="16"/>
          <w:lang w:val="pt-BR"/>
        </w:rPr>
        <w:t xml:space="preserve">Revista Mosaico, v. 7, n. 2, p. </w:t>
      </w:r>
      <w:r w:rsidRPr="00F817DC">
        <w:rPr>
          <w:rFonts w:ascii="Cambria" w:hAnsi="Cambria"/>
          <w:sz w:val="16"/>
          <w:lang w:val="pt-BR"/>
        </w:rPr>
        <w:t>191-200, jul./dez. 2014.</w:t>
      </w:r>
    </w:p>
  </w:footnote>
  <w:footnote w:id="3">
    <w:p w14:paraId="1C6F5810" w14:textId="759B3F33" w:rsidR="004C525B" w:rsidRPr="004203CA" w:rsidRDefault="004C525B">
      <w:pPr>
        <w:pStyle w:val="FootnoteText"/>
        <w:rPr>
          <w:lang w:val="pt-BR"/>
        </w:rPr>
      </w:pPr>
      <w:r>
        <w:rPr>
          <w:rStyle w:val="FootnoteReference"/>
        </w:rPr>
        <w:footnoteRef/>
      </w:r>
      <w:r w:rsidRPr="004203CA">
        <w:rPr>
          <w:lang w:val="pt-BR"/>
        </w:rPr>
        <w:t xml:space="preserve"> </w:t>
      </w:r>
      <w:r w:rsidRPr="004203CA">
        <w:rPr>
          <w:rFonts w:ascii="Cambria" w:hAnsi="Cambria" w:cstheme="majorHAnsi"/>
          <w:sz w:val="16"/>
          <w:szCs w:val="16"/>
          <w:lang w:val="pt-BR"/>
        </w:rPr>
        <w:t>26, 27 y 30 de novembro, 7, 9, 10,13,16,22 de dezembro de 2019</w:t>
      </w:r>
      <w:r w:rsidR="00593B2A">
        <w:rPr>
          <w:rFonts w:ascii="Cambria" w:hAnsi="Cambria" w:cstheme="majorHAnsi"/>
          <w:sz w:val="16"/>
          <w:szCs w:val="16"/>
          <w:lang w:val="pt-BR"/>
        </w:rPr>
        <w:t>.</w:t>
      </w:r>
    </w:p>
  </w:footnote>
  <w:footnote w:id="4">
    <w:p w14:paraId="76922D9C" w14:textId="77777777" w:rsidR="004C525B" w:rsidRPr="001633AF" w:rsidRDefault="004C525B" w:rsidP="001633AF">
      <w:pPr>
        <w:pStyle w:val="FootnoteText"/>
        <w:jc w:val="both"/>
        <w:rPr>
          <w:rFonts w:ascii="Cambria" w:hAnsi="Cambria"/>
          <w:sz w:val="16"/>
          <w:szCs w:val="16"/>
          <w:lang w:val="pt-BR"/>
        </w:rPr>
      </w:pPr>
      <w:r w:rsidRPr="001633AF">
        <w:rPr>
          <w:rStyle w:val="FootnoteReference"/>
          <w:rFonts w:ascii="Cambria" w:hAnsi="Cambria"/>
          <w:sz w:val="16"/>
          <w:szCs w:val="16"/>
        </w:rPr>
        <w:footnoteRef/>
      </w:r>
      <w:r w:rsidRPr="001633AF">
        <w:rPr>
          <w:rFonts w:ascii="Cambria" w:hAnsi="Cambria"/>
          <w:sz w:val="16"/>
          <w:szCs w:val="16"/>
          <w:lang w:val="pt-BR"/>
        </w:rPr>
        <w:t xml:space="preserve"> </w:t>
      </w:r>
      <w:r w:rsidRPr="001633AF">
        <w:rPr>
          <w:rFonts w:ascii="Cambria" w:hAnsi="Cambria" w:cstheme="majorHAnsi"/>
          <w:sz w:val="16"/>
          <w:szCs w:val="16"/>
          <w:lang w:val="pt-BR"/>
        </w:rPr>
        <w:t>Policia Civil, Policia Federal, Ministério Público Federal, Secretaria de Promoção da Igualdade Racial, Grupo de Mediação de Conflitos Urbanos e de Terra, Comissão de Direitos Humanos da Câmara dos Deputados, Conselho Nacional de Direitos Humanos, assim como denúncias individuais apresentadas diante da polícia (se enviou cópia das comunicações).</w:t>
      </w:r>
    </w:p>
  </w:footnote>
  <w:footnote w:id="5">
    <w:p w14:paraId="60ECA4AB" w14:textId="77777777" w:rsidR="004C525B" w:rsidRPr="00F47712" w:rsidRDefault="004C525B" w:rsidP="001633AF">
      <w:pPr>
        <w:pStyle w:val="FootnoteText"/>
        <w:jc w:val="both"/>
        <w:rPr>
          <w:rFonts w:ascii="Cambria" w:hAnsi="Cambria"/>
          <w:lang w:val="pt-BR"/>
        </w:rPr>
      </w:pPr>
      <w:r w:rsidRPr="001633AF">
        <w:rPr>
          <w:rStyle w:val="FootnoteReference"/>
          <w:rFonts w:ascii="Cambria" w:hAnsi="Cambria"/>
          <w:sz w:val="16"/>
          <w:szCs w:val="16"/>
        </w:rPr>
        <w:footnoteRef/>
      </w:r>
      <w:r w:rsidRPr="001633AF">
        <w:rPr>
          <w:rFonts w:ascii="Cambria" w:hAnsi="Cambria"/>
          <w:sz w:val="16"/>
          <w:szCs w:val="16"/>
          <w:lang w:val="pt-BR"/>
        </w:rPr>
        <w:t xml:space="preserve"> Processo de investigação de fato que configure crime militar. Ver Código de Processo Penal Militar, Lei 1002, 21 de outubro de 1969, artigo 9. Disponível em: http://www.planalto.gov.br/ccivil_03/decreto-lei/del1002.htm.</w:t>
      </w:r>
    </w:p>
  </w:footnote>
  <w:footnote w:id="6">
    <w:p w14:paraId="71761CA5" w14:textId="77777777" w:rsidR="004C525B" w:rsidRPr="00A354B5" w:rsidRDefault="004C525B">
      <w:pPr>
        <w:pStyle w:val="FootnoteText"/>
        <w:rPr>
          <w:rFonts w:ascii="Cambria" w:hAnsi="Cambria"/>
          <w:lang w:val="pt-BR"/>
        </w:rPr>
      </w:pPr>
      <w:r w:rsidRPr="00731366">
        <w:rPr>
          <w:rStyle w:val="FootnoteReference"/>
          <w:rFonts w:ascii="Cambria" w:hAnsi="Cambria"/>
          <w:sz w:val="16"/>
        </w:rPr>
        <w:footnoteRef/>
      </w:r>
      <w:r w:rsidRPr="00A354B5">
        <w:rPr>
          <w:rFonts w:ascii="Cambria" w:hAnsi="Cambria"/>
          <w:sz w:val="16"/>
          <w:lang w:val="pt-BR"/>
        </w:rPr>
        <w:t xml:space="preserve"> Religião de raíz africana.</w:t>
      </w:r>
    </w:p>
  </w:footnote>
  <w:footnote w:id="7">
    <w:p w14:paraId="5B35CEB1" w14:textId="38225B7B" w:rsidR="004C525B" w:rsidRPr="008E5CE0" w:rsidRDefault="004C525B">
      <w:pPr>
        <w:pStyle w:val="FootnoteText"/>
        <w:rPr>
          <w:rFonts w:ascii="Cambria" w:hAnsi="Cambria"/>
          <w:lang w:val="pt-BR"/>
        </w:rPr>
      </w:pPr>
      <w:r w:rsidRPr="008E5CE0">
        <w:rPr>
          <w:rStyle w:val="FootnoteReference"/>
          <w:rFonts w:ascii="Cambria" w:hAnsi="Cambria"/>
          <w:sz w:val="16"/>
        </w:rPr>
        <w:footnoteRef/>
      </w:r>
      <w:r w:rsidR="003F6831">
        <w:rPr>
          <w:rFonts w:ascii="Cambria" w:hAnsi="Cambria"/>
          <w:sz w:val="16"/>
          <w:lang w:val="pt-BR"/>
        </w:rPr>
        <w:t xml:space="preserve"> O Estado alegou que</w:t>
      </w:r>
      <w:r w:rsidRPr="008E5CE0">
        <w:rPr>
          <w:rFonts w:ascii="Cambria" w:hAnsi="Cambria"/>
          <w:sz w:val="16"/>
          <w:lang w:val="pt-BR"/>
        </w:rPr>
        <w:t xml:space="preserve"> autorizou a entrada de doações em 5 datas de entre abril e maio de 2020.</w:t>
      </w:r>
    </w:p>
  </w:footnote>
  <w:footnote w:id="8">
    <w:p w14:paraId="3A4733BE" w14:textId="77777777" w:rsidR="004C525B" w:rsidRPr="00FE7B68" w:rsidRDefault="004C525B" w:rsidP="00FE7B68">
      <w:pPr>
        <w:pStyle w:val="FootnoteText"/>
        <w:jc w:val="both"/>
        <w:rPr>
          <w:rFonts w:ascii="Cambria" w:hAnsi="Cambria"/>
          <w:lang w:val="pt-BR"/>
        </w:rPr>
      </w:pPr>
      <w:r w:rsidRPr="00FE7B68">
        <w:rPr>
          <w:rStyle w:val="FootnoteReference"/>
          <w:rFonts w:ascii="Cambria" w:hAnsi="Cambria"/>
          <w:sz w:val="16"/>
        </w:rPr>
        <w:footnoteRef/>
      </w:r>
      <w:r w:rsidRPr="00FE7B68">
        <w:rPr>
          <w:rFonts w:ascii="Cambria" w:hAnsi="Cambria"/>
          <w:sz w:val="16"/>
          <w:lang w:val="pt-BR"/>
        </w:rPr>
        <w:t xml:space="preserve"> As outras pessoas não teriam contato telefônico e não estiveram presentes nas reuniões celebradas na Comunidade.</w:t>
      </w:r>
    </w:p>
  </w:footnote>
  <w:footnote w:id="9">
    <w:p w14:paraId="5898D8E3" w14:textId="77777777" w:rsidR="004C525B" w:rsidRPr="008A4CE7" w:rsidRDefault="004C525B" w:rsidP="008A4CE7">
      <w:pPr>
        <w:pStyle w:val="footnotetext10"/>
        <w:jc w:val="both"/>
        <w:rPr>
          <w:rFonts w:ascii="Cambria" w:hAnsi="Cambria" w:cstheme="majorHAnsi"/>
          <w:sz w:val="16"/>
          <w:szCs w:val="16"/>
          <w:lang w:val="pt-BR"/>
        </w:rPr>
      </w:pPr>
      <w:r w:rsidRPr="008A4CE7">
        <w:rPr>
          <w:rStyle w:val="FootnoteReference"/>
          <w:rFonts w:ascii="Cambria" w:hAnsi="Cambria" w:cstheme="majorHAnsi"/>
          <w:sz w:val="16"/>
          <w:szCs w:val="16"/>
        </w:rPr>
        <w:footnoteRef/>
      </w:r>
      <w:r w:rsidRPr="008A4CE7">
        <w:rPr>
          <w:rFonts w:ascii="Cambria" w:hAnsi="Cambria" w:cstheme="majorHAnsi"/>
          <w:sz w:val="16"/>
          <w:szCs w:val="16"/>
          <w:lang w:val="pt-BR"/>
        </w:rPr>
        <w:t xml:space="preserve"> Ao respeito, por exemplo, se referindo a medidas provisionais, a Corte Interamericana tem considerado que tal padrão requer um mínimo de detalhe e informação que permita apreciar </w:t>
      </w:r>
      <w:r w:rsidRPr="008A4CE7">
        <w:rPr>
          <w:rFonts w:ascii="Cambria" w:hAnsi="Cambria" w:cstheme="majorHAnsi"/>
          <w:i/>
          <w:sz w:val="16"/>
          <w:szCs w:val="16"/>
          <w:lang w:val="pt-BR"/>
        </w:rPr>
        <w:t xml:space="preserve">prima facie </w:t>
      </w:r>
      <w:r w:rsidRPr="008A4CE7">
        <w:rPr>
          <w:rFonts w:ascii="Cambria" w:hAnsi="Cambria" w:cstheme="majorHAnsi"/>
          <w:sz w:val="16"/>
          <w:szCs w:val="16"/>
          <w:lang w:val="pt-BR"/>
        </w:rPr>
        <w:t xml:space="preserve">a situação de risco e urgência. Corte IDH, </w:t>
      </w:r>
      <w:r w:rsidRPr="008A4CE7">
        <w:rPr>
          <w:rFonts w:ascii="Cambria" w:hAnsi="Cambria" w:cstheme="majorHAnsi"/>
          <w:i/>
          <w:sz w:val="16"/>
          <w:szCs w:val="16"/>
          <w:lang w:val="pt-BR"/>
        </w:rPr>
        <w:t>Assunto sobre crianças e adolescentes privados de liberdade no “Complexo do Tatuapé” da Fundação CASA</w:t>
      </w:r>
      <w:r w:rsidRPr="008A4CE7">
        <w:rPr>
          <w:rFonts w:ascii="Cambria" w:hAnsi="Cambria" w:cstheme="majorHAnsi"/>
          <w:sz w:val="16"/>
          <w:szCs w:val="16"/>
          <w:lang w:val="pt-BR"/>
        </w:rPr>
        <w:t>. Solicitação de ampliação de medidas provisionais. Medidas provisionais em relação ao Brasil. Resolução da Corte Interamericana de Direitos Humanos de 4 de julho de 2006. Considerando 23. Disponível em: http://www.corteidh.or.cr/docs/medidas/febem_se_03.pdf</w:t>
      </w:r>
    </w:p>
  </w:footnote>
  <w:footnote w:id="10">
    <w:p w14:paraId="7AC566A3" w14:textId="77777777" w:rsidR="004C525B" w:rsidRPr="00953A68" w:rsidRDefault="004C525B" w:rsidP="00953A68">
      <w:pPr>
        <w:pStyle w:val="FootnoteText"/>
        <w:jc w:val="both"/>
        <w:rPr>
          <w:rFonts w:ascii="Cambria" w:hAnsi="Cambria"/>
          <w:sz w:val="16"/>
          <w:szCs w:val="16"/>
          <w:lang w:val="pt-BR"/>
        </w:rPr>
      </w:pPr>
      <w:r w:rsidRPr="00953A68">
        <w:rPr>
          <w:rStyle w:val="FootnoteReference"/>
          <w:rFonts w:ascii="Cambria" w:hAnsi="Cambria"/>
          <w:sz w:val="16"/>
          <w:szCs w:val="16"/>
        </w:rPr>
        <w:footnoteRef/>
      </w:r>
      <w:r w:rsidRPr="00953A68">
        <w:rPr>
          <w:rFonts w:ascii="Cambria" w:hAnsi="Cambria"/>
          <w:sz w:val="16"/>
          <w:szCs w:val="16"/>
          <w:lang w:val="pt-BR"/>
        </w:rPr>
        <w:t xml:space="preserve"> O artigo 46 da Convenção Americana, citado pelo Estado, se refere a “petição ou comunicação apresentada de acordo com os artigos 44 ou 45 […]”, os quais se referem exclusivamente ao sistema de petições e casos. Nota-se que os artigos 44 e 45 da Convenção Americana se referem a “denúncias ou queixas de violação” da Convenção. O mecanismo de medidas cautelares não tem como função estabelecer a existência ou não de uma ou mais violações (ver artigo 25.8 do Regulamento da Comissão) e a consequente responsabilidade internacional do Estado; mas, conforme expressa o artigo 25 do Regulamento da Comissão, as medidas cautelares deverão “[…] estar relacionadas a situações de gravidade e urgência que apresentem risco de dano irreparável às pessoas ou ao objeto de uma petição ou caso pendente nos órgãos do Sistema Interamericano”.</w:t>
      </w:r>
    </w:p>
  </w:footnote>
  <w:footnote w:id="11">
    <w:p w14:paraId="01FF63D2" w14:textId="77777777" w:rsidR="004C525B" w:rsidRPr="00824975" w:rsidRDefault="004C525B">
      <w:pPr>
        <w:pStyle w:val="FootnoteText"/>
        <w:rPr>
          <w:rFonts w:ascii="Cambria" w:hAnsi="Cambria"/>
          <w:lang w:val="pt-BR"/>
        </w:rPr>
      </w:pPr>
      <w:r w:rsidRPr="00824975">
        <w:rPr>
          <w:rStyle w:val="FootnoteReference"/>
          <w:rFonts w:ascii="Cambria" w:hAnsi="Cambria"/>
          <w:sz w:val="16"/>
        </w:rPr>
        <w:footnoteRef/>
      </w:r>
      <w:r w:rsidRPr="00824975">
        <w:rPr>
          <w:rFonts w:ascii="Cambria" w:hAnsi="Cambria"/>
          <w:sz w:val="16"/>
          <w:lang w:val="pt-BR"/>
        </w:rPr>
        <w:t xml:space="preserve"> Dessa maneira, não cabe ao mecanismo de medidas cautelares determinar a pertinência da construção de um muro ou a melhor forma de concretizar vias independentes de entrada e saída do território quilombola.</w:t>
      </w:r>
    </w:p>
  </w:footnote>
  <w:footnote w:id="12">
    <w:p w14:paraId="3DA51248" w14:textId="77777777" w:rsidR="004C525B" w:rsidRPr="00B81154" w:rsidRDefault="004C525B" w:rsidP="00B81154">
      <w:pPr>
        <w:pStyle w:val="FootnoteText"/>
        <w:jc w:val="both"/>
        <w:rPr>
          <w:rFonts w:ascii="Cambria" w:hAnsi="Cambria"/>
          <w:lang w:val="pt-BR"/>
        </w:rPr>
      </w:pPr>
      <w:r w:rsidRPr="00B81154">
        <w:rPr>
          <w:rStyle w:val="FootnoteReference"/>
          <w:rFonts w:ascii="Cambria" w:hAnsi="Cambria"/>
          <w:sz w:val="16"/>
        </w:rPr>
        <w:footnoteRef/>
      </w:r>
      <w:r w:rsidRPr="00B81154">
        <w:rPr>
          <w:rFonts w:ascii="Cambria" w:hAnsi="Cambria"/>
          <w:sz w:val="16"/>
          <w:lang w:val="pt-BR"/>
        </w:rPr>
        <w:t xml:space="preserve"> CIDH, Observações Preliminares da Visita in loco da CIDH ao Brasil, 2018. Disponível em: http://www.oas.org/es/cidh/prensa/comunicados/2018/238OPport.pdf.</w:t>
      </w:r>
    </w:p>
  </w:footnote>
  <w:footnote w:id="13">
    <w:p w14:paraId="3281EFA2" w14:textId="1CB899DC" w:rsidR="00CD5EE6" w:rsidRPr="00066D5D" w:rsidRDefault="00CD5EE6" w:rsidP="00066D5D">
      <w:pPr>
        <w:pStyle w:val="FootnoteText"/>
        <w:jc w:val="both"/>
        <w:rPr>
          <w:rFonts w:ascii="Cambria" w:hAnsi="Cambria"/>
          <w:lang w:val="pt-BR"/>
        </w:rPr>
      </w:pPr>
      <w:r w:rsidRPr="00066D5D">
        <w:rPr>
          <w:rStyle w:val="FootnoteReference"/>
          <w:rFonts w:ascii="Cambria" w:hAnsi="Cambria"/>
          <w:sz w:val="16"/>
        </w:rPr>
        <w:footnoteRef/>
      </w:r>
      <w:r w:rsidRPr="00066D5D">
        <w:rPr>
          <w:rFonts w:ascii="Cambria" w:hAnsi="Cambria"/>
          <w:sz w:val="16"/>
          <w:lang w:val="pt-BR"/>
        </w:rPr>
        <w:t xml:space="preserve"> Informação pública indica que, em 28 de julho de 2020, as pessoas propostas como beneficiárias assinaram e receberam o título de propriedade do território em processo de reconhecimento. </w:t>
      </w:r>
      <w:r w:rsidRPr="00066D5D">
        <w:rPr>
          <w:rFonts w:ascii="Cambria" w:hAnsi="Cambria"/>
          <w:sz w:val="16"/>
          <w:lang w:val="pt-BR"/>
        </w:rPr>
        <w:t>Ver: GI, Após mais de 40 anos de disputa territorial na Bahia, quilombolas do Rio dos Macacos recebem titulação de terras,</w:t>
      </w:r>
      <w:r w:rsidR="00066D5D" w:rsidRPr="00066D5D">
        <w:rPr>
          <w:rFonts w:ascii="Cambria" w:hAnsi="Cambria"/>
          <w:sz w:val="16"/>
          <w:lang w:val="pt-BR"/>
        </w:rPr>
        <w:t xml:space="preserve"> 28 de julh</w:t>
      </w:r>
      <w:r w:rsidRPr="00066D5D">
        <w:rPr>
          <w:rFonts w:ascii="Cambria" w:hAnsi="Cambria"/>
          <w:sz w:val="16"/>
          <w:lang w:val="pt-BR"/>
        </w:rPr>
        <w:t>o de 2020. Dispon</w:t>
      </w:r>
      <w:r w:rsidR="00066D5D" w:rsidRPr="00066D5D">
        <w:rPr>
          <w:rFonts w:ascii="Cambria" w:hAnsi="Cambria"/>
          <w:sz w:val="16"/>
          <w:lang w:val="pt-BR"/>
        </w:rPr>
        <w:t>ível em:</w:t>
      </w:r>
      <w:r w:rsidRPr="00066D5D">
        <w:rPr>
          <w:rFonts w:ascii="Cambria" w:hAnsi="Cambria"/>
          <w:sz w:val="16"/>
          <w:lang w:val="pt-BR"/>
        </w:rPr>
        <w:t xml:space="preserve"> https://g1.globo.com/ba/bahia/noticia/2020/07/28/apos-mais-de-40-anos-de-disputa-territorial-na-bahia-quilombolas-do-rio-dos-macacos-recebem-titulacao-de-terras.ghtml.</w:t>
      </w:r>
    </w:p>
  </w:footnote>
  <w:footnote w:id="14">
    <w:p w14:paraId="00BB2755" w14:textId="6DE75820" w:rsidR="004C525B" w:rsidRPr="00A354B5" w:rsidRDefault="004C525B">
      <w:pPr>
        <w:pStyle w:val="FootnoteText"/>
        <w:rPr>
          <w:rFonts w:ascii="Cambria" w:hAnsi="Cambria"/>
          <w:lang w:val="pt-BR"/>
        </w:rPr>
      </w:pPr>
      <w:r w:rsidRPr="00F61533">
        <w:rPr>
          <w:rStyle w:val="FootnoteReference"/>
          <w:rFonts w:ascii="Cambria" w:hAnsi="Cambria"/>
          <w:sz w:val="16"/>
        </w:rPr>
        <w:footnoteRef/>
      </w:r>
      <w:r w:rsidRPr="00F61533">
        <w:rPr>
          <w:rFonts w:ascii="Cambria" w:hAnsi="Cambria"/>
          <w:sz w:val="16"/>
          <w:lang w:val="pt-BR"/>
        </w:rPr>
        <w:t xml:space="preserve"> O Estado reconheceu que “existem barreiras a essas estratégias, devido à infraestrutura das casas e a dificuldade da comunidade em realizar reformas, como a ausência de rede elétrica” (ver </w:t>
      </w:r>
      <w:r w:rsidRPr="00F61533">
        <w:rPr>
          <w:rFonts w:ascii="Cambria" w:hAnsi="Cambria"/>
          <w:i/>
          <w:sz w:val="16"/>
          <w:lang w:val="pt-BR"/>
        </w:rPr>
        <w:t xml:space="preserve">supra </w:t>
      </w:r>
      <w:r w:rsidRPr="00F61533">
        <w:rPr>
          <w:rFonts w:ascii="Cambria" w:hAnsi="Cambria"/>
          <w:sz w:val="16"/>
          <w:lang w:val="pt-BR"/>
        </w:rPr>
        <w:t xml:space="preserve">par. </w:t>
      </w:r>
      <w:r w:rsidRPr="00A354B5">
        <w:rPr>
          <w:rFonts w:ascii="Cambria" w:hAnsi="Cambria"/>
          <w:sz w:val="16"/>
          <w:lang w:val="pt-BR"/>
        </w:rPr>
        <w:t>31).</w:t>
      </w:r>
    </w:p>
  </w:footnote>
  <w:footnote w:id="15">
    <w:p w14:paraId="26E0A3D3" w14:textId="681AD916" w:rsidR="004C525B" w:rsidRPr="00D552BD" w:rsidRDefault="004C525B" w:rsidP="00532D11">
      <w:pPr>
        <w:pStyle w:val="FootnoteText"/>
        <w:rPr>
          <w:rFonts w:ascii="Cambria" w:hAnsi="Cambria"/>
          <w:sz w:val="16"/>
          <w:lang w:val="pt-BR"/>
        </w:rPr>
      </w:pPr>
      <w:r w:rsidRPr="00532D11">
        <w:rPr>
          <w:rStyle w:val="FootnoteReference"/>
          <w:rFonts w:ascii="Cambria" w:hAnsi="Cambria"/>
          <w:sz w:val="16"/>
        </w:rPr>
        <w:footnoteRef/>
      </w:r>
      <w:r w:rsidRPr="00532D11">
        <w:rPr>
          <w:rFonts w:ascii="Cambria" w:hAnsi="Cambria"/>
          <w:sz w:val="16"/>
          <w:lang w:val="pt-BR"/>
        </w:rPr>
        <w:t xml:space="preserve"> CIDH, Comunidade mapuche Lof Buenuleo </w:t>
      </w:r>
      <w:r>
        <w:rPr>
          <w:rFonts w:ascii="Cambria" w:hAnsi="Cambria"/>
          <w:sz w:val="16"/>
          <w:lang w:val="pt-BR"/>
        </w:rPr>
        <w:t>com</w:t>
      </w:r>
      <w:r w:rsidRPr="00532D11">
        <w:rPr>
          <w:rFonts w:ascii="Cambria" w:hAnsi="Cambria"/>
          <w:sz w:val="16"/>
          <w:lang w:val="pt-BR"/>
        </w:rPr>
        <w:t xml:space="preserve"> relação à Argentina (MC 954-19), Resolução 23/2020, 14 de maio de 2020, </w:t>
      </w:r>
      <w:r>
        <w:rPr>
          <w:rFonts w:ascii="Cambria" w:hAnsi="Cambria"/>
          <w:sz w:val="16"/>
          <w:lang w:val="pt-BR"/>
        </w:rPr>
        <w:t>par</w:t>
      </w:r>
      <w:r w:rsidRPr="00532D11">
        <w:rPr>
          <w:rFonts w:ascii="Cambria" w:hAnsi="Cambria"/>
          <w:sz w:val="16"/>
          <w:lang w:val="pt-BR"/>
        </w:rPr>
        <w:t>. 24; CIDH, Membros da Organização JOPRODEH com rela</w:t>
      </w:r>
      <w:r>
        <w:rPr>
          <w:rFonts w:ascii="Cambria" w:hAnsi="Cambria"/>
          <w:sz w:val="16"/>
          <w:lang w:val="pt-BR"/>
        </w:rPr>
        <w:t>ção à</w:t>
      </w:r>
      <w:r w:rsidRPr="00532D11">
        <w:rPr>
          <w:rFonts w:ascii="Cambria" w:hAnsi="Cambria"/>
          <w:sz w:val="16"/>
          <w:lang w:val="pt-BR"/>
        </w:rPr>
        <w:t xml:space="preserve"> Honduras (MC 1151-18), </w:t>
      </w:r>
      <w:r>
        <w:rPr>
          <w:rFonts w:ascii="Cambria" w:hAnsi="Cambria"/>
          <w:sz w:val="16"/>
          <w:lang w:val="pt-BR"/>
        </w:rPr>
        <w:t>Resolução 31/2019, 14 de junh</w:t>
      </w:r>
      <w:r w:rsidRPr="00532D11">
        <w:rPr>
          <w:rFonts w:ascii="Cambria" w:hAnsi="Cambria"/>
          <w:sz w:val="16"/>
          <w:lang w:val="pt-BR"/>
        </w:rPr>
        <w:t xml:space="preserve">o de 2019, </w:t>
      </w:r>
      <w:r w:rsidR="005521B5">
        <w:rPr>
          <w:rFonts w:ascii="Cambria" w:hAnsi="Cambria"/>
          <w:sz w:val="16"/>
          <w:lang w:val="pt-BR"/>
        </w:rPr>
        <w:t>par</w:t>
      </w:r>
      <w:r w:rsidRPr="00532D11">
        <w:rPr>
          <w:rFonts w:ascii="Cambria" w:hAnsi="Cambria"/>
          <w:sz w:val="16"/>
          <w:lang w:val="pt-BR"/>
        </w:rPr>
        <w:t xml:space="preserve">. 23. Ver mais: CIDH, Segundo Informe sobre a Situação das defensoras </w:t>
      </w:r>
      <w:r>
        <w:rPr>
          <w:rFonts w:ascii="Cambria" w:hAnsi="Cambria"/>
          <w:sz w:val="16"/>
          <w:lang w:val="pt-BR"/>
        </w:rPr>
        <w:t xml:space="preserve">e dos </w:t>
      </w:r>
      <w:r w:rsidRPr="00532D11">
        <w:rPr>
          <w:rFonts w:ascii="Cambria" w:hAnsi="Cambria"/>
          <w:sz w:val="16"/>
          <w:lang w:val="pt-BR"/>
        </w:rPr>
        <w:t xml:space="preserve">defensores de </w:t>
      </w:r>
      <w:r>
        <w:rPr>
          <w:rFonts w:ascii="Cambria" w:hAnsi="Cambria"/>
          <w:sz w:val="16"/>
          <w:lang w:val="pt-BR"/>
        </w:rPr>
        <w:t>direitos</w:t>
      </w:r>
      <w:r w:rsidRPr="00532D11">
        <w:rPr>
          <w:rFonts w:ascii="Cambria" w:hAnsi="Cambria"/>
          <w:sz w:val="16"/>
          <w:lang w:val="pt-BR"/>
        </w:rPr>
        <w:t xml:space="preserve"> humanos </w:t>
      </w:r>
      <w:r>
        <w:rPr>
          <w:rFonts w:ascii="Cambria" w:hAnsi="Cambria"/>
          <w:sz w:val="16"/>
          <w:lang w:val="pt-BR"/>
        </w:rPr>
        <w:t>nas</w:t>
      </w:r>
      <w:r w:rsidRPr="00532D11">
        <w:rPr>
          <w:rFonts w:ascii="Cambria" w:hAnsi="Cambria"/>
          <w:sz w:val="16"/>
          <w:lang w:val="pt-BR"/>
        </w:rPr>
        <w:t xml:space="preserve"> Américas, 2011. </w:t>
      </w:r>
      <w:r w:rsidRPr="00532D11">
        <w:rPr>
          <w:rFonts w:ascii="Cambria" w:hAnsi="Cambria"/>
          <w:sz w:val="16"/>
          <w:lang w:val="pt-BR"/>
        </w:rPr>
        <w:t xml:space="preserve">Disponível em: </w:t>
      </w:r>
      <w:hyperlink r:id="rId1" w:history="1">
        <w:r w:rsidRPr="008E1298">
          <w:rPr>
            <w:rStyle w:val="Hyperlink"/>
            <w:rFonts w:ascii="Cambria" w:hAnsi="Cambria"/>
            <w:sz w:val="16"/>
            <w:lang w:val="pt-BR"/>
          </w:rPr>
          <w:t>http://www.oas.org/es/cidh/defensores/docs/pdf/defensores2011.pdf</w:t>
        </w:r>
      </w:hyperlink>
      <w:r>
        <w:rPr>
          <w:rFonts w:ascii="Cambria" w:hAnsi="Cambria"/>
          <w:sz w:val="16"/>
          <w:lang w:val="pt-BR"/>
        </w:rPr>
        <w:t xml:space="preserve"> (em espanhol).</w:t>
      </w:r>
    </w:p>
  </w:footnote>
  <w:footnote w:id="16">
    <w:p w14:paraId="12F9951F" w14:textId="7ABB9D23" w:rsidR="004C525B" w:rsidRPr="00D552BD" w:rsidRDefault="004C525B">
      <w:pPr>
        <w:pStyle w:val="FootnoteText"/>
        <w:rPr>
          <w:rFonts w:ascii="Cambria" w:hAnsi="Cambria"/>
          <w:lang w:val="pt-BR"/>
        </w:rPr>
      </w:pPr>
      <w:r w:rsidRPr="00D552BD">
        <w:rPr>
          <w:rStyle w:val="FootnoteReference"/>
          <w:rFonts w:ascii="Cambria" w:hAnsi="Cambria"/>
          <w:sz w:val="16"/>
        </w:rPr>
        <w:footnoteRef/>
      </w:r>
      <w:r w:rsidRPr="00D552BD">
        <w:rPr>
          <w:rFonts w:ascii="Cambria" w:hAnsi="Cambria"/>
          <w:sz w:val="16"/>
          <w:lang w:val="pt-BR"/>
        </w:rPr>
        <w:t xml:space="preserve"> Recorda-se o dever especial de proteção dos </w:t>
      </w:r>
      <w:r w:rsidR="00F36A6D">
        <w:rPr>
          <w:rFonts w:ascii="Cambria" w:hAnsi="Cambria"/>
          <w:sz w:val="16"/>
          <w:lang w:val="pt-BR"/>
        </w:rPr>
        <w:t>Estados com relação às crianças e adolescentes.</w:t>
      </w:r>
    </w:p>
  </w:footnote>
  <w:footnote w:id="17">
    <w:p w14:paraId="0BDA7F79" w14:textId="77777777" w:rsidR="004C525B" w:rsidRPr="003179DC" w:rsidRDefault="004C525B" w:rsidP="003179DC">
      <w:pPr>
        <w:pStyle w:val="FootnoteText"/>
        <w:jc w:val="both"/>
        <w:rPr>
          <w:rFonts w:ascii="Cambria" w:hAnsi="Cambria"/>
          <w:sz w:val="16"/>
          <w:lang w:val="pt-BR"/>
        </w:rPr>
      </w:pPr>
      <w:r w:rsidRPr="003179DC">
        <w:rPr>
          <w:rStyle w:val="FootnoteReference"/>
          <w:rFonts w:ascii="Cambria" w:hAnsi="Cambria"/>
          <w:sz w:val="16"/>
        </w:rPr>
        <w:footnoteRef/>
      </w:r>
      <w:r w:rsidRPr="003179DC">
        <w:rPr>
          <w:rFonts w:ascii="Cambria" w:hAnsi="Cambria"/>
          <w:sz w:val="16"/>
          <w:lang w:val="pt-BR"/>
        </w:rPr>
        <w:t xml:space="preserve"> CIDH, Políticas Integrais de Proteção a Pe</w:t>
      </w:r>
      <w:r>
        <w:rPr>
          <w:rFonts w:ascii="Cambria" w:hAnsi="Cambria"/>
          <w:sz w:val="16"/>
          <w:lang w:val="pt-BR"/>
        </w:rPr>
        <w:t>ssoas</w:t>
      </w:r>
      <w:r w:rsidRPr="003179DC">
        <w:rPr>
          <w:rFonts w:ascii="Cambria" w:hAnsi="Cambria"/>
          <w:sz w:val="16"/>
          <w:lang w:val="pt-BR"/>
        </w:rPr>
        <w:t xml:space="preserve"> Defensoras, OEA/Ser.L/V/II.</w:t>
      </w:r>
    </w:p>
    <w:p w14:paraId="5858FF70" w14:textId="23BE1CFC" w:rsidR="004C525B" w:rsidRPr="003179DC" w:rsidRDefault="004C525B" w:rsidP="003179DC">
      <w:pPr>
        <w:pStyle w:val="FootnoteText"/>
        <w:jc w:val="both"/>
        <w:rPr>
          <w:lang w:val="pt-BR"/>
        </w:rPr>
      </w:pPr>
      <w:r w:rsidRPr="003179DC">
        <w:rPr>
          <w:rFonts w:ascii="Cambria" w:hAnsi="Cambria"/>
          <w:sz w:val="16"/>
          <w:lang w:val="pt-BR"/>
        </w:rPr>
        <w:t xml:space="preserve">Doc. 207/17, 29 de dezembro de 2017, </w:t>
      </w:r>
      <w:r>
        <w:rPr>
          <w:rFonts w:ascii="Cambria" w:hAnsi="Cambria"/>
          <w:sz w:val="16"/>
          <w:lang w:val="pt-BR"/>
        </w:rPr>
        <w:t>par.</w:t>
      </w:r>
      <w:r w:rsidRPr="003179DC">
        <w:rPr>
          <w:rFonts w:ascii="Cambria" w:hAnsi="Cambria"/>
          <w:sz w:val="16"/>
          <w:lang w:val="pt-BR"/>
        </w:rPr>
        <w:t xml:space="preserve"> 335. </w:t>
      </w:r>
      <w:r>
        <w:rPr>
          <w:rFonts w:ascii="Cambria" w:hAnsi="Cambria"/>
          <w:sz w:val="16"/>
          <w:lang w:val="pt-BR"/>
        </w:rPr>
        <w:t>Original: i</w:t>
      </w:r>
      <w:r w:rsidRPr="003179DC">
        <w:rPr>
          <w:rFonts w:ascii="Cambria" w:hAnsi="Cambria"/>
          <w:sz w:val="16"/>
          <w:lang w:val="pt-BR"/>
        </w:rPr>
        <w:t xml:space="preserve">nglês. </w:t>
      </w:r>
      <w:r>
        <w:rPr>
          <w:rFonts w:ascii="Cambria" w:hAnsi="Cambria"/>
          <w:sz w:val="16"/>
          <w:lang w:val="pt-BR"/>
        </w:rPr>
        <w:t>Disponível em</w:t>
      </w:r>
      <w:r w:rsidRPr="003179DC">
        <w:rPr>
          <w:rFonts w:ascii="Cambria" w:hAnsi="Cambria"/>
          <w:sz w:val="16"/>
          <w:lang w:val="pt-BR"/>
        </w:rPr>
        <w:t xml:space="preserve">: </w:t>
      </w:r>
      <w:hyperlink r:id="rId2" w:history="1">
        <w:r w:rsidRPr="003179DC">
          <w:rPr>
            <w:rStyle w:val="Hyperlink"/>
            <w:rFonts w:ascii="Cambria" w:hAnsi="Cambria"/>
            <w:sz w:val="16"/>
            <w:lang w:val="pt-BR"/>
          </w:rPr>
          <w:t>http://www.oas.org/es/cidh/informes/pdfs/Proteccion-Personas-Defensoras.pdf</w:t>
        </w:r>
      </w:hyperlink>
      <w:r w:rsidRPr="003179DC">
        <w:rPr>
          <w:rFonts w:ascii="Cambria" w:hAnsi="Cambria"/>
          <w:sz w:val="16"/>
          <w:lang w:val="pt-BR"/>
        </w:rPr>
        <w:t xml:space="preserve"> (em espanhol</w:t>
      </w:r>
      <w:r>
        <w:rPr>
          <w:rFonts w:ascii="Cambria" w:hAnsi="Cambria"/>
          <w:sz w:val="16"/>
          <w:lang w:val="pt-BR"/>
        </w:rPr>
        <w:t>).</w:t>
      </w:r>
    </w:p>
  </w:footnote>
  <w:footnote w:id="18">
    <w:p w14:paraId="694C4FE7" w14:textId="50330596" w:rsidR="004C525B" w:rsidRPr="00A354B5" w:rsidRDefault="004C525B" w:rsidP="004C525B">
      <w:pPr>
        <w:pStyle w:val="FootnoteText"/>
        <w:jc w:val="both"/>
        <w:rPr>
          <w:rFonts w:ascii="Cambria" w:hAnsi="Cambria"/>
          <w:lang w:val="pt-BR"/>
        </w:rPr>
      </w:pPr>
      <w:r w:rsidRPr="008330F4">
        <w:rPr>
          <w:rStyle w:val="FootnoteReference"/>
          <w:rFonts w:ascii="Cambria" w:hAnsi="Cambria"/>
          <w:sz w:val="16"/>
        </w:rPr>
        <w:footnoteRef/>
      </w:r>
      <w:r w:rsidRPr="008330F4">
        <w:rPr>
          <w:rFonts w:ascii="Cambria" w:hAnsi="Cambria"/>
          <w:sz w:val="16"/>
          <w:lang w:val="pt-BR"/>
        </w:rPr>
        <w:t xml:space="preserve"> Segundo a Corte Interamericana: “[a] Corte estabeleceu que, em prol de garantir sua eficiência, na investigação de violações aos direitos humanos se deve evitar omiss</w:t>
      </w:r>
      <w:r>
        <w:rPr>
          <w:rFonts w:ascii="Cambria" w:hAnsi="Cambria"/>
          <w:sz w:val="16"/>
          <w:lang w:val="pt-BR"/>
        </w:rPr>
        <w:t>ões</w:t>
      </w:r>
      <w:r w:rsidRPr="008330F4">
        <w:rPr>
          <w:rFonts w:ascii="Cambria" w:hAnsi="Cambria"/>
          <w:sz w:val="16"/>
          <w:lang w:val="pt-BR"/>
        </w:rPr>
        <w:t xml:space="preserve"> </w:t>
      </w:r>
      <w:r>
        <w:rPr>
          <w:rFonts w:ascii="Cambria" w:hAnsi="Cambria"/>
          <w:sz w:val="16"/>
          <w:lang w:val="pt-BR"/>
        </w:rPr>
        <w:t xml:space="preserve">na coleta de prova e no seguimento de linhas lógicas de investigação. </w:t>
      </w:r>
      <w:r w:rsidRPr="008330F4">
        <w:rPr>
          <w:rFonts w:ascii="Cambria" w:hAnsi="Cambria"/>
          <w:sz w:val="16"/>
          <w:lang w:val="pt-BR"/>
        </w:rPr>
        <w:t xml:space="preserve">Ao respeito, a Corte precisou que, quando os fatos se referem à </w:t>
      </w:r>
      <w:r>
        <w:rPr>
          <w:rFonts w:ascii="Cambria" w:hAnsi="Cambria"/>
          <w:sz w:val="16"/>
          <w:lang w:val="pt-BR"/>
        </w:rPr>
        <w:t>m</w:t>
      </w:r>
      <w:r w:rsidRPr="008330F4">
        <w:rPr>
          <w:rFonts w:ascii="Cambria" w:hAnsi="Cambria"/>
          <w:sz w:val="16"/>
          <w:lang w:val="pt-BR"/>
        </w:rPr>
        <w:t>orte violenta de uma pessoa, a investiga</w:t>
      </w:r>
      <w:r>
        <w:rPr>
          <w:rFonts w:ascii="Cambria" w:hAnsi="Cambria"/>
          <w:sz w:val="16"/>
          <w:lang w:val="pt-BR"/>
        </w:rPr>
        <w:t xml:space="preserve">ção iniciada deve ser conduzida de tal forma que possa garantir a devida análise das hipóteses de autoria surgidas a raiz da mesma”. </w:t>
      </w:r>
      <w:r w:rsidRPr="004C525B">
        <w:rPr>
          <w:rFonts w:ascii="Cambria" w:hAnsi="Cambria"/>
          <w:sz w:val="16"/>
          <w:lang w:val="pt-BR"/>
        </w:rPr>
        <w:t xml:space="preserve">Corte IDH. Caso Defensor de Direitos Humanos e outros Vs. </w:t>
      </w:r>
      <w:r w:rsidRPr="00A354B5">
        <w:rPr>
          <w:rFonts w:ascii="Cambria" w:hAnsi="Cambria"/>
          <w:sz w:val="16"/>
          <w:lang w:val="pt-BR"/>
        </w:rPr>
        <w:t xml:space="preserve">Guatemala. </w:t>
      </w:r>
      <w:r w:rsidRPr="004C525B">
        <w:rPr>
          <w:rFonts w:ascii="Cambria" w:hAnsi="Cambria"/>
          <w:sz w:val="16"/>
          <w:lang w:val="pt-BR"/>
        </w:rPr>
        <w:t xml:space="preserve">Exceções Preliminares, Mérito, Reparações e Custos. Sentença de 28 de agosto de 2014. Serie C No. 283, par. 214. Ver também: Corte IDH. Caso Alvarado Espinoza e outros Vs. </w:t>
      </w:r>
      <w:r w:rsidRPr="00A354B5">
        <w:rPr>
          <w:rFonts w:ascii="Cambria" w:hAnsi="Cambria"/>
          <w:sz w:val="16"/>
          <w:lang w:val="pt-BR"/>
        </w:rPr>
        <w:t>México. Mérito, Reparações e Custos. Sentença de 28 de novembro de 2018. Serie C No. 370, par. 301.</w:t>
      </w:r>
    </w:p>
  </w:footnote>
  <w:footnote w:id="19">
    <w:p w14:paraId="2FA23BC4" w14:textId="13045589" w:rsidR="00697FBF" w:rsidRPr="00EA6EBF" w:rsidRDefault="00697FBF" w:rsidP="00520AC9">
      <w:pPr>
        <w:pStyle w:val="FootnoteText"/>
        <w:jc w:val="both"/>
        <w:rPr>
          <w:rFonts w:ascii="Cambria" w:hAnsi="Cambria"/>
          <w:sz w:val="16"/>
          <w:szCs w:val="16"/>
          <w:lang w:val="pt-BR"/>
        </w:rPr>
      </w:pPr>
      <w:r w:rsidRPr="00520AC9">
        <w:rPr>
          <w:rStyle w:val="FootnoteReference"/>
          <w:rFonts w:ascii="Cambria" w:hAnsi="Cambria"/>
          <w:sz w:val="16"/>
          <w:szCs w:val="16"/>
        </w:rPr>
        <w:footnoteRef/>
      </w:r>
      <w:r w:rsidRPr="00035C43">
        <w:rPr>
          <w:rFonts w:ascii="Cambria" w:hAnsi="Cambria"/>
          <w:sz w:val="16"/>
          <w:szCs w:val="16"/>
          <w:lang w:val="pt-BR"/>
        </w:rPr>
        <w:t xml:space="preserve"> </w:t>
      </w:r>
      <w:r w:rsidR="00520AC9" w:rsidRPr="00035C43">
        <w:rPr>
          <w:rFonts w:ascii="Cambria" w:hAnsi="Cambria"/>
          <w:sz w:val="16"/>
          <w:szCs w:val="16"/>
          <w:lang w:val="pt-BR"/>
        </w:rPr>
        <w:t xml:space="preserve">Ver: Corte IDH. Caso Luna López vs. Honduras. </w:t>
      </w:r>
      <w:r w:rsidR="00520AC9" w:rsidRPr="00520AC9">
        <w:rPr>
          <w:rFonts w:ascii="Cambria" w:hAnsi="Cambria"/>
          <w:sz w:val="16"/>
          <w:szCs w:val="16"/>
          <w:lang w:val="pt-BR"/>
        </w:rPr>
        <w:t xml:space="preserve">Mérito, Reparações e Custos. Sentença </w:t>
      </w:r>
      <w:r w:rsidR="00520AC9">
        <w:rPr>
          <w:rFonts w:ascii="Cambria" w:hAnsi="Cambria"/>
          <w:sz w:val="16"/>
          <w:szCs w:val="16"/>
          <w:lang w:val="pt-BR"/>
        </w:rPr>
        <w:t>de</w:t>
      </w:r>
      <w:r w:rsidR="00520AC9" w:rsidRPr="00520AC9">
        <w:rPr>
          <w:rFonts w:ascii="Cambria" w:hAnsi="Cambria"/>
          <w:sz w:val="16"/>
          <w:szCs w:val="16"/>
          <w:lang w:val="pt-BR"/>
        </w:rPr>
        <w:t xml:space="preserve"> 10 de </w:t>
      </w:r>
      <w:r w:rsidR="00520AC9">
        <w:rPr>
          <w:rFonts w:ascii="Cambria" w:hAnsi="Cambria"/>
          <w:sz w:val="16"/>
          <w:szCs w:val="16"/>
          <w:lang w:val="pt-BR"/>
        </w:rPr>
        <w:t>outubro</w:t>
      </w:r>
      <w:r w:rsidR="00520AC9" w:rsidRPr="00520AC9">
        <w:rPr>
          <w:rFonts w:ascii="Cambria" w:hAnsi="Cambria"/>
          <w:sz w:val="16"/>
          <w:szCs w:val="16"/>
          <w:lang w:val="pt-BR"/>
        </w:rPr>
        <w:t xml:space="preserve"> de 2013. Serie C. No. 269, par. 127. Disponível em: http://www.corteidh.or.cr/docs/casos/articulos/seriec_269_esp.pdf; CIDH, M. I. F. M. </w:t>
      </w:r>
      <w:r w:rsidR="00520AC9">
        <w:rPr>
          <w:rFonts w:ascii="Cambria" w:hAnsi="Cambria"/>
          <w:sz w:val="16"/>
          <w:szCs w:val="16"/>
          <w:lang w:val="pt-BR"/>
        </w:rPr>
        <w:t>e famí</w:t>
      </w:r>
      <w:r w:rsidR="00520AC9" w:rsidRPr="00520AC9">
        <w:rPr>
          <w:rFonts w:ascii="Cambria" w:hAnsi="Cambria"/>
          <w:sz w:val="16"/>
          <w:szCs w:val="16"/>
          <w:lang w:val="pt-BR"/>
        </w:rPr>
        <w:t xml:space="preserve">lia </w:t>
      </w:r>
      <w:r w:rsidR="00520AC9">
        <w:rPr>
          <w:rFonts w:ascii="Cambria" w:hAnsi="Cambria"/>
          <w:sz w:val="16"/>
          <w:szCs w:val="16"/>
          <w:lang w:val="pt-BR"/>
        </w:rPr>
        <w:t>com relação à Colô</w:t>
      </w:r>
      <w:r w:rsidR="00520AC9" w:rsidRPr="00520AC9">
        <w:rPr>
          <w:rFonts w:ascii="Cambria" w:hAnsi="Cambria"/>
          <w:sz w:val="16"/>
          <w:szCs w:val="16"/>
          <w:lang w:val="pt-BR"/>
        </w:rPr>
        <w:t xml:space="preserve">mbia (MC 1212-19), </w:t>
      </w:r>
      <w:r w:rsidR="00520AC9">
        <w:rPr>
          <w:rFonts w:ascii="Cambria" w:hAnsi="Cambria"/>
          <w:sz w:val="16"/>
          <w:szCs w:val="16"/>
          <w:lang w:val="pt-BR"/>
        </w:rPr>
        <w:t>Resolução</w:t>
      </w:r>
      <w:r w:rsidR="00520AC9" w:rsidRPr="00520AC9">
        <w:rPr>
          <w:rFonts w:ascii="Cambria" w:hAnsi="Cambria"/>
          <w:sz w:val="16"/>
          <w:szCs w:val="16"/>
          <w:lang w:val="pt-BR"/>
        </w:rPr>
        <w:t xml:space="preserve"> 9/2020, 5 de </w:t>
      </w:r>
      <w:r w:rsidR="00520AC9">
        <w:rPr>
          <w:rFonts w:ascii="Cambria" w:hAnsi="Cambria"/>
          <w:sz w:val="16"/>
          <w:szCs w:val="16"/>
          <w:lang w:val="pt-BR"/>
        </w:rPr>
        <w:t>fevereiro</w:t>
      </w:r>
      <w:r w:rsidR="00520AC9" w:rsidRPr="00520AC9">
        <w:rPr>
          <w:rFonts w:ascii="Cambria" w:hAnsi="Cambria"/>
          <w:sz w:val="16"/>
          <w:szCs w:val="16"/>
          <w:lang w:val="pt-BR"/>
        </w:rPr>
        <w:t xml:space="preserve"> de 2020. Dispon</w:t>
      </w:r>
      <w:r w:rsidR="00520AC9">
        <w:rPr>
          <w:rFonts w:ascii="Cambria" w:hAnsi="Cambria"/>
          <w:sz w:val="16"/>
          <w:szCs w:val="16"/>
          <w:lang w:val="pt-BR"/>
        </w:rPr>
        <w:t>ível em</w:t>
      </w:r>
      <w:r w:rsidR="00520AC9" w:rsidRPr="00520AC9">
        <w:rPr>
          <w:rFonts w:ascii="Cambria" w:hAnsi="Cambria"/>
          <w:sz w:val="16"/>
          <w:szCs w:val="16"/>
          <w:lang w:val="pt-BR"/>
        </w:rPr>
        <w:t xml:space="preserve">: http://www.oas.org/es/cidh/decisiones/pdf/2020/9-20MC1212-19-CO.pdf. </w:t>
      </w:r>
      <w:r w:rsidR="00520AC9">
        <w:rPr>
          <w:rFonts w:ascii="Cambria" w:hAnsi="Cambria"/>
          <w:sz w:val="16"/>
          <w:szCs w:val="16"/>
          <w:lang w:val="pt-BR"/>
        </w:rPr>
        <w:t>Ver</w:t>
      </w:r>
      <w:r w:rsidR="00520AC9" w:rsidRPr="00520AC9">
        <w:rPr>
          <w:rFonts w:ascii="Cambria" w:hAnsi="Cambria"/>
          <w:sz w:val="16"/>
          <w:szCs w:val="16"/>
          <w:lang w:val="pt-BR"/>
        </w:rPr>
        <w:t xml:space="preserve"> </w:t>
      </w:r>
      <w:r w:rsidR="00520AC9" w:rsidRPr="00520AC9">
        <w:rPr>
          <w:rFonts w:ascii="Cambria" w:hAnsi="Cambria"/>
          <w:i/>
          <w:sz w:val="16"/>
          <w:szCs w:val="16"/>
          <w:lang w:val="pt-BR"/>
        </w:rPr>
        <w:t>inter alia</w:t>
      </w:r>
      <w:r w:rsidR="00520AC9" w:rsidRPr="00520AC9">
        <w:rPr>
          <w:rFonts w:ascii="Cambria" w:hAnsi="Cambria"/>
          <w:sz w:val="16"/>
          <w:szCs w:val="16"/>
          <w:lang w:val="pt-BR"/>
        </w:rPr>
        <w:t xml:space="preserve">: CIDH, Maria Patricia Arce Guzmán e </w:t>
      </w:r>
      <w:r w:rsidR="00520AC9">
        <w:rPr>
          <w:rFonts w:ascii="Cambria" w:hAnsi="Cambria"/>
          <w:sz w:val="16"/>
          <w:szCs w:val="16"/>
          <w:lang w:val="pt-BR"/>
        </w:rPr>
        <w:t>filhos com relação à Bolí</w:t>
      </w:r>
      <w:r w:rsidR="00520AC9" w:rsidRPr="00520AC9">
        <w:rPr>
          <w:rFonts w:ascii="Cambria" w:hAnsi="Cambria"/>
          <w:sz w:val="16"/>
          <w:szCs w:val="16"/>
          <w:lang w:val="pt-BR"/>
        </w:rPr>
        <w:t>via (MC-1123-19), Resolu</w:t>
      </w:r>
      <w:r w:rsidR="00520AC9">
        <w:rPr>
          <w:rFonts w:ascii="Cambria" w:hAnsi="Cambria"/>
          <w:sz w:val="16"/>
          <w:szCs w:val="16"/>
          <w:lang w:val="pt-BR"/>
        </w:rPr>
        <w:t>ção</w:t>
      </w:r>
      <w:r w:rsidR="00520AC9" w:rsidRPr="00520AC9">
        <w:rPr>
          <w:rFonts w:ascii="Cambria" w:hAnsi="Cambria"/>
          <w:sz w:val="16"/>
          <w:szCs w:val="16"/>
          <w:lang w:val="pt-BR"/>
        </w:rPr>
        <w:t xml:space="preserve"> 68/2019 de 25 de </w:t>
      </w:r>
      <w:r w:rsidR="00520AC9">
        <w:rPr>
          <w:rFonts w:ascii="Cambria" w:hAnsi="Cambria"/>
          <w:sz w:val="16"/>
          <w:szCs w:val="16"/>
          <w:lang w:val="pt-BR"/>
        </w:rPr>
        <w:t>dezembro</w:t>
      </w:r>
      <w:r w:rsidR="00520AC9" w:rsidRPr="00520AC9">
        <w:rPr>
          <w:rFonts w:ascii="Cambria" w:hAnsi="Cambria"/>
          <w:sz w:val="16"/>
          <w:szCs w:val="16"/>
          <w:lang w:val="pt-BR"/>
        </w:rPr>
        <w:t xml:space="preserve"> de 2019, </w:t>
      </w:r>
      <w:r w:rsidR="009F13DC">
        <w:rPr>
          <w:rFonts w:ascii="Cambria" w:hAnsi="Cambria"/>
          <w:sz w:val="16"/>
          <w:szCs w:val="16"/>
          <w:lang w:val="pt-BR"/>
        </w:rPr>
        <w:t>par</w:t>
      </w:r>
      <w:r w:rsidR="00520AC9" w:rsidRPr="00520AC9">
        <w:rPr>
          <w:rFonts w:ascii="Cambria" w:hAnsi="Cambria"/>
          <w:sz w:val="16"/>
          <w:szCs w:val="16"/>
          <w:lang w:val="pt-BR"/>
        </w:rPr>
        <w:t>. 32, disponível em:</w:t>
      </w:r>
      <w:r w:rsidR="00520AC9">
        <w:rPr>
          <w:rFonts w:ascii="Cambria" w:hAnsi="Cambria"/>
          <w:sz w:val="16"/>
          <w:szCs w:val="16"/>
          <w:lang w:val="pt-BR"/>
        </w:rPr>
        <w:t xml:space="preserve"> </w:t>
      </w:r>
      <w:r w:rsidR="00520AC9" w:rsidRPr="00520AC9">
        <w:rPr>
          <w:rFonts w:ascii="Cambria" w:hAnsi="Cambria"/>
          <w:sz w:val="16"/>
          <w:szCs w:val="16"/>
          <w:lang w:val="pt-BR"/>
        </w:rPr>
        <w:t>http://www.oas.org/es/cidh/decisiones/pdf/2019/68-19MC1123-19-BO.pdf; Yaku Pérez Guartambel (MC 807/18), E</w:t>
      </w:r>
      <w:r w:rsidR="00EA6EBF">
        <w:rPr>
          <w:rFonts w:ascii="Cambria" w:hAnsi="Cambria"/>
          <w:sz w:val="16"/>
          <w:szCs w:val="16"/>
          <w:lang w:val="pt-BR"/>
        </w:rPr>
        <w:t>qu</w:t>
      </w:r>
      <w:r w:rsidR="00520AC9" w:rsidRPr="00520AC9">
        <w:rPr>
          <w:rFonts w:ascii="Cambria" w:hAnsi="Cambria"/>
          <w:sz w:val="16"/>
          <w:szCs w:val="16"/>
          <w:lang w:val="pt-BR"/>
        </w:rPr>
        <w:t>ador, Resolu</w:t>
      </w:r>
      <w:r w:rsidR="00EA6EBF">
        <w:rPr>
          <w:rFonts w:ascii="Cambria" w:hAnsi="Cambria"/>
          <w:sz w:val="16"/>
          <w:szCs w:val="16"/>
          <w:lang w:val="pt-BR"/>
        </w:rPr>
        <w:t>ção</w:t>
      </w:r>
      <w:r w:rsidR="00520AC9" w:rsidRPr="00520AC9">
        <w:rPr>
          <w:rFonts w:ascii="Cambria" w:hAnsi="Cambria"/>
          <w:sz w:val="16"/>
          <w:szCs w:val="16"/>
          <w:lang w:val="pt-BR"/>
        </w:rPr>
        <w:t xml:space="preserve"> 67/18 de 27 de agosto de 2019, </w:t>
      </w:r>
      <w:r w:rsidR="00EA6EBF">
        <w:rPr>
          <w:rFonts w:ascii="Cambria" w:hAnsi="Cambria"/>
          <w:sz w:val="16"/>
          <w:szCs w:val="16"/>
          <w:lang w:val="pt-BR"/>
        </w:rPr>
        <w:t>par</w:t>
      </w:r>
      <w:r w:rsidR="00520AC9" w:rsidRPr="00520AC9">
        <w:rPr>
          <w:rFonts w:ascii="Cambria" w:hAnsi="Cambria"/>
          <w:sz w:val="16"/>
          <w:szCs w:val="16"/>
          <w:lang w:val="pt-BR"/>
        </w:rPr>
        <w:t xml:space="preserve">. </w:t>
      </w:r>
      <w:r w:rsidR="00520AC9" w:rsidRPr="00EA6EBF">
        <w:rPr>
          <w:rFonts w:ascii="Cambria" w:hAnsi="Cambria"/>
          <w:sz w:val="16"/>
          <w:szCs w:val="16"/>
          <w:lang w:val="pt-BR"/>
        </w:rPr>
        <w:t>30. Dispon</w:t>
      </w:r>
      <w:r w:rsidR="00EA6EBF" w:rsidRPr="00EA6EBF">
        <w:rPr>
          <w:rFonts w:ascii="Cambria" w:hAnsi="Cambria"/>
          <w:sz w:val="16"/>
          <w:szCs w:val="16"/>
          <w:lang w:val="pt-BR"/>
        </w:rPr>
        <w:t>ível em</w:t>
      </w:r>
      <w:r w:rsidR="00520AC9" w:rsidRPr="00EA6EBF">
        <w:rPr>
          <w:rFonts w:ascii="Cambria" w:hAnsi="Cambria"/>
          <w:sz w:val="16"/>
          <w:szCs w:val="16"/>
          <w:lang w:val="pt-BR"/>
        </w:rPr>
        <w:t xml:space="preserve"> en: http://www.oas.org/es/cidh/decisiones/pdf/2018/67-18MC807-18- EC.pdf.</w:t>
      </w:r>
    </w:p>
  </w:footnote>
  <w:footnote w:id="20">
    <w:p w14:paraId="7DDBA8CA" w14:textId="77777777" w:rsidR="00481DE1" w:rsidRPr="00D72164" w:rsidRDefault="00481DE1" w:rsidP="00D72164">
      <w:pPr>
        <w:pStyle w:val="FootnoteText"/>
        <w:jc w:val="both"/>
        <w:rPr>
          <w:rFonts w:ascii="Cambria" w:hAnsi="Cambria"/>
          <w:lang w:val="pt-BR"/>
        </w:rPr>
      </w:pPr>
      <w:r w:rsidRPr="00D72164">
        <w:rPr>
          <w:rStyle w:val="FootnoteReference"/>
          <w:rFonts w:ascii="Cambria" w:hAnsi="Cambria"/>
          <w:sz w:val="16"/>
        </w:rPr>
        <w:footnoteRef/>
      </w:r>
      <w:r w:rsidRPr="00D72164">
        <w:rPr>
          <w:rFonts w:ascii="Cambria" w:hAnsi="Cambria"/>
          <w:sz w:val="16"/>
          <w:lang w:val="pt-BR"/>
        </w:rPr>
        <w:t xml:space="preserve">Nessa mesma linha, a CIDH compreende que os fatos que atentam contra a segurança dos </w:t>
      </w:r>
      <w:r w:rsidR="00D72164" w:rsidRPr="00D72164">
        <w:rPr>
          <w:rFonts w:ascii="Cambria" w:hAnsi="Cambria"/>
          <w:sz w:val="16"/>
          <w:lang w:val="pt-BR"/>
        </w:rPr>
        <w:t>territórios coletivos</w:t>
      </w:r>
      <w:r w:rsidRPr="00D72164">
        <w:rPr>
          <w:rFonts w:ascii="Cambria" w:hAnsi="Cambria"/>
          <w:sz w:val="16"/>
          <w:lang w:val="pt-BR"/>
        </w:rPr>
        <w:t xml:space="preserve"> étnicos-raciais gerando desapropriação territorial e deslocamento forçado</w:t>
      </w:r>
      <w:r w:rsidR="00D72164" w:rsidRPr="00D72164">
        <w:rPr>
          <w:rFonts w:ascii="Cambria" w:hAnsi="Cambria"/>
          <w:sz w:val="16"/>
          <w:lang w:val="pt-BR"/>
        </w:rPr>
        <w:t xml:space="preserve"> não apenas rompem a estrutura social das mesmas, mas tamb</w:t>
      </w:r>
      <w:r w:rsidR="00D72164">
        <w:rPr>
          <w:rFonts w:ascii="Cambria" w:hAnsi="Cambria"/>
          <w:sz w:val="16"/>
          <w:lang w:val="pt-BR"/>
        </w:rPr>
        <w:t>ém tê</w:t>
      </w:r>
      <w:r w:rsidR="00D72164" w:rsidRPr="00D72164">
        <w:rPr>
          <w:rFonts w:ascii="Cambria" w:hAnsi="Cambria"/>
          <w:sz w:val="16"/>
          <w:lang w:val="pt-BR"/>
        </w:rPr>
        <w:t xml:space="preserve">m um impacto diferenciado e desproporcional em comparação </w:t>
      </w:r>
      <w:r w:rsidR="00D72164">
        <w:rPr>
          <w:rFonts w:ascii="Cambria" w:hAnsi="Cambria"/>
          <w:sz w:val="16"/>
          <w:lang w:val="pt-BR"/>
        </w:rPr>
        <w:t>com o</w:t>
      </w:r>
      <w:r w:rsidR="00D72164" w:rsidRPr="00D72164">
        <w:rPr>
          <w:rFonts w:ascii="Cambria" w:hAnsi="Cambria"/>
          <w:sz w:val="16"/>
          <w:lang w:val="pt-BR"/>
        </w:rPr>
        <w:t xml:space="preserve"> restante da sociedade.</w:t>
      </w:r>
    </w:p>
  </w:footnote>
  <w:footnote w:id="21">
    <w:p w14:paraId="6EE73E5F" w14:textId="77777777" w:rsidR="00374A0B" w:rsidRPr="00374A0B" w:rsidRDefault="00374A0B">
      <w:pPr>
        <w:pStyle w:val="FootnoteText"/>
        <w:rPr>
          <w:rFonts w:ascii="Cambria" w:hAnsi="Cambria"/>
          <w:lang w:val="pt-BR"/>
        </w:rPr>
      </w:pPr>
      <w:r w:rsidRPr="00374A0B">
        <w:rPr>
          <w:rStyle w:val="FootnoteReference"/>
          <w:rFonts w:ascii="Cambria" w:hAnsi="Cambria"/>
          <w:sz w:val="16"/>
        </w:rPr>
        <w:footnoteRef/>
      </w:r>
      <w:r w:rsidRPr="00374A0B">
        <w:rPr>
          <w:rFonts w:ascii="Cambria" w:hAnsi="Cambria"/>
          <w:sz w:val="16"/>
          <w:lang w:val="pt-BR"/>
        </w:rPr>
        <w:t xml:space="preserve"> </w:t>
      </w:r>
      <w:r w:rsidRPr="00374A0B">
        <w:rPr>
          <w:rFonts w:ascii="Cambria" w:hAnsi="Cambria"/>
          <w:sz w:val="16"/>
          <w:lang w:val="pt-BR"/>
        </w:rPr>
        <w:t xml:space="preserve">Disponível em: </w:t>
      </w:r>
      <w:hyperlink r:id="rId3" w:history="1">
        <w:r w:rsidRPr="00374A0B">
          <w:rPr>
            <w:rStyle w:val="Hyperlink"/>
            <w:rFonts w:ascii="Cambria" w:hAnsi="Cambria"/>
            <w:sz w:val="16"/>
            <w:lang w:val="pt-BR"/>
          </w:rPr>
          <w:t>https://www.oas.org/es/cidh/decisiones/pdf/Resolucion-1-20-es.pdf</w:t>
        </w:r>
      </w:hyperlink>
      <w:r w:rsidRPr="00374A0B">
        <w:rPr>
          <w:rFonts w:ascii="Cambria" w:hAnsi="Cambria"/>
          <w:sz w:val="16"/>
          <w:lang w:val="pt-BR"/>
        </w:rPr>
        <w:t xml:space="preserve"> (em espanhol).</w:t>
      </w:r>
    </w:p>
  </w:footnote>
  <w:footnote w:id="22">
    <w:p w14:paraId="3850BF6B" w14:textId="77777777" w:rsidR="00094F85" w:rsidRPr="00094F85" w:rsidRDefault="00094F85" w:rsidP="00094F85">
      <w:pPr>
        <w:pStyle w:val="FootnoteText"/>
        <w:jc w:val="both"/>
        <w:rPr>
          <w:rFonts w:ascii="Cambria" w:hAnsi="Cambria"/>
          <w:sz w:val="16"/>
          <w:lang w:val="pt-BR"/>
        </w:rPr>
      </w:pPr>
      <w:r w:rsidRPr="00094F85">
        <w:rPr>
          <w:rStyle w:val="FootnoteReference"/>
          <w:rFonts w:ascii="Cambria" w:hAnsi="Cambria"/>
          <w:sz w:val="16"/>
        </w:rPr>
        <w:footnoteRef/>
      </w:r>
      <w:r w:rsidRPr="00094F85">
        <w:rPr>
          <w:rFonts w:ascii="Cambria" w:hAnsi="Cambria"/>
          <w:sz w:val="16"/>
          <w:lang w:val="pt-BR"/>
        </w:rPr>
        <w:t xml:space="preserve"> Nações Unidas, Formas contemporâneas de racism</w:t>
      </w:r>
      <w:r>
        <w:rPr>
          <w:rFonts w:ascii="Cambria" w:hAnsi="Cambria"/>
          <w:sz w:val="16"/>
          <w:lang w:val="pt-BR"/>
        </w:rPr>
        <w:t>o</w:t>
      </w:r>
      <w:r w:rsidRPr="00094F85">
        <w:rPr>
          <w:rFonts w:ascii="Cambria" w:hAnsi="Cambria"/>
          <w:sz w:val="16"/>
          <w:lang w:val="pt-BR"/>
        </w:rPr>
        <w:t xml:space="preserve">, discriminação racial, xenofobia e formas conexas de intolerância, 2019, A/74/321. Disponível em: </w:t>
      </w:r>
      <w:hyperlink r:id="rId4" w:history="1">
        <w:r w:rsidRPr="00094F85">
          <w:rPr>
            <w:rStyle w:val="Hyperlink"/>
            <w:rFonts w:ascii="Cambria" w:hAnsi="Cambria"/>
            <w:sz w:val="16"/>
            <w:lang w:val="pt-BR"/>
          </w:rPr>
          <w:t>https://undocs.org/es/A/74/321</w:t>
        </w:r>
      </w:hyperlink>
      <w:r w:rsidRPr="00094F85">
        <w:rPr>
          <w:rFonts w:ascii="Cambria" w:hAnsi="Cambria"/>
          <w:sz w:val="16"/>
          <w:lang w:val="pt-BR"/>
        </w:rPr>
        <w:t xml:space="preserve"> (em espanhol).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E2CC" w14:textId="77777777" w:rsidR="004C525B" w:rsidRPr="00436700" w:rsidRDefault="004C525B" w:rsidP="00681654">
    <w:pPr>
      <w:tabs>
        <w:tab w:val="left" w:pos="4040"/>
        <w:tab w:val="left" w:pos="4333"/>
        <w:tab w:val="center" w:pos="4680"/>
        <w:tab w:val="right" w:pos="9360"/>
      </w:tabs>
      <w:spacing w:after="0"/>
      <w:rPr>
        <w:rFonts w:eastAsia="Calibri"/>
        <w:lang w:val="en-US"/>
      </w:rPr>
    </w:pPr>
    <w:r>
      <w:rPr>
        <w:noProof/>
        <w:lang w:val="en-US"/>
      </w:rPr>
      <w:drawing>
        <wp:anchor distT="0" distB="0" distL="114300" distR="114300" simplePos="0" relativeHeight="251658240" behindDoc="0" locked="0" layoutInCell="1" allowOverlap="1" wp14:anchorId="7E1AD115" wp14:editId="65D40C63">
          <wp:simplePos x="0" y="0"/>
          <wp:positionH relativeFrom="margin">
            <wp:posOffset>3524402</wp:posOffset>
          </wp:positionH>
          <wp:positionV relativeFrom="margin">
            <wp:posOffset>-998651</wp:posOffset>
          </wp:positionV>
          <wp:extent cx="2133600" cy="590550"/>
          <wp:effectExtent l="0" t="0" r="0" b="0"/>
          <wp:wrapSquare wrapText="bothSides"/>
          <wp:docPr id="10" name="Picture 10" descr="OAS_Seal_POR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_Seal_POR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2EC1240" wp14:editId="0584E464">
          <wp:extent cx="2245995" cy="431800"/>
          <wp:effectExtent l="0" t="0" r="1905" b="6350"/>
          <wp:docPr id="9" name="Picture 9" descr="cidh-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h-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995" cy="43180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p>
  <w:p w14:paraId="2E335B2A" w14:textId="77777777" w:rsidR="004C525B" w:rsidRPr="00436700" w:rsidRDefault="004C525B" w:rsidP="00681654">
    <w:pPr>
      <w:pBdr>
        <w:bottom w:val="single" w:sz="6" w:space="1" w:color="auto"/>
      </w:pBdr>
      <w:tabs>
        <w:tab w:val="center" w:pos="4680"/>
        <w:tab w:val="right" w:pos="9360"/>
      </w:tabs>
      <w:spacing w:after="0"/>
    </w:pPr>
  </w:p>
  <w:p w14:paraId="033D36CC" w14:textId="77777777" w:rsidR="004C525B" w:rsidRPr="00E24662" w:rsidRDefault="004C525B" w:rsidP="00681654">
    <w:pPr>
      <w:tabs>
        <w:tab w:val="left" w:pos="4040"/>
        <w:tab w:val="left" w:pos="4333"/>
        <w:tab w:val="center" w:pos="4680"/>
        <w:tab w:val="right" w:pos="9360"/>
      </w:tabs>
      <w:spacing w:after="0"/>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F20"/>
    <w:multiLevelType w:val="hybridMultilevel"/>
    <w:tmpl w:val="8CD2E3E2"/>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 w15:restartNumberingAfterBreak="0">
    <w:nsid w:val="1035011B"/>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6B7E"/>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33E8"/>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C3A76"/>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47440"/>
    <w:multiLevelType w:val="multilevel"/>
    <w:tmpl w:val="0DCA3F5C"/>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531038"/>
    <w:multiLevelType w:val="hybridMultilevel"/>
    <w:tmpl w:val="0BBC8840"/>
    <w:lvl w:ilvl="0" w:tplc="EAFEC8A6">
      <w:start w:val="3"/>
      <w:numFmt w:val="bullet"/>
      <w:lvlText w:val="-"/>
      <w:lvlJc w:val="left"/>
      <w:pPr>
        <w:ind w:left="1080" w:hanging="360"/>
      </w:pPr>
      <w:rPr>
        <w:rFonts w:ascii="Cambria" w:eastAsia="Batang" w:hAnsi="Cambria" w:cs="Times New Roman"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8" w15:restartNumberingAfterBreak="0">
    <w:nsid w:val="20E77E93"/>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02D98"/>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94192"/>
    <w:multiLevelType w:val="multilevel"/>
    <w:tmpl w:val="0DCA3F5C"/>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7A26CF"/>
    <w:multiLevelType w:val="hybridMultilevel"/>
    <w:tmpl w:val="8646C254"/>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852AC"/>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97D16"/>
    <w:multiLevelType w:val="hybridMultilevel"/>
    <w:tmpl w:val="05480F94"/>
    <w:lvl w:ilvl="0" w:tplc="540A000F">
      <w:start w:val="1"/>
      <w:numFmt w:val="decimal"/>
      <w:lvlText w:val="%1."/>
      <w:lvlJc w:val="left"/>
      <w:pPr>
        <w:ind w:left="1146" w:hanging="360"/>
      </w:pPr>
    </w:lvl>
    <w:lvl w:ilvl="1" w:tplc="540A0019" w:tentative="1">
      <w:start w:val="1"/>
      <w:numFmt w:val="lowerLetter"/>
      <w:lvlText w:val="%2."/>
      <w:lvlJc w:val="left"/>
      <w:pPr>
        <w:ind w:left="1866" w:hanging="360"/>
      </w:pPr>
    </w:lvl>
    <w:lvl w:ilvl="2" w:tplc="540A001B" w:tentative="1">
      <w:start w:val="1"/>
      <w:numFmt w:val="lowerRoman"/>
      <w:lvlText w:val="%3."/>
      <w:lvlJc w:val="right"/>
      <w:pPr>
        <w:ind w:left="2586" w:hanging="180"/>
      </w:pPr>
    </w:lvl>
    <w:lvl w:ilvl="3" w:tplc="540A000F" w:tentative="1">
      <w:start w:val="1"/>
      <w:numFmt w:val="decimal"/>
      <w:lvlText w:val="%4."/>
      <w:lvlJc w:val="left"/>
      <w:pPr>
        <w:ind w:left="3306" w:hanging="360"/>
      </w:pPr>
    </w:lvl>
    <w:lvl w:ilvl="4" w:tplc="540A0019" w:tentative="1">
      <w:start w:val="1"/>
      <w:numFmt w:val="lowerLetter"/>
      <w:lvlText w:val="%5."/>
      <w:lvlJc w:val="left"/>
      <w:pPr>
        <w:ind w:left="4026" w:hanging="360"/>
      </w:pPr>
    </w:lvl>
    <w:lvl w:ilvl="5" w:tplc="540A001B" w:tentative="1">
      <w:start w:val="1"/>
      <w:numFmt w:val="lowerRoman"/>
      <w:lvlText w:val="%6."/>
      <w:lvlJc w:val="right"/>
      <w:pPr>
        <w:ind w:left="4746" w:hanging="180"/>
      </w:pPr>
    </w:lvl>
    <w:lvl w:ilvl="6" w:tplc="540A000F" w:tentative="1">
      <w:start w:val="1"/>
      <w:numFmt w:val="decimal"/>
      <w:lvlText w:val="%7."/>
      <w:lvlJc w:val="left"/>
      <w:pPr>
        <w:ind w:left="5466" w:hanging="360"/>
      </w:pPr>
    </w:lvl>
    <w:lvl w:ilvl="7" w:tplc="540A0019" w:tentative="1">
      <w:start w:val="1"/>
      <w:numFmt w:val="lowerLetter"/>
      <w:lvlText w:val="%8."/>
      <w:lvlJc w:val="left"/>
      <w:pPr>
        <w:ind w:left="6186" w:hanging="360"/>
      </w:pPr>
    </w:lvl>
    <w:lvl w:ilvl="8" w:tplc="540A001B" w:tentative="1">
      <w:start w:val="1"/>
      <w:numFmt w:val="lowerRoman"/>
      <w:lvlText w:val="%9."/>
      <w:lvlJc w:val="right"/>
      <w:pPr>
        <w:ind w:left="6906" w:hanging="180"/>
      </w:pPr>
    </w:lvl>
  </w:abstractNum>
  <w:abstractNum w:abstractNumId="14" w15:restartNumberingAfterBreak="0">
    <w:nsid w:val="3F7351F6"/>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30594"/>
    <w:multiLevelType w:val="multilevel"/>
    <w:tmpl w:val="9AFC5F32"/>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2F5DC0"/>
    <w:multiLevelType w:val="hybridMultilevel"/>
    <w:tmpl w:val="B5A2960E"/>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48897667"/>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3307A"/>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81CBF"/>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C32C7"/>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946C5"/>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538B2"/>
    <w:multiLevelType w:val="hybridMultilevel"/>
    <w:tmpl w:val="7D34A2C0"/>
    <w:lvl w:ilvl="0" w:tplc="04090017">
      <w:start w:val="1"/>
      <w:numFmt w:val="lowerLetter"/>
      <w:lvlText w:val="%1)"/>
      <w:lvlJc w:val="left"/>
      <w:pPr>
        <w:ind w:left="1080" w:hanging="360"/>
      </w:pPr>
    </w:lvl>
    <w:lvl w:ilvl="1" w:tplc="540A0019">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3" w15:restartNumberingAfterBreak="0">
    <w:nsid w:val="5EB62FBE"/>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37987"/>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2A2861"/>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06950"/>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13794"/>
    <w:multiLevelType w:val="hybridMultilevel"/>
    <w:tmpl w:val="ED488F48"/>
    <w:lvl w:ilvl="0" w:tplc="2AC6410E">
      <w:start w:val="1"/>
      <w:numFmt w:val="decimal"/>
      <w:lvlText w:val="%1."/>
      <w:lvlJc w:val="center"/>
      <w:pPr>
        <w:ind w:left="6314"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EA01A9"/>
    <w:multiLevelType w:val="hybridMultilevel"/>
    <w:tmpl w:val="ED488F48"/>
    <w:lvl w:ilvl="0" w:tplc="2AC6410E">
      <w:start w:val="1"/>
      <w:numFmt w:val="decimal"/>
      <w:lvlText w:val="%1."/>
      <w:lvlJc w:val="center"/>
      <w:pPr>
        <w:ind w:left="928" w:hanging="360"/>
      </w:pPr>
      <w:rPr>
        <w:rFonts w:ascii="Cambria" w:hAnsi="Cambria" w:hint="default"/>
        <w:b w:val="0"/>
        <w:color w:val="auto"/>
        <w:sz w:val="21"/>
        <w:szCs w:val="21"/>
      </w:rPr>
    </w:lvl>
    <w:lvl w:ilvl="1" w:tplc="C5CE00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10"/>
  </w:num>
  <w:num w:numId="5">
    <w:abstractNumId w:val="7"/>
  </w:num>
  <w:num w:numId="6">
    <w:abstractNumId w:val="22"/>
  </w:num>
  <w:num w:numId="7">
    <w:abstractNumId w:val="13"/>
  </w:num>
  <w:num w:numId="8">
    <w:abstractNumId w:val="21"/>
  </w:num>
  <w:num w:numId="9">
    <w:abstractNumId w:val="0"/>
  </w:num>
  <w:num w:numId="10">
    <w:abstractNumId w:val="5"/>
  </w:num>
  <w:num w:numId="11">
    <w:abstractNumId w:val="12"/>
  </w:num>
  <w:num w:numId="12">
    <w:abstractNumId w:val="23"/>
  </w:num>
  <w:num w:numId="13">
    <w:abstractNumId w:val="2"/>
  </w:num>
  <w:num w:numId="14">
    <w:abstractNumId w:val="25"/>
  </w:num>
  <w:num w:numId="15">
    <w:abstractNumId w:val="4"/>
  </w:num>
  <w:num w:numId="16">
    <w:abstractNumId w:val="16"/>
  </w:num>
  <w:num w:numId="17">
    <w:abstractNumId w:val="1"/>
  </w:num>
  <w:num w:numId="18">
    <w:abstractNumId w:val="8"/>
  </w:num>
  <w:num w:numId="19">
    <w:abstractNumId w:val="28"/>
  </w:num>
  <w:num w:numId="20">
    <w:abstractNumId w:val="14"/>
  </w:num>
  <w:num w:numId="21">
    <w:abstractNumId w:val="26"/>
  </w:num>
  <w:num w:numId="22">
    <w:abstractNumId w:val="17"/>
  </w:num>
  <w:num w:numId="23">
    <w:abstractNumId w:val="19"/>
  </w:num>
  <w:num w:numId="24">
    <w:abstractNumId w:val="24"/>
  </w:num>
  <w:num w:numId="25">
    <w:abstractNumId w:val="27"/>
  </w:num>
  <w:num w:numId="26">
    <w:abstractNumId w:val="18"/>
  </w:num>
  <w:num w:numId="27">
    <w:abstractNumId w:val="20"/>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US" w:vendorID="64" w:dllVersion="6" w:nlCheck="1" w:checkStyle="0"/>
  <w:activeWritingStyle w:appName="MSWord" w:lang="es-MX" w:vendorID="64" w:dllVersion="6" w:nlCheck="1" w:checkStyle="0"/>
  <w:activeWritingStyle w:appName="MSWord" w:lang="pt-BR" w:vendorID="64" w:dllVersion="4096" w:nlCheck="1" w:checkStyle="0"/>
  <w:activeWritingStyle w:appName="MSWord" w:lang="pt-BR" w:vendorID="64" w:dllVersion="131078" w:nlCheck="1" w:checkStyle="0"/>
  <w:activeWritingStyle w:appName="MSWord" w:lang="es-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95"/>
    <w:rsid w:val="000059F9"/>
    <w:rsid w:val="00006FF8"/>
    <w:rsid w:val="0001572C"/>
    <w:rsid w:val="00017753"/>
    <w:rsid w:val="000200A8"/>
    <w:rsid w:val="000305BE"/>
    <w:rsid w:val="00031D25"/>
    <w:rsid w:val="0003287D"/>
    <w:rsid w:val="00035C43"/>
    <w:rsid w:val="00037EA2"/>
    <w:rsid w:val="00037EAC"/>
    <w:rsid w:val="0004204E"/>
    <w:rsid w:val="00042AA7"/>
    <w:rsid w:val="00043815"/>
    <w:rsid w:val="0004558C"/>
    <w:rsid w:val="00045912"/>
    <w:rsid w:val="0004635F"/>
    <w:rsid w:val="00052559"/>
    <w:rsid w:val="00052639"/>
    <w:rsid w:val="00053922"/>
    <w:rsid w:val="00055658"/>
    <w:rsid w:val="00061CBE"/>
    <w:rsid w:val="00062408"/>
    <w:rsid w:val="000632FD"/>
    <w:rsid w:val="000635BA"/>
    <w:rsid w:val="00064CED"/>
    <w:rsid w:val="000656BE"/>
    <w:rsid w:val="00066D5D"/>
    <w:rsid w:val="00072E2D"/>
    <w:rsid w:val="00075327"/>
    <w:rsid w:val="00080DA3"/>
    <w:rsid w:val="00083CA3"/>
    <w:rsid w:val="00085043"/>
    <w:rsid w:val="000866EE"/>
    <w:rsid w:val="00086858"/>
    <w:rsid w:val="00086DEB"/>
    <w:rsid w:val="00087500"/>
    <w:rsid w:val="00090E40"/>
    <w:rsid w:val="00094F85"/>
    <w:rsid w:val="00095263"/>
    <w:rsid w:val="000A0FD9"/>
    <w:rsid w:val="000A1142"/>
    <w:rsid w:val="000A1FB5"/>
    <w:rsid w:val="000A2FCF"/>
    <w:rsid w:val="000A3134"/>
    <w:rsid w:val="000A3433"/>
    <w:rsid w:val="000A3CB5"/>
    <w:rsid w:val="000A3FAC"/>
    <w:rsid w:val="000A517E"/>
    <w:rsid w:val="000B31F2"/>
    <w:rsid w:val="000B3DAC"/>
    <w:rsid w:val="000B4193"/>
    <w:rsid w:val="000B4BE9"/>
    <w:rsid w:val="000C1BCE"/>
    <w:rsid w:val="000C24BA"/>
    <w:rsid w:val="000E03DC"/>
    <w:rsid w:val="000E1DE1"/>
    <w:rsid w:val="000F53B0"/>
    <w:rsid w:val="000F5FA8"/>
    <w:rsid w:val="000F6470"/>
    <w:rsid w:val="000F6A1C"/>
    <w:rsid w:val="001003E1"/>
    <w:rsid w:val="00101FB6"/>
    <w:rsid w:val="00103668"/>
    <w:rsid w:val="00105636"/>
    <w:rsid w:val="0011388A"/>
    <w:rsid w:val="00120EC2"/>
    <w:rsid w:val="001225CF"/>
    <w:rsid w:val="00122830"/>
    <w:rsid w:val="00123728"/>
    <w:rsid w:val="00126E61"/>
    <w:rsid w:val="00131E5E"/>
    <w:rsid w:val="00134A8A"/>
    <w:rsid w:val="001378F0"/>
    <w:rsid w:val="00140688"/>
    <w:rsid w:val="00145EE4"/>
    <w:rsid w:val="00150245"/>
    <w:rsid w:val="00153635"/>
    <w:rsid w:val="00153A8F"/>
    <w:rsid w:val="00157630"/>
    <w:rsid w:val="001605CA"/>
    <w:rsid w:val="001616E7"/>
    <w:rsid w:val="001617EC"/>
    <w:rsid w:val="001622D2"/>
    <w:rsid w:val="00162D09"/>
    <w:rsid w:val="001633AF"/>
    <w:rsid w:val="00165FA2"/>
    <w:rsid w:val="0016662C"/>
    <w:rsid w:val="00170A51"/>
    <w:rsid w:val="001725A5"/>
    <w:rsid w:val="0017323D"/>
    <w:rsid w:val="00175288"/>
    <w:rsid w:val="001771BC"/>
    <w:rsid w:val="00177713"/>
    <w:rsid w:val="001800BE"/>
    <w:rsid w:val="001816C2"/>
    <w:rsid w:val="00181CA0"/>
    <w:rsid w:val="001846F5"/>
    <w:rsid w:val="0018472F"/>
    <w:rsid w:val="001952E6"/>
    <w:rsid w:val="001963ED"/>
    <w:rsid w:val="001A0E3C"/>
    <w:rsid w:val="001A0FB5"/>
    <w:rsid w:val="001A7649"/>
    <w:rsid w:val="001B025D"/>
    <w:rsid w:val="001B1B9B"/>
    <w:rsid w:val="001B3C9B"/>
    <w:rsid w:val="001B3F6C"/>
    <w:rsid w:val="001B6DC9"/>
    <w:rsid w:val="001B7DAA"/>
    <w:rsid w:val="001C0708"/>
    <w:rsid w:val="001C25F7"/>
    <w:rsid w:val="001C34D9"/>
    <w:rsid w:val="001C3A38"/>
    <w:rsid w:val="001C4B73"/>
    <w:rsid w:val="001C5C18"/>
    <w:rsid w:val="001D0D29"/>
    <w:rsid w:val="001D11E1"/>
    <w:rsid w:val="001D362E"/>
    <w:rsid w:val="001D569F"/>
    <w:rsid w:val="001D7A03"/>
    <w:rsid w:val="001E2C46"/>
    <w:rsid w:val="001F143A"/>
    <w:rsid w:val="001F472C"/>
    <w:rsid w:val="0020084A"/>
    <w:rsid w:val="00200F9C"/>
    <w:rsid w:val="002047B2"/>
    <w:rsid w:val="00206295"/>
    <w:rsid w:val="00207FFA"/>
    <w:rsid w:val="0021440B"/>
    <w:rsid w:val="002152F6"/>
    <w:rsid w:val="002165FA"/>
    <w:rsid w:val="00220B56"/>
    <w:rsid w:val="00224C21"/>
    <w:rsid w:val="002255B1"/>
    <w:rsid w:val="00231953"/>
    <w:rsid w:val="0023195A"/>
    <w:rsid w:val="00233196"/>
    <w:rsid w:val="002368FA"/>
    <w:rsid w:val="00240FC9"/>
    <w:rsid w:val="00243FD7"/>
    <w:rsid w:val="002522A8"/>
    <w:rsid w:val="00253FB1"/>
    <w:rsid w:val="00254517"/>
    <w:rsid w:val="002551FF"/>
    <w:rsid w:val="00255F52"/>
    <w:rsid w:val="00265F19"/>
    <w:rsid w:val="0026669B"/>
    <w:rsid w:val="00266D37"/>
    <w:rsid w:val="00267D5C"/>
    <w:rsid w:val="00272409"/>
    <w:rsid w:val="00273602"/>
    <w:rsid w:val="002742CC"/>
    <w:rsid w:val="00274389"/>
    <w:rsid w:val="00277C38"/>
    <w:rsid w:val="00280770"/>
    <w:rsid w:val="00280CCF"/>
    <w:rsid w:val="002843B5"/>
    <w:rsid w:val="00285581"/>
    <w:rsid w:val="002857C7"/>
    <w:rsid w:val="00290A24"/>
    <w:rsid w:val="0029328A"/>
    <w:rsid w:val="00294C8B"/>
    <w:rsid w:val="00295128"/>
    <w:rsid w:val="00295195"/>
    <w:rsid w:val="002A1A9D"/>
    <w:rsid w:val="002A55BD"/>
    <w:rsid w:val="002B3B45"/>
    <w:rsid w:val="002B71B8"/>
    <w:rsid w:val="002C0821"/>
    <w:rsid w:val="002C3C42"/>
    <w:rsid w:val="002C43DA"/>
    <w:rsid w:val="002C6360"/>
    <w:rsid w:val="002C65AC"/>
    <w:rsid w:val="002D228C"/>
    <w:rsid w:val="002D2967"/>
    <w:rsid w:val="002D4405"/>
    <w:rsid w:val="002D58BC"/>
    <w:rsid w:val="002D6999"/>
    <w:rsid w:val="002D6AF5"/>
    <w:rsid w:val="002E28B0"/>
    <w:rsid w:val="002E404B"/>
    <w:rsid w:val="002F1359"/>
    <w:rsid w:val="002F1AB6"/>
    <w:rsid w:val="002F69FC"/>
    <w:rsid w:val="002F74F5"/>
    <w:rsid w:val="00301900"/>
    <w:rsid w:val="003020E8"/>
    <w:rsid w:val="00303796"/>
    <w:rsid w:val="00306D92"/>
    <w:rsid w:val="00311611"/>
    <w:rsid w:val="003132A3"/>
    <w:rsid w:val="00313EDB"/>
    <w:rsid w:val="003144D6"/>
    <w:rsid w:val="00315738"/>
    <w:rsid w:val="00316E8A"/>
    <w:rsid w:val="003179DC"/>
    <w:rsid w:val="003210B5"/>
    <w:rsid w:val="00321C18"/>
    <w:rsid w:val="003255E2"/>
    <w:rsid w:val="00326532"/>
    <w:rsid w:val="00326E87"/>
    <w:rsid w:val="00332B43"/>
    <w:rsid w:val="00333C53"/>
    <w:rsid w:val="0033484F"/>
    <w:rsid w:val="003360CD"/>
    <w:rsid w:val="0034369A"/>
    <w:rsid w:val="00343760"/>
    <w:rsid w:val="00343EEA"/>
    <w:rsid w:val="0034647F"/>
    <w:rsid w:val="0035013A"/>
    <w:rsid w:val="0035131D"/>
    <w:rsid w:val="00351D32"/>
    <w:rsid w:val="00352106"/>
    <w:rsid w:val="00356841"/>
    <w:rsid w:val="00363444"/>
    <w:rsid w:val="00363B47"/>
    <w:rsid w:val="00365BCD"/>
    <w:rsid w:val="00365C04"/>
    <w:rsid w:val="003707F7"/>
    <w:rsid w:val="00371FDB"/>
    <w:rsid w:val="00374A0B"/>
    <w:rsid w:val="00376481"/>
    <w:rsid w:val="003770A4"/>
    <w:rsid w:val="003826D7"/>
    <w:rsid w:val="00383A97"/>
    <w:rsid w:val="00386DEB"/>
    <w:rsid w:val="00386E82"/>
    <w:rsid w:val="00387791"/>
    <w:rsid w:val="0039125A"/>
    <w:rsid w:val="003925FC"/>
    <w:rsid w:val="00396569"/>
    <w:rsid w:val="00397ECC"/>
    <w:rsid w:val="003A7A5C"/>
    <w:rsid w:val="003B1993"/>
    <w:rsid w:val="003B36F9"/>
    <w:rsid w:val="003B569C"/>
    <w:rsid w:val="003B77FE"/>
    <w:rsid w:val="003B7E2D"/>
    <w:rsid w:val="003C1CA4"/>
    <w:rsid w:val="003C3CD9"/>
    <w:rsid w:val="003C5EA8"/>
    <w:rsid w:val="003C6F0C"/>
    <w:rsid w:val="003D391B"/>
    <w:rsid w:val="003D5C42"/>
    <w:rsid w:val="003D7658"/>
    <w:rsid w:val="003E141D"/>
    <w:rsid w:val="003E2774"/>
    <w:rsid w:val="003E282C"/>
    <w:rsid w:val="003E5086"/>
    <w:rsid w:val="003E57B7"/>
    <w:rsid w:val="003F383C"/>
    <w:rsid w:val="003F3EB9"/>
    <w:rsid w:val="003F48DD"/>
    <w:rsid w:val="003F6831"/>
    <w:rsid w:val="003F74AA"/>
    <w:rsid w:val="004012F5"/>
    <w:rsid w:val="00403B94"/>
    <w:rsid w:val="00405596"/>
    <w:rsid w:val="004064B0"/>
    <w:rsid w:val="004102AC"/>
    <w:rsid w:val="004129FD"/>
    <w:rsid w:val="0041345D"/>
    <w:rsid w:val="00414BD4"/>
    <w:rsid w:val="004203CA"/>
    <w:rsid w:val="004236B5"/>
    <w:rsid w:val="00425C95"/>
    <w:rsid w:val="00425E39"/>
    <w:rsid w:val="00426BBE"/>
    <w:rsid w:val="00432ABE"/>
    <w:rsid w:val="0043470B"/>
    <w:rsid w:val="00441AE4"/>
    <w:rsid w:val="00444655"/>
    <w:rsid w:val="0044587E"/>
    <w:rsid w:val="004467B2"/>
    <w:rsid w:val="0045174A"/>
    <w:rsid w:val="00455BC2"/>
    <w:rsid w:val="0046284C"/>
    <w:rsid w:val="00462DCE"/>
    <w:rsid w:val="00463E34"/>
    <w:rsid w:val="00467EC8"/>
    <w:rsid w:val="0047019C"/>
    <w:rsid w:val="00471BB9"/>
    <w:rsid w:val="00477350"/>
    <w:rsid w:val="00480A61"/>
    <w:rsid w:val="00481DE1"/>
    <w:rsid w:val="00483802"/>
    <w:rsid w:val="00485A87"/>
    <w:rsid w:val="00486C8D"/>
    <w:rsid w:val="00490F44"/>
    <w:rsid w:val="00495619"/>
    <w:rsid w:val="004963CA"/>
    <w:rsid w:val="004A3980"/>
    <w:rsid w:val="004A4B9F"/>
    <w:rsid w:val="004A5716"/>
    <w:rsid w:val="004A7D92"/>
    <w:rsid w:val="004B1E4F"/>
    <w:rsid w:val="004B2310"/>
    <w:rsid w:val="004B6B11"/>
    <w:rsid w:val="004C525B"/>
    <w:rsid w:val="004C7727"/>
    <w:rsid w:val="004D0246"/>
    <w:rsid w:val="004D07A6"/>
    <w:rsid w:val="004E1CAD"/>
    <w:rsid w:val="004E3C89"/>
    <w:rsid w:val="004E556E"/>
    <w:rsid w:val="004E5F2E"/>
    <w:rsid w:val="004E661D"/>
    <w:rsid w:val="004F2CDD"/>
    <w:rsid w:val="004F3E7F"/>
    <w:rsid w:val="004F48DB"/>
    <w:rsid w:val="004F5E94"/>
    <w:rsid w:val="004F730A"/>
    <w:rsid w:val="004F774C"/>
    <w:rsid w:val="0050283E"/>
    <w:rsid w:val="00510A9A"/>
    <w:rsid w:val="00511029"/>
    <w:rsid w:val="00512CB0"/>
    <w:rsid w:val="00513579"/>
    <w:rsid w:val="0051592E"/>
    <w:rsid w:val="00520AC9"/>
    <w:rsid w:val="00521853"/>
    <w:rsid w:val="0052214C"/>
    <w:rsid w:val="00522A82"/>
    <w:rsid w:val="00522E01"/>
    <w:rsid w:val="00523C1B"/>
    <w:rsid w:val="005245DB"/>
    <w:rsid w:val="00524B9F"/>
    <w:rsid w:val="00525AF3"/>
    <w:rsid w:val="00530B08"/>
    <w:rsid w:val="00531FEB"/>
    <w:rsid w:val="00532D11"/>
    <w:rsid w:val="00535194"/>
    <w:rsid w:val="00536B60"/>
    <w:rsid w:val="00537EDD"/>
    <w:rsid w:val="00537F1B"/>
    <w:rsid w:val="00542DFD"/>
    <w:rsid w:val="00544038"/>
    <w:rsid w:val="00545983"/>
    <w:rsid w:val="00545E86"/>
    <w:rsid w:val="00551506"/>
    <w:rsid w:val="005521B5"/>
    <w:rsid w:val="0055499E"/>
    <w:rsid w:val="00554CD4"/>
    <w:rsid w:val="0055636A"/>
    <w:rsid w:val="00556B6B"/>
    <w:rsid w:val="005577E9"/>
    <w:rsid w:val="005579D3"/>
    <w:rsid w:val="00560CB4"/>
    <w:rsid w:val="0056186A"/>
    <w:rsid w:val="00563AAA"/>
    <w:rsid w:val="00577AB3"/>
    <w:rsid w:val="00577BEC"/>
    <w:rsid w:val="00580992"/>
    <w:rsid w:val="00580D0D"/>
    <w:rsid w:val="0058502C"/>
    <w:rsid w:val="005851B0"/>
    <w:rsid w:val="00591B9B"/>
    <w:rsid w:val="00593AD0"/>
    <w:rsid w:val="00593B2A"/>
    <w:rsid w:val="00594227"/>
    <w:rsid w:val="005953C1"/>
    <w:rsid w:val="005A09F1"/>
    <w:rsid w:val="005A0D16"/>
    <w:rsid w:val="005A15AC"/>
    <w:rsid w:val="005A24AA"/>
    <w:rsid w:val="005A2579"/>
    <w:rsid w:val="005A4A5F"/>
    <w:rsid w:val="005A72E7"/>
    <w:rsid w:val="005A72F8"/>
    <w:rsid w:val="005A799F"/>
    <w:rsid w:val="005A7B67"/>
    <w:rsid w:val="005B0E04"/>
    <w:rsid w:val="005B3249"/>
    <w:rsid w:val="005B554F"/>
    <w:rsid w:val="005B6573"/>
    <w:rsid w:val="005B7F33"/>
    <w:rsid w:val="005C1A2C"/>
    <w:rsid w:val="005C36A8"/>
    <w:rsid w:val="005C6C0E"/>
    <w:rsid w:val="005C7E60"/>
    <w:rsid w:val="005D01BB"/>
    <w:rsid w:val="005D4F10"/>
    <w:rsid w:val="005D74E1"/>
    <w:rsid w:val="005F11A2"/>
    <w:rsid w:val="005F2A7D"/>
    <w:rsid w:val="005F66E0"/>
    <w:rsid w:val="005F6954"/>
    <w:rsid w:val="005F7086"/>
    <w:rsid w:val="00601157"/>
    <w:rsid w:val="006025E3"/>
    <w:rsid w:val="0060295C"/>
    <w:rsid w:val="00604C78"/>
    <w:rsid w:val="006150D1"/>
    <w:rsid w:val="0061619D"/>
    <w:rsid w:val="006177D8"/>
    <w:rsid w:val="00617EEA"/>
    <w:rsid w:val="0062039B"/>
    <w:rsid w:val="00620401"/>
    <w:rsid w:val="00620906"/>
    <w:rsid w:val="006212FC"/>
    <w:rsid w:val="006218D3"/>
    <w:rsid w:val="00624076"/>
    <w:rsid w:val="00633F21"/>
    <w:rsid w:val="00634510"/>
    <w:rsid w:val="00636F40"/>
    <w:rsid w:val="006373BC"/>
    <w:rsid w:val="0064028E"/>
    <w:rsid w:val="00642D14"/>
    <w:rsid w:val="006444A5"/>
    <w:rsid w:val="00646015"/>
    <w:rsid w:val="006460B2"/>
    <w:rsid w:val="0065396C"/>
    <w:rsid w:val="00655A13"/>
    <w:rsid w:val="00657E1E"/>
    <w:rsid w:val="006608FC"/>
    <w:rsid w:val="0066180C"/>
    <w:rsid w:val="006629D9"/>
    <w:rsid w:val="00663F36"/>
    <w:rsid w:val="00667113"/>
    <w:rsid w:val="00673E1E"/>
    <w:rsid w:val="00674B22"/>
    <w:rsid w:val="006750EB"/>
    <w:rsid w:val="006768D3"/>
    <w:rsid w:val="00677E7E"/>
    <w:rsid w:val="00681654"/>
    <w:rsid w:val="0068262D"/>
    <w:rsid w:val="00683015"/>
    <w:rsid w:val="00683AA3"/>
    <w:rsid w:val="00683B6B"/>
    <w:rsid w:val="006847C4"/>
    <w:rsid w:val="00685828"/>
    <w:rsid w:val="00691D89"/>
    <w:rsid w:val="00693C9A"/>
    <w:rsid w:val="00693E9C"/>
    <w:rsid w:val="00694B2E"/>
    <w:rsid w:val="00697FBF"/>
    <w:rsid w:val="006A174A"/>
    <w:rsid w:val="006A2FCB"/>
    <w:rsid w:val="006A6382"/>
    <w:rsid w:val="006A6881"/>
    <w:rsid w:val="006B26E5"/>
    <w:rsid w:val="006B3178"/>
    <w:rsid w:val="006B5049"/>
    <w:rsid w:val="006C01D6"/>
    <w:rsid w:val="006D097E"/>
    <w:rsid w:val="006D45AD"/>
    <w:rsid w:val="006D79B8"/>
    <w:rsid w:val="006E091B"/>
    <w:rsid w:val="006E53E0"/>
    <w:rsid w:val="006E7093"/>
    <w:rsid w:val="006F0138"/>
    <w:rsid w:val="006F1127"/>
    <w:rsid w:val="007035CA"/>
    <w:rsid w:val="0070472F"/>
    <w:rsid w:val="0071029A"/>
    <w:rsid w:val="007117F3"/>
    <w:rsid w:val="00715AFE"/>
    <w:rsid w:val="00717D83"/>
    <w:rsid w:val="00725F23"/>
    <w:rsid w:val="00725FF1"/>
    <w:rsid w:val="00726914"/>
    <w:rsid w:val="00731366"/>
    <w:rsid w:val="00732B1C"/>
    <w:rsid w:val="00734BEC"/>
    <w:rsid w:val="0073535B"/>
    <w:rsid w:val="0073586B"/>
    <w:rsid w:val="00737DA4"/>
    <w:rsid w:val="00746E35"/>
    <w:rsid w:val="00746E64"/>
    <w:rsid w:val="00750D11"/>
    <w:rsid w:val="00750F64"/>
    <w:rsid w:val="00751754"/>
    <w:rsid w:val="00754790"/>
    <w:rsid w:val="007567C8"/>
    <w:rsid w:val="00757B29"/>
    <w:rsid w:val="00757E45"/>
    <w:rsid w:val="00760750"/>
    <w:rsid w:val="007669C2"/>
    <w:rsid w:val="00767988"/>
    <w:rsid w:val="00775044"/>
    <w:rsid w:val="0078085A"/>
    <w:rsid w:val="00781276"/>
    <w:rsid w:val="007830D9"/>
    <w:rsid w:val="0078341D"/>
    <w:rsid w:val="007834F9"/>
    <w:rsid w:val="00784AB9"/>
    <w:rsid w:val="00790C64"/>
    <w:rsid w:val="00791410"/>
    <w:rsid w:val="00795C7B"/>
    <w:rsid w:val="00797894"/>
    <w:rsid w:val="007A2CCE"/>
    <w:rsid w:val="007A6CE9"/>
    <w:rsid w:val="007B0524"/>
    <w:rsid w:val="007B0D4C"/>
    <w:rsid w:val="007B19C8"/>
    <w:rsid w:val="007B259C"/>
    <w:rsid w:val="007B32A2"/>
    <w:rsid w:val="007B38BC"/>
    <w:rsid w:val="007B3BD1"/>
    <w:rsid w:val="007B712A"/>
    <w:rsid w:val="007C0DF7"/>
    <w:rsid w:val="007C27B0"/>
    <w:rsid w:val="007C4EE0"/>
    <w:rsid w:val="007C53EE"/>
    <w:rsid w:val="007D0A61"/>
    <w:rsid w:val="007E0EB4"/>
    <w:rsid w:val="007E3281"/>
    <w:rsid w:val="007F0121"/>
    <w:rsid w:val="007F10F2"/>
    <w:rsid w:val="007F42E1"/>
    <w:rsid w:val="007F46B9"/>
    <w:rsid w:val="007F4FC0"/>
    <w:rsid w:val="007F5BE7"/>
    <w:rsid w:val="007F7A55"/>
    <w:rsid w:val="008054D8"/>
    <w:rsid w:val="00807140"/>
    <w:rsid w:val="00810511"/>
    <w:rsid w:val="008108A2"/>
    <w:rsid w:val="00811BF6"/>
    <w:rsid w:val="0081490B"/>
    <w:rsid w:val="00815A0E"/>
    <w:rsid w:val="008201A0"/>
    <w:rsid w:val="00822FA7"/>
    <w:rsid w:val="00823A51"/>
    <w:rsid w:val="00823AB8"/>
    <w:rsid w:val="00824975"/>
    <w:rsid w:val="008300D0"/>
    <w:rsid w:val="00830A89"/>
    <w:rsid w:val="008319CD"/>
    <w:rsid w:val="008330F4"/>
    <w:rsid w:val="00833F0D"/>
    <w:rsid w:val="0083679E"/>
    <w:rsid w:val="00836A5F"/>
    <w:rsid w:val="00840933"/>
    <w:rsid w:val="0084256A"/>
    <w:rsid w:val="00842B36"/>
    <w:rsid w:val="008434BE"/>
    <w:rsid w:val="00844059"/>
    <w:rsid w:val="00847D3B"/>
    <w:rsid w:val="00851B2B"/>
    <w:rsid w:val="00852E3A"/>
    <w:rsid w:val="00854DDC"/>
    <w:rsid w:val="00854FA5"/>
    <w:rsid w:val="00856259"/>
    <w:rsid w:val="0086042E"/>
    <w:rsid w:val="00860C55"/>
    <w:rsid w:val="00861D34"/>
    <w:rsid w:val="008646A4"/>
    <w:rsid w:val="00880368"/>
    <w:rsid w:val="00883A7D"/>
    <w:rsid w:val="00884027"/>
    <w:rsid w:val="00892749"/>
    <w:rsid w:val="008937C5"/>
    <w:rsid w:val="00896530"/>
    <w:rsid w:val="008A02F5"/>
    <w:rsid w:val="008A2460"/>
    <w:rsid w:val="008A4CE7"/>
    <w:rsid w:val="008A671D"/>
    <w:rsid w:val="008A6AA5"/>
    <w:rsid w:val="008A7E1D"/>
    <w:rsid w:val="008B005C"/>
    <w:rsid w:val="008B0CAF"/>
    <w:rsid w:val="008B1985"/>
    <w:rsid w:val="008B3648"/>
    <w:rsid w:val="008B4B40"/>
    <w:rsid w:val="008B70BC"/>
    <w:rsid w:val="008C2DBE"/>
    <w:rsid w:val="008D0209"/>
    <w:rsid w:val="008D0851"/>
    <w:rsid w:val="008D10BD"/>
    <w:rsid w:val="008D209A"/>
    <w:rsid w:val="008D242C"/>
    <w:rsid w:val="008D6199"/>
    <w:rsid w:val="008E1289"/>
    <w:rsid w:val="008E4839"/>
    <w:rsid w:val="008E5C2F"/>
    <w:rsid w:val="008E5CE0"/>
    <w:rsid w:val="008E66D6"/>
    <w:rsid w:val="008E69B8"/>
    <w:rsid w:val="008F21DD"/>
    <w:rsid w:val="008F320C"/>
    <w:rsid w:val="008F3752"/>
    <w:rsid w:val="008F548B"/>
    <w:rsid w:val="008F6195"/>
    <w:rsid w:val="008F6FB0"/>
    <w:rsid w:val="00900316"/>
    <w:rsid w:val="00902848"/>
    <w:rsid w:val="00910D00"/>
    <w:rsid w:val="009110EE"/>
    <w:rsid w:val="009157A4"/>
    <w:rsid w:val="00915A5F"/>
    <w:rsid w:val="00917F5F"/>
    <w:rsid w:val="00920245"/>
    <w:rsid w:val="00924FAD"/>
    <w:rsid w:val="00937B81"/>
    <w:rsid w:val="00940015"/>
    <w:rsid w:val="009409D4"/>
    <w:rsid w:val="00940E73"/>
    <w:rsid w:val="00942FAA"/>
    <w:rsid w:val="00942FB7"/>
    <w:rsid w:val="00944611"/>
    <w:rsid w:val="00945A8C"/>
    <w:rsid w:val="00953A68"/>
    <w:rsid w:val="00954EE0"/>
    <w:rsid w:val="0095748A"/>
    <w:rsid w:val="00961004"/>
    <w:rsid w:val="00965647"/>
    <w:rsid w:val="00975A70"/>
    <w:rsid w:val="00975D44"/>
    <w:rsid w:val="00980931"/>
    <w:rsid w:val="0098497D"/>
    <w:rsid w:val="00985AAF"/>
    <w:rsid w:val="0098645F"/>
    <w:rsid w:val="00987601"/>
    <w:rsid w:val="009934B8"/>
    <w:rsid w:val="009962D8"/>
    <w:rsid w:val="00997A54"/>
    <w:rsid w:val="009A262B"/>
    <w:rsid w:val="009A3FF6"/>
    <w:rsid w:val="009A42AB"/>
    <w:rsid w:val="009A535E"/>
    <w:rsid w:val="009B4D44"/>
    <w:rsid w:val="009B5275"/>
    <w:rsid w:val="009B6941"/>
    <w:rsid w:val="009C06A9"/>
    <w:rsid w:val="009C19BE"/>
    <w:rsid w:val="009D15C3"/>
    <w:rsid w:val="009D1E12"/>
    <w:rsid w:val="009D48B9"/>
    <w:rsid w:val="009D5CEF"/>
    <w:rsid w:val="009D609D"/>
    <w:rsid w:val="009D6E9A"/>
    <w:rsid w:val="009D77C8"/>
    <w:rsid w:val="009D781A"/>
    <w:rsid w:val="009D7DC6"/>
    <w:rsid w:val="009E4023"/>
    <w:rsid w:val="009E7B7C"/>
    <w:rsid w:val="009F13DC"/>
    <w:rsid w:val="009F309C"/>
    <w:rsid w:val="009F4329"/>
    <w:rsid w:val="00A00A82"/>
    <w:rsid w:val="00A00BD0"/>
    <w:rsid w:val="00A00E60"/>
    <w:rsid w:val="00A07072"/>
    <w:rsid w:val="00A0782D"/>
    <w:rsid w:val="00A1249C"/>
    <w:rsid w:val="00A142F4"/>
    <w:rsid w:val="00A14F99"/>
    <w:rsid w:val="00A15AA3"/>
    <w:rsid w:val="00A16C89"/>
    <w:rsid w:val="00A17321"/>
    <w:rsid w:val="00A176E1"/>
    <w:rsid w:val="00A247B9"/>
    <w:rsid w:val="00A25E1F"/>
    <w:rsid w:val="00A263F7"/>
    <w:rsid w:val="00A30BFA"/>
    <w:rsid w:val="00A33B29"/>
    <w:rsid w:val="00A3506B"/>
    <w:rsid w:val="00A354B5"/>
    <w:rsid w:val="00A40BEF"/>
    <w:rsid w:val="00A43A9B"/>
    <w:rsid w:val="00A44B0D"/>
    <w:rsid w:val="00A461CF"/>
    <w:rsid w:val="00A470CD"/>
    <w:rsid w:val="00A569BB"/>
    <w:rsid w:val="00A575C1"/>
    <w:rsid w:val="00A57C37"/>
    <w:rsid w:val="00A677A8"/>
    <w:rsid w:val="00A709E3"/>
    <w:rsid w:val="00A70C7A"/>
    <w:rsid w:val="00A75759"/>
    <w:rsid w:val="00A75783"/>
    <w:rsid w:val="00A765BC"/>
    <w:rsid w:val="00A803FF"/>
    <w:rsid w:val="00A80662"/>
    <w:rsid w:val="00A82FB2"/>
    <w:rsid w:val="00A86D51"/>
    <w:rsid w:val="00A900D3"/>
    <w:rsid w:val="00A9161C"/>
    <w:rsid w:val="00A91EC1"/>
    <w:rsid w:val="00A9428F"/>
    <w:rsid w:val="00A95FA5"/>
    <w:rsid w:val="00AA667A"/>
    <w:rsid w:val="00AA6946"/>
    <w:rsid w:val="00AB37B4"/>
    <w:rsid w:val="00AB7E44"/>
    <w:rsid w:val="00AC3C44"/>
    <w:rsid w:val="00AC6075"/>
    <w:rsid w:val="00AC76E9"/>
    <w:rsid w:val="00AD11A3"/>
    <w:rsid w:val="00AD2267"/>
    <w:rsid w:val="00AD2A53"/>
    <w:rsid w:val="00AD3116"/>
    <w:rsid w:val="00AD6220"/>
    <w:rsid w:val="00AE3F66"/>
    <w:rsid w:val="00AE76D6"/>
    <w:rsid w:val="00AE7A8B"/>
    <w:rsid w:val="00AE7DFE"/>
    <w:rsid w:val="00AF0BC9"/>
    <w:rsid w:val="00AF0E25"/>
    <w:rsid w:val="00AF1E59"/>
    <w:rsid w:val="00AF2491"/>
    <w:rsid w:val="00AF62AA"/>
    <w:rsid w:val="00AF7349"/>
    <w:rsid w:val="00AF76BF"/>
    <w:rsid w:val="00B01017"/>
    <w:rsid w:val="00B02A9E"/>
    <w:rsid w:val="00B06F06"/>
    <w:rsid w:val="00B07E23"/>
    <w:rsid w:val="00B114CE"/>
    <w:rsid w:val="00B20304"/>
    <w:rsid w:val="00B2221A"/>
    <w:rsid w:val="00B26568"/>
    <w:rsid w:val="00B40FC6"/>
    <w:rsid w:val="00B41221"/>
    <w:rsid w:val="00B43314"/>
    <w:rsid w:val="00B44D32"/>
    <w:rsid w:val="00B50CC7"/>
    <w:rsid w:val="00B550A7"/>
    <w:rsid w:val="00B5656E"/>
    <w:rsid w:val="00B5681D"/>
    <w:rsid w:val="00B60DF8"/>
    <w:rsid w:val="00B62005"/>
    <w:rsid w:val="00B64381"/>
    <w:rsid w:val="00B661D4"/>
    <w:rsid w:val="00B67802"/>
    <w:rsid w:val="00B709C5"/>
    <w:rsid w:val="00B71462"/>
    <w:rsid w:val="00B74286"/>
    <w:rsid w:val="00B7493D"/>
    <w:rsid w:val="00B75947"/>
    <w:rsid w:val="00B75AFF"/>
    <w:rsid w:val="00B770A6"/>
    <w:rsid w:val="00B77237"/>
    <w:rsid w:val="00B80F1D"/>
    <w:rsid w:val="00B81154"/>
    <w:rsid w:val="00B82CF0"/>
    <w:rsid w:val="00B86FF0"/>
    <w:rsid w:val="00B96C2B"/>
    <w:rsid w:val="00BA1171"/>
    <w:rsid w:val="00BA35A9"/>
    <w:rsid w:val="00BB3DC0"/>
    <w:rsid w:val="00BB4401"/>
    <w:rsid w:val="00BC1812"/>
    <w:rsid w:val="00BC23D6"/>
    <w:rsid w:val="00BC2CAE"/>
    <w:rsid w:val="00BC3ED9"/>
    <w:rsid w:val="00BC3F8E"/>
    <w:rsid w:val="00BC4920"/>
    <w:rsid w:val="00BC4CB7"/>
    <w:rsid w:val="00BC6B41"/>
    <w:rsid w:val="00BD018A"/>
    <w:rsid w:val="00BD0F3C"/>
    <w:rsid w:val="00BD7EA1"/>
    <w:rsid w:val="00BE1C0B"/>
    <w:rsid w:val="00BE37C4"/>
    <w:rsid w:val="00BE3C65"/>
    <w:rsid w:val="00BE4768"/>
    <w:rsid w:val="00BF094F"/>
    <w:rsid w:val="00BF327F"/>
    <w:rsid w:val="00BF470F"/>
    <w:rsid w:val="00BF5977"/>
    <w:rsid w:val="00BF6882"/>
    <w:rsid w:val="00C00098"/>
    <w:rsid w:val="00C0122D"/>
    <w:rsid w:val="00C04217"/>
    <w:rsid w:val="00C07CB2"/>
    <w:rsid w:val="00C10EC5"/>
    <w:rsid w:val="00C21821"/>
    <w:rsid w:val="00C22D3F"/>
    <w:rsid w:val="00C230DC"/>
    <w:rsid w:val="00C24781"/>
    <w:rsid w:val="00C25F66"/>
    <w:rsid w:val="00C336FC"/>
    <w:rsid w:val="00C3448B"/>
    <w:rsid w:val="00C346FA"/>
    <w:rsid w:val="00C35158"/>
    <w:rsid w:val="00C40590"/>
    <w:rsid w:val="00C40BCB"/>
    <w:rsid w:val="00C40D47"/>
    <w:rsid w:val="00C441D3"/>
    <w:rsid w:val="00C458B1"/>
    <w:rsid w:val="00C5109D"/>
    <w:rsid w:val="00C535A8"/>
    <w:rsid w:val="00C64530"/>
    <w:rsid w:val="00C64857"/>
    <w:rsid w:val="00C66795"/>
    <w:rsid w:val="00C66D47"/>
    <w:rsid w:val="00C67BAE"/>
    <w:rsid w:val="00C70527"/>
    <w:rsid w:val="00C72BB6"/>
    <w:rsid w:val="00C72C9D"/>
    <w:rsid w:val="00C72D90"/>
    <w:rsid w:val="00C74295"/>
    <w:rsid w:val="00C76E7A"/>
    <w:rsid w:val="00C80358"/>
    <w:rsid w:val="00C81F37"/>
    <w:rsid w:val="00C84504"/>
    <w:rsid w:val="00C95EC5"/>
    <w:rsid w:val="00C9773E"/>
    <w:rsid w:val="00CA00B9"/>
    <w:rsid w:val="00CA059E"/>
    <w:rsid w:val="00CA1628"/>
    <w:rsid w:val="00CA319C"/>
    <w:rsid w:val="00CA3D55"/>
    <w:rsid w:val="00CA4605"/>
    <w:rsid w:val="00CA4B5A"/>
    <w:rsid w:val="00CA56F1"/>
    <w:rsid w:val="00CB10CE"/>
    <w:rsid w:val="00CB19F3"/>
    <w:rsid w:val="00CB6F43"/>
    <w:rsid w:val="00CC020D"/>
    <w:rsid w:val="00CC37EB"/>
    <w:rsid w:val="00CC38D6"/>
    <w:rsid w:val="00CC712A"/>
    <w:rsid w:val="00CD0589"/>
    <w:rsid w:val="00CD1840"/>
    <w:rsid w:val="00CD5EE6"/>
    <w:rsid w:val="00CE0BF4"/>
    <w:rsid w:val="00CE6F84"/>
    <w:rsid w:val="00CE7CCC"/>
    <w:rsid w:val="00CF001B"/>
    <w:rsid w:val="00CF1D2C"/>
    <w:rsid w:val="00CF20C2"/>
    <w:rsid w:val="00CF3627"/>
    <w:rsid w:val="00CF497D"/>
    <w:rsid w:val="00CF5EE4"/>
    <w:rsid w:val="00D00EA1"/>
    <w:rsid w:val="00D01263"/>
    <w:rsid w:val="00D03662"/>
    <w:rsid w:val="00D07DF7"/>
    <w:rsid w:val="00D1321C"/>
    <w:rsid w:val="00D14F72"/>
    <w:rsid w:val="00D20794"/>
    <w:rsid w:val="00D246FE"/>
    <w:rsid w:val="00D2583D"/>
    <w:rsid w:val="00D25985"/>
    <w:rsid w:val="00D26B3E"/>
    <w:rsid w:val="00D3089A"/>
    <w:rsid w:val="00D30C7C"/>
    <w:rsid w:val="00D31646"/>
    <w:rsid w:val="00D41FDF"/>
    <w:rsid w:val="00D45F27"/>
    <w:rsid w:val="00D479AD"/>
    <w:rsid w:val="00D5022B"/>
    <w:rsid w:val="00D51F89"/>
    <w:rsid w:val="00D552BD"/>
    <w:rsid w:val="00D5562D"/>
    <w:rsid w:val="00D56071"/>
    <w:rsid w:val="00D57028"/>
    <w:rsid w:val="00D603F1"/>
    <w:rsid w:val="00D634AB"/>
    <w:rsid w:val="00D65163"/>
    <w:rsid w:val="00D707F6"/>
    <w:rsid w:val="00D72164"/>
    <w:rsid w:val="00D72174"/>
    <w:rsid w:val="00D740EA"/>
    <w:rsid w:val="00D741D5"/>
    <w:rsid w:val="00D77B2C"/>
    <w:rsid w:val="00D83AA3"/>
    <w:rsid w:val="00D90DD3"/>
    <w:rsid w:val="00D91396"/>
    <w:rsid w:val="00D96EC7"/>
    <w:rsid w:val="00DA28CE"/>
    <w:rsid w:val="00DA74BA"/>
    <w:rsid w:val="00DB1594"/>
    <w:rsid w:val="00DB37A3"/>
    <w:rsid w:val="00DB396A"/>
    <w:rsid w:val="00DB6171"/>
    <w:rsid w:val="00DD434C"/>
    <w:rsid w:val="00DE0DD6"/>
    <w:rsid w:val="00DE1E9F"/>
    <w:rsid w:val="00DE2779"/>
    <w:rsid w:val="00DE5317"/>
    <w:rsid w:val="00DF1EBB"/>
    <w:rsid w:val="00DF4C67"/>
    <w:rsid w:val="00DF7496"/>
    <w:rsid w:val="00E021E8"/>
    <w:rsid w:val="00E04B7A"/>
    <w:rsid w:val="00E053BA"/>
    <w:rsid w:val="00E102FC"/>
    <w:rsid w:val="00E14F50"/>
    <w:rsid w:val="00E2114B"/>
    <w:rsid w:val="00E22D0F"/>
    <w:rsid w:val="00E23140"/>
    <w:rsid w:val="00E2670F"/>
    <w:rsid w:val="00E26C47"/>
    <w:rsid w:val="00E304BF"/>
    <w:rsid w:val="00E33DB2"/>
    <w:rsid w:val="00E375CD"/>
    <w:rsid w:val="00E4102F"/>
    <w:rsid w:val="00E427E5"/>
    <w:rsid w:val="00E45CF0"/>
    <w:rsid w:val="00E6148A"/>
    <w:rsid w:val="00E63079"/>
    <w:rsid w:val="00E63E0B"/>
    <w:rsid w:val="00E66BF0"/>
    <w:rsid w:val="00E67324"/>
    <w:rsid w:val="00E700FA"/>
    <w:rsid w:val="00E70A5D"/>
    <w:rsid w:val="00E718FC"/>
    <w:rsid w:val="00E726B2"/>
    <w:rsid w:val="00E7556A"/>
    <w:rsid w:val="00E76E79"/>
    <w:rsid w:val="00E77693"/>
    <w:rsid w:val="00E848A4"/>
    <w:rsid w:val="00E858CC"/>
    <w:rsid w:val="00E86417"/>
    <w:rsid w:val="00E872B9"/>
    <w:rsid w:val="00E87E26"/>
    <w:rsid w:val="00E91098"/>
    <w:rsid w:val="00E9168E"/>
    <w:rsid w:val="00E91F40"/>
    <w:rsid w:val="00E93FA5"/>
    <w:rsid w:val="00E94C3D"/>
    <w:rsid w:val="00EA10E6"/>
    <w:rsid w:val="00EA2716"/>
    <w:rsid w:val="00EA4787"/>
    <w:rsid w:val="00EA66C6"/>
    <w:rsid w:val="00EA6EBF"/>
    <w:rsid w:val="00EA7DB5"/>
    <w:rsid w:val="00EC609B"/>
    <w:rsid w:val="00ED0263"/>
    <w:rsid w:val="00EE0D8F"/>
    <w:rsid w:val="00EE184E"/>
    <w:rsid w:val="00EE46C9"/>
    <w:rsid w:val="00EE4E64"/>
    <w:rsid w:val="00EF0D6C"/>
    <w:rsid w:val="00EF290F"/>
    <w:rsid w:val="00EF367A"/>
    <w:rsid w:val="00EF5460"/>
    <w:rsid w:val="00EF6B1E"/>
    <w:rsid w:val="00F01FB9"/>
    <w:rsid w:val="00F02090"/>
    <w:rsid w:val="00F021D2"/>
    <w:rsid w:val="00F04766"/>
    <w:rsid w:val="00F05445"/>
    <w:rsid w:val="00F06B38"/>
    <w:rsid w:val="00F12123"/>
    <w:rsid w:val="00F13278"/>
    <w:rsid w:val="00F13D4E"/>
    <w:rsid w:val="00F14A71"/>
    <w:rsid w:val="00F23561"/>
    <w:rsid w:val="00F2394B"/>
    <w:rsid w:val="00F2531D"/>
    <w:rsid w:val="00F26E38"/>
    <w:rsid w:val="00F26EEB"/>
    <w:rsid w:val="00F274B9"/>
    <w:rsid w:val="00F3126D"/>
    <w:rsid w:val="00F31C0B"/>
    <w:rsid w:val="00F36A6D"/>
    <w:rsid w:val="00F370E7"/>
    <w:rsid w:val="00F41B79"/>
    <w:rsid w:val="00F44291"/>
    <w:rsid w:val="00F47712"/>
    <w:rsid w:val="00F539A8"/>
    <w:rsid w:val="00F54F6A"/>
    <w:rsid w:val="00F56A8E"/>
    <w:rsid w:val="00F56C3F"/>
    <w:rsid w:val="00F56DE1"/>
    <w:rsid w:val="00F61303"/>
    <w:rsid w:val="00F61533"/>
    <w:rsid w:val="00F6215C"/>
    <w:rsid w:val="00F62C98"/>
    <w:rsid w:val="00F70E4B"/>
    <w:rsid w:val="00F72B4E"/>
    <w:rsid w:val="00F779B8"/>
    <w:rsid w:val="00F77BDD"/>
    <w:rsid w:val="00F80B76"/>
    <w:rsid w:val="00F817DC"/>
    <w:rsid w:val="00F86E68"/>
    <w:rsid w:val="00F9627C"/>
    <w:rsid w:val="00FA41BF"/>
    <w:rsid w:val="00FA6A15"/>
    <w:rsid w:val="00FA796F"/>
    <w:rsid w:val="00FB0219"/>
    <w:rsid w:val="00FB0C6B"/>
    <w:rsid w:val="00FB128F"/>
    <w:rsid w:val="00FB2149"/>
    <w:rsid w:val="00FB3D3C"/>
    <w:rsid w:val="00FB6E42"/>
    <w:rsid w:val="00FB769B"/>
    <w:rsid w:val="00FC0938"/>
    <w:rsid w:val="00FC0E62"/>
    <w:rsid w:val="00FC1D99"/>
    <w:rsid w:val="00FC206A"/>
    <w:rsid w:val="00FD082F"/>
    <w:rsid w:val="00FD4BE4"/>
    <w:rsid w:val="00FD53A9"/>
    <w:rsid w:val="00FD5BC2"/>
    <w:rsid w:val="00FE21C3"/>
    <w:rsid w:val="00FE2C8F"/>
    <w:rsid w:val="00FE44B9"/>
    <w:rsid w:val="00FE7B68"/>
    <w:rsid w:val="00FE7BA1"/>
    <w:rsid w:val="00FF09ED"/>
    <w:rsid w:val="00FF1206"/>
    <w:rsid w:val="00FF169C"/>
    <w:rsid w:val="00FF420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DA224"/>
  <w15:chartTrackingRefBased/>
  <w15:docId w15:val="{D91C1F58-0DC1-4D7F-9632-7E1186A0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6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795"/>
  </w:style>
  <w:style w:type="paragraph" w:customStyle="1" w:styleId="FootnoteText1">
    <w:name w:val="Footnote Text1"/>
    <w:basedOn w:val="Normal"/>
    <w:next w:val="FootnoteText"/>
    <w:link w:val="FootnoteTextChar"/>
    <w:unhideWhenUsed/>
    <w:rsid w:val="00C6679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1"/>
    <w:uiPriority w:val="99"/>
    <w:qFormat/>
    <w:rsid w:val="00C66795"/>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C66795"/>
    <w:rPr>
      <w:vertAlign w:val="superscript"/>
    </w:rPr>
  </w:style>
  <w:style w:type="paragraph" w:customStyle="1" w:styleId="Appelnotedebasde">
    <w:name w:val="Appel note de bas de..."/>
    <w:basedOn w:val="Normal"/>
    <w:link w:val="FootnoteReference"/>
    <w:uiPriority w:val="99"/>
    <w:rsid w:val="00C66795"/>
    <w:pPr>
      <w:spacing w:line="240" w:lineRule="exact"/>
    </w:pPr>
    <w:rPr>
      <w:vertAlign w:val="superscript"/>
    </w:rPr>
  </w:style>
  <w:style w:type="character" w:customStyle="1" w:styleId="Hyperlink1">
    <w:name w:val="Hyperlink1"/>
    <w:basedOn w:val="DefaultParagraphFont"/>
    <w:uiPriority w:val="99"/>
    <w:unhideWhenUsed/>
    <w:rsid w:val="00C66795"/>
    <w:rPr>
      <w:color w:val="0563C1"/>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iPriority w:val="99"/>
    <w:unhideWhenUsed/>
    <w:qFormat/>
    <w:rsid w:val="00C66795"/>
    <w:pPr>
      <w:spacing w:after="0" w:line="240" w:lineRule="auto"/>
    </w:pPr>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basedOn w:val="DefaultParagraphFont"/>
    <w:link w:val="FootnoteText"/>
    <w:uiPriority w:val="99"/>
    <w:rsid w:val="00C66795"/>
    <w:rPr>
      <w:sz w:val="20"/>
      <w:szCs w:val="20"/>
    </w:rPr>
  </w:style>
  <w:style w:type="character" w:styleId="Hyperlink">
    <w:name w:val="Hyperlink"/>
    <w:basedOn w:val="DefaultParagraphFont"/>
    <w:uiPriority w:val="99"/>
    <w:unhideWhenUsed/>
    <w:rsid w:val="00C66795"/>
    <w:rPr>
      <w:color w:val="0563C1" w:themeColor="hyperlink"/>
      <w:u w:val="single"/>
    </w:rPr>
  </w:style>
  <w:style w:type="paragraph" w:styleId="ListParagraph">
    <w:name w:val="List Paragraph"/>
    <w:basedOn w:val="Normal"/>
    <w:uiPriority w:val="34"/>
    <w:qFormat/>
    <w:rsid w:val="00A91EC1"/>
    <w:pPr>
      <w:ind w:left="720"/>
      <w:contextualSpacing/>
    </w:pPr>
  </w:style>
  <w:style w:type="character" w:styleId="CommentReference">
    <w:name w:val="annotation reference"/>
    <w:basedOn w:val="DefaultParagraphFont"/>
    <w:uiPriority w:val="99"/>
    <w:semiHidden/>
    <w:unhideWhenUsed/>
    <w:rsid w:val="00BC2CAE"/>
    <w:rPr>
      <w:sz w:val="16"/>
      <w:szCs w:val="16"/>
    </w:rPr>
  </w:style>
  <w:style w:type="paragraph" w:styleId="CommentText">
    <w:name w:val="annotation text"/>
    <w:basedOn w:val="Normal"/>
    <w:link w:val="CommentTextChar"/>
    <w:uiPriority w:val="99"/>
    <w:unhideWhenUsed/>
    <w:rsid w:val="00BC2CAE"/>
    <w:pPr>
      <w:spacing w:line="240" w:lineRule="auto"/>
    </w:pPr>
    <w:rPr>
      <w:sz w:val="20"/>
      <w:szCs w:val="20"/>
    </w:rPr>
  </w:style>
  <w:style w:type="character" w:customStyle="1" w:styleId="CommentTextChar">
    <w:name w:val="Comment Text Char"/>
    <w:basedOn w:val="DefaultParagraphFont"/>
    <w:link w:val="CommentText"/>
    <w:uiPriority w:val="99"/>
    <w:rsid w:val="00BC2CAE"/>
    <w:rPr>
      <w:sz w:val="20"/>
      <w:szCs w:val="20"/>
    </w:rPr>
  </w:style>
  <w:style w:type="paragraph" w:styleId="CommentSubject">
    <w:name w:val="annotation subject"/>
    <w:basedOn w:val="CommentText"/>
    <w:next w:val="CommentText"/>
    <w:link w:val="CommentSubjectChar"/>
    <w:uiPriority w:val="99"/>
    <w:semiHidden/>
    <w:unhideWhenUsed/>
    <w:rsid w:val="00BC2CAE"/>
    <w:rPr>
      <w:b/>
      <w:bCs/>
    </w:rPr>
  </w:style>
  <w:style w:type="character" w:customStyle="1" w:styleId="CommentSubjectChar">
    <w:name w:val="Comment Subject Char"/>
    <w:basedOn w:val="CommentTextChar"/>
    <w:link w:val="CommentSubject"/>
    <w:uiPriority w:val="99"/>
    <w:semiHidden/>
    <w:rsid w:val="00BC2CAE"/>
    <w:rPr>
      <w:b/>
      <w:bCs/>
      <w:sz w:val="20"/>
      <w:szCs w:val="20"/>
    </w:rPr>
  </w:style>
  <w:style w:type="paragraph" w:styleId="BalloonText">
    <w:name w:val="Balloon Text"/>
    <w:basedOn w:val="Normal"/>
    <w:link w:val="BalloonTextChar"/>
    <w:uiPriority w:val="99"/>
    <w:semiHidden/>
    <w:unhideWhenUsed/>
    <w:rsid w:val="00BC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CAE"/>
    <w:rPr>
      <w:rFonts w:ascii="Segoe UI" w:hAnsi="Segoe UI" w:cs="Segoe UI"/>
      <w:sz w:val="18"/>
      <w:szCs w:val="18"/>
    </w:rPr>
  </w:style>
  <w:style w:type="paragraph" w:customStyle="1" w:styleId="Default">
    <w:name w:val="Default"/>
    <w:rsid w:val="003132A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UnresolvedMention1">
    <w:name w:val="Unresolved Mention1"/>
    <w:basedOn w:val="DefaultParagraphFont"/>
    <w:uiPriority w:val="99"/>
    <w:semiHidden/>
    <w:unhideWhenUsed/>
    <w:rsid w:val="00F02090"/>
    <w:rPr>
      <w:color w:val="605E5C"/>
      <w:shd w:val="clear" w:color="auto" w:fill="E1DFDD"/>
    </w:rPr>
  </w:style>
  <w:style w:type="paragraph" w:styleId="Revision">
    <w:name w:val="Revision"/>
    <w:hidden/>
    <w:uiPriority w:val="99"/>
    <w:semiHidden/>
    <w:rsid w:val="007830D9"/>
    <w:pPr>
      <w:spacing w:after="0" w:line="240" w:lineRule="auto"/>
    </w:pPr>
  </w:style>
  <w:style w:type="paragraph" w:styleId="Header">
    <w:name w:val="header"/>
    <w:basedOn w:val="Normal"/>
    <w:link w:val="HeaderChar"/>
    <w:uiPriority w:val="99"/>
    <w:unhideWhenUsed/>
    <w:rsid w:val="0019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E6"/>
  </w:style>
  <w:style w:type="character" w:styleId="FollowedHyperlink">
    <w:name w:val="FollowedHyperlink"/>
    <w:basedOn w:val="DefaultParagraphFont"/>
    <w:uiPriority w:val="99"/>
    <w:semiHidden/>
    <w:unhideWhenUsed/>
    <w:rsid w:val="00E33DB2"/>
    <w:rPr>
      <w:color w:val="954F72" w:themeColor="followedHyperlink"/>
      <w:u w:val="single"/>
    </w:rPr>
  </w:style>
  <w:style w:type="character" w:styleId="PlaceholderText">
    <w:name w:val="Placeholder Text"/>
    <w:basedOn w:val="DefaultParagraphFont"/>
    <w:uiPriority w:val="99"/>
    <w:semiHidden/>
    <w:rsid w:val="00C64530"/>
    <w:rPr>
      <w:color w:val="808080"/>
    </w:rPr>
  </w:style>
  <w:style w:type="paragraph" w:customStyle="1" w:styleId="footnotetext10">
    <w:name w:val="footnote text1"/>
    <w:basedOn w:val="Normal"/>
    <w:next w:val="FootnoteText"/>
    <w:uiPriority w:val="99"/>
    <w:unhideWhenUsed/>
    <w:rsid w:val="008A4CE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pdf/Resolucion-1-20-es.pdf" TargetMode="External"/><Relationship Id="rId2" Type="http://schemas.openxmlformats.org/officeDocument/2006/relationships/hyperlink" Target="http://www.oas.org/es/cidh/informes/pdfs/Proteccion-Personas-Defensoras.pdf" TargetMode="External"/><Relationship Id="rId1" Type="http://schemas.openxmlformats.org/officeDocument/2006/relationships/hyperlink" Target="http://www.oas.org/es/cidh/defensores/docs/pdf/defensores2011.pdf" TargetMode="External"/><Relationship Id="rId4" Type="http://schemas.openxmlformats.org/officeDocument/2006/relationships/hyperlink" Target="https://undocs.org/es/A/74/3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A490A-6CF4-4EA1-B8B4-4F401F0B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6887</Words>
  <Characters>39261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Luisa</dc:creator>
  <cp:keywords/>
  <dc:description/>
  <cp:lastModifiedBy>Maldonado, Stephanie</cp:lastModifiedBy>
  <cp:revision>51</cp:revision>
  <cp:lastPrinted>2020-08-05T15:42:00Z</cp:lastPrinted>
  <dcterms:created xsi:type="dcterms:W3CDTF">2020-07-31T14:27:00Z</dcterms:created>
  <dcterms:modified xsi:type="dcterms:W3CDTF">2020-08-31T17:31:00Z</dcterms:modified>
</cp:coreProperties>
</file>